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F2" w:rsidRPr="00196A4A" w:rsidRDefault="001253F2" w:rsidP="001253F2">
      <w:pPr>
        <w:spacing w:after="160" w:line="259" w:lineRule="auto"/>
        <w:jc w:val="center"/>
        <w:rPr>
          <w:rFonts w:ascii="Times New Roman" w:hAnsi="Times New Roman" w:cs="Times New Roman"/>
          <w:b/>
          <w:sz w:val="24"/>
          <w:szCs w:val="24"/>
        </w:rPr>
      </w:pPr>
      <w:r w:rsidRPr="00196A4A">
        <w:rPr>
          <w:rFonts w:ascii="Times New Roman" w:eastAsia="Calibri" w:hAnsi="Times New Roman" w:cs="Times New Roman"/>
          <w:noProof/>
          <w:sz w:val="24"/>
          <w:szCs w:val="24"/>
          <w:lang w:val="en-US"/>
        </w:rPr>
        <w:drawing>
          <wp:inline distT="0" distB="0" distL="0" distR="0" wp14:anchorId="0D0650B8" wp14:editId="4653551F">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VIEŠŲJŲ PIRKIMŲ TARNYBOS</w:t>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PREVENCIJOS IR PIRKIMO SUTARČIŲ PRIEŽIŪROS SKYRIUS</w:t>
      </w:r>
    </w:p>
    <w:p w:rsidR="001253F2" w:rsidRPr="00196A4A" w:rsidRDefault="001253F2" w:rsidP="001253F2">
      <w:pPr>
        <w:spacing w:after="0"/>
        <w:jc w:val="center"/>
        <w:rPr>
          <w:rFonts w:ascii="Times New Roman" w:hAnsi="Times New Roman" w:cs="Times New Roman"/>
          <w:b/>
          <w:bCs/>
          <w:sz w:val="24"/>
          <w:szCs w:val="24"/>
        </w:rPr>
      </w:pPr>
    </w:p>
    <w:p w:rsidR="00314741" w:rsidRPr="00196A4A" w:rsidRDefault="00314741" w:rsidP="001253F2">
      <w:pPr>
        <w:spacing w:after="0"/>
        <w:jc w:val="center"/>
        <w:rPr>
          <w:rFonts w:ascii="Times New Roman" w:hAnsi="Times New Roman" w:cs="Times New Roman"/>
          <w:b/>
          <w:bCs/>
          <w:sz w:val="24"/>
          <w:szCs w:val="24"/>
        </w:rPr>
      </w:pP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 xml:space="preserve">VIEŠOJO PIRKIMO-PARDAVIMO SUTARTIES NEPLANINIO VERTINIMO </w:t>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IŠVADA</w:t>
      </w:r>
    </w:p>
    <w:p w:rsidR="001253F2" w:rsidRPr="00196A4A" w:rsidRDefault="001253F2" w:rsidP="001253F2">
      <w:pPr>
        <w:spacing w:after="0"/>
        <w:jc w:val="center"/>
        <w:rPr>
          <w:rFonts w:ascii="Times New Roman" w:hAnsi="Times New Roman" w:cs="Times New Roman"/>
          <w:b/>
          <w:bCs/>
          <w:sz w:val="24"/>
          <w:szCs w:val="24"/>
        </w:rPr>
      </w:pPr>
    </w:p>
    <w:p w:rsidR="001253F2" w:rsidRPr="00196A4A" w:rsidRDefault="00316315" w:rsidP="00D40200">
      <w:pPr>
        <w:spacing w:after="0" w:line="240" w:lineRule="auto"/>
        <w:jc w:val="center"/>
        <w:rPr>
          <w:rFonts w:ascii="Times New Roman" w:hAnsi="Times New Roman" w:cs="Times New Roman"/>
          <w:sz w:val="20"/>
          <w:szCs w:val="20"/>
          <w:lang w:eastAsia="lt-LT"/>
        </w:rPr>
      </w:pPr>
      <w:r w:rsidRPr="00196A4A">
        <w:rPr>
          <w:rFonts w:ascii="Times New Roman" w:hAnsi="Times New Roman" w:cs="Times New Roman"/>
          <w:sz w:val="24"/>
          <w:szCs w:val="24"/>
        </w:rPr>
        <w:t>201</w:t>
      </w:r>
      <w:r w:rsidR="005A56C6" w:rsidRPr="00196A4A">
        <w:rPr>
          <w:rFonts w:ascii="Times New Roman" w:hAnsi="Times New Roman" w:cs="Times New Roman"/>
          <w:sz w:val="24"/>
          <w:szCs w:val="24"/>
        </w:rPr>
        <w:t>7</w:t>
      </w:r>
      <w:r w:rsidRPr="00196A4A">
        <w:rPr>
          <w:rFonts w:ascii="Times New Roman" w:hAnsi="Times New Roman" w:cs="Times New Roman"/>
          <w:sz w:val="24"/>
          <w:szCs w:val="24"/>
        </w:rPr>
        <w:t>-</w:t>
      </w:r>
      <w:r w:rsidR="005A56C6" w:rsidRPr="00196A4A">
        <w:rPr>
          <w:rFonts w:ascii="Times New Roman" w:hAnsi="Times New Roman" w:cs="Times New Roman"/>
          <w:sz w:val="24"/>
          <w:szCs w:val="24"/>
        </w:rPr>
        <w:t>0</w:t>
      </w:r>
      <w:r w:rsidR="00CE62A3">
        <w:rPr>
          <w:rFonts w:ascii="Times New Roman" w:hAnsi="Times New Roman" w:cs="Times New Roman"/>
          <w:sz w:val="24"/>
          <w:szCs w:val="24"/>
        </w:rPr>
        <w:t>5</w:t>
      </w:r>
      <w:r w:rsidR="00253137" w:rsidRPr="00196A4A">
        <w:rPr>
          <w:rFonts w:ascii="Times New Roman" w:hAnsi="Times New Roman" w:cs="Times New Roman"/>
          <w:sz w:val="24"/>
          <w:szCs w:val="24"/>
        </w:rPr>
        <w:t>-</w:t>
      </w:r>
      <w:r w:rsidR="00DE5616">
        <w:rPr>
          <w:rFonts w:ascii="Times New Roman" w:hAnsi="Times New Roman" w:cs="Times New Roman"/>
          <w:sz w:val="24"/>
          <w:szCs w:val="24"/>
        </w:rPr>
        <w:t>12</w:t>
      </w:r>
      <w:r w:rsidR="00B0759A" w:rsidRPr="00196A4A">
        <w:rPr>
          <w:rFonts w:ascii="Times New Roman" w:hAnsi="Times New Roman" w:cs="Times New Roman"/>
          <w:sz w:val="24"/>
          <w:szCs w:val="24"/>
        </w:rPr>
        <w:t xml:space="preserve"> </w:t>
      </w:r>
      <w:r w:rsidR="00E60F1C">
        <w:rPr>
          <w:rFonts w:ascii="Times New Roman" w:hAnsi="Times New Roman" w:cs="Times New Roman"/>
          <w:sz w:val="24"/>
          <w:szCs w:val="24"/>
        </w:rPr>
        <w:t xml:space="preserve">  </w:t>
      </w:r>
      <w:bookmarkStart w:id="0" w:name="_GoBack"/>
      <w:bookmarkEnd w:id="0"/>
      <w:r w:rsidR="001253F2" w:rsidRPr="00196A4A">
        <w:rPr>
          <w:rFonts w:ascii="Times New Roman" w:hAnsi="Times New Roman" w:cs="Times New Roman"/>
          <w:sz w:val="24"/>
          <w:szCs w:val="24"/>
        </w:rPr>
        <w:t xml:space="preserve">Nr. </w:t>
      </w:r>
      <w:r w:rsidR="00253137" w:rsidRPr="00196A4A">
        <w:rPr>
          <w:rFonts w:ascii="Times New Roman" w:hAnsi="Times New Roman" w:cs="Times New Roman"/>
          <w:sz w:val="24"/>
          <w:szCs w:val="24"/>
        </w:rPr>
        <w:t>4S-</w:t>
      </w:r>
      <w:r w:rsidR="00DE5616">
        <w:rPr>
          <w:rFonts w:ascii="Times New Roman" w:hAnsi="Times New Roman" w:cs="Times New Roman"/>
          <w:sz w:val="24"/>
          <w:szCs w:val="24"/>
        </w:rPr>
        <w:t>1509</w:t>
      </w:r>
    </w:p>
    <w:p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sz w:val="24"/>
          <w:szCs w:val="24"/>
        </w:rPr>
        <w:t>Vilnius</w:t>
      </w:r>
    </w:p>
    <w:p w:rsidR="00314741" w:rsidRPr="00196A4A" w:rsidRDefault="00314741" w:rsidP="00D40200">
      <w:pPr>
        <w:spacing w:after="160" w:line="259" w:lineRule="auto"/>
        <w:jc w:val="center"/>
        <w:rPr>
          <w:rFonts w:ascii="Times New Roman" w:hAnsi="Times New Roman" w:cs="Times New Roman"/>
          <w:sz w:val="24"/>
          <w:szCs w:val="24"/>
        </w:rPr>
      </w:pPr>
    </w:p>
    <w:p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pavadinimas, data, numeris</w:t>
            </w:r>
          </w:p>
        </w:tc>
        <w:tc>
          <w:tcPr>
            <w:tcW w:w="4934" w:type="dxa"/>
          </w:tcPr>
          <w:p w:rsidR="007A187C" w:rsidRDefault="007A187C" w:rsidP="007A187C">
            <w:pPr>
              <w:rPr>
                <w:rFonts w:ascii="Times New Roman" w:hAnsi="Times New Roman" w:cs="Times New Roman"/>
                <w:sz w:val="24"/>
                <w:szCs w:val="24"/>
                <w:lang w:val="lt-LT"/>
              </w:rPr>
            </w:pPr>
            <w:r>
              <w:rPr>
                <w:rFonts w:ascii="Times New Roman" w:hAnsi="Times New Roman" w:cs="Times New Roman"/>
                <w:sz w:val="24"/>
                <w:szCs w:val="24"/>
                <w:lang w:val="lt-LT"/>
              </w:rPr>
              <w:t xml:space="preserve">2016 m. lapkričio </w:t>
            </w:r>
            <w:r w:rsidR="00B55507">
              <w:rPr>
                <w:rFonts w:ascii="Times New Roman" w:hAnsi="Times New Roman" w:cs="Times New Roman"/>
                <w:sz w:val="24"/>
                <w:szCs w:val="24"/>
                <w:lang w:val="lt-LT"/>
              </w:rPr>
              <w:t xml:space="preserve">3 </w:t>
            </w:r>
            <w:r>
              <w:rPr>
                <w:rFonts w:ascii="Times New Roman" w:hAnsi="Times New Roman" w:cs="Times New Roman"/>
                <w:sz w:val="24"/>
                <w:szCs w:val="24"/>
                <w:lang w:val="lt-LT"/>
              </w:rPr>
              <w:t>d. P</w:t>
            </w:r>
            <w:r w:rsidRPr="005A34D3">
              <w:rPr>
                <w:rFonts w:ascii="Times New Roman" w:hAnsi="Times New Roman" w:cs="Times New Roman"/>
                <w:sz w:val="24"/>
                <w:szCs w:val="24"/>
                <w:lang w:val="lt-LT"/>
              </w:rPr>
              <w:t>reliminarios sutarties</w:t>
            </w:r>
          </w:p>
          <w:p w:rsidR="009968DE" w:rsidRPr="00196A4A" w:rsidRDefault="007A187C" w:rsidP="003E563E">
            <w:pPr>
              <w:rPr>
                <w:rFonts w:ascii="Times New Roman" w:hAnsi="Times New Roman" w:cs="Times New Roman"/>
                <w:sz w:val="24"/>
                <w:szCs w:val="24"/>
                <w:lang w:val="lt-LT"/>
              </w:rPr>
            </w:pPr>
            <w:r>
              <w:rPr>
                <w:rFonts w:ascii="Times New Roman" w:hAnsi="Times New Roman" w:cs="Times New Roman"/>
                <w:sz w:val="24"/>
                <w:szCs w:val="24"/>
                <w:lang w:val="lt-LT"/>
              </w:rPr>
              <w:t>Nr. S</w:t>
            </w:r>
            <w:r w:rsidR="00B55507">
              <w:rPr>
                <w:rFonts w:ascii="Times New Roman" w:hAnsi="Times New Roman" w:cs="Times New Roman"/>
                <w:sz w:val="24"/>
                <w:szCs w:val="24"/>
                <w:lang w:val="lt-LT"/>
              </w:rPr>
              <w:t>R-322</w:t>
            </w:r>
            <w:r>
              <w:rPr>
                <w:rFonts w:ascii="Times New Roman" w:hAnsi="Times New Roman" w:cs="Times New Roman"/>
                <w:sz w:val="24"/>
                <w:szCs w:val="24"/>
                <w:lang w:val="lt-LT"/>
              </w:rPr>
              <w:t xml:space="preserve"> (toliau – Preliminarioji sutartis) tarp </w:t>
            </w:r>
            <w:r w:rsidR="009F5B3C">
              <w:rPr>
                <w:rFonts w:ascii="Times New Roman" w:hAnsi="Times New Roman" w:cs="Times New Roman"/>
                <w:sz w:val="24"/>
                <w:szCs w:val="24"/>
                <w:lang w:val="lt-LT"/>
              </w:rPr>
              <w:t xml:space="preserve">VšĮ „Automobilių stovėjimo aikštelės“ </w:t>
            </w:r>
            <w:r>
              <w:rPr>
                <w:rFonts w:ascii="Times New Roman" w:hAnsi="Times New Roman" w:cs="Times New Roman"/>
                <w:sz w:val="24"/>
                <w:szCs w:val="24"/>
                <w:lang w:val="lt-LT"/>
              </w:rPr>
              <w:t>ir UAB „</w:t>
            </w:r>
            <w:r w:rsidR="009F5B3C">
              <w:rPr>
                <w:rFonts w:ascii="Times New Roman" w:hAnsi="Times New Roman" w:cs="Times New Roman"/>
                <w:sz w:val="24"/>
                <w:szCs w:val="24"/>
                <w:lang w:val="lt-LT"/>
              </w:rPr>
              <w:t>Technologinių paslaugų sprendimai</w:t>
            </w:r>
            <w:r>
              <w:rPr>
                <w:rFonts w:ascii="Times New Roman" w:hAnsi="Times New Roman" w:cs="Times New Roman"/>
                <w:sz w:val="24"/>
                <w:szCs w:val="24"/>
                <w:lang w:val="lt-LT"/>
              </w:rPr>
              <w:t xml:space="preserve">“ </w:t>
            </w:r>
            <w:r w:rsidRPr="005A34D3">
              <w:rPr>
                <w:rFonts w:ascii="Times New Roman" w:hAnsi="Times New Roman" w:cs="Times New Roman"/>
                <w:sz w:val="24"/>
                <w:szCs w:val="24"/>
                <w:lang w:val="lt-LT"/>
              </w:rPr>
              <w:t>pagrindu</w:t>
            </w:r>
            <w:r>
              <w:rPr>
                <w:rFonts w:ascii="Times New Roman" w:hAnsi="Times New Roman" w:cs="Times New Roman"/>
                <w:sz w:val="24"/>
                <w:szCs w:val="24"/>
                <w:lang w:val="lt-LT"/>
              </w:rPr>
              <w:t xml:space="preserve"> </w:t>
            </w:r>
            <w:r w:rsidRPr="005A34D3">
              <w:rPr>
                <w:rFonts w:ascii="Times New Roman" w:hAnsi="Times New Roman" w:cs="Times New Roman"/>
                <w:sz w:val="24"/>
                <w:szCs w:val="24"/>
                <w:lang w:val="lt-LT"/>
              </w:rPr>
              <w:t>201</w:t>
            </w:r>
            <w:r>
              <w:rPr>
                <w:rFonts w:ascii="Times New Roman" w:hAnsi="Times New Roman" w:cs="Times New Roman"/>
                <w:sz w:val="24"/>
                <w:szCs w:val="24"/>
                <w:lang w:val="lt-LT"/>
              </w:rPr>
              <w:t>6</w:t>
            </w:r>
            <w:r w:rsidRPr="005A34D3">
              <w:rPr>
                <w:rFonts w:ascii="Times New Roman" w:hAnsi="Times New Roman" w:cs="Times New Roman"/>
                <w:sz w:val="24"/>
                <w:szCs w:val="24"/>
                <w:lang w:val="lt-LT"/>
              </w:rPr>
              <w:t xml:space="preserve"> m. </w:t>
            </w:r>
            <w:r>
              <w:rPr>
                <w:rFonts w:ascii="Times New Roman" w:hAnsi="Times New Roman" w:cs="Times New Roman"/>
                <w:sz w:val="24"/>
                <w:szCs w:val="24"/>
                <w:lang w:val="lt-LT"/>
              </w:rPr>
              <w:t>lapkričio 4</w:t>
            </w:r>
            <w:r w:rsidRPr="005A34D3">
              <w:rPr>
                <w:rFonts w:ascii="Times New Roman" w:hAnsi="Times New Roman" w:cs="Times New Roman"/>
                <w:sz w:val="24"/>
                <w:szCs w:val="24"/>
                <w:lang w:val="lt-LT"/>
              </w:rPr>
              <w:t xml:space="preserve"> d. sudaryt</w:t>
            </w:r>
            <w:r>
              <w:rPr>
                <w:rFonts w:ascii="Times New Roman" w:hAnsi="Times New Roman" w:cs="Times New Roman"/>
                <w:sz w:val="24"/>
                <w:szCs w:val="24"/>
                <w:lang w:val="lt-LT"/>
              </w:rPr>
              <w:t>a</w:t>
            </w:r>
            <w:r w:rsidR="00B55507">
              <w:rPr>
                <w:rFonts w:ascii="Times New Roman" w:hAnsi="Times New Roman" w:cs="Times New Roman"/>
                <w:sz w:val="24"/>
                <w:szCs w:val="24"/>
                <w:lang w:val="lt-LT"/>
              </w:rPr>
              <w:t xml:space="preserve"> </w:t>
            </w:r>
            <w:r w:rsidRPr="005A34D3">
              <w:rPr>
                <w:rFonts w:ascii="Times New Roman" w:hAnsi="Times New Roman" w:cs="Times New Roman"/>
                <w:sz w:val="24"/>
                <w:szCs w:val="24"/>
                <w:lang w:val="lt-LT"/>
              </w:rPr>
              <w:t>Pagrindinė</w:t>
            </w:r>
            <w:r>
              <w:rPr>
                <w:rFonts w:ascii="Times New Roman" w:hAnsi="Times New Roman" w:cs="Times New Roman"/>
                <w:sz w:val="24"/>
                <w:szCs w:val="24"/>
                <w:lang w:val="lt-LT"/>
              </w:rPr>
              <w:t xml:space="preserve"> automobilių stovėjimo rinkliavos apmokėjimo (surinkimo) ir bilietų išdavimo automatų pirkimo sutarti</w:t>
            </w:r>
            <w:r w:rsidRPr="005A34D3">
              <w:rPr>
                <w:rFonts w:ascii="Times New Roman" w:hAnsi="Times New Roman" w:cs="Times New Roman"/>
                <w:sz w:val="24"/>
                <w:szCs w:val="24"/>
                <w:lang w:val="lt-LT"/>
              </w:rPr>
              <w:t xml:space="preserve">s </w:t>
            </w:r>
            <w:r w:rsidR="009F5B3C">
              <w:rPr>
                <w:rFonts w:ascii="Times New Roman" w:hAnsi="Times New Roman" w:cs="Times New Roman"/>
                <w:sz w:val="24"/>
                <w:szCs w:val="24"/>
                <w:lang w:val="lt-LT"/>
              </w:rPr>
              <w:t>Nr. SR-323</w:t>
            </w:r>
            <w:r w:rsidR="003E563E" w:rsidRPr="005A34D3">
              <w:rPr>
                <w:rFonts w:ascii="Times New Roman" w:hAnsi="Times New Roman" w:cs="Times New Roman"/>
                <w:sz w:val="24"/>
                <w:szCs w:val="24"/>
                <w:lang w:val="lt-LT"/>
              </w:rPr>
              <w:t xml:space="preserve">(toliau – </w:t>
            </w:r>
            <w:r w:rsidR="003E563E">
              <w:rPr>
                <w:rFonts w:ascii="Times New Roman" w:hAnsi="Times New Roman" w:cs="Times New Roman"/>
                <w:sz w:val="24"/>
                <w:szCs w:val="24"/>
                <w:lang w:val="lt-LT"/>
              </w:rPr>
              <w:t>Pagrindinė s</w:t>
            </w:r>
            <w:r w:rsidR="003E563E" w:rsidRPr="005A34D3">
              <w:rPr>
                <w:rFonts w:ascii="Times New Roman" w:hAnsi="Times New Roman" w:cs="Times New Roman"/>
                <w:sz w:val="24"/>
                <w:szCs w:val="24"/>
                <w:lang w:val="lt-LT"/>
              </w:rPr>
              <w:t>utartis</w:t>
            </w:r>
            <w:r w:rsidR="003E563E">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pakeitimai (jei tokių buvo): data, Nr.</w:t>
            </w:r>
          </w:p>
        </w:tc>
        <w:tc>
          <w:tcPr>
            <w:tcW w:w="4934" w:type="dxa"/>
          </w:tcPr>
          <w:p w:rsidR="001253F2" w:rsidRPr="00196A4A" w:rsidRDefault="003B367A" w:rsidP="001A349B">
            <w:pPr>
              <w:spacing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Pi</w:t>
            </w:r>
            <w:r w:rsidR="00864909" w:rsidRPr="00196A4A">
              <w:rPr>
                <w:rFonts w:ascii="Times New Roman" w:hAnsi="Times New Roman" w:cs="Times New Roman"/>
                <w:sz w:val="24"/>
                <w:szCs w:val="24"/>
                <w:lang w:val="lt-LT"/>
              </w:rPr>
              <w:t xml:space="preserve">rkimo, kurį įvykdžius sudaryta </w:t>
            </w:r>
            <w:r w:rsidRPr="00196A4A">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B55507" w:rsidRDefault="00B55507" w:rsidP="00B55507">
            <w:pPr>
              <w:rPr>
                <w:rFonts w:ascii="Times New Roman" w:hAnsi="Times New Roman" w:cs="Times New Roman"/>
                <w:sz w:val="24"/>
                <w:szCs w:val="24"/>
                <w:lang w:val="lt-LT"/>
              </w:rPr>
            </w:pPr>
            <w:r>
              <w:rPr>
                <w:rFonts w:ascii="Times New Roman" w:hAnsi="Times New Roman" w:cs="Times New Roman"/>
                <w:sz w:val="24"/>
                <w:szCs w:val="24"/>
                <w:lang w:val="lt-LT"/>
              </w:rPr>
              <w:t>Atviras konkursas</w:t>
            </w:r>
            <w:r w:rsidR="00001830"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w:t>
            </w:r>
            <w:r>
              <w:rPr>
                <w:rFonts w:ascii="Times New Roman" w:hAnsi="Times New Roman" w:cs="Times New Roman"/>
                <w:sz w:val="24"/>
                <w:szCs w:val="24"/>
                <w:lang w:val="lt-LT"/>
              </w:rPr>
              <w:t>Automobilių stovėjimo rinkliavos apmokėjimo (surinkimo) automatų pirkimas</w:t>
            </w:r>
            <w:r w:rsidR="003D0DDE" w:rsidRPr="00196A4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53E23" w:rsidRPr="00196A4A">
              <w:rPr>
                <w:rFonts w:ascii="Times New Roman" w:hAnsi="Times New Roman" w:cs="Times New Roman"/>
                <w:sz w:val="24"/>
                <w:szCs w:val="24"/>
                <w:lang w:val="lt-LT"/>
              </w:rPr>
              <w:t xml:space="preserve">(skelbtas </w:t>
            </w:r>
            <w:r w:rsidR="003D0DDE" w:rsidRPr="00196A4A">
              <w:rPr>
                <w:rFonts w:ascii="Times New Roman" w:hAnsi="Times New Roman" w:cs="Times New Roman"/>
                <w:sz w:val="24"/>
                <w:szCs w:val="24"/>
                <w:lang w:val="lt-LT"/>
              </w:rPr>
              <w:t>201</w:t>
            </w:r>
            <w:r w:rsidR="00001830" w:rsidRPr="00196A4A">
              <w:rPr>
                <w:rFonts w:ascii="Times New Roman" w:hAnsi="Times New Roman" w:cs="Times New Roman"/>
                <w:sz w:val="24"/>
                <w:szCs w:val="24"/>
                <w:lang w:val="lt-LT"/>
              </w:rPr>
              <w:t>6</w:t>
            </w:r>
            <w:r w:rsidR="003D0DDE" w:rsidRPr="00196A4A">
              <w:rPr>
                <w:rFonts w:ascii="Times New Roman" w:hAnsi="Times New Roman" w:cs="Times New Roman"/>
                <w:sz w:val="24"/>
                <w:szCs w:val="24"/>
                <w:lang w:val="lt-LT"/>
              </w:rPr>
              <w:t xml:space="preserve"> m.</w:t>
            </w:r>
            <w:r w:rsidR="00001830" w:rsidRPr="00196A4A">
              <w:rPr>
                <w:rFonts w:ascii="Times New Roman" w:hAnsi="Times New Roman" w:cs="Times New Roman"/>
                <w:sz w:val="24"/>
                <w:szCs w:val="24"/>
                <w:lang w:val="lt-LT"/>
              </w:rPr>
              <w:t xml:space="preserve"> </w:t>
            </w:r>
            <w:r>
              <w:rPr>
                <w:rFonts w:ascii="Times New Roman" w:hAnsi="Times New Roman" w:cs="Times New Roman"/>
                <w:sz w:val="24"/>
                <w:szCs w:val="24"/>
                <w:lang w:val="lt-LT"/>
              </w:rPr>
              <w:t>rugpjūčio 10</w:t>
            </w:r>
            <w:r w:rsidR="003D0DDE" w:rsidRPr="00196A4A">
              <w:rPr>
                <w:rFonts w:ascii="Times New Roman" w:hAnsi="Times New Roman" w:cs="Times New Roman"/>
                <w:sz w:val="24"/>
                <w:szCs w:val="24"/>
                <w:lang w:val="lt-LT"/>
              </w:rPr>
              <w:t xml:space="preserve"> d. Centrinėje viešųjų pirkimų informacinėje sistemoje</w:t>
            </w:r>
            <w:r w:rsidR="008B2E1D" w:rsidRPr="00196A4A">
              <w:rPr>
                <w:rFonts w:ascii="Times New Roman" w:hAnsi="Times New Roman" w:cs="Times New Roman"/>
                <w:sz w:val="24"/>
                <w:szCs w:val="24"/>
                <w:lang w:val="lt-LT"/>
              </w:rPr>
              <w:t xml:space="preserve"> (toliau – CVP IS)</w:t>
            </w:r>
            <w:r w:rsidR="00353E23"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 xml:space="preserve">pirkimo </w:t>
            </w:r>
          </w:p>
          <w:p w:rsidR="00B55507" w:rsidRPr="00196A4A" w:rsidRDefault="003D0DDE" w:rsidP="00B55507">
            <w:pPr>
              <w:rPr>
                <w:rFonts w:ascii="Times New Roman" w:hAnsi="Times New Roman" w:cs="Times New Roman"/>
                <w:sz w:val="24"/>
                <w:szCs w:val="24"/>
                <w:lang w:val="lt-LT"/>
              </w:rPr>
            </w:pPr>
            <w:r w:rsidRPr="00196A4A">
              <w:rPr>
                <w:rFonts w:ascii="Times New Roman" w:hAnsi="Times New Roman" w:cs="Times New Roman"/>
                <w:sz w:val="24"/>
                <w:szCs w:val="24"/>
                <w:lang w:val="lt-LT"/>
              </w:rPr>
              <w:t>Nr. 1</w:t>
            </w:r>
            <w:r w:rsidR="00B55507">
              <w:rPr>
                <w:rFonts w:ascii="Times New Roman" w:hAnsi="Times New Roman" w:cs="Times New Roman"/>
                <w:sz w:val="24"/>
                <w:szCs w:val="24"/>
                <w:lang w:val="lt-LT"/>
              </w:rPr>
              <w:t>77536</w:t>
            </w:r>
            <w:r w:rsidRPr="00196A4A">
              <w:rPr>
                <w:rFonts w:ascii="Times New Roman" w:hAnsi="Times New Roman" w:cs="Times New Roman"/>
                <w:sz w:val="24"/>
                <w:szCs w:val="24"/>
                <w:lang w:val="lt-LT"/>
              </w:rPr>
              <w:t>)</w:t>
            </w:r>
            <w:r w:rsidR="00353E23"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(toliau – Pirkimas)</w:t>
            </w:r>
            <w:r w:rsidR="00353E23" w:rsidRPr="00196A4A">
              <w:rPr>
                <w:rFonts w:ascii="Times New Roman" w:hAnsi="Times New Roman" w:cs="Times New Roman"/>
                <w:sz w:val="24"/>
                <w:szCs w:val="24"/>
                <w:lang w:val="lt-LT"/>
              </w:rPr>
              <w:t xml:space="preserve"> </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Perkančioji organizacija</w:t>
            </w:r>
          </w:p>
        </w:tc>
        <w:tc>
          <w:tcPr>
            <w:tcW w:w="4934" w:type="dxa"/>
          </w:tcPr>
          <w:p w:rsidR="00992ABC" w:rsidRPr="00196A4A" w:rsidRDefault="00B55507" w:rsidP="00B42E4C">
            <w:pPr>
              <w:rPr>
                <w:rFonts w:ascii="Times New Roman" w:hAnsi="Times New Roman" w:cs="Times New Roman"/>
                <w:sz w:val="24"/>
                <w:szCs w:val="24"/>
                <w:lang w:val="lt-LT"/>
              </w:rPr>
            </w:pPr>
            <w:r>
              <w:rPr>
                <w:rFonts w:ascii="Times New Roman" w:hAnsi="Times New Roman" w:cs="Times New Roman"/>
                <w:sz w:val="24"/>
                <w:szCs w:val="24"/>
                <w:lang w:val="lt-LT"/>
              </w:rPr>
              <w:t>VšĮ „Automobilių stovėjimo aikštelės“ (134929849, Puodžių g. 24-1, 44295 Kaunas) (toliau – Perkančioji organizacija)</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Tiekėjas / teikėjas / rangovas</w:t>
            </w:r>
          </w:p>
        </w:tc>
        <w:tc>
          <w:tcPr>
            <w:tcW w:w="4934" w:type="dxa"/>
          </w:tcPr>
          <w:p w:rsidR="00724AF1" w:rsidRPr="00196A4A" w:rsidRDefault="0065071C" w:rsidP="00B55507">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UAB </w:t>
            </w:r>
            <w:r w:rsidR="00B55507">
              <w:rPr>
                <w:rFonts w:ascii="Times New Roman" w:hAnsi="Times New Roman" w:cs="Times New Roman"/>
                <w:sz w:val="24"/>
                <w:szCs w:val="24"/>
                <w:lang w:val="lt-LT"/>
              </w:rPr>
              <w:t xml:space="preserve">„Technologinių paslaugų sprendimai“ </w:t>
            </w:r>
            <w:r w:rsidRPr="00196A4A">
              <w:rPr>
                <w:rFonts w:ascii="Times New Roman" w:hAnsi="Times New Roman" w:cs="Times New Roman"/>
                <w:sz w:val="24"/>
                <w:szCs w:val="24"/>
                <w:lang w:val="lt-LT"/>
              </w:rPr>
              <w:t>(</w:t>
            </w:r>
            <w:r w:rsidR="00B55507">
              <w:rPr>
                <w:rFonts w:ascii="Times New Roman" w:hAnsi="Times New Roman" w:cs="Times New Roman"/>
                <w:sz w:val="24"/>
                <w:szCs w:val="24"/>
                <w:lang w:val="lt-LT"/>
              </w:rPr>
              <w:t>160430566</w:t>
            </w:r>
            <w:r w:rsidRPr="00196A4A">
              <w:rPr>
                <w:rFonts w:ascii="Times New Roman" w:hAnsi="Times New Roman" w:cs="Times New Roman"/>
                <w:sz w:val="24"/>
                <w:szCs w:val="24"/>
                <w:lang w:val="lt-LT"/>
              </w:rPr>
              <w:t xml:space="preserve">, </w:t>
            </w:r>
            <w:r w:rsidR="00B55507">
              <w:rPr>
                <w:rFonts w:ascii="Times New Roman" w:hAnsi="Times New Roman" w:cs="Times New Roman"/>
                <w:sz w:val="24"/>
                <w:szCs w:val="24"/>
                <w:lang w:val="lt-LT"/>
              </w:rPr>
              <w:t>Gaižiūnų g</w:t>
            </w:r>
            <w:r w:rsidR="00AF5022" w:rsidRPr="00196A4A">
              <w:rPr>
                <w:rFonts w:ascii="Times New Roman" w:hAnsi="Times New Roman" w:cs="Times New Roman"/>
                <w:sz w:val="24"/>
                <w:szCs w:val="24"/>
                <w:lang w:val="lt-LT"/>
              </w:rPr>
              <w:t xml:space="preserve">. </w:t>
            </w:r>
            <w:r w:rsidR="00B55507">
              <w:rPr>
                <w:rFonts w:ascii="Times New Roman" w:hAnsi="Times New Roman" w:cs="Times New Roman"/>
                <w:sz w:val="24"/>
                <w:szCs w:val="24"/>
                <w:lang w:val="lt-LT"/>
              </w:rPr>
              <w:t>3, 50128 Kaunas</w:t>
            </w:r>
            <w:r w:rsidRPr="00196A4A">
              <w:rPr>
                <w:rFonts w:ascii="Times New Roman" w:hAnsi="Times New Roman" w:cs="Times New Roman"/>
                <w:sz w:val="24"/>
                <w:szCs w:val="24"/>
                <w:lang w:val="lt-LT"/>
              </w:rPr>
              <w:t>)</w:t>
            </w:r>
            <w:r w:rsidR="00B55507">
              <w:rPr>
                <w:rFonts w:ascii="Times New Roman" w:hAnsi="Times New Roman" w:cs="Times New Roman"/>
                <w:sz w:val="24"/>
                <w:szCs w:val="24"/>
                <w:lang w:val="lt-LT"/>
              </w:rPr>
              <w:t xml:space="preserve"> </w:t>
            </w:r>
            <w:r w:rsidR="008A7500" w:rsidRPr="00196A4A">
              <w:rPr>
                <w:rFonts w:ascii="Times New Roman" w:hAnsi="Times New Roman" w:cs="Times New Roman"/>
                <w:sz w:val="24"/>
                <w:szCs w:val="24"/>
                <w:lang w:val="lt-LT"/>
              </w:rPr>
              <w:t xml:space="preserve">(toliau – </w:t>
            </w:r>
            <w:r w:rsidR="00B55507">
              <w:rPr>
                <w:rFonts w:ascii="Times New Roman" w:hAnsi="Times New Roman" w:cs="Times New Roman"/>
                <w:sz w:val="24"/>
                <w:szCs w:val="24"/>
                <w:lang w:val="lt-LT"/>
              </w:rPr>
              <w:t>Tiekėjas</w:t>
            </w:r>
            <w:r w:rsidR="008A7500" w:rsidRPr="00196A4A">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D867F5">
            <w:pPr>
              <w:rPr>
                <w:rFonts w:ascii="Times New Roman" w:hAnsi="Times New Roman" w:cs="Times New Roman"/>
                <w:b/>
                <w:sz w:val="16"/>
                <w:szCs w:val="16"/>
                <w:lang w:val="lt-LT"/>
              </w:rPr>
            </w:pPr>
            <w:r w:rsidRPr="00196A4A">
              <w:rPr>
                <w:rFonts w:ascii="Times New Roman" w:hAnsi="Times New Roman" w:cs="Times New Roman"/>
                <w:sz w:val="24"/>
                <w:szCs w:val="24"/>
                <w:lang w:val="lt-LT"/>
              </w:rPr>
              <w:t>Subrangovai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subtiekėjai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subteikėjai</w:t>
            </w:r>
          </w:p>
        </w:tc>
        <w:tc>
          <w:tcPr>
            <w:tcW w:w="4934" w:type="dxa"/>
          </w:tcPr>
          <w:p w:rsidR="00724AF1" w:rsidRPr="00196A4A" w:rsidRDefault="00B55507" w:rsidP="00724AF1">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196A4A"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196A4A" w:rsidRDefault="00500E85" w:rsidP="005E46F1">
            <w:pPr>
              <w:rPr>
                <w:rFonts w:ascii="Times New Roman" w:hAnsi="Times New Roman" w:cs="Times New Roman"/>
                <w:sz w:val="24"/>
                <w:szCs w:val="24"/>
                <w:lang w:val="lt-LT"/>
              </w:rPr>
            </w:pPr>
            <w:r w:rsidRPr="00196A4A">
              <w:rPr>
                <w:rFonts w:ascii="Times New Roman" w:hAnsi="Times New Roman" w:cs="Times New Roman"/>
                <w:sz w:val="24"/>
                <w:szCs w:val="24"/>
                <w:lang w:val="lt-LT"/>
              </w:rPr>
              <w:t>Pirkimui taikomos Lietuvos Respublikos viešųjų pirkimų įstatymo (toliau – Įstatymas) (aktuali redakcija nuo 201</w:t>
            </w:r>
            <w:r w:rsidR="005E46F1" w:rsidRPr="00196A4A">
              <w:rPr>
                <w:rFonts w:ascii="Times New Roman" w:hAnsi="Times New Roman" w:cs="Times New Roman"/>
                <w:sz w:val="24"/>
                <w:szCs w:val="24"/>
                <w:lang w:val="lt-LT"/>
              </w:rPr>
              <w:t>6</w:t>
            </w:r>
            <w:r w:rsidRPr="00196A4A">
              <w:rPr>
                <w:rFonts w:ascii="Times New Roman" w:hAnsi="Times New Roman" w:cs="Times New Roman"/>
                <w:sz w:val="24"/>
                <w:szCs w:val="24"/>
                <w:lang w:val="lt-LT"/>
              </w:rPr>
              <w:t xml:space="preserve"> m. </w:t>
            </w:r>
            <w:r w:rsidR="005E46F1" w:rsidRPr="00196A4A">
              <w:rPr>
                <w:rFonts w:ascii="Times New Roman" w:hAnsi="Times New Roman" w:cs="Times New Roman"/>
                <w:sz w:val="24"/>
                <w:szCs w:val="24"/>
                <w:lang w:val="lt-LT"/>
              </w:rPr>
              <w:t>sausio 1</w:t>
            </w:r>
            <w:r w:rsidR="00D867F5" w:rsidRPr="00196A4A">
              <w:rPr>
                <w:rFonts w:ascii="Times New Roman" w:hAnsi="Times New Roman" w:cs="Times New Roman"/>
                <w:sz w:val="24"/>
                <w:szCs w:val="24"/>
                <w:lang w:val="lt-LT"/>
              </w:rPr>
              <w:t xml:space="preserve"> d.</w:t>
            </w:r>
            <w:r w:rsidRPr="00196A4A">
              <w:rPr>
                <w:rFonts w:ascii="Times New Roman" w:hAnsi="Times New Roman" w:cs="Times New Roman"/>
                <w:sz w:val="24"/>
                <w:szCs w:val="24"/>
                <w:lang w:val="lt-LT"/>
              </w:rPr>
              <w:t>) nuostatos</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Vertinimo apimtis</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sutarties vykdymo etapas</w:t>
            </w:r>
          </w:p>
        </w:tc>
        <w:tc>
          <w:tcPr>
            <w:tcW w:w="4934" w:type="dxa"/>
          </w:tcPr>
          <w:p w:rsidR="001253F2" w:rsidRPr="00196A4A" w:rsidRDefault="00912269" w:rsidP="00912269">
            <w:pPr>
              <w:rPr>
                <w:rFonts w:ascii="Times New Roman" w:hAnsi="Times New Roman" w:cs="Times New Roman"/>
                <w:sz w:val="24"/>
                <w:szCs w:val="24"/>
                <w:lang w:val="lt-LT"/>
              </w:rPr>
            </w:pPr>
            <w:r>
              <w:rPr>
                <w:rFonts w:ascii="Times New Roman" w:hAnsi="Times New Roman" w:cs="Times New Roman"/>
                <w:sz w:val="24"/>
                <w:szCs w:val="24"/>
                <w:lang w:val="lt-LT"/>
              </w:rPr>
              <w:t>Dalinis</w:t>
            </w:r>
            <w:r w:rsidR="001A349B" w:rsidRPr="00196A4A">
              <w:rPr>
                <w:rFonts w:ascii="Times New Roman" w:hAnsi="Times New Roman" w:cs="Times New Roman"/>
                <w:sz w:val="24"/>
                <w:szCs w:val="24"/>
                <w:lang w:val="lt-LT"/>
              </w:rPr>
              <w:t xml:space="preserve"> vertinimas</w:t>
            </w:r>
            <w:r w:rsidR="009968DE" w:rsidRPr="00196A4A">
              <w:rPr>
                <w:rFonts w:ascii="Times New Roman" w:hAnsi="Times New Roman" w:cs="Times New Roman"/>
                <w:sz w:val="24"/>
                <w:szCs w:val="24"/>
                <w:lang w:val="lt-LT"/>
              </w:rPr>
              <w:t xml:space="preserve"> / </w:t>
            </w:r>
            <w:r w:rsidR="00353E23" w:rsidRPr="00196A4A">
              <w:rPr>
                <w:rFonts w:ascii="Times New Roman" w:hAnsi="Times New Roman" w:cs="Times New Roman"/>
                <w:sz w:val="24"/>
                <w:szCs w:val="24"/>
                <w:lang w:val="lt-LT"/>
              </w:rPr>
              <w:t>S</w:t>
            </w:r>
            <w:r w:rsidR="009968DE" w:rsidRPr="00196A4A">
              <w:rPr>
                <w:rFonts w:ascii="Times New Roman" w:hAnsi="Times New Roman" w:cs="Times New Roman"/>
                <w:sz w:val="24"/>
                <w:szCs w:val="24"/>
                <w:lang w:val="lt-LT"/>
              </w:rPr>
              <w:t xml:space="preserve">utartis </w:t>
            </w:r>
            <w:r w:rsidR="00544304" w:rsidRPr="00196A4A">
              <w:rPr>
                <w:rFonts w:ascii="Times New Roman" w:hAnsi="Times New Roman" w:cs="Times New Roman"/>
                <w:sz w:val="24"/>
                <w:szCs w:val="24"/>
                <w:lang w:val="lt-LT"/>
              </w:rPr>
              <w:t>vykd</w:t>
            </w:r>
            <w:r w:rsidR="00353E23" w:rsidRPr="00196A4A">
              <w:rPr>
                <w:rFonts w:ascii="Times New Roman" w:hAnsi="Times New Roman" w:cs="Times New Roman"/>
                <w:sz w:val="24"/>
                <w:szCs w:val="24"/>
                <w:lang w:val="lt-LT"/>
              </w:rPr>
              <w:t>oma</w:t>
            </w:r>
          </w:p>
        </w:tc>
      </w:tr>
      <w:tr w:rsidR="001253F2" w:rsidRPr="00196A4A" w:rsidTr="007F74A9">
        <w:tc>
          <w:tcPr>
            <w:tcW w:w="4672" w:type="dxa"/>
          </w:tcPr>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Ar dėl sutarties vyksta teismo procesas?</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Jei taip, nurodyti:</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ieškinio (skundo) dalyką, </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bylos šalių pavadinimus, </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ar taikomos laikinosios apsaugos priemonės, teismą (pvz., apygardos, apeliacinis teismas)</w:t>
            </w:r>
          </w:p>
        </w:tc>
        <w:tc>
          <w:tcPr>
            <w:tcW w:w="4934" w:type="dxa"/>
          </w:tcPr>
          <w:p w:rsidR="001253F2" w:rsidRPr="00196A4A"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 xml:space="preserve">Ne </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Už sutarties vykdymą atsakingas Perkančiosios organizacijos darbuotojas (-ai) ar kiti asmenys</w:t>
            </w:r>
          </w:p>
        </w:tc>
        <w:tc>
          <w:tcPr>
            <w:tcW w:w="4934" w:type="dxa"/>
          </w:tcPr>
          <w:p w:rsidR="00912269" w:rsidRDefault="00912269" w:rsidP="0024496D">
            <w:pPr>
              <w:rPr>
                <w:rFonts w:ascii="Times New Roman" w:hAnsi="Times New Roman" w:cs="Times New Roman"/>
                <w:sz w:val="24"/>
                <w:szCs w:val="24"/>
                <w:lang w:val="lt-LT"/>
              </w:rPr>
            </w:pPr>
            <w:r>
              <w:rPr>
                <w:rFonts w:ascii="Times New Roman" w:hAnsi="Times New Roman" w:cs="Times New Roman"/>
                <w:sz w:val="24"/>
                <w:szCs w:val="24"/>
                <w:lang w:val="lt-LT"/>
              </w:rPr>
              <w:t>Direktoriaus pavaduotojas Darius Razmislevičius;</w:t>
            </w:r>
          </w:p>
          <w:p w:rsidR="001253F2" w:rsidRPr="00196A4A" w:rsidRDefault="00912269" w:rsidP="00EC402C">
            <w:pPr>
              <w:rPr>
                <w:rFonts w:ascii="Times New Roman" w:hAnsi="Times New Roman" w:cs="Times New Roman"/>
                <w:sz w:val="24"/>
                <w:szCs w:val="24"/>
                <w:lang w:val="lt-LT"/>
              </w:rPr>
            </w:pPr>
            <w:r>
              <w:rPr>
                <w:rFonts w:ascii="Times New Roman" w:hAnsi="Times New Roman" w:cs="Times New Roman"/>
                <w:sz w:val="24"/>
                <w:szCs w:val="24"/>
                <w:lang w:val="lt-LT"/>
              </w:rPr>
              <w:t xml:space="preserve">Vyriausiasis </w:t>
            </w:r>
            <w:r w:rsidR="00EC402C">
              <w:rPr>
                <w:rFonts w:ascii="Times New Roman" w:hAnsi="Times New Roman" w:cs="Times New Roman"/>
                <w:sz w:val="24"/>
                <w:szCs w:val="24"/>
                <w:lang w:val="lt-LT"/>
              </w:rPr>
              <w:t>elektronikos inžinierius (už techninę dalį) Artūras Vėžys</w:t>
            </w:r>
          </w:p>
        </w:tc>
      </w:tr>
    </w:tbl>
    <w:p w:rsidR="001253F2" w:rsidRPr="00196A4A" w:rsidRDefault="001253F2" w:rsidP="001E0B90">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576"/>
        <w:gridCol w:w="9030"/>
      </w:tblGrid>
      <w:tr w:rsidR="001253F2" w:rsidRPr="00196A4A" w:rsidTr="00041993">
        <w:trPr>
          <w:trHeight w:val="271"/>
        </w:trPr>
        <w:tc>
          <w:tcPr>
            <w:tcW w:w="576" w:type="dxa"/>
          </w:tcPr>
          <w:p w:rsidR="001253F2" w:rsidRPr="00196A4A" w:rsidRDefault="0013617C" w:rsidP="0049683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1253F2" w:rsidRPr="00196A4A" w:rsidRDefault="0013617C" w:rsidP="00E66EC9">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FootnoteReference"/>
                <w:rFonts w:ascii="Times New Roman" w:hAnsi="Times New Roman" w:cs="Times New Roman"/>
                <w:sz w:val="24"/>
                <w:szCs w:val="24"/>
                <w:lang w:val="lt-LT"/>
              </w:rPr>
              <w:footnoteReference w:id="1"/>
            </w:r>
          </w:p>
        </w:tc>
      </w:tr>
      <w:tr w:rsidR="001253F2" w:rsidRPr="00196A4A" w:rsidTr="007F74A9">
        <w:tc>
          <w:tcPr>
            <w:tcW w:w="9606" w:type="dxa"/>
            <w:gridSpan w:val="2"/>
          </w:tcPr>
          <w:p w:rsidR="00E66EC9" w:rsidRPr="00D42FE3" w:rsidRDefault="003E563E" w:rsidP="00CE62A3">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N</w:t>
            </w:r>
            <w:r w:rsidR="00D56E68" w:rsidRPr="00BA1CB8">
              <w:rPr>
                <w:rFonts w:ascii="Times New Roman" w:hAnsi="Times New Roman" w:cs="Times New Roman"/>
                <w:bCs/>
                <w:sz w:val="24"/>
                <w:szCs w:val="24"/>
                <w:lang w:val="lt-LT"/>
              </w:rPr>
              <w:t xml:space="preserve">ustatyta, kad </w:t>
            </w:r>
            <w:r w:rsidR="00F22A52">
              <w:rPr>
                <w:rFonts w:ascii="Times New Roman" w:hAnsi="Times New Roman" w:cs="Times New Roman"/>
                <w:bCs/>
                <w:sz w:val="24"/>
                <w:szCs w:val="24"/>
                <w:lang w:val="lt-LT"/>
              </w:rPr>
              <w:t>Pagrindinė s</w:t>
            </w:r>
            <w:r w:rsidR="00D56E68" w:rsidRPr="00BA1CB8">
              <w:rPr>
                <w:rFonts w:ascii="Times New Roman" w:hAnsi="Times New Roman" w:cs="Times New Roman"/>
                <w:bCs/>
                <w:sz w:val="24"/>
                <w:szCs w:val="24"/>
                <w:lang w:val="lt-LT"/>
              </w:rPr>
              <w:t>utartis, sudaryta 201</w:t>
            </w:r>
            <w:r w:rsidR="00F22A52">
              <w:rPr>
                <w:rFonts w:ascii="Times New Roman" w:hAnsi="Times New Roman" w:cs="Times New Roman"/>
                <w:bCs/>
                <w:sz w:val="24"/>
                <w:szCs w:val="24"/>
                <w:lang w:val="lt-LT"/>
              </w:rPr>
              <w:t>6</w:t>
            </w:r>
            <w:r w:rsidR="00D56E68" w:rsidRPr="00BA1CB8">
              <w:rPr>
                <w:rFonts w:ascii="Times New Roman" w:hAnsi="Times New Roman" w:cs="Times New Roman"/>
                <w:bCs/>
                <w:sz w:val="24"/>
                <w:szCs w:val="24"/>
                <w:lang w:val="lt-LT"/>
              </w:rPr>
              <w:t xml:space="preserve"> m. </w:t>
            </w:r>
            <w:r w:rsidR="00F22A52">
              <w:rPr>
                <w:rFonts w:ascii="Times New Roman" w:hAnsi="Times New Roman" w:cs="Times New Roman"/>
                <w:bCs/>
                <w:sz w:val="24"/>
                <w:szCs w:val="24"/>
                <w:lang w:val="lt-LT"/>
              </w:rPr>
              <w:t>lapkričio 4</w:t>
            </w:r>
            <w:r w:rsidR="00D56E68" w:rsidRPr="00BA1CB8">
              <w:rPr>
                <w:rFonts w:ascii="Times New Roman" w:hAnsi="Times New Roman" w:cs="Times New Roman"/>
                <w:bCs/>
                <w:sz w:val="24"/>
                <w:szCs w:val="24"/>
                <w:lang w:val="lt-LT"/>
              </w:rPr>
              <w:t xml:space="preserve"> d., CVP IS paskelbta </w:t>
            </w:r>
            <w:r>
              <w:rPr>
                <w:rFonts w:ascii="Times New Roman" w:hAnsi="Times New Roman" w:cs="Times New Roman"/>
                <w:bCs/>
                <w:sz w:val="24"/>
                <w:szCs w:val="24"/>
                <w:lang w:val="lt-LT"/>
              </w:rPr>
              <w:t xml:space="preserve">           </w:t>
            </w:r>
            <w:r w:rsidR="00D56E68" w:rsidRPr="00BA1CB8">
              <w:rPr>
                <w:rFonts w:ascii="Times New Roman" w:hAnsi="Times New Roman" w:cs="Times New Roman"/>
                <w:bCs/>
                <w:sz w:val="24"/>
                <w:szCs w:val="24"/>
                <w:lang w:val="lt-LT"/>
              </w:rPr>
              <w:t>201</w:t>
            </w:r>
            <w:r w:rsidR="00F22A52">
              <w:rPr>
                <w:rFonts w:ascii="Times New Roman" w:hAnsi="Times New Roman" w:cs="Times New Roman"/>
                <w:bCs/>
                <w:sz w:val="24"/>
                <w:szCs w:val="24"/>
                <w:lang w:val="lt-LT"/>
              </w:rPr>
              <w:t>7</w:t>
            </w:r>
            <w:r w:rsidR="00D56E68" w:rsidRPr="00BA1CB8">
              <w:rPr>
                <w:rFonts w:ascii="Times New Roman" w:hAnsi="Times New Roman" w:cs="Times New Roman"/>
                <w:bCs/>
                <w:sz w:val="24"/>
                <w:szCs w:val="24"/>
                <w:lang w:val="lt-LT"/>
              </w:rPr>
              <w:t xml:space="preserve"> m. </w:t>
            </w:r>
            <w:r w:rsidR="00F22A52">
              <w:rPr>
                <w:rFonts w:ascii="Times New Roman" w:hAnsi="Times New Roman" w:cs="Times New Roman"/>
                <w:bCs/>
                <w:sz w:val="24"/>
                <w:szCs w:val="24"/>
                <w:lang w:val="lt-LT"/>
              </w:rPr>
              <w:t>sausio 10</w:t>
            </w:r>
            <w:r w:rsidR="00D56E68" w:rsidRPr="00BA1CB8">
              <w:rPr>
                <w:rFonts w:ascii="Times New Roman" w:hAnsi="Times New Roman" w:cs="Times New Roman"/>
                <w:bCs/>
                <w:sz w:val="24"/>
                <w:szCs w:val="24"/>
                <w:lang w:val="lt-LT"/>
              </w:rPr>
              <w:t xml:space="preserve"> d., t. y. </w:t>
            </w:r>
            <w:r w:rsidR="00CB0893">
              <w:rPr>
                <w:rFonts w:ascii="Times New Roman" w:hAnsi="Times New Roman" w:cs="Times New Roman"/>
                <w:bCs/>
                <w:sz w:val="24"/>
                <w:szCs w:val="24"/>
                <w:lang w:val="lt-LT"/>
              </w:rPr>
              <w:t xml:space="preserve">praėjus </w:t>
            </w:r>
            <w:r w:rsidR="00F22A52">
              <w:rPr>
                <w:rFonts w:ascii="Times New Roman" w:hAnsi="Times New Roman" w:cs="Times New Roman"/>
                <w:bCs/>
                <w:sz w:val="24"/>
                <w:szCs w:val="24"/>
                <w:lang w:val="lt-LT"/>
              </w:rPr>
              <w:t>67</w:t>
            </w:r>
            <w:r w:rsidR="00D56E68" w:rsidRPr="00BA1CB8">
              <w:rPr>
                <w:rFonts w:ascii="Times New Roman" w:hAnsi="Times New Roman" w:cs="Times New Roman"/>
                <w:bCs/>
                <w:sz w:val="24"/>
                <w:szCs w:val="24"/>
                <w:lang w:val="lt-LT"/>
              </w:rPr>
              <w:t xml:space="preserve"> dien</w:t>
            </w:r>
            <w:r w:rsidR="00CB0893">
              <w:rPr>
                <w:rFonts w:ascii="Times New Roman" w:hAnsi="Times New Roman" w:cs="Times New Roman"/>
                <w:bCs/>
                <w:sz w:val="24"/>
                <w:szCs w:val="24"/>
                <w:lang w:val="lt-LT"/>
              </w:rPr>
              <w:t>oms</w:t>
            </w:r>
            <w:r w:rsidR="00D56E68" w:rsidRPr="00BA1CB8">
              <w:rPr>
                <w:rFonts w:ascii="Times New Roman" w:hAnsi="Times New Roman" w:cs="Times New Roman"/>
                <w:bCs/>
                <w:sz w:val="24"/>
                <w:szCs w:val="24"/>
                <w:lang w:val="lt-LT"/>
              </w:rPr>
              <w:t xml:space="preserve"> nuo </w:t>
            </w:r>
            <w:r w:rsidR="00F22A52">
              <w:rPr>
                <w:rFonts w:ascii="Times New Roman" w:hAnsi="Times New Roman" w:cs="Times New Roman"/>
                <w:bCs/>
                <w:sz w:val="24"/>
                <w:szCs w:val="24"/>
                <w:lang w:val="lt-LT"/>
              </w:rPr>
              <w:t>Pagrindinės su</w:t>
            </w:r>
            <w:r w:rsidR="00D56E68" w:rsidRPr="00BA1CB8">
              <w:rPr>
                <w:rFonts w:ascii="Times New Roman" w:hAnsi="Times New Roman" w:cs="Times New Roman"/>
                <w:bCs/>
                <w:sz w:val="24"/>
                <w:szCs w:val="24"/>
                <w:lang w:val="lt-LT"/>
              </w:rPr>
              <w:t>tarties sudarymo.</w:t>
            </w:r>
            <w:r w:rsidR="00CB0893">
              <w:rPr>
                <w:rFonts w:ascii="Times New Roman" w:hAnsi="Times New Roman" w:cs="Times New Roman"/>
                <w:bCs/>
                <w:sz w:val="24"/>
                <w:szCs w:val="24"/>
                <w:lang w:val="lt-LT"/>
              </w:rPr>
              <w:t xml:space="preserve"> </w:t>
            </w:r>
            <w:r w:rsidR="00510EA2">
              <w:rPr>
                <w:rFonts w:ascii="Times New Roman" w:hAnsi="Times New Roman" w:cs="Times New Roman"/>
                <w:bCs/>
                <w:sz w:val="24"/>
                <w:szCs w:val="24"/>
                <w:lang w:val="lt-LT"/>
              </w:rPr>
              <w:t>Tiekėjo</w:t>
            </w:r>
            <w:r w:rsidR="00F22A52">
              <w:rPr>
                <w:rFonts w:ascii="Times New Roman" w:hAnsi="Times New Roman" w:cs="Times New Roman"/>
                <w:bCs/>
                <w:sz w:val="24"/>
                <w:szCs w:val="24"/>
                <w:lang w:val="lt-LT"/>
              </w:rPr>
              <w:t xml:space="preserve"> pasiūlymas</w:t>
            </w:r>
            <w:r w:rsidR="00510EA2">
              <w:rPr>
                <w:rStyle w:val="FootnoteReference"/>
                <w:rFonts w:ascii="Times New Roman" w:hAnsi="Times New Roman" w:cs="Times New Roman"/>
                <w:bCs/>
                <w:sz w:val="24"/>
                <w:szCs w:val="24"/>
                <w:lang w:val="lt-LT"/>
              </w:rPr>
              <w:footnoteReference w:id="2"/>
            </w:r>
            <w:r w:rsidR="00F22A52">
              <w:rPr>
                <w:rFonts w:ascii="Times New Roman" w:hAnsi="Times New Roman" w:cs="Times New Roman"/>
                <w:bCs/>
                <w:sz w:val="24"/>
                <w:szCs w:val="24"/>
                <w:lang w:val="lt-LT"/>
              </w:rPr>
              <w:t xml:space="preserve"> </w:t>
            </w:r>
            <w:r w:rsidR="0013617C" w:rsidRPr="00BA1CB8">
              <w:rPr>
                <w:rFonts w:ascii="Times New Roman" w:hAnsi="Times New Roman" w:cs="Times New Roman"/>
                <w:bCs/>
                <w:sz w:val="24"/>
                <w:szCs w:val="24"/>
                <w:lang w:val="lt-LT"/>
              </w:rPr>
              <w:t>CVP IS paskelbta</w:t>
            </w:r>
            <w:r w:rsidR="00F22A52">
              <w:rPr>
                <w:rFonts w:ascii="Times New Roman" w:hAnsi="Times New Roman" w:cs="Times New Roman"/>
                <w:bCs/>
                <w:sz w:val="24"/>
                <w:szCs w:val="24"/>
                <w:lang w:val="lt-LT"/>
              </w:rPr>
              <w:t>s</w:t>
            </w:r>
            <w:r w:rsidR="0013617C" w:rsidRPr="00BA1CB8">
              <w:rPr>
                <w:rFonts w:ascii="Times New Roman" w:hAnsi="Times New Roman" w:cs="Times New Roman"/>
                <w:bCs/>
                <w:sz w:val="24"/>
                <w:szCs w:val="24"/>
                <w:lang w:val="lt-LT"/>
              </w:rPr>
              <w:t xml:space="preserve"> 201</w:t>
            </w:r>
            <w:r w:rsidR="0013617C">
              <w:rPr>
                <w:rFonts w:ascii="Times New Roman" w:hAnsi="Times New Roman" w:cs="Times New Roman"/>
                <w:bCs/>
                <w:sz w:val="24"/>
                <w:szCs w:val="24"/>
                <w:lang w:val="lt-LT"/>
              </w:rPr>
              <w:t>7</w:t>
            </w:r>
            <w:r w:rsidR="0013617C" w:rsidRPr="00BA1CB8">
              <w:rPr>
                <w:rFonts w:ascii="Times New Roman" w:hAnsi="Times New Roman" w:cs="Times New Roman"/>
                <w:bCs/>
                <w:sz w:val="24"/>
                <w:szCs w:val="24"/>
                <w:lang w:val="lt-LT"/>
              </w:rPr>
              <w:t xml:space="preserve"> m. </w:t>
            </w:r>
            <w:r w:rsidR="00F22A52">
              <w:rPr>
                <w:rFonts w:ascii="Times New Roman" w:hAnsi="Times New Roman" w:cs="Times New Roman"/>
                <w:bCs/>
                <w:sz w:val="24"/>
                <w:szCs w:val="24"/>
                <w:lang w:val="lt-LT"/>
              </w:rPr>
              <w:t>kovo 23</w:t>
            </w:r>
            <w:r w:rsidR="0013617C" w:rsidRPr="00BA1CB8">
              <w:rPr>
                <w:rFonts w:ascii="Times New Roman" w:hAnsi="Times New Roman" w:cs="Times New Roman"/>
                <w:bCs/>
                <w:sz w:val="24"/>
                <w:szCs w:val="24"/>
                <w:lang w:val="lt-LT"/>
              </w:rPr>
              <w:t xml:space="preserve"> d.</w:t>
            </w:r>
            <w:r w:rsidR="0013617C">
              <w:rPr>
                <w:rFonts w:ascii="Times New Roman" w:hAnsi="Times New Roman" w:cs="Times New Roman"/>
                <w:bCs/>
                <w:sz w:val="24"/>
                <w:szCs w:val="24"/>
                <w:lang w:val="lt-LT"/>
              </w:rPr>
              <w:t xml:space="preserve">, t. y. vėliau, nei </w:t>
            </w:r>
            <w:r w:rsidR="00CB0893">
              <w:rPr>
                <w:rFonts w:ascii="Times New Roman" w:hAnsi="Times New Roman" w:cs="Times New Roman"/>
                <w:bCs/>
                <w:sz w:val="24"/>
                <w:szCs w:val="24"/>
                <w:lang w:val="lt-LT"/>
              </w:rPr>
              <w:t xml:space="preserve">per </w:t>
            </w:r>
            <w:r w:rsidR="0013617C">
              <w:rPr>
                <w:rFonts w:ascii="Times New Roman" w:hAnsi="Times New Roman" w:cs="Times New Roman"/>
                <w:bCs/>
                <w:sz w:val="24"/>
                <w:szCs w:val="24"/>
                <w:lang w:val="lt-LT"/>
              </w:rPr>
              <w:t>Įstatyme</w:t>
            </w:r>
            <w:r w:rsidR="00CB0893">
              <w:rPr>
                <w:rFonts w:ascii="Times New Roman" w:hAnsi="Times New Roman" w:cs="Times New Roman"/>
                <w:bCs/>
                <w:sz w:val="24"/>
                <w:szCs w:val="24"/>
                <w:lang w:val="lt-LT"/>
              </w:rPr>
              <w:t xml:space="preserve"> nustatytą laikotarpį. </w:t>
            </w:r>
            <w:r w:rsidR="00F22A52">
              <w:rPr>
                <w:rFonts w:ascii="Times New Roman" w:hAnsi="Times New Roman" w:cs="Times New Roman"/>
                <w:bCs/>
                <w:sz w:val="24"/>
                <w:szCs w:val="24"/>
                <w:lang w:val="lt-LT"/>
              </w:rPr>
              <w:t>A</w:t>
            </w:r>
            <w:r w:rsidR="00CB0893">
              <w:rPr>
                <w:rFonts w:ascii="Times New Roman" w:hAnsi="Times New Roman" w:cs="Times New Roman"/>
                <w:bCs/>
                <w:sz w:val="24"/>
                <w:szCs w:val="24"/>
                <w:lang w:val="lt-LT"/>
              </w:rPr>
              <w:t xml:space="preserve">tsižvelgiant į tai, kad </w:t>
            </w:r>
            <w:r w:rsidR="0013617C">
              <w:rPr>
                <w:rFonts w:ascii="Times New Roman" w:hAnsi="Times New Roman" w:cs="Times New Roman"/>
                <w:bCs/>
                <w:sz w:val="24"/>
                <w:szCs w:val="24"/>
                <w:lang w:val="lt-LT"/>
              </w:rPr>
              <w:t xml:space="preserve">Perkančioji organizacija </w:t>
            </w:r>
            <w:r w:rsidR="00D42FE3" w:rsidRPr="00BA1CB8">
              <w:rPr>
                <w:rFonts w:ascii="Times New Roman" w:hAnsi="Times New Roman" w:cs="Times New Roman"/>
                <w:bCs/>
                <w:sz w:val="24"/>
                <w:szCs w:val="24"/>
                <w:lang w:val="lt-LT"/>
              </w:rPr>
              <w:t xml:space="preserve">CVP IS </w:t>
            </w:r>
            <w:r w:rsidR="00D42FE3">
              <w:rPr>
                <w:rFonts w:ascii="Times New Roman" w:hAnsi="Times New Roman" w:cs="Times New Roman"/>
                <w:bCs/>
                <w:sz w:val="24"/>
                <w:szCs w:val="24"/>
                <w:lang w:val="lt-LT"/>
              </w:rPr>
              <w:t xml:space="preserve">vėlavo paskelbti Pagrindinę sutartį, taip pat – konkursinį pasiūlymą, </w:t>
            </w:r>
            <w:r w:rsidR="00CE62A3">
              <w:rPr>
                <w:rFonts w:ascii="Times New Roman" w:hAnsi="Times New Roman" w:cs="Times New Roman"/>
                <w:bCs/>
                <w:sz w:val="24"/>
                <w:szCs w:val="24"/>
                <w:lang w:val="lt-LT"/>
              </w:rPr>
              <w:t>Viešųjų pirkimų t</w:t>
            </w:r>
            <w:r w:rsidR="00CB0893">
              <w:rPr>
                <w:rFonts w:ascii="Times New Roman" w:hAnsi="Times New Roman" w:cs="Times New Roman"/>
                <w:bCs/>
                <w:sz w:val="24"/>
                <w:szCs w:val="24"/>
                <w:lang w:val="lt-LT"/>
              </w:rPr>
              <w:t>arnyba konstatuoja, kad buvo pažeistas</w:t>
            </w:r>
            <w:r w:rsidR="0013617C">
              <w:rPr>
                <w:rFonts w:ascii="Times New Roman" w:hAnsi="Times New Roman" w:cs="Times New Roman"/>
                <w:bCs/>
                <w:sz w:val="24"/>
                <w:szCs w:val="24"/>
                <w:lang w:val="lt-LT"/>
              </w:rPr>
              <w:t xml:space="preserve"> Įstatymo </w:t>
            </w:r>
            <w:r w:rsidR="00CE62A3">
              <w:rPr>
                <w:rFonts w:ascii="Times New Roman" w:hAnsi="Times New Roman" w:cs="Times New Roman"/>
                <w:bCs/>
                <w:sz w:val="24"/>
                <w:szCs w:val="24"/>
                <w:lang w:val="lt-LT"/>
              </w:rPr>
              <w:t>1</w:t>
            </w:r>
            <w:r w:rsidR="00F22A52">
              <w:rPr>
                <w:rFonts w:ascii="Times New Roman" w:hAnsi="Times New Roman" w:cs="Times New Roman"/>
                <w:bCs/>
                <w:sz w:val="24"/>
                <w:szCs w:val="24"/>
                <w:lang w:val="lt-LT"/>
              </w:rPr>
              <w:t>8 straipsnio 11 dalies nuostatos</w:t>
            </w:r>
            <w:r w:rsidR="00362E9F">
              <w:rPr>
                <w:rFonts w:ascii="Times New Roman" w:hAnsi="Times New Roman" w:cs="Times New Roman"/>
                <w:bCs/>
                <w:sz w:val="24"/>
                <w:szCs w:val="24"/>
                <w:lang w:val="lt-LT"/>
              </w:rPr>
              <w:t xml:space="preserve"> laikyma</w:t>
            </w:r>
            <w:r w:rsidR="0013617C">
              <w:rPr>
                <w:rFonts w:ascii="Times New Roman" w:hAnsi="Times New Roman" w:cs="Times New Roman"/>
                <w:bCs/>
                <w:sz w:val="24"/>
                <w:szCs w:val="24"/>
                <w:lang w:val="lt-LT"/>
              </w:rPr>
              <w:t>si</w:t>
            </w:r>
            <w:r w:rsidR="00CB0893">
              <w:rPr>
                <w:rFonts w:ascii="Times New Roman" w:hAnsi="Times New Roman" w:cs="Times New Roman"/>
                <w:bCs/>
                <w:sz w:val="24"/>
                <w:szCs w:val="24"/>
                <w:lang w:val="lt-LT"/>
              </w:rPr>
              <w:t>s</w:t>
            </w:r>
            <w:r w:rsidR="0013617C">
              <w:rPr>
                <w:rFonts w:ascii="Times New Roman" w:hAnsi="Times New Roman" w:cs="Times New Roman"/>
                <w:bCs/>
                <w:sz w:val="24"/>
                <w:szCs w:val="24"/>
                <w:lang w:val="lt-LT"/>
              </w:rPr>
              <w:t>.</w:t>
            </w:r>
            <w:r w:rsidR="00F22A52" w:rsidRPr="00BA1CB8">
              <w:rPr>
                <w:rFonts w:ascii="Times New Roman" w:hAnsi="Times New Roman" w:cs="Times New Roman"/>
                <w:bCs/>
                <w:sz w:val="24"/>
                <w:szCs w:val="24"/>
                <w:lang w:val="lt-LT"/>
              </w:rPr>
              <w:t xml:space="preserve"> </w:t>
            </w:r>
          </w:p>
        </w:tc>
      </w:tr>
    </w:tbl>
    <w:p w:rsidR="00041993" w:rsidRPr="00196A4A" w:rsidRDefault="00041993" w:rsidP="00B23D88">
      <w:pPr>
        <w:spacing w:before="240" w:after="160" w:line="259" w:lineRule="auto"/>
        <w:jc w:val="center"/>
        <w:rPr>
          <w:rFonts w:ascii="Times New Roman" w:hAnsi="Times New Roman" w:cs="Times New Roman"/>
          <w:b/>
          <w:sz w:val="24"/>
          <w:szCs w:val="24"/>
        </w:rPr>
      </w:pPr>
    </w:p>
    <w:p w:rsidR="001253F2" w:rsidRPr="00196A4A" w:rsidRDefault="001253F2" w:rsidP="00B23D88">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576"/>
        <w:gridCol w:w="9030"/>
      </w:tblGrid>
      <w:tr w:rsidR="00B203A3" w:rsidRPr="00196A4A" w:rsidTr="002B3F49">
        <w:trPr>
          <w:trHeight w:val="271"/>
        </w:trPr>
        <w:tc>
          <w:tcPr>
            <w:tcW w:w="576" w:type="dxa"/>
          </w:tcPr>
          <w:p w:rsidR="00B203A3" w:rsidRPr="00196A4A" w:rsidRDefault="00B203A3" w:rsidP="002B3F49">
            <w:pPr>
              <w:numPr>
                <w:ilvl w:val="0"/>
                <w:numId w:val="1"/>
              </w:numPr>
              <w:ind w:left="360"/>
              <w:contextualSpacing/>
              <w:jc w:val="both"/>
              <w:rPr>
                <w:rFonts w:ascii="Times New Roman" w:hAnsi="Times New Roman" w:cs="Times New Roman"/>
                <w:sz w:val="24"/>
                <w:szCs w:val="24"/>
                <w:lang w:val="lt-LT"/>
              </w:rPr>
            </w:pPr>
          </w:p>
        </w:tc>
        <w:tc>
          <w:tcPr>
            <w:tcW w:w="9030" w:type="dxa"/>
          </w:tcPr>
          <w:p w:rsidR="00C84016" w:rsidRPr="00196A4A" w:rsidRDefault="00470035" w:rsidP="00B203A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Pagrindinės sutarties 3.1.1 punktas </w:t>
            </w:r>
          </w:p>
        </w:tc>
      </w:tr>
      <w:tr w:rsidR="00B203A3" w:rsidRPr="00196A4A" w:rsidTr="002B3F49">
        <w:tc>
          <w:tcPr>
            <w:tcW w:w="9606" w:type="dxa"/>
            <w:gridSpan w:val="2"/>
          </w:tcPr>
          <w:p w:rsidR="0013617C" w:rsidRDefault="0013617C" w:rsidP="00CB15B7">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Pagrindinės sutarties 4.1.1 punkte nurodyta, kad Tiekėjas privalo tinkamai įvykdyti savo prievolę – per nustatytą terminą pristatyti Sutarties sąlygas atitinkančias prekes į Pagrindinėje sutartyje nurodytą pristatymo vietą. </w:t>
            </w:r>
            <w:r w:rsidR="00CB15B7">
              <w:rPr>
                <w:rFonts w:ascii="Times New Roman" w:hAnsi="Times New Roman" w:cs="Times New Roman"/>
                <w:sz w:val="24"/>
                <w:szCs w:val="24"/>
                <w:lang w:val="lt-LT"/>
              </w:rPr>
              <w:t>A</w:t>
            </w:r>
            <w:r>
              <w:rPr>
                <w:rFonts w:ascii="Times New Roman" w:hAnsi="Times New Roman" w:cs="Times New Roman"/>
                <w:sz w:val="24"/>
                <w:szCs w:val="24"/>
                <w:lang w:val="lt-LT"/>
              </w:rPr>
              <w:t>utom</w:t>
            </w:r>
            <w:r w:rsidR="00CB15B7">
              <w:rPr>
                <w:rFonts w:ascii="Times New Roman" w:hAnsi="Times New Roman" w:cs="Times New Roman"/>
                <w:sz w:val="24"/>
                <w:szCs w:val="24"/>
                <w:lang w:val="lt-LT"/>
              </w:rPr>
              <w:t xml:space="preserve">obilių stovėjimo rinkliavos apmokėjimo (surinkimo) ir bilietų išdavimo automatai (toliau – automatai / prekės) turi būti </w:t>
            </w:r>
            <w:r>
              <w:rPr>
                <w:rFonts w:ascii="Times New Roman" w:hAnsi="Times New Roman" w:cs="Times New Roman"/>
                <w:sz w:val="24"/>
                <w:szCs w:val="24"/>
                <w:lang w:val="lt-LT"/>
              </w:rPr>
              <w:t xml:space="preserve">pristatomi į Perkančiosios organizacijos biurą Puodžių g. 24, Kaune </w:t>
            </w:r>
            <w:r w:rsidRPr="00DE5AC7">
              <w:rPr>
                <w:rFonts w:ascii="Times New Roman" w:hAnsi="Times New Roman" w:cs="Times New Roman"/>
                <w:i/>
                <w:sz w:val="24"/>
                <w:szCs w:val="24"/>
                <w:lang w:val="lt-LT"/>
              </w:rPr>
              <w:t>per 60 kalendorinių dienų</w:t>
            </w:r>
            <w:r w:rsidR="00CB15B7">
              <w:rPr>
                <w:rFonts w:ascii="Times New Roman" w:hAnsi="Times New Roman" w:cs="Times New Roman"/>
                <w:sz w:val="24"/>
                <w:szCs w:val="24"/>
                <w:lang w:val="lt-LT"/>
              </w:rPr>
              <w:t xml:space="preserve"> (Pagrindinės sutarties 3.1 ir 3.1.1 punktai). </w:t>
            </w:r>
            <w:r w:rsidR="00DE5AC7">
              <w:rPr>
                <w:rFonts w:ascii="Times New Roman" w:hAnsi="Times New Roman" w:cs="Times New Roman"/>
                <w:sz w:val="24"/>
                <w:szCs w:val="24"/>
                <w:lang w:val="lt-LT"/>
              </w:rPr>
              <w:t xml:space="preserve">Pagrindinės sutarties 2 priedo „Techninė specifikacija“ (toliau – Techninė specifikacija) lentelės 22.1 punkte nurodyta, kad </w:t>
            </w:r>
            <w:r w:rsidR="00DE5AC7" w:rsidRPr="00DE5AC7">
              <w:rPr>
                <w:rFonts w:ascii="Times New Roman" w:hAnsi="Times New Roman" w:cs="Times New Roman"/>
                <w:i/>
                <w:sz w:val="24"/>
                <w:szCs w:val="24"/>
                <w:lang w:val="lt-LT"/>
              </w:rPr>
              <w:t>„Užsakytas automatas pristatomas ne vėliau kaip per 60 kalendorinių dienų nuo užsakymo pateikimo dienos &lt;...&gt;</w:t>
            </w:r>
            <w:r w:rsidR="00DE5AC7">
              <w:rPr>
                <w:rFonts w:ascii="Times New Roman" w:hAnsi="Times New Roman" w:cs="Times New Roman"/>
                <w:i/>
                <w:sz w:val="24"/>
                <w:szCs w:val="24"/>
                <w:lang w:val="lt-LT"/>
              </w:rPr>
              <w:t>.</w:t>
            </w:r>
            <w:r w:rsidR="00DE5AC7" w:rsidRPr="00DE5AC7">
              <w:rPr>
                <w:rFonts w:ascii="Times New Roman" w:hAnsi="Times New Roman" w:cs="Times New Roman"/>
                <w:i/>
                <w:sz w:val="24"/>
                <w:szCs w:val="24"/>
                <w:lang w:val="lt-LT"/>
              </w:rPr>
              <w:t>“</w:t>
            </w:r>
            <w:r w:rsidR="00DE5AC7">
              <w:rPr>
                <w:rFonts w:ascii="Times New Roman" w:hAnsi="Times New Roman" w:cs="Times New Roman"/>
                <w:sz w:val="24"/>
                <w:szCs w:val="24"/>
                <w:lang w:val="lt-LT"/>
              </w:rPr>
              <w:t xml:space="preserve"> Prekių perdavimas ir priėmimas įforminamas prekių perdavimo-priėmimo aktu / važtaraščiu, kuris pasirašomas abiejų Pagrindinės sutarties šalių įgaliotų atstovų (Pagrindinės sutarties 3.2 punktas).</w:t>
            </w:r>
          </w:p>
          <w:p w:rsidR="00CB15B7" w:rsidRDefault="00D42FE3" w:rsidP="00CD2F8E">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Vertinamu atveju</w:t>
            </w:r>
            <w:r w:rsidR="00A41E65">
              <w:rPr>
                <w:rFonts w:ascii="Times New Roman" w:hAnsi="Times New Roman" w:cs="Times New Roman"/>
                <w:sz w:val="24"/>
                <w:szCs w:val="24"/>
                <w:lang w:val="lt-LT"/>
              </w:rPr>
              <w:t xml:space="preserve"> Pagrindinės sutarties objektas – 50 vnt. automatų. </w:t>
            </w:r>
            <w:r w:rsidR="00362E9F">
              <w:rPr>
                <w:rFonts w:ascii="Times New Roman" w:hAnsi="Times New Roman" w:cs="Times New Roman"/>
                <w:sz w:val="24"/>
                <w:szCs w:val="24"/>
                <w:lang w:val="lt-LT"/>
              </w:rPr>
              <w:t xml:space="preserve">Nustatyta, kad </w:t>
            </w:r>
            <w:r w:rsidR="00A41E65">
              <w:rPr>
                <w:rFonts w:ascii="Times New Roman" w:hAnsi="Times New Roman" w:cs="Times New Roman"/>
                <w:sz w:val="24"/>
                <w:szCs w:val="24"/>
                <w:lang w:val="lt-LT"/>
              </w:rPr>
              <w:t>Perkančioji organizacija užsakymą Tiekėjui pateikė 201</w:t>
            </w:r>
            <w:r w:rsidR="00CE62A3">
              <w:rPr>
                <w:rFonts w:ascii="Times New Roman" w:hAnsi="Times New Roman" w:cs="Times New Roman"/>
                <w:sz w:val="24"/>
                <w:szCs w:val="24"/>
                <w:lang w:val="lt-LT"/>
              </w:rPr>
              <w:t>6</w:t>
            </w:r>
            <w:r w:rsidR="00A41E65">
              <w:rPr>
                <w:rFonts w:ascii="Times New Roman" w:hAnsi="Times New Roman" w:cs="Times New Roman"/>
                <w:sz w:val="24"/>
                <w:szCs w:val="24"/>
                <w:lang w:val="lt-LT"/>
              </w:rPr>
              <w:t xml:space="preserve"> m. lapkričio 23 d.</w:t>
            </w:r>
            <w:r w:rsidR="00A41E65">
              <w:rPr>
                <w:rStyle w:val="FootnoteReference"/>
                <w:rFonts w:ascii="Times New Roman" w:hAnsi="Times New Roman" w:cs="Times New Roman"/>
                <w:sz w:val="24"/>
                <w:szCs w:val="24"/>
                <w:lang w:val="lt-LT"/>
              </w:rPr>
              <w:footnoteReference w:id="3"/>
            </w:r>
            <w:r w:rsidR="00A41E65">
              <w:rPr>
                <w:rFonts w:ascii="Times New Roman" w:hAnsi="Times New Roman" w:cs="Times New Roman"/>
                <w:sz w:val="24"/>
                <w:szCs w:val="24"/>
                <w:lang w:val="lt-LT"/>
              </w:rPr>
              <w:t xml:space="preserve"> Prekės </w:t>
            </w:r>
            <w:r w:rsidR="00CB15B7">
              <w:rPr>
                <w:rFonts w:ascii="Times New Roman" w:hAnsi="Times New Roman" w:cs="Times New Roman"/>
                <w:sz w:val="24"/>
                <w:szCs w:val="24"/>
                <w:lang w:val="lt-LT"/>
              </w:rPr>
              <w:t>Perkančiajai organizacijai pristatyt</w:t>
            </w:r>
            <w:r w:rsidR="006F2C87">
              <w:rPr>
                <w:rFonts w:ascii="Times New Roman" w:hAnsi="Times New Roman" w:cs="Times New Roman"/>
                <w:sz w:val="24"/>
                <w:szCs w:val="24"/>
                <w:lang w:val="lt-LT"/>
              </w:rPr>
              <w:t>os</w:t>
            </w:r>
            <w:r w:rsidR="00CB15B7">
              <w:rPr>
                <w:rFonts w:ascii="Times New Roman" w:hAnsi="Times New Roman" w:cs="Times New Roman"/>
                <w:sz w:val="24"/>
                <w:szCs w:val="24"/>
                <w:lang w:val="lt-LT"/>
              </w:rPr>
              <w:t xml:space="preserve"> 2017 m. </w:t>
            </w:r>
            <w:r w:rsidR="00A41E65">
              <w:rPr>
                <w:rFonts w:ascii="Times New Roman" w:hAnsi="Times New Roman" w:cs="Times New Roman"/>
                <w:sz w:val="24"/>
                <w:szCs w:val="24"/>
                <w:lang w:val="lt-LT"/>
              </w:rPr>
              <w:t>sausio 17 d.</w:t>
            </w:r>
            <w:r w:rsidR="00362E9F">
              <w:rPr>
                <w:rStyle w:val="FootnoteReference"/>
                <w:rFonts w:ascii="Times New Roman" w:hAnsi="Times New Roman" w:cs="Times New Roman"/>
                <w:sz w:val="24"/>
                <w:szCs w:val="24"/>
                <w:lang w:val="lt-LT"/>
              </w:rPr>
              <w:footnoteReference w:id="4"/>
            </w:r>
            <w:r w:rsidR="00CB15B7">
              <w:rPr>
                <w:rFonts w:ascii="Times New Roman" w:hAnsi="Times New Roman" w:cs="Times New Roman"/>
                <w:sz w:val="24"/>
                <w:szCs w:val="24"/>
                <w:lang w:val="lt-LT"/>
              </w:rPr>
              <w:t xml:space="preserve">, t. y. per </w:t>
            </w:r>
            <w:r w:rsidR="006F2C87">
              <w:rPr>
                <w:rFonts w:ascii="Times New Roman" w:hAnsi="Times New Roman" w:cs="Times New Roman"/>
                <w:sz w:val="24"/>
                <w:szCs w:val="24"/>
                <w:lang w:val="lt-LT"/>
              </w:rPr>
              <w:t xml:space="preserve">55 </w:t>
            </w:r>
            <w:r w:rsidR="00CB15B7">
              <w:rPr>
                <w:rFonts w:ascii="Times New Roman" w:hAnsi="Times New Roman" w:cs="Times New Roman"/>
                <w:sz w:val="24"/>
                <w:szCs w:val="24"/>
                <w:lang w:val="lt-LT"/>
              </w:rPr>
              <w:t>kalendorines dienas</w:t>
            </w:r>
            <w:r w:rsidR="006F2C87">
              <w:rPr>
                <w:rFonts w:ascii="Times New Roman" w:hAnsi="Times New Roman" w:cs="Times New Roman"/>
                <w:sz w:val="24"/>
                <w:szCs w:val="24"/>
                <w:lang w:val="lt-LT"/>
              </w:rPr>
              <w:t xml:space="preserve"> nuo minėto užsakymo pateikimo Tiekėjui dienos</w:t>
            </w:r>
            <w:r w:rsidR="00CB15B7">
              <w:rPr>
                <w:rFonts w:ascii="Times New Roman" w:hAnsi="Times New Roman" w:cs="Times New Roman"/>
                <w:sz w:val="24"/>
                <w:szCs w:val="24"/>
                <w:lang w:val="lt-LT"/>
              </w:rPr>
              <w:t>.</w:t>
            </w:r>
          </w:p>
          <w:p w:rsidR="00CB15B7" w:rsidRPr="00970949" w:rsidRDefault="001A5A04" w:rsidP="00CE62A3">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Šiuo atveju, atsižvelgiant į Pirkimo dokumentuose bei Pagrindinės sutarties 2 priede Techninėje specifikacijoje įtvirtintas nuostatas, Pagrindinės sutarties 3.1.1 punkto nuostata turėtų būti tikslinama, n</w:t>
            </w:r>
            <w:r w:rsidR="00DA5E7C">
              <w:rPr>
                <w:rFonts w:ascii="Times New Roman" w:hAnsi="Times New Roman" w:cs="Times New Roman"/>
                <w:sz w:val="24"/>
                <w:szCs w:val="24"/>
                <w:lang w:val="lt-LT"/>
              </w:rPr>
              <w:t>u</w:t>
            </w:r>
            <w:r>
              <w:rPr>
                <w:rFonts w:ascii="Times New Roman" w:hAnsi="Times New Roman" w:cs="Times New Roman"/>
                <w:sz w:val="24"/>
                <w:szCs w:val="24"/>
                <w:lang w:val="lt-LT"/>
              </w:rPr>
              <w:t xml:space="preserve">statant, kad </w:t>
            </w:r>
            <w:r w:rsidR="00DA5E7C">
              <w:rPr>
                <w:rFonts w:ascii="Times New Roman" w:hAnsi="Times New Roman" w:cs="Times New Roman"/>
                <w:sz w:val="24"/>
                <w:szCs w:val="24"/>
                <w:lang w:val="lt-LT"/>
              </w:rPr>
              <w:t xml:space="preserve">60 kalendorinių dienų prekių pristatymo terminas pradedamas skaičiuoti </w:t>
            </w:r>
            <w:r w:rsidR="00DA5E7C" w:rsidRPr="001A5A04">
              <w:rPr>
                <w:rFonts w:ascii="Times New Roman" w:hAnsi="Times New Roman" w:cs="Times New Roman"/>
                <w:i/>
                <w:sz w:val="24"/>
                <w:szCs w:val="24"/>
                <w:lang w:val="lt-LT"/>
              </w:rPr>
              <w:t xml:space="preserve">nuo užsakymo pateikimo </w:t>
            </w:r>
            <w:r>
              <w:rPr>
                <w:rFonts w:ascii="Times New Roman" w:hAnsi="Times New Roman" w:cs="Times New Roman"/>
                <w:i/>
                <w:sz w:val="24"/>
                <w:szCs w:val="24"/>
                <w:lang w:val="lt-LT"/>
              </w:rPr>
              <w:t xml:space="preserve">tiekėjui </w:t>
            </w:r>
            <w:r w:rsidR="00DA5E7C" w:rsidRPr="001A5A04">
              <w:rPr>
                <w:rFonts w:ascii="Times New Roman" w:hAnsi="Times New Roman" w:cs="Times New Roman"/>
                <w:i/>
                <w:sz w:val="24"/>
                <w:szCs w:val="24"/>
                <w:lang w:val="lt-LT"/>
              </w:rPr>
              <w:t>dienos</w:t>
            </w:r>
            <w:r>
              <w:rPr>
                <w:rFonts w:ascii="Times New Roman" w:hAnsi="Times New Roman" w:cs="Times New Roman"/>
                <w:sz w:val="24"/>
                <w:szCs w:val="24"/>
                <w:lang w:val="lt-LT"/>
              </w:rPr>
              <w:t>.</w:t>
            </w:r>
          </w:p>
        </w:tc>
      </w:tr>
    </w:tbl>
    <w:p w:rsidR="00C2471C" w:rsidRPr="00196A4A" w:rsidRDefault="00C2471C" w:rsidP="00665C79">
      <w:pPr>
        <w:spacing w:before="240" w:after="160" w:line="240" w:lineRule="auto"/>
        <w:jc w:val="center"/>
        <w:rPr>
          <w:rFonts w:ascii="Times New Roman" w:hAnsi="Times New Roman" w:cs="Times New Roman"/>
          <w:b/>
          <w:sz w:val="24"/>
          <w:szCs w:val="24"/>
        </w:rPr>
      </w:pPr>
    </w:p>
    <w:p w:rsidR="001253F2" w:rsidRPr="00196A4A" w:rsidRDefault="001253F2" w:rsidP="00665C79">
      <w:pPr>
        <w:spacing w:before="240" w:after="160" w:line="240" w:lineRule="auto"/>
        <w:jc w:val="center"/>
        <w:rPr>
          <w:rFonts w:ascii="Times New Roman" w:hAnsi="Times New Roman" w:cs="Times New Roman"/>
          <w:b/>
          <w:sz w:val="24"/>
          <w:szCs w:val="24"/>
        </w:rPr>
      </w:pPr>
      <w:r w:rsidRPr="00196A4A">
        <w:rPr>
          <w:rFonts w:ascii="Times New Roman" w:hAnsi="Times New Roman" w:cs="Times New Roman"/>
          <w:b/>
          <w:sz w:val="24"/>
          <w:szCs w:val="24"/>
        </w:rPr>
        <w:t>IV dalis. Sprendimas</w:t>
      </w:r>
    </w:p>
    <w:tbl>
      <w:tblPr>
        <w:tblStyle w:val="TableGrid"/>
        <w:tblW w:w="0" w:type="auto"/>
        <w:tblLook w:val="04A0" w:firstRow="1" w:lastRow="0" w:firstColumn="1" w:lastColumn="0" w:noHBand="0" w:noVBand="1"/>
      </w:tblPr>
      <w:tblGrid>
        <w:gridCol w:w="9606"/>
      </w:tblGrid>
      <w:tr w:rsidR="001253F2" w:rsidRPr="00196A4A" w:rsidTr="007F74A9">
        <w:tc>
          <w:tcPr>
            <w:tcW w:w="9606" w:type="dxa"/>
          </w:tcPr>
          <w:p w:rsidR="00B00C41" w:rsidRDefault="008E6F29" w:rsidP="005438A3">
            <w:pPr>
              <w:tabs>
                <w:tab w:val="left" w:pos="284"/>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Vykd</w:t>
            </w:r>
            <w:r w:rsidR="00276557" w:rsidRPr="00196A4A">
              <w:rPr>
                <w:rFonts w:ascii="Times New Roman" w:hAnsi="Times New Roman" w:cs="Times New Roman"/>
                <w:sz w:val="24"/>
                <w:szCs w:val="24"/>
                <w:lang w:val="lt-LT"/>
              </w:rPr>
              <w:t xml:space="preserve">ant </w:t>
            </w:r>
            <w:r w:rsidRPr="00196A4A">
              <w:rPr>
                <w:rFonts w:ascii="Times New Roman" w:hAnsi="Times New Roman" w:cs="Times New Roman"/>
                <w:sz w:val="24"/>
                <w:szCs w:val="24"/>
                <w:lang w:val="lt-LT"/>
              </w:rPr>
              <w:t xml:space="preserve">Sutartį, </w:t>
            </w:r>
            <w:r w:rsidR="00851F2B" w:rsidRPr="00196A4A">
              <w:rPr>
                <w:rFonts w:ascii="Times New Roman" w:hAnsi="Times New Roman" w:cs="Times New Roman"/>
                <w:sz w:val="24"/>
                <w:szCs w:val="24"/>
                <w:lang w:val="lt-LT"/>
              </w:rPr>
              <w:t xml:space="preserve">Perkančioji organizacija </w:t>
            </w:r>
            <w:r w:rsidR="006F28CA">
              <w:rPr>
                <w:rFonts w:ascii="Times New Roman" w:hAnsi="Times New Roman" w:cs="Times New Roman"/>
                <w:sz w:val="24"/>
                <w:szCs w:val="24"/>
                <w:lang w:val="lt-LT"/>
              </w:rPr>
              <w:t>Pažeidė 18</w:t>
            </w:r>
            <w:r w:rsidR="009D0B50">
              <w:rPr>
                <w:rFonts w:ascii="Times New Roman" w:hAnsi="Times New Roman" w:cs="Times New Roman"/>
                <w:sz w:val="24"/>
                <w:szCs w:val="24"/>
                <w:lang w:val="lt-LT"/>
              </w:rPr>
              <w:t xml:space="preserve"> straipsnio 11 dalies nuostatas</w:t>
            </w:r>
            <w:r w:rsidR="00A706C6" w:rsidRPr="00196A4A">
              <w:rPr>
                <w:rFonts w:ascii="Times New Roman" w:hAnsi="Times New Roman" w:cs="Times New Roman"/>
                <w:sz w:val="24"/>
                <w:szCs w:val="24"/>
                <w:lang w:val="lt-LT"/>
              </w:rPr>
              <w:t>.</w:t>
            </w:r>
          </w:p>
          <w:p w:rsidR="006F28CA" w:rsidRPr="00196A4A" w:rsidRDefault="006F28CA" w:rsidP="005438A3">
            <w:pPr>
              <w:tabs>
                <w:tab w:val="left" w:pos="284"/>
                <w:tab w:val="left" w:pos="851"/>
              </w:tabs>
              <w:ind w:firstLine="567"/>
              <w:jc w:val="both"/>
              <w:rPr>
                <w:rFonts w:ascii="Times New Roman" w:eastAsia="Calibri"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0A3E95" w:rsidRDefault="000A3E95" w:rsidP="001253F2">
      <w:pPr>
        <w:spacing w:after="160" w:line="259" w:lineRule="auto"/>
        <w:jc w:val="both"/>
        <w:rPr>
          <w:rFonts w:ascii="Times New Roman" w:hAnsi="Times New Roman" w:cs="Times New Roman"/>
          <w:b/>
          <w:sz w:val="24"/>
          <w:szCs w:val="24"/>
        </w:rPr>
      </w:pPr>
    </w:p>
    <w:p w:rsidR="004E6401" w:rsidRDefault="004E6401" w:rsidP="001253F2">
      <w:pPr>
        <w:spacing w:after="160" w:line="259" w:lineRule="auto"/>
        <w:jc w:val="both"/>
        <w:rPr>
          <w:rFonts w:ascii="Times New Roman" w:hAnsi="Times New Roman" w:cs="Times New Roman"/>
          <w:b/>
          <w:sz w:val="24"/>
          <w:szCs w:val="24"/>
        </w:rPr>
      </w:pPr>
    </w:p>
    <w:p w:rsidR="004E6401" w:rsidRDefault="004E6401" w:rsidP="001253F2">
      <w:pPr>
        <w:spacing w:after="160" w:line="259"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196A4A" w:rsidTr="007F74A9">
        <w:tc>
          <w:tcPr>
            <w:tcW w:w="3652" w:type="dxa"/>
            <w:tcBorders>
              <w:bottom w:val="single" w:sz="8" w:space="0" w:color="auto"/>
            </w:tcBorders>
          </w:tcPr>
          <w:p w:rsidR="00EC23D8"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Prevencijos ir pirkimo sutarčių priežiūros skyriaus</w:t>
            </w:r>
          </w:p>
          <w:p w:rsidR="001253F2"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vyriausioji specialistė</w:t>
            </w:r>
          </w:p>
        </w:tc>
        <w:tc>
          <w:tcPr>
            <w:tcW w:w="289" w:type="dxa"/>
          </w:tcPr>
          <w:p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196A4A"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Pr="00196A4A" w:rsidRDefault="003F2A87" w:rsidP="001253F2">
            <w:pPr>
              <w:spacing w:after="160" w:line="259" w:lineRule="auto"/>
              <w:jc w:val="right"/>
              <w:rPr>
                <w:rFonts w:ascii="Times New Roman" w:hAnsi="Times New Roman" w:cs="Times New Roman"/>
                <w:sz w:val="24"/>
                <w:szCs w:val="24"/>
                <w:lang w:val="lt-LT"/>
              </w:rPr>
            </w:pPr>
          </w:p>
          <w:p w:rsidR="001253F2" w:rsidRPr="00196A4A" w:rsidRDefault="00565920" w:rsidP="00DD466E">
            <w:pPr>
              <w:spacing w:line="259" w:lineRule="auto"/>
              <w:jc w:val="right"/>
              <w:rPr>
                <w:rFonts w:ascii="Times New Roman" w:hAnsi="Times New Roman" w:cs="Times New Roman"/>
                <w:sz w:val="24"/>
                <w:szCs w:val="24"/>
                <w:lang w:val="lt-LT"/>
              </w:rPr>
            </w:pPr>
            <w:r w:rsidRPr="00196A4A">
              <w:rPr>
                <w:rFonts w:ascii="Times New Roman" w:hAnsi="Times New Roman" w:cs="Times New Roman"/>
                <w:sz w:val="24"/>
                <w:szCs w:val="24"/>
                <w:lang w:val="lt-LT"/>
              </w:rPr>
              <w:t>Henrika Šileikė</w:t>
            </w:r>
          </w:p>
        </w:tc>
      </w:tr>
      <w:tr w:rsidR="001253F2" w:rsidRPr="00196A4A" w:rsidTr="007F74A9">
        <w:tc>
          <w:tcPr>
            <w:tcW w:w="3652" w:type="dxa"/>
            <w:tcBorders>
              <w:top w:val="single" w:sz="8" w:space="0" w:color="auto"/>
            </w:tcBorders>
          </w:tcPr>
          <w:p w:rsidR="001253F2" w:rsidRPr="00196A4A" w:rsidRDefault="001253F2" w:rsidP="001253F2">
            <w:pPr>
              <w:spacing w:after="160" w:line="259" w:lineRule="auto"/>
              <w:rPr>
                <w:rFonts w:ascii="Times New Roman" w:hAnsi="Times New Roman" w:cs="Times New Roman"/>
                <w:b/>
                <w:sz w:val="20"/>
                <w:szCs w:val="20"/>
                <w:lang w:val="lt-LT"/>
              </w:rPr>
            </w:pPr>
            <w:r w:rsidRPr="00196A4A">
              <w:rPr>
                <w:rFonts w:ascii="Times New Roman" w:hAnsi="Times New Roman" w:cs="Times New Roman"/>
                <w:sz w:val="20"/>
                <w:szCs w:val="20"/>
                <w:lang w:val="lt-LT"/>
              </w:rPr>
              <w:t>(išvados rengėjo pareigų pavadinimas)</w:t>
            </w:r>
          </w:p>
        </w:tc>
        <w:tc>
          <w:tcPr>
            <w:tcW w:w="289" w:type="dxa"/>
          </w:tcPr>
          <w:p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196A4A" w:rsidRDefault="001253F2" w:rsidP="001253F2">
            <w:pPr>
              <w:spacing w:after="160" w:line="259" w:lineRule="auto"/>
              <w:jc w:val="center"/>
              <w:rPr>
                <w:rFonts w:ascii="Times New Roman" w:hAnsi="Times New Roman" w:cs="Times New Roman"/>
                <w:sz w:val="20"/>
                <w:szCs w:val="20"/>
                <w:lang w:val="lt-LT"/>
              </w:rPr>
            </w:pPr>
            <w:r w:rsidRPr="00196A4A">
              <w:rPr>
                <w:rFonts w:ascii="Times New Roman" w:hAnsi="Times New Roman" w:cs="Times New Roman"/>
                <w:sz w:val="20"/>
                <w:szCs w:val="20"/>
                <w:lang w:val="lt-LT"/>
              </w:rPr>
              <w:t>(parašas)</w:t>
            </w:r>
          </w:p>
        </w:tc>
        <w:tc>
          <w:tcPr>
            <w:tcW w:w="292" w:type="dxa"/>
          </w:tcPr>
          <w:p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196A4A" w:rsidRDefault="001253F2" w:rsidP="001253F2">
            <w:pPr>
              <w:spacing w:after="160" w:line="259" w:lineRule="auto"/>
              <w:jc w:val="right"/>
              <w:rPr>
                <w:rFonts w:ascii="Times New Roman" w:hAnsi="Times New Roman" w:cs="Times New Roman"/>
                <w:b/>
                <w:sz w:val="20"/>
                <w:szCs w:val="20"/>
                <w:lang w:val="lt-LT"/>
              </w:rPr>
            </w:pPr>
            <w:r w:rsidRPr="00196A4A">
              <w:rPr>
                <w:rFonts w:ascii="Times New Roman" w:hAnsi="Times New Roman" w:cs="Times New Roman"/>
                <w:sz w:val="20"/>
                <w:szCs w:val="20"/>
                <w:lang w:val="lt-LT"/>
              </w:rPr>
              <w:t>(vardas, pavardė)</w:t>
            </w:r>
          </w:p>
        </w:tc>
      </w:tr>
    </w:tbl>
    <w:p w:rsidR="00B173B6" w:rsidRDefault="00B173B6"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4E6401" w:rsidRDefault="004E6401"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1D5721" w:rsidRPr="00196A4A" w:rsidRDefault="00AD6D79" w:rsidP="00181888">
      <w:pPr>
        <w:spacing w:after="0" w:line="240" w:lineRule="auto"/>
        <w:jc w:val="both"/>
        <w:rPr>
          <w:rFonts w:ascii="Times New Roman" w:hAnsi="Times New Roman" w:cs="Times New Roman"/>
        </w:rPr>
      </w:pPr>
      <w:r w:rsidRPr="00196A4A">
        <w:rPr>
          <w:rFonts w:ascii="Times New Roman" w:eastAsia="Times New Roman" w:hAnsi="Times New Roman" w:cs="Times New Roman"/>
          <w:sz w:val="24"/>
          <w:szCs w:val="24"/>
        </w:rPr>
        <w:t xml:space="preserve">H. </w:t>
      </w:r>
      <w:r w:rsidR="000E7D85" w:rsidRPr="00196A4A">
        <w:rPr>
          <w:rFonts w:ascii="Times New Roman" w:eastAsia="Times New Roman" w:hAnsi="Times New Roman" w:cs="Times New Roman"/>
          <w:sz w:val="24"/>
          <w:szCs w:val="24"/>
        </w:rPr>
        <w:t>Šileikė, tel. (8 5) 219 7034, faks. (8 5) 213 6213, el. p. Henrika.Sileike@vpt.lt</w:t>
      </w:r>
    </w:p>
    <w:sectPr w:rsidR="001D5721" w:rsidRPr="00196A4A" w:rsidSect="006243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36" w:rsidRDefault="00CE5436">
      <w:pPr>
        <w:spacing w:after="0" w:line="240" w:lineRule="auto"/>
      </w:pPr>
      <w:r>
        <w:separator/>
      </w:r>
    </w:p>
  </w:endnote>
  <w:endnote w:type="continuationSeparator" w:id="0">
    <w:p w:rsidR="00CE5436" w:rsidRDefault="00CE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36" w:rsidRDefault="00CE5436">
      <w:pPr>
        <w:spacing w:after="0" w:line="240" w:lineRule="auto"/>
      </w:pPr>
      <w:r>
        <w:separator/>
      </w:r>
    </w:p>
  </w:footnote>
  <w:footnote w:type="continuationSeparator" w:id="0">
    <w:p w:rsidR="00CE5436" w:rsidRDefault="00CE5436">
      <w:pPr>
        <w:spacing w:after="0" w:line="240" w:lineRule="auto"/>
      </w:pPr>
      <w:r>
        <w:continuationSeparator/>
      </w:r>
    </w:p>
  </w:footnote>
  <w:footnote w:id="1">
    <w:p w:rsidR="0013617C" w:rsidRPr="00362E9F" w:rsidRDefault="0013617C" w:rsidP="0013617C">
      <w:pPr>
        <w:pStyle w:val="FootnoteText"/>
        <w:rPr>
          <w:rFonts w:ascii="Times New Roman" w:hAnsi="Times New Roman" w:cs="Times New Roman"/>
        </w:rPr>
      </w:pPr>
      <w:r w:rsidRPr="00362E9F">
        <w:rPr>
          <w:rStyle w:val="FootnoteReference"/>
          <w:rFonts w:ascii="Times New Roman" w:hAnsi="Times New Roman" w:cs="Times New Roman"/>
        </w:rPr>
        <w:footnoteRef/>
      </w:r>
      <w:r w:rsidRPr="00362E9F">
        <w:rPr>
          <w:rFonts w:ascii="Times New Roman" w:hAnsi="Times New Roman" w:cs="Times New Roman"/>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p>
  </w:footnote>
  <w:footnote w:id="2">
    <w:p w:rsidR="00510EA2" w:rsidRPr="00362E9F" w:rsidRDefault="00510EA2">
      <w:pPr>
        <w:pStyle w:val="FootnoteText"/>
        <w:rPr>
          <w:rFonts w:ascii="Times New Roman" w:hAnsi="Times New Roman" w:cs="Times New Roman"/>
        </w:rPr>
      </w:pPr>
      <w:r w:rsidRPr="00362E9F">
        <w:rPr>
          <w:rStyle w:val="FootnoteReference"/>
          <w:rFonts w:ascii="Times New Roman" w:hAnsi="Times New Roman" w:cs="Times New Roman"/>
        </w:rPr>
        <w:footnoteRef/>
      </w:r>
      <w:r w:rsidRPr="00362E9F">
        <w:rPr>
          <w:rFonts w:ascii="Times New Roman" w:hAnsi="Times New Roman" w:cs="Times New Roman"/>
        </w:rPr>
        <w:t xml:space="preserve"> 2016 m. rugsėjo 30 d. Tiekėjo pasiūlymas.</w:t>
      </w:r>
    </w:p>
  </w:footnote>
  <w:footnote w:id="3">
    <w:p w:rsidR="00A41E65" w:rsidRPr="00362E9F" w:rsidRDefault="00A41E65">
      <w:pPr>
        <w:pStyle w:val="FootnoteText"/>
        <w:rPr>
          <w:rFonts w:ascii="Times New Roman" w:hAnsi="Times New Roman" w:cs="Times New Roman"/>
        </w:rPr>
      </w:pPr>
      <w:r w:rsidRPr="00362E9F">
        <w:rPr>
          <w:rStyle w:val="FootnoteReference"/>
          <w:rFonts w:ascii="Times New Roman" w:hAnsi="Times New Roman" w:cs="Times New Roman"/>
        </w:rPr>
        <w:footnoteRef/>
      </w:r>
      <w:r w:rsidRPr="00362E9F">
        <w:rPr>
          <w:rFonts w:ascii="Times New Roman" w:hAnsi="Times New Roman" w:cs="Times New Roman"/>
        </w:rPr>
        <w:t xml:space="preserve"> 2016 m. lapkričio 23 d. „Užsakymas pagal sutartį Nr. SR-323“ Nr. S-408.</w:t>
      </w:r>
    </w:p>
  </w:footnote>
  <w:footnote w:id="4">
    <w:p w:rsidR="00362E9F" w:rsidRPr="00362E9F" w:rsidRDefault="00362E9F">
      <w:pPr>
        <w:pStyle w:val="FootnoteText"/>
        <w:rPr>
          <w:rFonts w:ascii="Times New Roman" w:hAnsi="Times New Roman" w:cs="Times New Roman"/>
        </w:rPr>
      </w:pPr>
      <w:r w:rsidRPr="00362E9F">
        <w:rPr>
          <w:rStyle w:val="FootnoteReference"/>
          <w:rFonts w:ascii="Times New Roman" w:hAnsi="Times New Roman" w:cs="Times New Roman"/>
        </w:rPr>
        <w:footnoteRef/>
      </w:r>
      <w:r w:rsidRPr="00362E9F">
        <w:rPr>
          <w:rFonts w:ascii="Times New Roman" w:hAnsi="Times New Roman" w:cs="Times New Roman"/>
        </w:rPr>
        <w:t xml:space="preserve"> 2017 m. sausio 17 d. Prekių perdavimo-priėmimo aktas prie sutarties Nr. SR-323.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3061"/>
      <w:docPartObj>
        <w:docPartGallery w:val="Page Numbers (Top of Page)"/>
        <w:docPartUnique/>
      </w:docPartObj>
    </w:sdtPr>
    <w:sdtEndPr/>
    <w:sdtContent>
      <w:p w:rsidR="009D769F" w:rsidRDefault="001253F2">
        <w:pPr>
          <w:pStyle w:val="Header"/>
          <w:jc w:val="center"/>
        </w:pPr>
        <w:r>
          <w:fldChar w:fldCharType="begin"/>
        </w:r>
        <w:r>
          <w:instrText>PAGE   \* MERGEFORMAT</w:instrText>
        </w:r>
        <w:r>
          <w:fldChar w:fldCharType="separate"/>
        </w:r>
        <w:r w:rsidR="00E60F1C" w:rsidRPr="00E60F1C">
          <w:rPr>
            <w:noProof/>
            <w:lang w:val="lt-LT"/>
          </w:rPr>
          <w:t>2</w:t>
        </w:r>
        <w:r>
          <w:fldChar w:fldCharType="end"/>
        </w:r>
      </w:p>
    </w:sdtContent>
  </w:sdt>
  <w:p w:rsidR="009D769F" w:rsidRDefault="00CE5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5F292C"/>
    <w:multiLevelType w:val="multilevel"/>
    <w:tmpl w:val="D8B2D00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5" w15:restartNumberingAfterBreak="0">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0"/>
  </w:num>
  <w:num w:numId="3">
    <w:abstractNumId w:val="6"/>
  </w:num>
  <w:num w:numId="4">
    <w:abstractNumId w:val="4"/>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1830"/>
    <w:rsid w:val="00004F41"/>
    <w:rsid w:val="00004FAF"/>
    <w:rsid w:val="00011253"/>
    <w:rsid w:val="00015ABD"/>
    <w:rsid w:val="00021877"/>
    <w:rsid w:val="00022797"/>
    <w:rsid w:val="00030633"/>
    <w:rsid w:val="000308EF"/>
    <w:rsid w:val="00032928"/>
    <w:rsid w:val="00036DAD"/>
    <w:rsid w:val="0004106B"/>
    <w:rsid w:val="00041993"/>
    <w:rsid w:val="00043FAD"/>
    <w:rsid w:val="000443BF"/>
    <w:rsid w:val="000458DD"/>
    <w:rsid w:val="000656DA"/>
    <w:rsid w:val="00086504"/>
    <w:rsid w:val="00087CB5"/>
    <w:rsid w:val="000A3E95"/>
    <w:rsid w:val="000A581A"/>
    <w:rsid w:val="000B1557"/>
    <w:rsid w:val="000B3BB9"/>
    <w:rsid w:val="000C521B"/>
    <w:rsid w:val="000D09D8"/>
    <w:rsid w:val="000D2704"/>
    <w:rsid w:val="000D6E72"/>
    <w:rsid w:val="000E7D85"/>
    <w:rsid w:val="0012163E"/>
    <w:rsid w:val="001253F2"/>
    <w:rsid w:val="0013617C"/>
    <w:rsid w:val="001421BD"/>
    <w:rsid w:val="00152825"/>
    <w:rsid w:val="001540F3"/>
    <w:rsid w:val="00154AF7"/>
    <w:rsid w:val="001657F8"/>
    <w:rsid w:val="00171219"/>
    <w:rsid w:val="00181888"/>
    <w:rsid w:val="001900BF"/>
    <w:rsid w:val="00196A4A"/>
    <w:rsid w:val="00196DFC"/>
    <w:rsid w:val="001A349B"/>
    <w:rsid w:val="001A5A04"/>
    <w:rsid w:val="001B154B"/>
    <w:rsid w:val="001B637A"/>
    <w:rsid w:val="001D5721"/>
    <w:rsid w:val="001E0B90"/>
    <w:rsid w:val="001F2166"/>
    <w:rsid w:val="0020131C"/>
    <w:rsid w:val="00223D4B"/>
    <w:rsid w:val="002308A2"/>
    <w:rsid w:val="002318F4"/>
    <w:rsid w:val="002417A8"/>
    <w:rsid w:val="0024496D"/>
    <w:rsid w:val="00245927"/>
    <w:rsid w:val="0025117C"/>
    <w:rsid w:val="00253137"/>
    <w:rsid w:val="00270EAF"/>
    <w:rsid w:val="00276557"/>
    <w:rsid w:val="00294C64"/>
    <w:rsid w:val="00295DB8"/>
    <w:rsid w:val="002A31A4"/>
    <w:rsid w:val="002B1DB4"/>
    <w:rsid w:val="002B2E3A"/>
    <w:rsid w:val="002B5D9F"/>
    <w:rsid w:val="002B74E3"/>
    <w:rsid w:val="002C2C08"/>
    <w:rsid w:val="002D0BAF"/>
    <w:rsid w:val="002D2E6A"/>
    <w:rsid w:val="002D76E5"/>
    <w:rsid w:val="002E1D31"/>
    <w:rsid w:val="003035DB"/>
    <w:rsid w:val="00314741"/>
    <w:rsid w:val="00316315"/>
    <w:rsid w:val="00333DC1"/>
    <w:rsid w:val="00345E29"/>
    <w:rsid w:val="00346002"/>
    <w:rsid w:val="00353E23"/>
    <w:rsid w:val="00362E9F"/>
    <w:rsid w:val="003633D7"/>
    <w:rsid w:val="0036429D"/>
    <w:rsid w:val="00377DC2"/>
    <w:rsid w:val="003850E0"/>
    <w:rsid w:val="00385524"/>
    <w:rsid w:val="00390B54"/>
    <w:rsid w:val="0039166A"/>
    <w:rsid w:val="00391D4E"/>
    <w:rsid w:val="0039519E"/>
    <w:rsid w:val="00395F8E"/>
    <w:rsid w:val="003B05EB"/>
    <w:rsid w:val="003B0EB6"/>
    <w:rsid w:val="003B367A"/>
    <w:rsid w:val="003B60A8"/>
    <w:rsid w:val="003B6B7F"/>
    <w:rsid w:val="003C0E4A"/>
    <w:rsid w:val="003D0DDE"/>
    <w:rsid w:val="003D2E17"/>
    <w:rsid w:val="003E563E"/>
    <w:rsid w:val="003F2A87"/>
    <w:rsid w:val="003F62EE"/>
    <w:rsid w:val="00415F3D"/>
    <w:rsid w:val="004168FF"/>
    <w:rsid w:val="004237C4"/>
    <w:rsid w:val="004245FD"/>
    <w:rsid w:val="004278B6"/>
    <w:rsid w:val="00440423"/>
    <w:rsid w:val="004421A9"/>
    <w:rsid w:val="00443A1D"/>
    <w:rsid w:val="0044555B"/>
    <w:rsid w:val="00447B2B"/>
    <w:rsid w:val="00454975"/>
    <w:rsid w:val="00460882"/>
    <w:rsid w:val="004662AC"/>
    <w:rsid w:val="00470035"/>
    <w:rsid w:val="00471F65"/>
    <w:rsid w:val="00482160"/>
    <w:rsid w:val="00495493"/>
    <w:rsid w:val="00496830"/>
    <w:rsid w:val="00496D8B"/>
    <w:rsid w:val="004A3087"/>
    <w:rsid w:val="004B1904"/>
    <w:rsid w:val="004B3614"/>
    <w:rsid w:val="004D30D2"/>
    <w:rsid w:val="004D3646"/>
    <w:rsid w:val="004D47E4"/>
    <w:rsid w:val="004D6630"/>
    <w:rsid w:val="004E00CC"/>
    <w:rsid w:val="004E12CB"/>
    <w:rsid w:val="004E1D06"/>
    <w:rsid w:val="004E6401"/>
    <w:rsid w:val="004F668B"/>
    <w:rsid w:val="004F75A9"/>
    <w:rsid w:val="00500E85"/>
    <w:rsid w:val="0050361E"/>
    <w:rsid w:val="005042F9"/>
    <w:rsid w:val="00505B79"/>
    <w:rsid w:val="00510EA2"/>
    <w:rsid w:val="005144CD"/>
    <w:rsid w:val="00520D92"/>
    <w:rsid w:val="0053194B"/>
    <w:rsid w:val="00532205"/>
    <w:rsid w:val="005438A3"/>
    <w:rsid w:val="00544304"/>
    <w:rsid w:val="005462A0"/>
    <w:rsid w:val="00553BBD"/>
    <w:rsid w:val="0055480B"/>
    <w:rsid w:val="00561C58"/>
    <w:rsid w:val="00565920"/>
    <w:rsid w:val="005904E1"/>
    <w:rsid w:val="0059313E"/>
    <w:rsid w:val="00595A25"/>
    <w:rsid w:val="005A1372"/>
    <w:rsid w:val="005A34D3"/>
    <w:rsid w:val="005A4DDD"/>
    <w:rsid w:val="005A56C6"/>
    <w:rsid w:val="005B1F3B"/>
    <w:rsid w:val="005B588A"/>
    <w:rsid w:val="005D17F8"/>
    <w:rsid w:val="005E09F6"/>
    <w:rsid w:val="005E1587"/>
    <w:rsid w:val="005E2B7C"/>
    <w:rsid w:val="005E46F1"/>
    <w:rsid w:val="005F069C"/>
    <w:rsid w:val="005F0BD6"/>
    <w:rsid w:val="00610F93"/>
    <w:rsid w:val="00611168"/>
    <w:rsid w:val="00624352"/>
    <w:rsid w:val="00625F74"/>
    <w:rsid w:val="00630BCA"/>
    <w:rsid w:val="006319C1"/>
    <w:rsid w:val="00640CEB"/>
    <w:rsid w:val="00641349"/>
    <w:rsid w:val="00646237"/>
    <w:rsid w:val="0065071C"/>
    <w:rsid w:val="00655D37"/>
    <w:rsid w:val="00657296"/>
    <w:rsid w:val="00665C79"/>
    <w:rsid w:val="00683885"/>
    <w:rsid w:val="006953E6"/>
    <w:rsid w:val="006A0F19"/>
    <w:rsid w:val="006A7CD4"/>
    <w:rsid w:val="006C01CA"/>
    <w:rsid w:val="006C6581"/>
    <w:rsid w:val="006E762C"/>
    <w:rsid w:val="006F28CA"/>
    <w:rsid w:val="006F2C87"/>
    <w:rsid w:val="007005D9"/>
    <w:rsid w:val="00700766"/>
    <w:rsid w:val="00724AF1"/>
    <w:rsid w:val="00731C53"/>
    <w:rsid w:val="007348BC"/>
    <w:rsid w:val="00736247"/>
    <w:rsid w:val="007403BE"/>
    <w:rsid w:val="00747C3E"/>
    <w:rsid w:val="00752277"/>
    <w:rsid w:val="00754A3C"/>
    <w:rsid w:val="00756C2F"/>
    <w:rsid w:val="007606E8"/>
    <w:rsid w:val="00772976"/>
    <w:rsid w:val="007852DA"/>
    <w:rsid w:val="00796FC6"/>
    <w:rsid w:val="007A187C"/>
    <w:rsid w:val="007A7B32"/>
    <w:rsid w:val="007B30D2"/>
    <w:rsid w:val="007C12EE"/>
    <w:rsid w:val="007C1C24"/>
    <w:rsid w:val="007C5383"/>
    <w:rsid w:val="007D0B69"/>
    <w:rsid w:val="007F701F"/>
    <w:rsid w:val="00814CAC"/>
    <w:rsid w:val="00815F08"/>
    <w:rsid w:val="008237F3"/>
    <w:rsid w:val="00826051"/>
    <w:rsid w:val="00827137"/>
    <w:rsid w:val="008342B1"/>
    <w:rsid w:val="008401F5"/>
    <w:rsid w:val="00851F2B"/>
    <w:rsid w:val="00864909"/>
    <w:rsid w:val="008660FB"/>
    <w:rsid w:val="00867BD1"/>
    <w:rsid w:val="00881A1F"/>
    <w:rsid w:val="00883FC4"/>
    <w:rsid w:val="008A7500"/>
    <w:rsid w:val="008B2E1D"/>
    <w:rsid w:val="008C20D0"/>
    <w:rsid w:val="008D723B"/>
    <w:rsid w:val="008E6F29"/>
    <w:rsid w:val="008F19BC"/>
    <w:rsid w:val="00904020"/>
    <w:rsid w:val="00906C78"/>
    <w:rsid w:val="00907786"/>
    <w:rsid w:val="00910277"/>
    <w:rsid w:val="0091117B"/>
    <w:rsid w:val="00911A20"/>
    <w:rsid w:val="00912269"/>
    <w:rsid w:val="00915D72"/>
    <w:rsid w:val="00916FEB"/>
    <w:rsid w:val="009177EB"/>
    <w:rsid w:val="00921A04"/>
    <w:rsid w:val="009249FB"/>
    <w:rsid w:val="00942FE9"/>
    <w:rsid w:val="0095647A"/>
    <w:rsid w:val="009702FA"/>
    <w:rsid w:val="00970949"/>
    <w:rsid w:val="00984E71"/>
    <w:rsid w:val="00987BF2"/>
    <w:rsid w:val="00991DAB"/>
    <w:rsid w:val="00992ABC"/>
    <w:rsid w:val="009968DE"/>
    <w:rsid w:val="009A53BD"/>
    <w:rsid w:val="009D0B50"/>
    <w:rsid w:val="009D21BC"/>
    <w:rsid w:val="009D37CE"/>
    <w:rsid w:val="009D4008"/>
    <w:rsid w:val="009E4E4B"/>
    <w:rsid w:val="009F5B3C"/>
    <w:rsid w:val="009F5B93"/>
    <w:rsid w:val="00A13285"/>
    <w:rsid w:val="00A213D5"/>
    <w:rsid w:val="00A22D48"/>
    <w:rsid w:val="00A26CAA"/>
    <w:rsid w:val="00A36365"/>
    <w:rsid w:val="00A41E65"/>
    <w:rsid w:val="00A47DEC"/>
    <w:rsid w:val="00A5531B"/>
    <w:rsid w:val="00A706C6"/>
    <w:rsid w:val="00A73233"/>
    <w:rsid w:val="00A74A3F"/>
    <w:rsid w:val="00A842D7"/>
    <w:rsid w:val="00AA73E3"/>
    <w:rsid w:val="00AB1224"/>
    <w:rsid w:val="00AB35D1"/>
    <w:rsid w:val="00AD39A4"/>
    <w:rsid w:val="00AD6D79"/>
    <w:rsid w:val="00AE0ADD"/>
    <w:rsid w:val="00AE12B3"/>
    <w:rsid w:val="00AE48FE"/>
    <w:rsid w:val="00AE7175"/>
    <w:rsid w:val="00AF0397"/>
    <w:rsid w:val="00AF5022"/>
    <w:rsid w:val="00B00C41"/>
    <w:rsid w:val="00B013DD"/>
    <w:rsid w:val="00B02D41"/>
    <w:rsid w:val="00B0759A"/>
    <w:rsid w:val="00B16A76"/>
    <w:rsid w:val="00B173B6"/>
    <w:rsid w:val="00B203A3"/>
    <w:rsid w:val="00B203D0"/>
    <w:rsid w:val="00B20516"/>
    <w:rsid w:val="00B23D88"/>
    <w:rsid w:val="00B345C5"/>
    <w:rsid w:val="00B41D35"/>
    <w:rsid w:val="00B42E4C"/>
    <w:rsid w:val="00B55507"/>
    <w:rsid w:val="00B55BC9"/>
    <w:rsid w:val="00B62282"/>
    <w:rsid w:val="00B65A5D"/>
    <w:rsid w:val="00B70706"/>
    <w:rsid w:val="00B7075D"/>
    <w:rsid w:val="00B73E96"/>
    <w:rsid w:val="00B8011C"/>
    <w:rsid w:val="00BA1CB8"/>
    <w:rsid w:val="00BA2F64"/>
    <w:rsid w:val="00BA5ED6"/>
    <w:rsid w:val="00BC22D7"/>
    <w:rsid w:val="00BD6713"/>
    <w:rsid w:val="00BE5CE0"/>
    <w:rsid w:val="00BF328A"/>
    <w:rsid w:val="00BF4EFD"/>
    <w:rsid w:val="00C015D3"/>
    <w:rsid w:val="00C01BE2"/>
    <w:rsid w:val="00C044B2"/>
    <w:rsid w:val="00C070B3"/>
    <w:rsid w:val="00C22B71"/>
    <w:rsid w:val="00C240EC"/>
    <w:rsid w:val="00C2471C"/>
    <w:rsid w:val="00C278ED"/>
    <w:rsid w:val="00C32D56"/>
    <w:rsid w:val="00C32E4A"/>
    <w:rsid w:val="00C3615E"/>
    <w:rsid w:val="00C4634E"/>
    <w:rsid w:val="00C47D99"/>
    <w:rsid w:val="00C50FC1"/>
    <w:rsid w:val="00C52896"/>
    <w:rsid w:val="00C52E0D"/>
    <w:rsid w:val="00C54A75"/>
    <w:rsid w:val="00C64B50"/>
    <w:rsid w:val="00C6505E"/>
    <w:rsid w:val="00C737C1"/>
    <w:rsid w:val="00C75E20"/>
    <w:rsid w:val="00C77025"/>
    <w:rsid w:val="00C808EB"/>
    <w:rsid w:val="00C84016"/>
    <w:rsid w:val="00C871D6"/>
    <w:rsid w:val="00C90034"/>
    <w:rsid w:val="00C92D23"/>
    <w:rsid w:val="00C956CC"/>
    <w:rsid w:val="00C96570"/>
    <w:rsid w:val="00CA2F7E"/>
    <w:rsid w:val="00CB0893"/>
    <w:rsid w:val="00CB15B7"/>
    <w:rsid w:val="00CC2AFC"/>
    <w:rsid w:val="00CD0AE8"/>
    <w:rsid w:val="00CD2F8E"/>
    <w:rsid w:val="00CD4903"/>
    <w:rsid w:val="00CE5436"/>
    <w:rsid w:val="00CE62A3"/>
    <w:rsid w:val="00D01864"/>
    <w:rsid w:val="00D05F52"/>
    <w:rsid w:val="00D237A1"/>
    <w:rsid w:val="00D27B39"/>
    <w:rsid w:val="00D40200"/>
    <w:rsid w:val="00D42FE3"/>
    <w:rsid w:val="00D554DF"/>
    <w:rsid w:val="00D56E68"/>
    <w:rsid w:val="00D63C19"/>
    <w:rsid w:val="00D66C43"/>
    <w:rsid w:val="00D75FE6"/>
    <w:rsid w:val="00D8396D"/>
    <w:rsid w:val="00D84459"/>
    <w:rsid w:val="00D848C6"/>
    <w:rsid w:val="00D867F5"/>
    <w:rsid w:val="00DA50D4"/>
    <w:rsid w:val="00DA5E7C"/>
    <w:rsid w:val="00DB4879"/>
    <w:rsid w:val="00DC237D"/>
    <w:rsid w:val="00DD067B"/>
    <w:rsid w:val="00DD466E"/>
    <w:rsid w:val="00DE51A8"/>
    <w:rsid w:val="00DE5616"/>
    <w:rsid w:val="00DE5AC7"/>
    <w:rsid w:val="00DF47C5"/>
    <w:rsid w:val="00E022AF"/>
    <w:rsid w:val="00E1166B"/>
    <w:rsid w:val="00E135F7"/>
    <w:rsid w:val="00E15A78"/>
    <w:rsid w:val="00E22E70"/>
    <w:rsid w:val="00E30BC7"/>
    <w:rsid w:val="00E31924"/>
    <w:rsid w:val="00E36E5A"/>
    <w:rsid w:val="00E46F09"/>
    <w:rsid w:val="00E60F1C"/>
    <w:rsid w:val="00E66EC9"/>
    <w:rsid w:val="00E74C6C"/>
    <w:rsid w:val="00E961B7"/>
    <w:rsid w:val="00EA3737"/>
    <w:rsid w:val="00EA7E69"/>
    <w:rsid w:val="00EB3A83"/>
    <w:rsid w:val="00EB4504"/>
    <w:rsid w:val="00EB7644"/>
    <w:rsid w:val="00EC23D8"/>
    <w:rsid w:val="00EC402C"/>
    <w:rsid w:val="00EC6A82"/>
    <w:rsid w:val="00ED3B44"/>
    <w:rsid w:val="00EE730F"/>
    <w:rsid w:val="00EF4F6D"/>
    <w:rsid w:val="00F007E4"/>
    <w:rsid w:val="00F04ABD"/>
    <w:rsid w:val="00F05562"/>
    <w:rsid w:val="00F06C2B"/>
    <w:rsid w:val="00F07826"/>
    <w:rsid w:val="00F11C6B"/>
    <w:rsid w:val="00F2012C"/>
    <w:rsid w:val="00F204F0"/>
    <w:rsid w:val="00F22A52"/>
    <w:rsid w:val="00F26B42"/>
    <w:rsid w:val="00F32145"/>
    <w:rsid w:val="00F3704A"/>
    <w:rsid w:val="00F46A93"/>
    <w:rsid w:val="00F65397"/>
    <w:rsid w:val="00F72C83"/>
    <w:rsid w:val="00F85E01"/>
    <w:rsid w:val="00FA4358"/>
    <w:rsid w:val="00FB7AC7"/>
    <w:rsid w:val="00FE0E56"/>
    <w:rsid w:val="00FF5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F7AC"/>
  <w15:docId w15:val="{9A8B3457-DA4C-4F29-8790-CD498D84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6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2D76E5"/>
    <w:pPr>
      <w:ind w:left="720"/>
      <w:contextualSpacing/>
    </w:pPr>
  </w:style>
  <w:style w:type="paragraph" w:styleId="FootnoteText">
    <w:name w:val="footnote text"/>
    <w:basedOn w:val="Normal"/>
    <w:link w:val="FootnoteTextChar"/>
    <w:uiPriority w:val="99"/>
    <w:semiHidden/>
    <w:unhideWhenUsed/>
    <w:rsid w:val="002D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6E5"/>
    <w:rPr>
      <w:sz w:val="20"/>
      <w:szCs w:val="20"/>
    </w:rPr>
  </w:style>
  <w:style w:type="character" w:styleId="FootnoteReference">
    <w:name w:val="footnote reference"/>
    <w:basedOn w:val="DefaultParagraphFont"/>
    <w:uiPriority w:val="99"/>
    <w:semiHidden/>
    <w:unhideWhenUsed/>
    <w:rsid w:val="002D76E5"/>
    <w:rPr>
      <w:vertAlign w:val="superscript"/>
    </w:rPr>
  </w:style>
  <w:style w:type="table" w:customStyle="1" w:styleId="Lentelstinklelis1">
    <w:name w:val="Lentelės tinklelis1"/>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06330208">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19221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2036-7156-49AA-ADD6-46AF1EE0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2</cp:revision>
  <cp:lastPrinted>2017-04-24T06:16:00Z</cp:lastPrinted>
  <dcterms:created xsi:type="dcterms:W3CDTF">2017-05-15T13:29:00Z</dcterms:created>
  <dcterms:modified xsi:type="dcterms:W3CDTF">2017-05-15T13:29:00Z</dcterms:modified>
</cp:coreProperties>
</file>