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A00" w:rsidRPr="00B1416B" w:rsidRDefault="00667A00" w:rsidP="00AF484F">
      <w:pPr>
        <w:jc w:val="center"/>
        <w:rPr>
          <w:rFonts w:ascii="Times New Roman" w:hAnsi="Times New Roman" w:cs="Times New Roman"/>
          <w:b/>
          <w:sz w:val="24"/>
          <w:szCs w:val="24"/>
          <w:lang w:val="lt-LT"/>
        </w:rPr>
      </w:pPr>
      <w:r w:rsidRPr="00B1416B">
        <w:rPr>
          <w:rFonts w:ascii="Times New Roman" w:eastAsia="Calibri" w:hAnsi="Times New Roman" w:cs="Times New Roman"/>
          <w:noProof/>
          <w:sz w:val="24"/>
          <w:szCs w:val="24"/>
          <w:lang w:val="en-US"/>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667A00" w:rsidRPr="00B1416B" w:rsidRDefault="00667A00" w:rsidP="00667A00">
      <w:pPr>
        <w:jc w:val="center"/>
        <w:rPr>
          <w:rFonts w:ascii="Times New Roman" w:hAnsi="Times New Roman" w:cs="Times New Roman"/>
          <w:b/>
          <w:bCs/>
          <w:sz w:val="24"/>
          <w:szCs w:val="24"/>
          <w:lang w:val="lt-LT"/>
        </w:rPr>
      </w:pPr>
      <w:r w:rsidRPr="00B1416B">
        <w:rPr>
          <w:rFonts w:ascii="Times New Roman" w:hAnsi="Times New Roman" w:cs="Times New Roman"/>
          <w:b/>
          <w:bCs/>
          <w:sz w:val="24"/>
          <w:szCs w:val="24"/>
          <w:lang w:val="lt-LT"/>
        </w:rPr>
        <w:t>VIEŠŲJŲ PIRKIMŲ TARNYBA</w:t>
      </w:r>
    </w:p>
    <w:p w:rsidR="00667A00" w:rsidRPr="00B1416B" w:rsidRDefault="00667A00" w:rsidP="00667A00">
      <w:pPr>
        <w:jc w:val="center"/>
        <w:rPr>
          <w:rFonts w:ascii="Times New Roman" w:hAnsi="Times New Roman" w:cs="Times New Roman"/>
          <w:b/>
          <w:bCs/>
          <w:sz w:val="24"/>
          <w:szCs w:val="24"/>
          <w:lang w:val="lt-LT"/>
        </w:rPr>
      </w:pPr>
      <w:r w:rsidRPr="00B1416B">
        <w:rPr>
          <w:rFonts w:ascii="Times New Roman" w:hAnsi="Times New Roman" w:cs="Times New Roman"/>
          <w:b/>
          <w:bCs/>
          <w:sz w:val="24"/>
          <w:szCs w:val="24"/>
          <w:lang w:val="lt-LT"/>
        </w:rPr>
        <w:t>KONTROLĖS SKYRIUS</w:t>
      </w:r>
    </w:p>
    <w:p w:rsidR="006760D4" w:rsidRPr="00B1416B" w:rsidRDefault="006760D4" w:rsidP="00667A00">
      <w:pPr>
        <w:jc w:val="center"/>
        <w:rPr>
          <w:rFonts w:ascii="Times New Roman" w:hAnsi="Times New Roman" w:cs="Times New Roman"/>
          <w:b/>
          <w:bCs/>
          <w:sz w:val="24"/>
          <w:szCs w:val="24"/>
          <w:lang w:val="lt-LT"/>
        </w:rPr>
      </w:pPr>
      <w:r w:rsidRPr="00B1416B">
        <w:rPr>
          <w:rFonts w:ascii="Times New Roman" w:hAnsi="Times New Roman" w:cs="Times New Roman"/>
          <w:b/>
          <w:bCs/>
          <w:sz w:val="24"/>
          <w:szCs w:val="24"/>
          <w:lang w:val="lt-LT"/>
        </w:rPr>
        <w:t>PI</w:t>
      </w:r>
      <w:r w:rsidR="00CD5FFF" w:rsidRPr="00B1416B">
        <w:rPr>
          <w:rFonts w:ascii="Times New Roman" w:hAnsi="Times New Roman" w:cs="Times New Roman"/>
          <w:b/>
          <w:bCs/>
          <w:sz w:val="24"/>
          <w:szCs w:val="24"/>
          <w:lang w:val="lt-LT"/>
        </w:rPr>
        <w:t>R</w:t>
      </w:r>
      <w:r w:rsidR="00FE3BCA" w:rsidRPr="00B1416B">
        <w:rPr>
          <w:rFonts w:ascii="Times New Roman" w:hAnsi="Times New Roman" w:cs="Times New Roman"/>
          <w:b/>
          <w:bCs/>
          <w:sz w:val="24"/>
          <w:szCs w:val="24"/>
          <w:lang w:val="lt-LT"/>
        </w:rPr>
        <w:t>KIMO</w:t>
      </w:r>
      <w:r w:rsidRPr="00B1416B">
        <w:rPr>
          <w:rFonts w:ascii="Times New Roman" w:hAnsi="Times New Roman" w:cs="Times New Roman"/>
          <w:b/>
          <w:bCs/>
          <w:sz w:val="24"/>
          <w:szCs w:val="24"/>
          <w:lang w:val="lt-LT"/>
        </w:rPr>
        <w:t xml:space="preserve"> VERTINIMO IŠVADA</w:t>
      </w:r>
    </w:p>
    <w:p w:rsidR="006760D4" w:rsidRPr="00B1416B" w:rsidRDefault="00FE3BCA" w:rsidP="003114CE">
      <w:pPr>
        <w:jc w:val="center"/>
        <w:rPr>
          <w:rFonts w:ascii="Times New Roman" w:hAnsi="Times New Roman" w:cs="Times New Roman"/>
          <w:sz w:val="24"/>
          <w:szCs w:val="24"/>
          <w:lang w:val="lt-LT"/>
        </w:rPr>
      </w:pPr>
      <w:r w:rsidRPr="00B1416B">
        <w:rPr>
          <w:rFonts w:ascii="Times New Roman" w:hAnsi="Times New Roman" w:cs="Times New Roman"/>
          <w:sz w:val="24"/>
          <w:szCs w:val="24"/>
          <w:u w:val="single"/>
          <w:lang w:val="lt-LT"/>
        </w:rPr>
        <w:t>2016-08</w:t>
      </w:r>
      <w:r w:rsidR="003114CE" w:rsidRPr="00B1416B">
        <w:rPr>
          <w:rFonts w:ascii="Times New Roman" w:hAnsi="Times New Roman" w:cs="Times New Roman"/>
          <w:sz w:val="24"/>
          <w:szCs w:val="24"/>
          <w:u w:val="single"/>
          <w:lang w:val="lt-LT"/>
        </w:rPr>
        <w:t xml:space="preserve">- </w:t>
      </w:r>
      <w:r w:rsidR="006760D4" w:rsidRPr="00B1416B">
        <w:rPr>
          <w:rFonts w:ascii="Times New Roman" w:hAnsi="Times New Roman" w:cs="Times New Roman"/>
          <w:sz w:val="24"/>
          <w:szCs w:val="24"/>
          <w:u w:val="single"/>
          <w:lang w:val="lt-LT"/>
        </w:rPr>
        <w:t>_</w:t>
      </w:r>
      <w:r w:rsidR="003114CE" w:rsidRPr="00B1416B">
        <w:rPr>
          <w:rFonts w:ascii="Times New Roman" w:hAnsi="Times New Roman" w:cs="Times New Roman"/>
          <w:sz w:val="24"/>
          <w:szCs w:val="24"/>
          <w:lang w:val="lt-LT"/>
        </w:rPr>
        <w:t xml:space="preserve">  </w:t>
      </w:r>
      <w:r w:rsidR="006760D4" w:rsidRPr="00B1416B">
        <w:rPr>
          <w:rFonts w:ascii="Times New Roman" w:hAnsi="Times New Roman" w:cs="Times New Roman"/>
          <w:sz w:val="24"/>
          <w:szCs w:val="24"/>
          <w:lang w:val="lt-LT"/>
        </w:rPr>
        <w:t>Nr. 4S-_________</w:t>
      </w:r>
    </w:p>
    <w:p w:rsidR="00667A00" w:rsidRPr="00B1416B" w:rsidRDefault="00667A00" w:rsidP="003114CE">
      <w:pPr>
        <w:jc w:val="center"/>
        <w:rPr>
          <w:rFonts w:ascii="Times New Roman" w:hAnsi="Times New Roman" w:cs="Times New Roman"/>
          <w:sz w:val="24"/>
          <w:szCs w:val="24"/>
          <w:lang w:val="lt-LT"/>
        </w:rPr>
      </w:pPr>
      <w:r w:rsidRPr="00B1416B">
        <w:rPr>
          <w:rFonts w:ascii="Times New Roman" w:hAnsi="Times New Roman" w:cs="Times New Roman"/>
          <w:sz w:val="24"/>
          <w:szCs w:val="24"/>
          <w:lang w:val="lt-LT"/>
        </w:rPr>
        <w:t>Vilnius</w:t>
      </w:r>
    </w:p>
    <w:p w:rsidR="004562AA" w:rsidRPr="00B1416B" w:rsidRDefault="005021D3" w:rsidP="004562AA">
      <w:pPr>
        <w:spacing w:after="0" w:line="240" w:lineRule="auto"/>
        <w:ind w:firstLine="709"/>
        <w:jc w:val="both"/>
        <w:rPr>
          <w:rFonts w:ascii="Times New Roman" w:hAnsi="Times New Roman" w:cs="Times New Roman"/>
          <w:bCs/>
          <w:sz w:val="24"/>
          <w:szCs w:val="24"/>
          <w:lang w:val="lt-LT"/>
        </w:rPr>
      </w:pPr>
      <w:r w:rsidRPr="00B1416B">
        <w:rPr>
          <w:rFonts w:ascii="Times New Roman" w:hAnsi="Times New Roman" w:cs="Times New Roman"/>
          <w:sz w:val="24"/>
          <w:szCs w:val="24"/>
          <w:lang w:val="lt-LT"/>
        </w:rPr>
        <w:t>Viešųjų pirkimų tarnyba (toliau – Tarnyba), vadovaudamasi Lietuvos Respublikos viešųjų pirkimų įstatymo 8</w:t>
      </w:r>
      <w:r w:rsidRPr="00B1416B">
        <w:rPr>
          <w:rFonts w:ascii="Times New Roman" w:hAnsi="Times New Roman" w:cs="Times New Roman"/>
          <w:sz w:val="24"/>
          <w:szCs w:val="24"/>
          <w:vertAlign w:val="superscript"/>
          <w:lang w:val="lt-LT"/>
        </w:rPr>
        <w:t>2</w:t>
      </w:r>
      <w:r w:rsidRPr="00B1416B">
        <w:rPr>
          <w:rFonts w:ascii="Times New Roman" w:hAnsi="Times New Roman" w:cs="Times New Roman"/>
          <w:sz w:val="24"/>
          <w:szCs w:val="24"/>
          <w:lang w:val="lt-LT"/>
        </w:rPr>
        <w:t xml:space="preserve"> straipsnio 1 dalies 2 punktu, </w:t>
      </w:r>
      <w:r w:rsidR="004562AA" w:rsidRPr="00B1416B">
        <w:rPr>
          <w:rFonts w:ascii="Times New Roman" w:hAnsi="Times New Roman" w:cs="Times New Roman"/>
          <w:sz w:val="24"/>
          <w:szCs w:val="24"/>
          <w:lang w:val="lt-LT"/>
        </w:rPr>
        <w:t>įvertino</w:t>
      </w:r>
      <w:r w:rsidRPr="00B1416B">
        <w:rPr>
          <w:rFonts w:ascii="Times New Roman" w:hAnsi="Times New Roman" w:cs="Times New Roman"/>
          <w:sz w:val="24"/>
          <w:szCs w:val="24"/>
          <w:lang w:val="lt-LT"/>
        </w:rPr>
        <w:t xml:space="preserve"> </w:t>
      </w:r>
      <w:r w:rsidR="00FE3BCA" w:rsidRPr="00B1416B">
        <w:rPr>
          <w:rFonts w:ascii="Times New Roman" w:hAnsi="Times New Roman" w:cs="Times New Roman"/>
          <w:sz w:val="24"/>
          <w:szCs w:val="24"/>
          <w:lang w:val="lt-LT"/>
        </w:rPr>
        <w:t>VšĮ</w:t>
      </w:r>
      <w:r w:rsidR="00D361EE" w:rsidRPr="00B1416B">
        <w:rPr>
          <w:rFonts w:ascii="Times New Roman" w:hAnsi="Times New Roman" w:cs="Times New Roman"/>
          <w:sz w:val="24"/>
          <w:szCs w:val="24"/>
          <w:lang w:val="lt-LT"/>
        </w:rPr>
        <w:t xml:space="preserve"> „</w:t>
      </w:r>
      <w:r w:rsidR="00FE3BCA" w:rsidRPr="00B1416B">
        <w:rPr>
          <w:rFonts w:ascii="Times New Roman" w:hAnsi="Times New Roman" w:cs="Times New Roman"/>
          <w:sz w:val="24"/>
          <w:szCs w:val="24"/>
          <w:lang w:val="lt-LT"/>
        </w:rPr>
        <w:t>Utenos ligoninė</w:t>
      </w:r>
      <w:r w:rsidR="00D361EE" w:rsidRPr="00B1416B">
        <w:rPr>
          <w:rFonts w:ascii="Times New Roman" w:hAnsi="Times New Roman" w:cs="Times New Roman"/>
          <w:sz w:val="24"/>
          <w:szCs w:val="24"/>
          <w:lang w:val="lt-LT"/>
        </w:rPr>
        <w:t>“</w:t>
      </w:r>
      <w:r w:rsidRPr="00B1416B">
        <w:rPr>
          <w:rFonts w:ascii="Times New Roman" w:hAnsi="Times New Roman" w:cs="Times New Roman"/>
          <w:sz w:val="24"/>
          <w:szCs w:val="24"/>
          <w:lang w:val="lt-LT"/>
        </w:rPr>
        <w:t xml:space="preserve"> (toliau – Perkančioji organizacija) </w:t>
      </w:r>
      <w:r w:rsidR="004562AA" w:rsidRPr="00B1416B">
        <w:rPr>
          <w:rFonts w:ascii="Times New Roman" w:hAnsi="Times New Roman" w:cs="Times New Roman"/>
          <w:bCs/>
          <w:sz w:val="24"/>
          <w:szCs w:val="24"/>
          <w:lang w:val="lt-LT"/>
        </w:rPr>
        <w:t>pateiktus d</w:t>
      </w:r>
      <w:r w:rsidR="00D361EE" w:rsidRPr="00B1416B">
        <w:rPr>
          <w:rFonts w:ascii="Times New Roman" w:hAnsi="Times New Roman" w:cs="Times New Roman"/>
          <w:bCs/>
          <w:sz w:val="24"/>
          <w:szCs w:val="24"/>
          <w:lang w:val="lt-LT"/>
        </w:rPr>
        <w:t>okumentus, susijusius su vykdomu</w:t>
      </w:r>
      <w:r w:rsidR="004562AA" w:rsidRPr="00B1416B">
        <w:rPr>
          <w:rFonts w:ascii="Times New Roman" w:hAnsi="Times New Roman" w:cs="Times New Roman"/>
          <w:bCs/>
          <w:sz w:val="24"/>
          <w:szCs w:val="24"/>
          <w:lang w:val="lt-LT"/>
        </w:rPr>
        <w:t xml:space="preserve"> viešuoju pirkimu.</w:t>
      </w:r>
    </w:p>
    <w:p w:rsidR="00A03381" w:rsidRPr="00B1416B" w:rsidRDefault="00A03381" w:rsidP="004562AA">
      <w:pPr>
        <w:spacing w:after="0" w:line="240" w:lineRule="auto"/>
        <w:ind w:firstLine="709"/>
        <w:jc w:val="both"/>
        <w:rPr>
          <w:rFonts w:ascii="Times New Roman" w:hAnsi="Times New Roman" w:cs="Times New Roman"/>
          <w:sz w:val="24"/>
          <w:szCs w:val="24"/>
          <w:lang w:val="lt-LT"/>
        </w:rPr>
      </w:pPr>
    </w:p>
    <w:p w:rsidR="00AB1809" w:rsidRPr="00B1416B" w:rsidRDefault="00AB1809" w:rsidP="004562AA">
      <w:pPr>
        <w:jc w:val="center"/>
        <w:rPr>
          <w:rFonts w:ascii="Times New Roman" w:hAnsi="Times New Roman" w:cs="Times New Roman"/>
          <w:b/>
          <w:sz w:val="24"/>
          <w:szCs w:val="24"/>
          <w:lang w:val="lt-LT"/>
        </w:rPr>
      </w:pPr>
      <w:r w:rsidRPr="00B1416B">
        <w:rPr>
          <w:rFonts w:ascii="Times New Roman" w:hAnsi="Times New Roman" w:cs="Times New Roman"/>
          <w:b/>
          <w:sz w:val="24"/>
          <w:szCs w:val="24"/>
          <w:lang w:val="lt-LT"/>
        </w:rPr>
        <w:t>I dalis.</w:t>
      </w:r>
      <w:r w:rsidR="007E4301" w:rsidRPr="00B1416B">
        <w:rPr>
          <w:rFonts w:ascii="Times New Roman" w:hAnsi="Times New Roman" w:cs="Times New Roman"/>
          <w:b/>
          <w:sz w:val="24"/>
          <w:szCs w:val="24"/>
          <w:lang w:val="lt-LT"/>
        </w:rPr>
        <w:t xml:space="preserve"> Bendra informacija</w:t>
      </w:r>
    </w:p>
    <w:tbl>
      <w:tblPr>
        <w:tblStyle w:val="TableGrid"/>
        <w:tblW w:w="9606" w:type="dxa"/>
        <w:tblLook w:val="04A0" w:firstRow="1" w:lastRow="0" w:firstColumn="1" w:lastColumn="0" w:noHBand="0" w:noVBand="1"/>
      </w:tblPr>
      <w:tblGrid>
        <w:gridCol w:w="4672"/>
        <w:gridCol w:w="4934"/>
      </w:tblGrid>
      <w:tr w:rsidR="00AB1809" w:rsidRPr="00B1416B" w:rsidTr="0081274A">
        <w:tc>
          <w:tcPr>
            <w:tcW w:w="4672" w:type="dxa"/>
          </w:tcPr>
          <w:p w:rsidR="00AB1809" w:rsidRPr="00B1416B" w:rsidRDefault="00AB1809" w:rsidP="007E4301">
            <w:pPr>
              <w:jc w:val="center"/>
              <w:rPr>
                <w:rFonts w:ascii="Times New Roman" w:hAnsi="Times New Roman" w:cs="Times New Roman"/>
                <w:sz w:val="24"/>
                <w:szCs w:val="24"/>
                <w:lang w:val="lt-LT"/>
              </w:rPr>
            </w:pPr>
            <w:r w:rsidRPr="00B1416B">
              <w:rPr>
                <w:rFonts w:ascii="Times New Roman" w:hAnsi="Times New Roman" w:cs="Times New Roman"/>
                <w:sz w:val="24"/>
                <w:szCs w:val="24"/>
                <w:lang w:val="lt-LT"/>
              </w:rPr>
              <w:t xml:space="preserve">Pirkimo </w:t>
            </w:r>
            <w:r w:rsidR="007E4301" w:rsidRPr="00B1416B">
              <w:rPr>
                <w:rFonts w:ascii="Times New Roman" w:hAnsi="Times New Roman" w:cs="Times New Roman"/>
                <w:sz w:val="24"/>
                <w:szCs w:val="24"/>
                <w:lang w:val="lt-LT"/>
              </w:rPr>
              <w:t xml:space="preserve">pavadinimas, </w:t>
            </w:r>
            <w:r w:rsidRPr="00B1416B">
              <w:rPr>
                <w:rFonts w:ascii="Times New Roman" w:hAnsi="Times New Roman" w:cs="Times New Roman"/>
                <w:sz w:val="24"/>
                <w:szCs w:val="24"/>
                <w:lang w:val="lt-LT"/>
              </w:rPr>
              <w:t>numeris (jeigu skelbtas)</w:t>
            </w:r>
            <w:r w:rsidR="007E4301" w:rsidRPr="00B1416B">
              <w:rPr>
                <w:rFonts w:ascii="Times New Roman" w:hAnsi="Times New Roman" w:cs="Times New Roman"/>
                <w:sz w:val="24"/>
                <w:szCs w:val="24"/>
                <w:lang w:val="lt-LT"/>
              </w:rPr>
              <w:t>,</w:t>
            </w:r>
            <w:r w:rsidRPr="00B1416B">
              <w:rPr>
                <w:rFonts w:ascii="Times New Roman" w:hAnsi="Times New Roman" w:cs="Times New Roman"/>
                <w:sz w:val="24"/>
                <w:szCs w:val="24"/>
                <w:lang w:val="lt-LT"/>
              </w:rPr>
              <w:t xml:space="preserve"> pirkimo paskelbimo (kvietimo pateikti pasiūlymą) data</w:t>
            </w:r>
          </w:p>
        </w:tc>
        <w:tc>
          <w:tcPr>
            <w:tcW w:w="4934" w:type="dxa"/>
          </w:tcPr>
          <w:p w:rsidR="00AB1809" w:rsidRPr="00B1416B" w:rsidRDefault="00FE3BCA" w:rsidP="0080153D">
            <w:pPr>
              <w:ind w:firstLine="728"/>
              <w:jc w:val="both"/>
              <w:rPr>
                <w:rFonts w:ascii="Times New Roman" w:hAnsi="Times New Roman" w:cs="Times New Roman"/>
                <w:sz w:val="24"/>
                <w:szCs w:val="24"/>
                <w:lang w:val="lt-LT"/>
              </w:rPr>
            </w:pPr>
            <w:r w:rsidRPr="00B1416B">
              <w:rPr>
                <w:rFonts w:ascii="Times New Roman" w:hAnsi="Times New Roman" w:cs="Times New Roman"/>
                <w:i/>
                <w:sz w:val="24"/>
                <w:szCs w:val="24"/>
                <w:lang w:val="lt-LT"/>
              </w:rPr>
              <w:t>Klinikinės diagnostikos laboratorijos reagenta</w:t>
            </w:r>
            <w:r w:rsidR="00225D9A" w:rsidRPr="00B1416B">
              <w:rPr>
                <w:rFonts w:ascii="Times New Roman" w:hAnsi="Times New Roman" w:cs="Times New Roman"/>
                <w:i/>
                <w:sz w:val="24"/>
                <w:szCs w:val="24"/>
                <w:lang w:val="lt-LT"/>
              </w:rPr>
              <w:t>i ir pagalbinės darbo priemonės</w:t>
            </w:r>
            <w:r w:rsidRPr="00B1416B">
              <w:rPr>
                <w:rFonts w:ascii="Times New Roman" w:hAnsi="Times New Roman" w:cs="Times New Roman"/>
                <w:sz w:val="24"/>
                <w:szCs w:val="24"/>
                <w:lang w:val="lt-LT"/>
              </w:rPr>
              <w:t xml:space="preserve"> </w:t>
            </w:r>
            <w:r w:rsidR="00225D9A" w:rsidRPr="00B1416B">
              <w:rPr>
                <w:rFonts w:ascii="Times New Roman" w:hAnsi="Times New Roman" w:cs="Times New Roman"/>
                <w:sz w:val="24"/>
                <w:szCs w:val="24"/>
                <w:lang w:val="lt-LT"/>
              </w:rPr>
              <w:t>(s</w:t>
            </w:r>
            <w:r w:rsidRPr="00B1416B">
              <w:rPr>
                <w:rFonts w:ascii="Times New Roman" w:hAnsi="Times New Roman" w:cs="Times New Roman"/>
                <w:sz w:val="24"/>
                <w:szCs w:val="24"/>
                <w:lang w:val="lt-LT"/>
              </w:rPr>
              <w:t>kelbtas 2016-07</w:t>
            </w:r>
            <w:r w:rsidR="00D361EE" w:rsidRPr="00B1416B">
              <w:rPr>
                <w:rFonts w:ascii="Times New Roman" w:hAnsi="Times New Roman" w:cs="Times New Roman"/>
                <w:sz w:val="24"/>
                <w:szCs w:val="24"/>
                <w:lang w:val="lt-LT"/>
              </w:rPr>
              <w:t>-01</w:t>
            </w:r>
            <w:r w:rsidR="003114CE" w:rsidRPr="00B1416B">
              <w:rPr>
                <w:rFonts w:ascii="Times New Roman" w:hAnsi="Times New Roman" w:cs="Times New Roman"/>
                <w:sz w:val="24"/>
                <w:szCs w:val="24"/>
                <w:lang w:val="lt-LT"/>
              </w:rPr>
              <w:t xml:space="preserve"> Centrinėje viešųjų pirkimų informacinėje sistemoje (toliau –</w:t>
            </w:r>
            <w:r w:rsidR="00E5127A" w:rsidRPr="00B1416B">
              <w:rPr>
                <w:rFonts w:ascii="Times New Roman" w:hAnsi="Times New Roman" w:cs="Times New Roman"/>
                <w:sz w:val="24"/>
                <w:szCs w:val="24"/>
                <w:lang w:val="lt-LT"/>
              </w:rPr>
              <w:t xml:space="preserve"> CVP IS),</w:t>
            </w:r>
            <w:r w:rsidRPr="00B1416B">
              <w:rPr>
                <w:rFonts w:ascii="Times New Roman" w:hAnsi="Times New Roman" w:cs="Times New Roman"/>
                <w:sz w:val="24"/>
                <w:szCs w:val="24"/>
                <w:lang w:val="lt-LT"/>
              </w:rPr>
              <w:t xml:space="preserve"> pirkimo Nr. 176249</w:t>
            </w:r>
            <w:r w:rsidR="00E5127A" w:rsidRPr="00B1416B">
              <w:rPr>
                <w:rFonts w:ascii="Times New Roman" w:hAnsi="Times New Roman" w:cs="Times New Roman"/>
                <w:sz w:val="24"/>
                <w:szCs w:val="24"/>
                <w:lang w:val="lt-LT"/>
              </w:rPr>
              <w:t>; toliau - Pirkimas</w:t>
            </w:r>
            <w:r w:rsidR="00225D9A" w:rsidRPr="00B1416B">
              <w:rPr>
                <w:rFonts w:ascii="Times New Roman" w:hAnsi="Times New Roman" w:cs="Times New Roman"/>
                <w:sz w:val="24"/>
                <w:szCs w:val="24"/>
                <w:lang w:val="lt-LT"/>
              </w:rPr>
              <w:t>)</w:t>
            </w:r>
          </w:p>
        </w:tc>
      </w:tr>
      <w:tr w:rsidR="00AB1809" w:rsidRPr="00B1416B" w:rsidTr="0081274A">
        <w:tc>
          <w:tcPr>
            <w:tcW w:w="4672" w:type="dxa"/>
          </w:tcPr>
          <w:p w:rsidR="00AB1809" w:rsidRPr="00B1416B" w:rsidRDefault="00AB1809" w:rsidP="0081274A">
            <w:pPr>
              <w:jc w:val="center"/>
              <w:rPr>
                <w:rFonts w:ascii="Times New Roman" w:hAnsi="Times New Roman" w:cs="Times New Roman"/>
                <w:sz w:val="24"/>
                <w:szCs w:val="24"/>
                <w:lang w:val="lt-LT"/>
              </w:rPr>
            </w:pPr>
            <w:r w:rsidRPr="00B1416B">
              <w:rPr>
                <w:rFonts w:ascii="Times New Roman" w:hAnsi="Times New Roman" w:cs="Times New Roman"/>
                <w:sz w:val="24"/>
                <w:szCs w:val="24"/>
                <w:lang w:val="lt-LT"/>
              </w:rPr>
              <w:t>Pirkimo būdas</w:t>
            </w:r>
          </w:p>
        </w:tc>
        <w:tc>
          <w:tcPr>
            <w:tcW w:w="4934" w:type="dxa"/>
          </w:tcPr>
          <w:p w:rsidR="00AB1809" w:rsidRPr="00B1416B" w:rsidRDefault="006654ED" w:rsidP="006654ED">
            <w:pPr>
              <w:jc w:val="center"/>
              <w:rPr>
                <w:rFonts w:ascii="Times New Roman" w:hAnsi="Times New Roman" w:cs="Times New Roman"/>
                <w:sz w:val="24"/>
                <w:szCs w:val="24"/>
                <w:lang w:val="lt-LT"/>
              </w:rPr>
            </w:pPr>
            <w:r w:rsidRPr="00B1416B">
              <w:rPr>
                <w:rFonts w:ascii="Times New Roman" w:hAnsi="Times New Roman" w:cs="Times New Roman"/>
                <w:sz w:val="24"/>
                <w:szCs w:val="24"/>
                <w:lang w:val="lt-LT"/>
              </w:rPr>
              <w:t>A</w:t>
            </w:r>
            <w:r w:rsidR="00D361EE" w:rsidRPr="00B1416B">
              <w:rPr>
                <w:rFonts w:ascii="Times New Roman" w:hAnsi="Times New Roman" w:cs="Times New Roman"/>
                <w:sz w:val="24"/>
                <w:szCs w:val="24"/>
                <w:lang w:val="lt-LT"/>
              </w:rPr>
              <w:t>tviras konkursas</w:t>
            </w:r>
          </w:p>
        </w:tc>
      </w:tr>
      <w:tr w:rsidR="00AB1809" w:rsidRPr="00B1416B" w:rsidTr="0081274A">
        <w:tc>
          <w:tcPr>
            <w:tcW w:w="4672" w:type="dxa"/>
          </w:tcPr>
          <w:p w:rsidR="00AB1809" w:rsidRPr="00B1416B" w:rsidRDefault="00AB1809" w:rsidP="007E4301">
            <w:pPr>
              <w:jc w:val="center"/>
              <w:rPr>
                <w:rFonts w:ascii="Times New Roman" w:hAnsi="Times New Roman" w:cs="Times New Roman"/>
                <w:sz w:val="24"/>
                <w:szCs w:val="24"/>
                <w:lang w:val="lt-LT"/>
              </w:rPr>
            </w:pPr>
            <w:r w:rsidRPr="00B1416B">
              <w:rPr>
                <w:rFonts w:ascii="Times New Roman" w:hAnsi="Times New Roman" w:cs="Times New Roman"/>
                <w:sz w:val="24"/>
                <w:szCs w:val="24"/>
                <w:lang w:val="lt-LT"/>
              </w:rPr>
              <w:t xml:space="preserve">Planuojama </w:t>
            </w:r>
            <w:r w:rsidR="00CD5FFF" w:rsidRPr="00B1416B">
              <w:rPr>
                <w:rFonts w:ascii="Times New Roman" w:hAnsi="Times New Roman" w:cs="Times New Roman"/>
                <w:sz w:val="24"/>
                <w:szCs w:val="24"/>
                <w:lang w:val="lt-LT"/>
              </w:rPr>
              <w:t>(nenurodoma, jeigu pirkimas vertinamas iki vokų su pasiūlymais atplėšimo procedūros)</w:t>
            </w:r>
            <w:r w:rsidR="00D361EE" w:rsidRPr="00B1416B">
              <w:rPr>
                <w:rFonts w:ascii="Times New Roman" w:hAnsi="Times New Roman" w:cs="Times New Roman"/>
                <w:sz w:val="24"/>
                <w:szCs w:val="24"/>
                <w:lang w:val="lt-LT"/>
              </w:rPr>
              <w:t xml:space="preserve"> pirkimo sutarties vertė</w:t>
            </w:r>
            <w:r w:rsidR="005F3DC0" w:rsidRPr="00B1416B">
              <w:rPr>
                <w:rFonts w:ascii="Times New Roman" w:hAnsi="Times New Roman" w:cs="Times New Roman"/>
                <w:sz w:val="24"/>
                <w:szCs w:val="24"/>
                <w:lang w:val="lt-LT"/>
              </w:rPr>
              <w:t xml:space="preserve"> be</w:t>
            </w:r>
            <w:r w:rsidRPr="00B1416B">
              <w:rPr>
                <w:rFonts w:ascii="Times New Roman" w:hAnsi="Times New Roman" w:cs="Times New Roman"/>
                <w:sz w:val="24"/>
                <w:szCs w:val="24"/>
                <w:lang w:val="lt-LT"/>
              </w:rPr>
              <w:t xml:space="preserve"> PVM</w:t>
            </w:r>
          </w:p>
        </w:tc>
        <w:tc>
          <w:tcPr>
            <w:tcW w:w="4934" w:type="dxa"/>
          </w:tcPr>
          <w:p w:rsidR="00AB1809" w:rsidRPr="00B1416B" w:rsidRDefault="005F773A" w:rsidP="0081274A">
            <w:pPr>
              <w:jc w:val="center"/>
              <w:rPr>
                <w:rFonts w:ascii="Times New Roman" w:hAnsi="Times New Roman" w:cs="Times New Roman"/>
                <w:sz w:val="24"/>
                <w:szCs w:val="24"/>
                <w:lang w:val="lt-LT"/>
              </w:rPr>
            </w:pPr>
            <w:r>
              <w:rPr>
                <w:rFonts w:ascii="Times New Roman" w:hAnsi="Times New Roman" w:cs="Times New Roman"/>
                <w:sz w:val="24"/>
                <w:szCs w:val="24"/>
                <w:lang w:val="lt-LT"/>
              </w:rPr>
              <w:t>-</w:t>
            </w:r>
            <w:bookmarkStart w:id="0" w:name="_GoBack"/>
            <w:bookmarkEnd w:id="0"/>
          </w:p>
        </w:tc>
      </w:tr>
      <w:tr w:rsidR="00AB1809" w:rsidRPr="00B1416B" w:rsidTr="0081274A">
        <w:tc>
          <w:tcPr>
            <w:tcW w:w="4672" w:type="dxa"/>
          </w:tcPr>
          <w:p w:rsidR="00AB1809" w:rsidRPr="00B1416B" w:rsidRDefault="00AB1809" w:rsidP="00BA3D29">
            <w:pPr>
              <w:jc w:val="center"/>
              <w:rPr>
                <w:rFonts w:ascii="Times New Roman" w:hAnsi="Times New Roman" w:cs="Times New Roman"/>
                <w:sz w:val="24"/>
                <w:szCs w:val="24"/>
                <w:lang w:val="lt-LT"/>
              </w:rPr>
            </w:pPr>
            <w:r w:rsidRPr="00B1416B">
              <w:rPr>
                <w:rFonts w:ascii="Times New Roman" w:hAnsi="Times New Roman" w:cs="Times New Roman"/>
                <w:sz w:val="24"/>
                <w:szCs w:val="24"/>
                <w:lang w:val="lt-LT"/>
              </w:rPr>
              <w:t xml:space="preserve">Pirkimas finansuojamas ES lėšomis, projekto pavadinimas, </w:t>
            </w:r>
            <w:r w:rsidR="00BA3D29" w:rsidRPr="00B1416B">
              <w:rPr>
                <w:rFonts w:ascii="Times New Roman" w:hAnsi="Times New Roman" w:cs="Times New Roman"/>
                <w:sz w:val="24"/>
                <w:szCs w:val="24"/>
                <w:lang w:val="lt-LT"/>
              </w:rPr>
              <w:t>Įgyvendinančioji institucija</w:t>
            </w:r>
          </w:p>
        </w:tc>
        <w:tc>
          <w:tcPr>
            <w:tcW w:w="4934" w:type="dxa"/>
          </w:tcPr>
          <w:p w:rsidR="00AB1809" w:rsidRPr="00B1416B" w:rsidRDefault="004562AA" w:rsidP="0081274A">
            <w:pPr>
              <w:jc w:val="center"/>
              <w:rPr>
                <w:rFonts w:ascii="Times New Roman" w:hAnsi="Times New Roman" w:cs="Times New Roman"/>
                <w:sz w:val="24"/>
                <w:szCs w:val="24"/>
                <w:lang w:val="lt-LT"/>
              </w:rPr>
            </w:pPr>
            <w:r w:rsidRPr="00B1416B">
              <w:rPr>
                <w:rFonts w:ascii="Times New Roman" w:hAnsi="Times New Roman" w:cs="Times New Roman"/>
                <w:sz w:val="24"/>
                <w:szCs w:val="24"/>
                <w:lang w:val="lt-LT"/>
              </w:rPr>
              <w:t>-</w:t>
            </w:r>
          </w:p>
        </w:tc>
      </w:tr>
      <w:tr w:rsidR="00AB1809" w:rsidRPr="00B1416B" w:rsidTr="0081274A">
        <w:tc>
          <w:tcPr>
            <w:tcW w:w="4672" w:type="dxa"/>
          </w:tcPr>
          <w:p w:rsidR="00AB1809" w:rsidRPr="00B1416B" w:rsidRDefault="00CD5FFF" w:rsidP="00BA3D29">
            <w:pPr>
              <w:jc w:val="center"/>
              <w:rPr>
                <w:rFonts w:ascii="Times New Roman" w:hAnsi="Times New Roman" w:cs="Times New Roman"/>
                <w:sz w:val="24"/>
                <w:szCs w:val="24"/>
                <w:lang w:val="lt-LT"/>
              </w:rPr>
            </w:pPr>
            <w:r w:rsidRPr="00B1416B">
              <w:rPr>
                <w:rFonts w:ascii="Times New Roman" w:hAnsi="Times New Roman" w:cs="Times New Roman"/>
                <w:sz w:val="24"/>
                <w:szCs w:val="24"/>
                <w:lang w:val="lt-LT"/>
              </w:rPr>
              <w:t>Pirkimo vykdymo t</w:t>
            </w:r>
            <w:r w:rsidR="00AB1809" w:rsidRPr="00B1416B">
              <w:rPr>
                <w:rFonts w:ascii="Times New Roman" w:hAnsi="Times New Roman" w:cs="Times New Roman"/>
                <w:sz w:val="24"/>
                <w:szCs w:val="24"/>
                <w:lang w:val="lt-LT"/>
              </w:rPr>
              <w:t xml:space="preserve">eisinis pagrindas (pirkimui taikomo </w:t>
            </w:r>
            <w:r w:rsidR="00BA3D29" w:rsidRPr="00B1416B">
              <w:rPr>
                <w:rFonts w:ascii="Times New Roman" w:hAnsi="Times New Roman" w:cs="Times New Roman"/>
                <w:sz w:val="24"/>
                <w:szCs w:val="24"/>
                <w:lang w:val="lt-LT"/>
              </w:rPr>
              <w:t>įstatymo</w:t>
            </w:r>
            <w:r w:rsidR="00AB1809" w:rsidRPr="00B1416B">
              <w:rPr>
                <w:rFonts w:ascii="Times New Roman" w:hAnsi="Times New Roman" w:cs="Times New Roman"/>
                <w:sz w:val="24"/>
                <w:szCs w:val="24"/>
                <w:lang w:val="lt-LT"/>
              </w:rPr>
              <w:t>, supaprastintų pirkimų taisyklių redakcija)</w:t>
            </w:r>
          </w:p>
        </w:tc>
        <w:tc>
          <w:tcPr>
            <w:tcW w:w="4934" w:type="dxa"/>
          </w:tcPr>
          <w:p w:rsidR="00B91312" w:rsidRPr="00B1416B" w:rsidRDefault="0081274A" w:rsidP="008B18E7">
            <w:pPr>
              <w:ind w:firstLine="728"/>
              <w:jc w:val="both"/>
              <w:rPr>
                <w:rFonts w:ascii="Times New Roman" w:hAnsi="Times New Roman" w:cs="Times New Roman"/>
                <w:sz w:val="24"/>
                <w:szCs w:val="24"/>
                <w:lang w:val="lt-LT"/>
              </w:rPr>
            </w:pPr>
            <w:r w:rsidRPr="00B1416B">
              <w:rPr>
                <w:rFonts w:ascii="Times New Roman" w:hAnsi="Times New Roman" w:cs="Times New Roman"/>
                <w:sz w:val="24"/>
                <w:szCs w:val="24"/>
                <w:lang w:val="lt-LT"/>
              </w:rPr>
              <w:t>Lietuvos Respublikos viešųjų pirki</w:t>
            </w:r>
            <w:r w:rsidR="00D361EE" w:rsidRPr="00B1416B">
              <w:rPr>
                <w:rFonts w:ascii="Times New Roman" w:hAnsi="Times New Roman" w:cs="Times New Roman"/>
                <w:sz w:val="24"/>
                <w:szCs w:val="24"/>
                <w:lang w:val="lt-LT"/>
              </w:rPr>
              <w:t>mų įstatymas (redakcija nuo 2016-01-01</w:t>
            </w:r>
            <w:r w:rsidR="00F04F5F" w:rsidRPr="00B1416B">
              <w:rPr>
                <w:rFonts w:ascii="Times New Roman" w:hAnsi="Times New Roman" w:cs="Times New Roman"/>
                <w:sz w:val="24"/>
                <w:szCs w:val="24"/>
                <w:lang w:val="lt-LT"/>
              </w:rPr>
              <w:t>; toliau</w:t>
            </w:r>
            <w:r w:rsidR="005338E3" w:rsidRPr="00B1416B">
              <w:rPr>
                <w:rFonts w:ascii="Times New Roman" w:hAnsi="Times New Roman" w:cs="Times New Roman"/>
                <w:sz w:val="24"/>
                <w:szCs w:val="24"/>
                <w:lang w:val="lt-LT"/>
              </w:rPr>
              <w:t xml:space="preserve"> -</w:t>
            </w:r>
            <w:r w:rsidR="00F04F5F" w:rsidRPr="00B1416B">
              <w:rPr>
                <w:rFonts w:ascii="Times New Roman" w:hAnsi="Times New Roman" w:cs="Times New Roman"/>
                <w:sz w:val="24"/>
                <w:szCs w:val="24"/>
                <w:lang w:val="lt-LT"/>
              </w:rPr>
              <w:t>Įstatymas</w:t>
            </w:r>
            <w:r w:rsidR="00FE3BCA" w:rsidRPr="00B1416B">
              <w:rPr>
                <w:rFonts w:ascii="Times New Roman" w:hAnsi="Times New Roman" w:cs="Times New Roman"/>
                <w:sz w:val="24"/>
                <w:szCs w:val="24"/>
                <w:lang w:val="lt-LT"/>
              </w:rPr>
              <w:t>)</w:t>
            </w:r>
            <w:r w:rsidR="008B18E7" w:rsidRPr="00B1416B">
              <w:rPr>
                <w:rFonts w:ascii="Times New Roman" w:hAnsi="Times New Roman" w:cs="Times New Roman"/>
                <w:sz w:val="24"/>
                <w:szCs w:val="24"/>
                <w:lang w:val="lt-LT"/>
              </w:rPr>
              <w:t>. Pirkimo komisija 2016-06-21 posėdyje (protokolo Nr. 3) patvirtino Pirkimo sąlygas</w:t>
            </w:r>
          </w:p>
        </w:tc>
      </w:tr>
      <w:tr w:rsidR="00AB1809" w:rsidRPr="00B1416B" w:rsidTr="0081274A">
        <w:tc>
          <w:tcPr>
            <w:tcW w:w="4672" w:type="dxa"/>
          </w:tcPr>
          <w:p w:rsidR="00AB1809" w:rsidRPr="00B1416B" w:rsidRDefault="00AB1809" w:rsidP="0081274A">
            <w:pPr>
              <w:jc w:val="center"/>
              <w:rPr>
                <w:rFonts w:ascii="Times New Roman" w:hAnsi="Times New Roman" w:cs="Times New Roman"/>
                <w:sz w:val="24"/>
                <w:szCs w:val="24"/>
                <w:lang w:val="lt-LT"/>
              </w:rPr>
            </w:pPr>
            <w:r w:rsidRPr="00B1416B">
              <w:rPr>
                <w:rFonts w:ascii="Times New Roman" w:hAnsi="Times New Roman" w:cs="Times New Roman"/>
                <w:sz w:val="24"/>
                <w:szCs w:val="24"/>
                <w:lang w:val="lt-LT"/>
              </w:rPr>
              <w:t xml:space="preserve">Vertinimo </w:t>
            </w:r>
            <w:r w:rsidR="007E4301" w:rsidRPr="00B1416B">
              <w:rPr>
                <w:rFonts w:ascii="Times New Roman" w:hAnsi="Times New Roman" w:cs="Times New Roman"/>
                <w:sz w:val="24"/>
                <w:szCs w:val="24"/>
                <w:lang w:val="lt-LT"/>
              </w:rPr>
              <w:t>apimtys/</w:t>
            </w:r>
            <w:r w:rsidRPr="00B1416B">
              <w:rPr>
                <w:rFonts w:ascii="Times New Roman" w:hAnsi="Times New Roman" w:cs="Times New Roman"/>
                <w:sz w:val="24"/>
                <w:szCs w:val="24"/>
                <w:lang w:val="lt-LT"/>
              </w:rPr>
              <w:t>etapas</w:t>
            </w:r>
          </w:p>
        </w:tc>
        <w:tc>
          <w:tcPr>
            <w:tcW w:w="4934" w:type="dxa"/>
          </w:tcPr>
          <w:p w:rsidR="00AB1809" w:rsidRPr="00B1416B" w:rsidRDefault="00225D9A" w:rsidP="00225D9A">
            <w:pPr>
              <w:ind w:firstLine="728"/>
              <w:jc w:val="both"/>
              <w:rPr>
                <w:rFonts w:ascii="Times New Roman" w:hAnsi="Times New Roman" w:cs="Times New Roman"/>
                <w:sz w:val="24"/>
                <w:szCs w:val="24"/>
                <w:lang w:val="lt-LT"/>
              </w:rPr>
            </w:pPr>
            <w:r w:rsidRPr="00B1416B">
              <w:rPr>
                <w:rFonts w:ascii="Times New Roman" w:hAnsi="Times New Roman" w:cs="Times New Roman"/>
                <w:sz w:val="24"/>
                <w:szCs w:val="24"/>
                <w:lang w:val="lt-LT"/>
              </w:rPr>
              <w:t>Dalinis</w:t>
            </w:r>
            <w:r w:rsidR="0080153D" w:rsidRPr="00B1416B">
              <w:rPr>
                <w:rFonts w:ascii="Times New Roman" w:hAnsi="Times New Roman" w:cs="Times New Roman"/>
                <w:sz w:val="24"/>
                <w:szCs w:val="24"/>
                <w:lang w:val="lt-LT"/>
              </w:rPr>
              <w:t xml:space="preserve"> 2, 4, 5, 6 ir 10 Pirkimo objekto dalių</w:t>
            </w:r>
            <w:r w:rsidR="004562AA" w:rsidRPr="00B1416B">
              <w:rPr>
                <w:rFonts w:ascii="Times New Roman" w:hAnsi="Times New Roman" w:cs="Times New Roman"/>
                <w:sz w:val="24"/>
                <w:szCs w:val="24"/>
                <w:lang w:val="lt-LT"/>
              </w:rPr>
              <w:t xml:space="preserve"> vertinimas /</w:t>
            </w:r>
            <w:r w:rsidR="00D361EE" w:rsidRPr="00B1416B">
              <w:rPr>
                <w:rFonts w:ascii="Times New Roman" w:hAnsi="Times New Roman" w:cs="Times New Roman"/>
                <w:sz w:val="24"/>
                <w:szCs w:val="24"/>
                <w:lang w:val="lt-LT"/>
              </w:rPr>
              <w:t xml:space="preserve"> Pirkimo procedūrų vertinimas iki</w:t>
            </w:r>
            <w:r w:rsidR="004562AA" w:rsidRPr="00B1416B">
              <w:rPr>
                <w:rFonts w:ascii="Times New Roman" w:hAnsi="Times New Roman" w:cs="Times New Roman"/>
                <w:sz w:val="24"/>
                <w:szCs w:val="24"/>
                <w:lang w:val="lt-LT"/>
              </w:rPr>
              <w:t xml:space="preserve"> </w:t>
            </w:r>
            <w:r w:rsidRPr="00B1416B">
              <w:rPr>
                <w:rFonts w:ascii="Times New Roman" w:hAnsi="Times New Roman" w:cs="Times New Roman"/>
                <w:sz w:val="24"/>
                <w:szCs w:val="24"/>
                <w:lang w:val="lt-LT"/>
              </w:rPr>
              <w:t>vokų plėšimo</w:t>
            </w:r>
          </w:p>
        </w:tc>
      </w:tr>
      <w:tr w:rsidR="00AB1809" w:rsidRPr="00B1416B" w:rsidTr="007E4301">
        <w:tc>
          <w:tcPr>
            <w:tcW w:w="4672" w:type="dxa"/>
          </w:tcPr>
          <w:p w:rsidR="00AB1809" w:rsidRPr="00B1416B" w:rsidRDefault="00AB1809" w:rsidP="00BA3D29">
            <w:pPr>
              <w:jc w:val="center"/>
              <w:rPr>
                <w:rFonts w:ascii="Times New Roman" w:hAnsi="Times New Roman" w:cs="Times New Roman"/>
                <w:sz w:val="24"/>
                <w:szCs w:val="24"/>
                <w:lang w:val="lt-LT"/>
              </w:rPr>
            </w:pPr>
            <w:r w:rsidRPr="00B1416B">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sidR="00CD5FFF" w:rsidRPr="00B1416B">
              <w:rPr>
                <w:rFonts w:ascii="Times New Roman" w:hAnsi="Times New Roman" w:cs="Times New Roman"/>
                <w:sz w:val="24"/>
                <w:szCs w:val="24"/>
                <w:lang w:val="lt-LT"/>
              </w:rPr>
              <w:t>,</w:t>
            </w:r>
            <w:r w:rsidRPr="00B1416B">
              <w:rPr>
                <w:rFonts w:ascii="Times New Roman" w:hAnsi="Times New Roman" w:cs="Times New Roman"/>
                <w:sz w:val="24"/>
                <w:szCs w:val="24"/>
                <w:lang w:val="lt-LT"/>
              </w:rPr>
              <w:t xml:space="preserve"> apygardos, apeliacinis teismas)</w:t>
            </w:r>
          </w:p>
        </w:tc>
        <w:tc>
          <w:tcPr>
            <w:tcW w:w="4934" w:type="dxa"/>
          </w:tcPr>
          <w:p w:rsidR="00AB1809" w:rsidRPr="00B1416B" w:rsidRDefault="0080153D" w:rsidP="00D87080">
            <w:pPr>
              <w:ind w:firstLine="720"/>
              <w:jc w:val="both"/>
              <w:rPr>
                <w:rFonts w:ascii="Times New Roman" w:hAnsi="Times New Roman" w:cs="Times New Roman"/>
                <w:sz w:val="24"/>
                <w:szCs w:val="24"/>
                <w:lang w:val="lt-LT"/>
              </w:rPr>
            </w:pPr>
            <w:r w:rsidRPr="00B1416B">
              <w:rPr>
                <w:rFonts w:ascii="Times New Roman" w:hAnsi="Times New Roman" w:cs="Times New Roman"/>
                <w:sz w:val="24"/>
                <w:szCs w:val="24"/>
                <w:lang w:val="lt-LT"/>
              </w:rPr>
              <w:t>Tiekėjas UAB</w:t>
            </w:r>
            <w:r w:rsidR="00225D9A" w:rsidRPr="00B1416B">
              <w:rPr>
                <w:rFonts w:ascii="Times New Roman" w:hAnsi="Times New Roman" w:cs="Times New Roman"/>
                <w:sz w:val="24"/>
                <w:szCs w:val="24"/>
                <w:lang w:val="lt-LT"/>
              </w:rPr>
              <w:t xml:space="preserve"> </w:t>
            </w:r>
            <w:r w:rsidRPr="00B1416B">
              <w:rPr>
                <w:rFonts w:ascii="Times New Roman" w:hAnsi="Times New Roman" w:cs="Times New Roman"/>
                <w:sz w:val="24"/>
                <w:szCs w:val="24"/>
                <w:lang w:val="lt-LT"/>
              </w:rPr>
              <w:t>„</w:t>
            </w:r>
            <w:proofErr w:type="spellStart"/>
            <w:r w:rsidR="00225D9A" w:rsidRPr="00B1416B">
              <w:rPr>
                <w:rFonts w:ascii="Times New Roman" w:hAnsi="Times New Roman" w:cs="Times New Roman"/>
                <w:sz w:val="24"/>
                <w:szCs w:val="24"/>
                <w:lang w:val="lt-LT"/>
              </w:rPr>
              <w:t>Roche</w:t>
            </w:r>
            <w:proofErr w:type="spellEnd"/>
            <w:r w:rsidR="00225D9A" w:rsidRPr="00B1416B">
              <w:rPr>
                <w:rFonts w:ascii="Times New Roman" w:hAnsi="Times New Roman" w:cs="Times New Roman"/>
                <w:sz w:val="24"/>
                <w:szCs w:val="24"/>
                <w:lang w:val="lt-LT"/>
              </w:rPr>
              <w:t xml:space="preserve"> Lietuva“(toliau – Ieškovas)</w:t>
            </w:r>
            <w:r w:rsidRPr="00B1416B">
              <w:rPr>
                <w:rFonts w:ascii="Times New Roman" w:hAnsi="Times New Roman" w:cs="Times New Roman"/>
                <w:sz w:val="24"/>
                <w:szCs w:val="24"/>
                <w:lang w:val="lt-LT"/>
              </w:rPr>
              <w:t xml:space="preserve"> 2016-08-02</w:t>
            </w:r>
            <w:r w:rsidR="00225D9A" w:rsidRPr="00B1416B">
              <w:rPr>
                <w:rFonts w:ascii="Times New Roman" w:hAnsi="Times New Roman" w:cs="Times New Roman"/>
                <w:sz w:val="24"/>
                <w:szCs w:val="24"/>
                <w:lang w:val="lt-LT"/>
              </w:rPr>
              <w:t xml:space="preserve"> pateikė ieškinį</w:t>
            </w:r>
            <w:r w:rsidR="006654ED" w:rsidRPr="00B1416B">
              <w:rPr>
                <w:rFonts w:ascii="Times New Roman" w:hAnsi="Times New Roman" w:cs="Times New Roman"/>
                <w:sz w:val="24"/>
                <w:szCs w:val="24"/>
                <w:lang w:val="lt-LT"/>
              </w:rPr>
              <w:t xml:space="preserve"> Panevėžio apygardos teismui (toliau – Teismas) prašydamas pripažinti neteisėtomis 2, 4, 5 ir 6 Pirkimo dalyse nustatytas Pirkimo sąlygas</w:t>
            </w:r>
            <w:r w:rsidR="00E326D1" w:rsidRPr="00B1416B">
              <w:rPr>
                <w:rFonts w:ascii="Times New Roman" w:hAnsi="Times New Roman" w:cs="Times New Roman"/>
                <w:sz w:val="24"/>
                <w:szCs w:val="24"/>
                <w:lang w:val="lt-LT"/>
              </w:rPr>
              <w:t xml:space="preserve"> (toliau – Ieškinys). Ieškovas ginčija Pirkimo sąlygų 3 priede (toliau – Techninė specifikacija)</w:t>
            </w:r>
            <w:r w:rsidR="004B46E2" w:rsidRPr="00B1416B">
              <w:rPr>
                <w:rFonts w:ascii="Times New Roman" w:hAnsi="Times New Roman" w:cs="Times New Roman"/>
                <w:sz w:val="24"/>
                <w:szCs w:val="24"/>
                <w:lang w:val="lt-LT"/>
              </w:rPr>
              <w:t xml:space="preserve"> 2, 4, 5 ir 6</w:t>
            </w:r>
            <w:r w:rsidR="00E326D1" w:rsidRPr="00B1416B">
              <w:rPr>
                <w:rFonts w:ascii="Times New Roman" w:hAnsi="Times New Roman" w:cs="Times New Roman"/>
                <w:sz w:val="24"/>
                <w:szCs w:val="24"/>
                <w:lang w:val="lt-LT"/>
              </w:rPr>
              <w:t xml:space="preserve"> Pirkimo dalims</w:t>
            </w:r>
            <w:r w:rsidR="004B46E2" w:rsidRPr="00B1416B">
              <w:rPr>
                <w:rFonts w:ascii="Times New Roman" w:hAnsi="Times New Roman" w:cs="Times New Roman"/>
                <w:sz w:val="24"/>
                <w:szCs w:val="24"/>
                <w:lang w:val="lt-LT"/>
              </w:rPr>
              <w:t xml:space="preserve"> nustatytus</w:t>
            </w:r>
            <w:r w:rsidR="00D87080" w:rsidRPr="00B1416B">
              <w:rPr>
                <w:rFonts w:ascii="Times New Roman" w:hAnsi="Times New Roman" w:cs="Times New Roman"/>
                <w:sz w:val="24"/>
                <w:szCs w:val="24"/>
                <w:lang w:val="lt-LT"/>
              </w:rPr>
              <w:t xml:space="preserve"> specifinius</w:t>
            </w:r>
            <w:r w:rsidR="004B46E2" w:rsidRPr="00B1416B">
              <w:rPr>
                <w:rFonts w:ascii="Times New Roman" w:hAnsi="Times New Roman" w:cs="Times New Roman"/>
                <w:sz w:val="24"/>
                <w:szCs w:val="24"/>
                <w:lang w:val="lt-LT"/>
              </w:rPr>
              <w:t xml:space="preserve"> reikalavimus</w:t>
            </w:r>
            <w:r w:rsidR="003614B5" w:rsidRPr="00B1416B">
              <w:rPr>
                <w:rFonts w:ascii="Times New Roman" w:hAnsi="Times New Roman" w:cs="Times New Roman"/>
                <w:sz w:val="24"/>
                <w:szCs w:val="24"/>
                <w:lang w:val="lt-LT"/>
              </w:rPr>
              <w:t>, pritaikytus konkrečiam gamintojui.</w:t>
            </w:r>
            <w:r w:rsidR="00F04F5F" w:rsidRPr="00B1416B">
              <w:rPr>
                <w:rFonts w:ascii="Times New Roman" w:hAnsi="Times New Roman" w:cs="Times New Roman"/>
                <w:sz w:val="24"/>
                <w:szCs w:val="24"/>
                <w:lang w:val="lt-LT"/>
              </w:rPr>
              <w:t xml:space="preserve"> Teismas</w:t>
            </w:r>
            <w:r w:rsidR="004B46E2" w:rsidRPr="00B1416B">
              <w:rPr>
                <w:rFonts w:ascii="Times New Roman" w:hAnsi="Times New Roman" w:cs="Times New Roman"/>
                <w:sz w:val="24"/>
                <w:szCs w:val="24"/>
                <w:lang w:val="lt-LT"/>
              </w:rPr>
              <w:t xml:space="preserve"> 2016-08-0</w:t>
            </w:r>
            <w:r w:rsidR="00BD1049" w:rsidRPr="00B1416B">
              <w:rPr>
                <w:rFonts w:ascii="Times New Roman" w:hAnsi="Times New Roman" w:cs="Times New Roman"/>
                <w:sz w:val="24"/>
                <w:szCs w:val="24"/>
                <w:lang w:val="lt-LT"/>
              </w:rPr>
              <w:t>5 nutartimi</w:t>
            </w:r>
            <w:r w:rsidR="004B46E2" w:rsidRPr="00B1416B">
              <w:rPr>
                <w:rFonts w:ascii="Times New Roman" w:hAnsi="Times New Roman" w:cs="Times New Roman"/>
                <w:sz w:val="24"/>
                <w:szCs w:val="24"/>
                <w:lang w:val="lt-LT"/>
              </w:rPr>
              <w:t xml:space="preserve"> civilinėje byloje Nr. e2-576-544</w:t>
            </w:r>
            <w:r w:rsidR="00CF7139" w:rsidRPr="00B1416B">
              <w:rPr>
                <w:rFonts w:ascii="Times New Roman" w:hAnsi="Times New Roman" w:cs="Times New Roman"/>
                <w:sz w:val="24"/>
                <w:szCs w:val="24"/>
                <w:lang w:val="lt-LT"/>
              </w:rPr>
              <w:t>/2016</w:t>
            </w:r>
            <w:r w:rsidR="00BD1049" w:rsidRPr="00B1416B">
              <w:rPr>
                <w:rFonts w:ascii="Times New Roman" w:hAnsi="Times New Roman" w:cs="Times New Roman"/>
                <w:sz w:val="24"/>
                <w:szCs w:val="24"/>
                <w:lang w:val="lt-LT"/>
              </w:rPr>
              <w:t xml:space="preserve"> </w:t>
            </w:r>
            <w:r w:rsidR="004B46E2" w:rsidRPr="00B1416B">
              <w:rPr>
                <w:rFonts w:ascii="Times New Roman" w:hAnsi="Times New Roman" w:cs="Times New Roman"/>
                <w:sz w:val="24"/>
                <w:szCs w:val="24"/>
                <w:lang w:val="lt-LT"/>
              </w:rPr>
              <w:t xml:space="preserve">atmetė Ieškovo prašymą dėl laikinųjų </w:t>
            </w:r>
            <w:r w:rsidR="00E326D1" w:rsidRPr="00B1416B">
              <w:rPr>
                <w:rFonts w:ascii="Times New Roman" w:hAnsi="Times New Roman" w:cs="Times New Roman"/>
                <w:sz w:val="24"/>
                <w:szCs w:val="24"/>
                <w:lang w:val="lt-LT"/>
              </w:rPr>
              <w:t>apsaugos priemonių taikymo.</w:t>
            </w:r>
          </w:p>
        </w:tc>
      </w:tr>
    </w:tbl>
    <w:p w:rsidR="00950187" w:rsidRPr="00B1416B" w:rsidRDefault="00950187" w:rsidP="00AF484F">
      <w:pPr>
        <w:jc w:val="center"/>
        <w:rPr>
          <w:rFonts w:ascii="Times New Roman" w:hAnsi="Times New Roman" w:cs="Times New Roman"/>
          <w:b/>
          <w:sz w:val="24"/>
          <w:szCs w:val="24"/>
          <w:lang w:val="lt-LT"/>
        </w:rPr>
      </w:pPr>
    </w:p>
    <w:p w:rsidR="00225D9A" w:rsidRPr="00B1416B" w:rsidRDefault="00225D9A" w:rsidP="00950187">
      <w:pPr>
        <w:jc w:val="center"/>
        <w:rPr>
          <w:rFonts w:ascii="Times New Roman" w:hAnsi="Times New Roman" w:cs="Times New Roman"/>
          <w:b/>
          <w:sz w:val="24"/>
          <w:szCs w:val="24"/>
          <w:lang w:val="lt-LT"/>
        </w:rPr>
      </w:pPr>
    </w:p>
    <w:p w:rsidR="00950187" w:rsidRPr="00B1416B" w:rsidRDefault="00950187" w:rsidP="00950187">
      <w:pPr>
        <w:jc w:val="center"/>
        <w:rPr>
          <w:rFonts w:ascii="Times New Roman" w:hAnsi="Times New Roman" w:cs="Times New Roman"/>
          <w:b/>
          <w:sz w:val="24"/>
          <w:szCs w:val="24"/>
          <w:lang w:val="lt-LT"/>
        </w:rPr>
      </w:pPr>
      <w:r w:rsidRPr="00B1416B">
        <w:rPr>
          <w:rFonts w:ascii="Times New Roman" w:hAnsi="Times New Roman" w:cs="Times New Roman"/>
          <w:b/>
          <w:sz w:val="24"/>
          <w:szCs w:val="24"/>
          <w:lang w:val="lt-LT"/>
        </w:rPr>
        <w:lastRenderedPageBreak/>
        <w:t>II dalis. Vertinimo metu nustatyti pažeidimai</w:t>
      </w:r>
    </w:p>
    <w:p w:rsidR="00950187" w:rsidRPr="00B1416B" w:rsidRDefault="00950187" w:rsidP="00950187">
      <w:pPr>
        <w:spacing w:after="0" w:line="240" w:lineRule="auto"/>
        <w:jc w:val="center"/>
        <w:rPr>
          <w:rFonts w:ascii="Times New Roman" w:hAnsi="Times New Roman" w:cs="Times New Roman"/>
          <w:b/>
          <w:sz w:val="24"/>
          <w:szCs w:val="24"/>
          <w:lang w:val="lt-LT"/>
        </w:rPr>
      </w:pPr>
    </w:p>
    <w:tbl>
      <w:tblPr>
        <w:tblStyle w:val="TableGrid"/>
        <w:tblW w:w="9287" w:type="dxa"/>
        <w:tblLayout w:type="fixed"/>
        <w:tblLook w:val="04A0" w:firstRow="1" w:lastRow="0" w:firstColumn="1" w:lastColumn="0" w:noHBand="0" w:noVBand="1"/>
      </w:tblPr>
      <w:tblGrid>
        <w:gridCol w:w="429"/>
        <w:gridCol w:w="8858"/>
      </w:tblGrid>
      <w:tr w:rsidR="00F04F5F" w:rsidRPr="00B1416B" w:rsidTr="005A09EF">
        <w:trPr>
          <w:trHeight w:val="316"/>
        </w:trPr>
        <w:tc>
          <w:tcPr>
            <w:tcW w:w="429" w:type="dxa"/>
          </w:tcPr>
          <w:p w:rsidR="00F04F5F" w:rsidRPr="00B1416B" w:rsidRDefault="00E930CB" w:rsidP="00F04F5F">
            <w:pPr>
              <w:pStyle w:val="ListParagraph"/>
              <w:tabs>
                <w:tab w:val="left" w:pos="993"/>
              </w:tabs>
              <w:ind w:left="0"/>
              <w:jc w:val="both"/>
              <w:rPr>
                <w:rFonts w:ascii="Times New Roman" w:hAnsi="Times New Roman" w:cs="Times New Roman"/>
                <w:sz w:val="24"/>
                <w:szCs w:val="24"/>
                <w:lang w:val="lt-LT"/>
              </w:rPr>
            </w:pPr>
            <w:r w:rsidRPr="00B1416B">
              <w:rPr>
                <w:rFonts w:ascii="Times New Roman" w:hAnsi="Times New Roman" w:cs="Times New Roman"/>
                <w:sz w:val="24"/>
                <w:szCs w:val="24"/>
                <w:lang w:val="lt-LT"/>
              </w:rPr>
              <w:t>1</w:t>
            </w:r>
            <w:r w:rsidR="00F04F5F" w:rsidRPr="00B1416B">
              <w:rPr>
                <w:rFonts w:ascii="Times New Roman" w:hAnsi="Times New Roman" w:cs="Times New Roman"/>
                <w:sz w:val="24"/>
                <w:szCs w:val="24"/>
                <w:lang w:val="lt-LT"/>
              </w:rPr>
              <w:t>.</w:t>
            </w:r>
          </w:p>
        </w:tc>
        <w:tc>
          <w:tcPr>
            <w:tcW w:w="8858" w:type="dxa"/>
          </w:tcPr>
          <w:p w:rsidR="00F04F5F" w:rsidRPr="00B1416B" w:rsidRDefault="000A5F14" w:rsidP="009B11E4">
            <w:pPr>
              <w:pStyle w:val="ListParagraph"/>
              <w:tabs>
                <w:tab w:val="left" w:pos="993"/>
              </w:tabs>
              <w:ind w:left="0"/>
              <w:jc w:val="both"/>
              <w:rPr>
                <w:rFonts w:ascii="Times New Roman" w:hAnsi="Times New Roman" w:cs="Times New Roman"/>
                <w:b/>
                <w:sz w:val="24"/>
                <w:szCs w:val="24"/>
                <w:lang w:val="lt-LT"/>
              </w:rPr>
            </w:pPr>
            <w:r>
              <w:rPr>
                <w:rFonts w:ascii="Times New Roman" w:hAnsi="Times New Roman" w:cs="Times New Roman"/>
                <w:b/>
                <w:sz w:val="24"/>
                <w:szCs w:val="24"/>
                <w:lang w:val="lt-LT"/>
              </w:rPr>
              <w:t>Įstatymo 24 straipsnio 2 dalies 9 punktas</w:t>
            </w:r>
            <w:r>
              <w:rPr>
                <w:rStyle w:val="FootnoteReference"/>
                <w:rFonts w:ascii="Times New Roman" w:hAnsi="Times New Roman" w:cs="Times New Roman"/>
                <w:b/>
                <w:sz w:val="24"/>
                <w:szCs w:val="24"/>
                <w:lang w:val="lt-LT"/>
              </w:rPr>
              <w:footnoteReference w:id="1"/>
            </w:r>
            <w:r>
              <w:rPr>
                <w:rFonts w:ascii="Times New Roman" w:hAnsi="Times New Roman" w:cs="Times New Roman"/>
                <w:b/>
                <w:sz w:val="24"/>
                <w:szCs w:val="24"/>
                <w:lang w:val="lt-LT"/>
              </w:rPr>
              <w:t xml:space="preserve">, </w:t>
            </w:r>
            <w:r w:rsidR="008515D8" w:rsidRPr="00B1416B">
              <w:rPr>
                <w:rFonts w:ascii="Times New Roman" w:hAnsi="Times New Roman" w:cs="Times New Roman"/>
                <w:b/>
                <w:sz w:val="24"/>
                <w:szCs w:val="24"/>
                <w:lang w:val="lt-LT"/>
              </w:rPr>
              <w:t>Įstatymo 18 straipsnio 6 dalies 3 punktas</w:t>
            </w:r>
            <w:r w:rsidR="008515D8" w:rsidRPr="00B1416B">
              <w:rPr>
                <w:rStyle w:val="FootnoteReference"/>
                <w:rFonts w:ascii="Times New Roman" w:hAnsi="Times New Roman" w:cs="Times New Roman"/>
                <w:b/>
                <w:sz w:val="24"/>
                <w:szCs w:val="24"/>
                <w:lang w:val="lt-LT"/>
              </w:rPr>
              <w:footnoteReference w:id="2"/>
            </w:r>
          </w:p>
        </w:tc>
      </w:tr>
      <w:tr w:rsidR="00F04F5F" w:rsidRPr="00B1416B" w:rsidTr="005A09EF">
        <w:trPr>
          <w:trHeight w:val="313"/>
        </w:trPr>
        <w:tc>
          <w:tcPr>
            <w:tcW w:w="9287" w:type="dxa"/>
            <w:gridSpan w:val="2"/>
          </w:tcPr>
          <w:p w:rsidR="00225D9A" w:rsidRPr="00B1416B" w:rsidRDefault="00E45C79" w:rsidP="0064090D">
            <w:pPr>
              <w:ind w:firstLine="720"/>
              <w:jc w:val="both"/>
              <w:rPr>
                <w:rFonts w:ascii="Times New Roman" w:hAnsi="Times New Roman" w:cs="Times New Roman"/>
                <w:sz w:val="24"/>
                <w:szCs w:val="24"/>
                <w:lang w:val="lt-LT"/>
              </w:rPr>
            </w:pPr>
            <w:r w:rsidRPr="00B1416B">
              <w:rPr>
                <w:rFonts w:ascii="Times New Roman" w:hAnsi="Times New Roman" w:cs="Times New Roman"/>
                <w:sz w:val="24"/>
                <w:szCs w:val="24"/>
                <w:lang w:val="lt-LT"/>
              </w:rPr>
              <w:t xml:space="preserve">Pirkimo sąlygų 2.4 punkte nustatyta, kad </w:t>
            </w:r>
            <w:r w:rsidRPr="00B1416B">
              <w:rPr>
                <w:rFonts w:ascii="Times New Roman" w:hAnsi="Times New Roman" w:cs="Times New Roman"/>
                <w:i/>
                <w:sz w:val="24"/>
                <w:szCs w:val="24"/>
                <w:lang w:val="lt-LT"/>
              </w:rPr>
              <w:t>„Perkančioji organizacija gali padidinti kiekvienos pirkimo dalies (pozicijos) perkamą kiekį, perkančioji organizacija neįsipareigoja išpirkti viso nurodyto kiekio“</w:t>
            </w:r>
            <w:r w:rsidRPr="00B1416B">
              <w:rPr>
                <w:rFonts w:ascii="Times New Roman" w:hAnsi="Times New Roman" w:cs="Times New Roman"/>
                <w:sz w:val="24"/>
                <w:szCs w:val="24"/>
                <w:lang w:val="lt-LT"/>
              </w:rPr>
              <w:t xml:space="preserve">, 13.5.2 punkte nustatyta, kad </w:t>
            </w:r>
            <w:r w:rsidRPr="00B1416B">
              <w:rPr>
                <w:rFonts w:ascii="Times New Roman" w:hAnsi="Times New Roman" w:cs="Times New Roman"/>
                <w:i/>
                <w:sz w:val="24"/>
                <w:szCs w:val="24"/>
                <w:lang w:val="lt-LT"/>
              </w:rPr>
              <w:t>„Ligoninė &lt;...&gt; pasilieka teisę koreguoti sutartyje numatytus konkursinius pirkimo kiekius“</w:t>
            </w:r>
            <w:r w:rsidR="005A09EF" w:rsidRPr="00B1416B">
              <w:rPr>
                <w:rFonts w:ascii="Times New Roman" w:hAnsi="Times New Roman" w:cs="Times New Roman"/>
                <w:sz w:val="24"/>
                <w:szCs w:val="24"/>
                <w:lang w:val="lt-LT"/>
              </w:rPr>
              <w:t>, Pirkimo sąlygų 4 priedo „Pirkimo – pardavimo sutartis Nr. (projektas) dėl klinikinės diagnostikos laboratorijos reagentų ir pagalbinių darbo priemonių pirkimo“</w:t>
            </w:r>
            <w:r w:rsidR="00B1416B" w:rsidRPr="00B1416B">
              <w:rPr>
                <w:rFonts w:ascii="Times New Roman" w:hAnsi="Times New Roman" w:cs="Times New Roman"/>
                <w:sz w:val="24"/>
                <w:szCs w:val="24"/>
                <w:lang w:val="lt-LT"/>
              </w:rPr>
              <w:t xml:space="preserve"> (toliau – Sutarties projektas)</w:t>
            </w:r>
            <w:r w:rsidR="005A09EF" w:rsidRPr="00B1416B">
              <w:rPr>
                <w:rFonts w:ascii="Times New Roman" w:hAnsi="Times New Roman" w:cs="Times New Roman"/>
                <w:sz w:val="24"/>
                <w:szCs w:val="24"/>
                <w:lang w:val="lt-LT"/>
              </w:rPr>
              <w:t xml:space="preserve"> 9.2 punkte nustatyta, kad </w:t>
            </w:r>
            <w:r w:rsidR="005A09EF" w:rsidRPr="00B1416B">
              <w:rPr>
                <w:rFonts w:ascii="Times New Roman" w:hAnsi="Times New Roman" w:cs="Times New Roman"/>
                <w:i/>
                <w:sz w:val="24"/>
                <w:szCs w:val="24"/>
                <w:lang w:val="lt-LT"/>
              </w:rPr>
              <w:t>„Pirkėjas &lt;...&gt; gali pirkti ir didesnį, nei numatyta sutartyje, prekių kiekį“</w:t>
            </w:r>
            <w:r w:rsidR="005A09EF" w:rsidRPr="00B1416B">
              <w:rPr>
                <w:rFonts w:ascii="Times New Roman" w:hAnsi="Times New Roman" w:cs="Times New Roman"/>
                <w:sz w:val="24"/>
                <w:szCs w:val="24"/>
                <w:lang w:val="lt-LT"/>
              </w:rPr>
              <w:t>,</w:t>
            </w:r>
            <w:r w:rsidR="008515D8" w:rsidRPr="00B1416B">
              <w:rPr>
                <w:rFonts w:ascii="Times New Roman" w:hAnsi="Times New Roman" w:cs="Times New Roman"/>
                <w:sz w:val="24"/>
                <w:szCs w:val="24"/>
                <w:lang w:val="lt-LT"/>
              </w:rPr>
              <w:t xml:space="preserve"> </w:t>
            </w:r>
            <w:proofErr w:type="spellStart"/>
            <w:r w:rsidR="008515D8" w:rsidRPr="00B1416B">
              <w:rPr>
                <w:rFonts w:ascii="Times New Roman" w:hAnsi="Times New Roman" w:cs="Times New Roman"/>
                <w:sz w:val="24"/>
                <w:szCs w:val="24"/>
                <w:lang w:val="lt-LT"/>
              </w:rPr>
              <w:t>t.y</w:t>
            </w:r>
            <w:proofErr w:type="spellEnd"/>
            <w:r w:rsidR="008515D8" w:rsidRPr="00B1416B">
              <w:rPr>
                <w:rFonts w:ascii="Times New Roman" w:hAnsi="Times New Roman" w:cs="Times New Roman"/>
                <w:sz w:val="24"/>
                <w:szCs w:val="24"/>
                <w:lang w:val="lt-LT"/>
              </w:rPr>
              <w:t>. Perkančioji organizacija nustatė preliminarius kiekius,</w:t>
            </w:r>
            <w:r w:rsidR="005A09EF" w:rsidRPr="00B1416B">
              <w:rPr>
                <w:rFonts w:ascii="Times New Roman" w:hAnsi="Times New Roman" w:cs="Times New Roman"/>
                <w:sz w:val="24"/>
                <w:szCs w:val="24"/>
                <w:lang w:val="lt-LT"/>
              </w:rPr>
              <w:t xml:space="preserve"> tačiau </w:t>
            </w:r>
            <w:r w:rsidR="008515D8" w:rsidRPr="00B1416B">
              <w:rPr>
                <w:rFonts w:ascii="Times New Roman" w:hAnsi="Times New Roman" w:cs="Times New Roman"/>
                <w:sz w:val="24"/>
                <w:szCs w:val="24"/>
                <w:lang w:val="lt-LT"/>
              </w:rPr>
              <w:t>nenurodė galimos perkamų kiekių paklaidos</w:t>
            </w:r>
            <w:r w:rsidR="0064090D">
              <w:rPr>
                <w:rFonts w:ascii="Times New Roman" w:hAnsi="Times New Roman" w:cs="Times New Roman"/>
                <w:sz w:val="24"/>
                <w:szCs w:val="24"/>
                <w:lang w:val="lt-LT"/>
              </w:rPr>
              <w:t xml:space="preserve">. Tuo tarpu </w:t>
            </w:r>
            <w:r w:rsidR="008515D8" w:rsidRPr="00B1416B">
              <w:rPr>
                <w:rFonts w:ascii="Times New Roman" w:hAnsi="Times New Roman" w:cs="Times New Roman"/>
                <w:bCs/>
                <w:sz w:val="24"/>
                <w:szCs w:val="24"/>
                <w:lang w:val="lt-LT"/>
              </w:rPr>
              <w:t>Viešojo pirkimo-pardavimo sutarčių kainos ir kainodaros taisyklių nustatymo metodikos, patvirtintos Tarnybos direktoriaus 2003 m. vasario 25 d. įsakymu Nr. 1S-21 „Dėl Viešojo pirkimo-pardavimo sutarčių kainodaros nustatymo metodikos patvirtinimo“ 12</w:t>
            </w:r>
            <w:r w:rsidR="008515D8" w:rsidRPr="00B1416B">
              <w:rPr>
                <w:rFonts w:ascii="Times New Roman" w:hAnsi="Times New Roman" w:cs="Times New Roman"/>
                <w:sz w:val="24"/>
                <w:szCs w:val="24"/>
                <w:lang w:val="lt-LT" w:eastAsia="lt-LT"/>
              </w:rPr>
              <w:t xml:space="preserve"> punkte nustatyta, kad </w:t>
            </w:r>
            <w:r w:rsidR="008515D8" w:rsidRPr="00B1416B">
              <w:rPr>
                <w:rFonts w:ascii="Times New Roman" w:hAnsi="Times New Roman" w:cs="Times New Roman"/>
                <w:i/>
                <w:sz w:val="24"/>
                <w:szCs w:val="24"/>
                <w:lang w:val="lt-LT" w:eastAsia="lt-LT"/>
              </w:rPr>
              <w:t>„</w:t>
            </w:r>
            <w:r w:rsidR="008515D8" w:rsidRPr="00B1416B">
              <w:rPr>
                <w:rFonts w:ascii="Times New Roman" w:hAnsi="Times New Roman" w:cs="Times New Roman"/>
                <w:i/>
                <w:sz w:val="24"/>
                <w:szCs w:val="24"/>
                <w:lang w:val="lt-LT"/>
              </w:rPr>
              <w:t>Pirkimo dokumentuose ir sutartyje, nurodant preliminarius kiekius, nustatoma viršutinė ir apatinė ribos (pavyzdžiui, nuo &lt;...&gt; iki &lt;...&gt;; ne mažiau kaip &lt;...&gt;, bet ne daugiau kaip &lt;...&gt;) arba nurodoma paklaida procentine išraiška, arba, jei neįmanoma nustatyti apatinės ribos, nurodoma tik viršutinė riba (pavyzdžiui, ne daugiau kaip &lt;...&gt;)“</w:t>
            </w:r>
            <w:r w:rsidR="008515D8" w:rsidRPr="00B1416B">
              <w:rPr>
                <w:rFonts w:ascii="Times New Roman" w:hAnsi="Times New Roman" w:cs="Times New Roman"/>
                <w:sz w:val="24"/>
                <w:szCs w:val="24"/>
                <w:lang w:val="lt-LT"/>
              </w:rPr>
              <w:t>.</w:t>
            </w:r>
          </w:p>
        </w:tc>
      </w:tr>
    </w:tbl>
    <w:p w:rsidR="008C62BC" w:rsidRPr="00B1416B" w:rsidRDefault="008C62BC" w:rsidP="00AF484F">
      <w:pPr>
        <w:jc w:val="center"/>
        <w:rPr>
          <w:rFonts w:ascii="Times New Roman" w:hAnsi="Times New Roman" w:cs="Times New Roman"/>
          <w:b/>
          <w:sz w:val="24"/>
          <w:szCs w:val="24"/>
          <w:lang w:val="lt-LT"/>
        </w:rPr>
      </w:pPr>
    </w:p>
    <w:p w:rsidR="00B64236" w:rsidRPr="00B1416B" w:rsidRDefault="008F4663" w:rsidP="00AF484F">
      <w:pPr>
        <w:jc w:val="center"/>
        <w:rPr>
          <w:rFonts w:ascii="Times New Roman" w:hAnsi="Times New Roman" w:cs="Times New Roman"/>
          <w:b/>
          <w:sz w:val="24"/>
          <w:szCs w:val="24"/>
          <w:lang w:val="lt-LT"/>
        </w:rPr>
      </w:pPr>
      <w:r w:rsidRPr="00B1416B">
        <w:rPr>
          <w:rFonts w:ascii="Times New Roman" w:hAnsi="Times New Roman" w:cs="Times New Roman"/>
          <w:b/>
          <w:sz w:val="24"/>
          <w:szCs w:val="24"/>
          <w:lang w:val="lt-LT"/>
        </w:rPr>
        <w:t>I</w:t>
      </w:r>
      <w:r w:rsidR="00ED2E43" w:rsidRPr="00B1416B">
        <w:rPr>
          <w:rFonts w:ascii="Times New Roman" w:hAnsi="Times New Roman" w:cs="Times New Roman"/>
          <w:b/>
          <w:sz w:val="24"/>
          <w:szCs w:val="24"/>
          <w:lang w:val="lt-LT"/>
        </w:rPr>
        <w:t>II</w:t>
      </w:r>
      <w:r w:rsidR="00B64236" w:rsidRPr="00B1416B">
        <w:rPr>
          <w:rFonts w:ascii="Times New Roman" w:hAnsi="Times New Roman" w:cs="Times New Roman"/>
          <w:b/>
          <w:sz w:val="24"/>
          <w:szCs w:val="24"/>
          <w:lang w:val="lt-LT"/>
        </w:rPr>
        <w:t xml:space="preserve"> dalis </w:t>
      </w:r>
      <w:r w:rsidR="007A1C3E" w:rsidRPr="00B1416B">
        <w:rPr>
          <w:rFonts w:ascii="Times New Roman" w:hAnsi="Times New Roman" w:cs="Times New Roman"/>
          <w:b/>
          <w:sz w:val="24"/>
          <w:szCs w:val="24"/>
          <w:lang w:val="lt-LT"/>
        </w:rPr>
        <w:t>P</w:t>
      </w:r>
      <w:r w:rsidR="00B64236" w:rsidRPr="00B1416B">
        <w:rPr>
          <w:rFonts w:ascii="Times New Roman" w:hAnsi="Times New Roman" w:cs="Times New Roman"/>
          <w:b/>
          <w:sz w:val="24"/>
          <w:szCs w:val="24"/>
          <w:lang w:val="lt-LT"/>
        </w:rPr>
        <w:t>astabos</w:t>
      </w:r>
      <w:r w:rsidR="00B822E0" w:rsidRPr="00B1416B">
        <w:rPr>
          <w:rFonts w:ascii="Times New Roman" w:hAnsi="Times New Roman" w:cs="Times New Roman"/>
          <w:b/>
          <w:sz w:val="24"/>
          <w:szCs w:val="24"/>
          <w:lang w:val="lt-LT"/>
        </w:rPr>
        <w:t>,</w:t>
      </w:r>
      <w:r w:rsidR="00B64236" w:rsidRPr="00B1416B">
        <w:rPr>
          <w:rFonts w:ascii="Times New Roman" w:hAnsi="Times New Roman" w:cs="Times New Roman"/>
          <w:b/>
          <w:sz w:val="24"/>
          <w:szCs w:val="24"/>
          <w:lang w:val="lt-LT"/>
        </w:rPr>
        <w:t xml:space="preserve"> </w:t>
      </w:r>
      <w:r w:rsidR="0071396E" w:rsidRPr="00B1416B">
        <w:rPr>
          <w:rFonts w:ascii="Times New Roman" w:hAnsi="Times New Roman" w:cs="Times New Roman"/>
          <w:b/>
          <w:sz w:val="24"/>
          <w:szCs w:val="24"/>
          <w:lang w:val="lt-LT"/>
        </w:rPr>
        <w:t xml:space="preserve">į kurias </w:t>
      </w:r>
      <w:r w:rsidR="00E930CB" w:rsidRPr="00B1416B">
        <w:rPr>
          <w:rFonts w:ascii="Times New Roman" w:hAnsi="Times New Roman" w:cs="Times New Roman"/>
          <w:b/>
          <w:sz w:val="24"/>
          <w:szCs w:val="24"/>
          <w:lang w:val="lt-LT"/>
        </w:rPr>
        <w:t>p</w:t>
      </w:r>
      <w:r w:rsidR="00BA3D29" w:rsidRPr="00B1416B">
        <w:rPr>
          <w:rFonts w:ascii="Times New Roman" w:hAnsi="Times New Roman" w:cs="Times New Roman"/>
          <w:b/>
          <w:sz w:val="24"/>
          <w:szCs w:val="24"/>
          <w:lang w:val="lt-LT"/>
        </w:rPr>
        <w:t>erkančioji organizacija</w:t>
      </w:r>
      <w:r w:rsidR="0071396E" w:rsidRPr="00B1416B">
        <w:rPr>
          <w:rFonts w:ascii="Times New Roman" w:hAnsi="Times New Roman" w:cs="Times New Roman"/>
          <w:b/>
          <w:sz w:val="24"/>
          <w:szCs w:val="24"/>
          <w:lang w:val="lt-LT"/>
        </w:rPr>
        <w:t xml:space="preserve"> turėtų atsižvelgti vykdydama </w:t>
      </w:r>
      <w:r w:rsidR="00E93D32" w:rsidRPr="00B1416B">
        <w:rPr>
          <w:rFonts w:ascii="Times New Roman" w:hAnsi="Times New Roman" w:cs="Times New Roman"/>
          <w:b/>
          <w:sz w:val="24"/>
          <w:szCs w:val="24"/>
          <w:lang w:val="lt-LT"/>
        </w:rPr>
        <w:t xml:space="preserve">kitus </w:t>
      </w:r>
      <w:r w:rsidR="0071396E" w:rsidRPr="00B1416B">
        <w:rPr>
          <w:rFonts w:ascii="Times New Roman" w:hAnsi="Times New Roman" w:cs="Times New Roman"/>
          <w:b/>
          <w:sz w:val="24"/>
          <w:szCs w:val="24"/>
          <w:lang w:val="lt-LT"/>
        </w:rPr>
        <w:t>pirkimus</w:t>
      </w:r>
    </w:p>
    <w:tbl>
      <w:tblPr>
        <w:tblStyle w:val="TableGrid"/>
        <w:tblW w:w="9271" w:type="dxa"/>
        <w:tblLayout w:type="fixed"/>
        <w:tblLook w:val="04A0" w:firstRow="1" w:lastRow="0" w:firstColumn="1" w:lastColumn="0" w:noHBand="0" w:noVBand="1"/>
      </w:tblPr>
      <w:tblGrid>
        <w:gridCol w:w="422"/>
        <w:gridCol w:w="8849"/>
      </w:tblGrid>
      <w:tr w:rsidR="005021D3" w:rsidRPr="00B1416B" w:rsidTr="00B1416B">
        <w:trPr>
          <w:trHeight w:val="285"/>
        </w:trPr>
        <w:tc>
          <w:tcPr>
            <w:tcW w:w="422" w:type="dxa"/>
          </w:tcPr>
          <w:p w:rsidR="005021D3" w:rsidRPr="00B1416B" w:rsidRDefault="007F5D85" w:rsidP="00A74C13">
            <w:pPr>
              <w:pStyle w:val="ListParagraph"/>
              <w:tabs>
                <w:tab w:val="left" w:pos="993"/>
              </w:tabs>
              <w:ind w:left="0"/>
              <w:jc w:val="both"/>
              <w:rPr>
                <w:rFonts w:ascii="Times New Roman" w:hAnsi="Times New Roman" w:cs="Times New Roman"/>
                <w:sz w:val="24"/>
                <w:szCs w:val="24"/>
                <w:lang w:val="lt-LT"/>
              </w:rPr>
            </w:pPr>
            <w:r w:rsidRPr="00B1416B">
              <w:rPr>
                <w:rFonts w:ascii="Times New Roman" w:hAnsi="Times New Roman" w:cs="Times New Roman"/>
                <w:sz w:val="24"/>
                <w:szCs w:val="24"/>
                <w:lang w:val="lt-LT"/>
              </w:rPr>
              <w:t>1.</w:t>
            </w:r>
          </w:p>
        </w:tc>
        <w:tc>
          <w:tcPr>
            <w:tcW w:w="8849" w:type="dxa"/>
          </w:tcPr>
          <w:p w:rsidR="005021D3" w:rsidRPr="00B1416B" w:rsidRDefault="00E5127A" w:rsidP="008B18E7">
            <w:pPr>
              <w:pStyle w:val="ListParagraph"/>
              <w:tabs>
                <w:tab w:val="left" w:pos="993"/>
              </w:tabs>
              <w:ind w:left="0"/>
              <w:jc w:val="both"/>
              <w:rPr>
                <w:rFonts w:ascii="Times New Roman" w:hAnsi="Times New Roman" w:cs="Times New Roman"/>
                <w:b/>
                <w:sz w:val="24"/>
                <w:szCs w:val="24"/>
                <w:lang w:val="lt-LT"/>
              </w:rPr>
            </w:pPr>
            <w:r w:rsidRPr="00B1416B">
              <w:rPr>
                <w:rFonts w:ascii="Times New Roman" w:hAnsi="Times New Roman" w:cs="Times New Roman"/>
                <w:b/>
                <w:sz w:val="24"/>
                <w:szCs w:val="24"/>
                <w:lang w:val="lt-LT"/>
              </w:rPr>
              <w:t xml:space="preserve">Įstatymo </w:t>
            </w:r>
            <w:r w:rsidR="008B18E7" w:rsidRPr="00B1416B">
              <w:rPr>
                <w:rFonts w:ascii="Times New Roman" w:hAnsi="Times New Roman" w:cs="Times New Roman"/>
                <w:b/>
                <w:sz w:val="24"/>
                <w:szCs w:val="24"/>
                <w:lang w:val="lt-LT"/>
              </w:rPr>
              <w:t xml:space="preserve">24 straipsnio </w:t>
            </w:r>
            <w:r w:rsidR="000329AE" w:rsidRPr="00B1416B">
              <w:rPr>
                <w:rFonts w:ascii="Times New Roman" w:hAnsi="Times New Roman" w:cs="Times New Roman"/>
                <w:b/>
                <w:sz w:val="24"/>
                <w:szCs w:val="24"/>
                <w:lang w:val="lt-LT"/>
              </w:rPr>
              <w:t>9 dalis</w:t>
            </w:r>
            <w:r w:rsidR="000329AE" w:rsidRPr="00B1416B">
              <w:rPr>
                <w:rStyle w:val="FootnoteReference"/>
                <w:rFonts w:ascii="Times New Roman" w:hAnsi="Times New Roman" w:cs="Times New Roman"/>
                <w:b/>
                <w:sz w:val="24"/>
                <w:szCs w:val="24"/>
                <w:lang w:val="lt-LT"/>
              </w:rPr>
              <w:footnoteReference w:id="3"/>
            </w:r>
          </w:p>
        </w:tc>
      </w:tr>
      <w:tr w:rsidR="005021D3" w:rsidRPr="00B1416B" w:rsidTr="005A09EF">
        <w:trPr>
          <w:trHeight w:val="1599"/>
        </w:trPr>
        <w:tc>
          <w:tcPr>
            <w:tcW w:w="9271" w:type="dxa"/>
            <w:gridSpan w:val="2"/>
          </w:tcPr>
          <w:p w:rsidR="005021D3" w:rsidRPr="00B1416B" w:rsidRDefault="00952093" w:rsidP="005D40EC">
            <w:pPr>
              <w:ind w:firstLine="596"/>
              <w:jc w:val="both"/>
              <w:rPr>
                <w:rFonts w:ascii="Times New Roman" w:hAnsi="Times New Roman" w:cs="Times New Roman"/>
                <w:sz w:val="24"/>
                <w:szCs w:val="24"/>
                <w:u w:val="single"/>
                <w:lang w:val="lt-LT"/>
              </w:rPr>
            </w:pPr>
            <w:r w:rsidRPr="00B1416B">
              <w:rPr>
                <w:rFonts w:ascii="Times New Roman" w:hAnsi="Times New Roman" w:cs="Times New Roman"/>
                <w:sz w:val="24"/>
                <w:szCs w:val="24"/>
                <w:lang w:val="lt-LT"/>
              </w:rPr>
              <w:t xml:space="preserve">a) </w:t>
            </w:r>
            <w:r w:rsidR="000329AE" w:rsidRPr="00B1416B">
              <w:rPr>
                <w:rFonts w:ascii="Times New Roman" w:hAnsi="Times New Roman" w:cs="Times New Roman"/>
                <w:sz w:val="24"/>
                <w:szCs w:val="24"/>
                <w:lang w:val="lt-LT"/>
              </w:rPr>
              <w:t>Pirkimo sąlygų</w:t>
            </w:r>
            <w:r w:rsidR="005D40EC" w:rsidRPr="00B1416B">
              <w:rPr>
                <w:rFonts w:ascii="Times New Roman" w:hAnsi="Times New Roman" w:cs="Times New Roman"/>
                <w:sz w:val="24"/>
                <w:szCs w:val="24"/>
                <w:lang w:val="lt-LT"/>
              </w:rPr>
              <w:t xml:space="preserve"> 5.8.2 punkte ir skelbime apie Pirkimą nustatyta vokų atplėšimo data 2016-08-12 </w:t>
            </w:r>
            <w:r w:rsidR="0064090D">
              <w:rPr>
                <w:rFonts w:ascii="Times New Roman" w:hAnsi="Times New Roman" w:cs="Times New Roman"/>
                <w:sz w:val="24"/>
                <w:szCs w:val="24"/>
                <w:u w:val="single"/>
                <w:lang w:val="lt-LT"/>
              </w:rPr>
              <w:t>10 val. 45 min,</w:t>
            </w:r>
            <w:r w:rsidR="0064090D">
              <w:rPr>
                <w:rFonts w:ascii="Times New Roman" w:hAnsi="Times New Roman" w:cs="Times New Roman"/>
                <w:sz w:val="24"/>
                <w:szCs w:val="24"/>
                <w:lang w:val="lt-LT"/>
              </w:rPr>
              <w:t xml:space="preserve"> </w:t>
            </w:r>
            <w:r w:rsidR="005D40EC" w:rsidRPr="00B1416B">
              <w:rPr>
                <w:rFonts w:ascii="Times New Roman" w:hAnsi="Times New Roman" w:cs="Times New Roman"/>
                <w:sz w:val="24"/>
                <w:szCs w:val="24"/>
                <w:lang w:val="lt-LT"/>
              </w:rPr>
              <w:t xml:space="preserve">o Pirkimo sąlygų 8.1 punkte nustatyta, kad susipažinimo su pasiūlymais procedūra bus vykdoma 2016-08-12 </w:t>
            </w:r>
            <w:r w:rsidR="005D40EC" w:rsidRPr="00B1416B">
              <w:rPr>
                <w:rFonts w:ascii="Times New Roman" w:hAnsi="Times New Roman" w:cs="Times New Roman"/>
                <w:sz w:val="24"/>
                <w:szCs w:val="24"/>
                <w:u w:val="single"/>
                <w:lang w:val="lt-LT"/>
              </w:rPr>
              <w:t>10 val. 0</w:t>
            </w:r>
            <w:r w:rsidRPr="00B1416B">
              <w:rPr>
                <w:rFonts w:ascii="Times New Roman" w:hAnsi="Times New Roman" w:cs="Times New Roman"/>
                <w:sz w:val="24"/>
                <w:szCs w:val="24"/>
                <w:u w:val="single"/>
                <w:lang w:val="lt-LT"/>
              </w:rPr>
              <w:t>0 min;</w:t>
            </w:r>
          </w:p>
          <w:p w:rsidR="00952093" w:rsidRPr="00B1416B" w:rsidRDefault="00952093" w:rsidP="00952093">
            <w:pPr>
              <w:ind w:firstLine="596"/>
              <w:jc w:val="both"/>
              <w:rPr>
                <w:rFonts w:ascii="Times New Roman" w:hAnsi="Times New Roman" w:cs="Times New Roman"/>
                <w:sz w:val="24"/>
                <w:szCs w:val="24"/>
                <w:lang w:val="lt-LT"/>
              </w:rPr>
            </w:pPr>
            <w:r w:rsidRPr="00B1416B">
              <w:rPr>
                <w:rFonts w:ascii="Times New Roman" w:hAnsi="Times New Roman" w:cs="Times New Roman"/>
                <w:sz w:val="24"/>
                <w:szCs w:val="24"/>
                <w:lang w:val="lt-LT"/>
              </w:rPr>
              <w:t xml:space="preserve">b) Pirkimo sąlygų 10.1 punkte nustatyta, </w:t>
            </w:r>
            <w:r w:rsidRPr="00B1416B">
              <w:rPr>
                <w:rFonts w:ascii="Times New Roman" w:hAnsi="Times New Roman" w:cs="Times New Roman"/>
                <w:i/>
                <w:sz w:val="24"/>
                <w:szCs w:val="24"/>
                <w:lang w:val="lt-LT"/>
              </w:rPr>
              <w:t>kad „Komisija vertina ir palygina tik tuos pasiūlymus, kurie neatmesti dėl pirkimo dokumentų 8.7. punkte nurodytų priežasčių“</w:t>
            </w:r>
            <w:r w:rsidRPr="00B1416B">
              <w:rPr>
                <w:rFonts w:ascii="Times New Roman" w:hAnsi="Times New Roman" w:cs="Times New Roman"/>
                <w:sz w:val="24"/>
                <w:szCs w:val="24"/>
                <w:lang w:val="lt-LT"/>
              </w:rPr>
              <w:t>, bet Tarnyba atkreipia dėmesį, kad Pirkimo sąlygose 8.7 punkto nėra.</w:t>
            </w:r>
          </w:p>
        </w:tc>
      </w:tr>
      <w:tr w:rsidR="00952093" w:rsidRPr="00B1416B" w:rsidTr="00B1416B">
        <w:trPr>
          <w:trHeight w:val="285"/>
        </w:trPr>
        <w:tc>
          <w:tcPr>
            <w:tcW w:w="422" w:type="dxa"/>
          </w:tcPr>
          <w:p w:rsidR="00952093" w:rsidRPr="00B1416B" w:rsidRDefault="005A09EF" w:rsidP="00F73552">
            <w:pPr>
              <w:pStyle w:val="ListParagraph"/>
              <w:tabs>
                <w:tab w:val="left" w:pos="993"/>
              </w:tabs>
              <w:ind w:left="0"/>
              <w:jc w:val="both"/>
              <w:rPr>
                <w:rFonts w:ascii="Times New Roman" w:hAnsi="Times New Roman" w:cs="Times New Roman"/>
                <w:sz w:val="24"/>
                <w:szCs w:val="24"/>
                <w:lang w:val="lt-LT"/>
              </w:rPr>
            </w:pPr>
            <w:r w:rsidRPr="00B1416B">
              <w:rPr>
                <w:rFonts w:ascii="Times New Roman" w:hAnsi="Times New Roman" w:cs="Times New Roman"/>
                <w:sz w:val="24"/>
                <w:szCs w:val="24"/>
                <w:lang w:val="lt-LT"/>
              </w:rPr>
              <w:t>2</w:t>
            </w:r>
            <w:r w:rsidR="00952093" w:rsidRPr="00B1416B">
              <w:rPr>
                <w:rFonts w:ascii="Times New Roman" w:hAnsi="Times New Roman" w:cs="Times New Roman"/>
                <w:sz w:val="24"/>
                <w:szCs w:val="24"/>
                <w:lang w:val="lt-LT"/>
              </w:rPr>
              <w:t>.</w:t>
            </w:r>
          </w:p>
        </w:tc>
        <w:tc>
          <w:tcPr>
            <w:tcW w:w="8849" w:type="dxa"/>
          </w:tcPr>
          <w:p w:rsidR="00952093" w:rsidRPr="00B1416B" w:rsidRDefault="00952093" w:rsidP="00F73552">
            <w:pPr>
              <w:pStyle w:val="ListParagraph"/>
              <w:tabs>
                <w:tab w:val="left" w:pos="993"/>
              </w:tabs>
              <w:ind w:left="0"/>
              <w:jc w:val="both"/>
              <w:rPr>
                <w:rFonts w:ascii="Times New Roman" w:hAnsi="Times New Roman" w:cs="Times New Roman"/>
                <w:b/>
                <w:sz w:val="24"/>
                <w:szCs w:val="24"/>
                <w:lang w:val="lt-LT"/>
              </w:rPr>
            </w:pPr>
            <w:r w:rsidRPr="00B1416B">
              <w:rPr>
                <w:rFonts w:ascii="Times New Roman" w:hAnsi="Times New Roman" w:cs="Times New Roman"/>
                <w:b/>
                <w:sz w:val="24"/>
                <w:szCs w:val="24"/>
                <w:lang w:val="lt-LT"/>
              </w:rPr>
              <w:t>-</w:t>
            </w:r>
          </w:p>
        </w:tc>
      </w:tr>
      <w:tr w:rsidR="00952093" w:rsidRPr="00B1416B" w:rsidTr="005A09EF">
        <w:trPr>
          <w:trHeight w:val="1425"/>
        </w:trPr>
        <w:tc>
          <w:tcPr>
            <w:tcW w:w="9271" w:type="dxa"/>
            <w:gridSpan w:val="2"/>
          </w:tcPr>
          <w:p w:rsidR="00952093" w:rsidRPr="00B1416B" w:rsidRDefault="00952093" w:rsidP="00EE762A">
            <w:pPr>
              <w:ind w:firstLine="596"/>
              <w:jc w:val="both"/>
              <w:rPr>
                <w:rFonts w:ascii="Times New Roman" w:hAnsi="Times New Roman" w:cs="Times New Roman"/>
                <w:sz w:val="24"/>
                <w:szCs w:val="24"/>
                <w:lang w:val="lt-LT"/>
              </w:rPr>
            </w:pPr>
            <w:r w:rsidRPr="00B1416B">
              <w:rPr>
                <w:rFonts w:ascii="Times New Roman" w:hAnsi="Times New Roman" w:cs="Times New Roman"/>
                <w:sz w:val="24"/>
                <w:szCs w:val="24"/>
                <w:lang w:val="lt-LT"/>
              </w:rPr>
              <w:t xml:space="preserve">Pirkimo sąlygų 12.2 ir 12.3 punktuose nurodyta, kad pretenzija turi būti teikiama tik CVP IS priemonėmis. </w:t>
            </w:r>
            <w:r w:rsidR="00EE762A" w:rsidRPr="00B1416B">
              <w:rPr>
                <w:rFonts w:ascii="Times New Roman" w:hAnsi="Times New Roman" w:cs="Times New Roman"/>
                <w:bCs/>
                <w:sz w:val="24"/>
                <w:szCs w:val="24"/>
                <w:lang w:val="lt-LT"/>
              </w:rPr>
              <w:t>Atsižvelgdama į Įstatymo 93 straipsnio 3 dalį, kurioje nustatyta, kad „</w:t>
            </w:r>
            <w:r w:rsidR="00EE762A" w:rsidRPr="00B1416B">
              <w:rPr>
                <w:rFonts w:ascii="Times New Roman" w:hAnsi="Times New Roman" w:cs="Times New Roman"/>
                <w:bCs/>
                <w:i/>
                <w:sz w:val="24"/>
                <w:szCs w:val="24"/>
                <w:lang w:val="lt-LT"/>
              </w:rPr>
              <w:t>&lt;...&gt; Pretenzija turi būti pateikta faksu, elektroninėmis priemonėmis ar pasirašytinai per kurjerį &lt;...&gt;</w:t>
            </w:r>
            <w:r w:rsidR="005A09EF" w:rsidRPr="00B1416B">
              <w:rPr>
                <w:rFonts w:ascii="Times New Roman" w:hAnsi="Times New Roman" w:cs="Times New Roman"/>
                <w:bCs/>
                <w:sz w:val="24"/>
                <w:szCs w:val="24"/>
                <w:lang w:val="lt-LT"/>
              </w:rPr>
              <w:t>“, Tarnyba pažymi</w:t>
            </w:r>
            <w:r w:rsidR="00EE762A" w:rsidRPr="00B1416B">
              <w:rPr>
                <w:rFonts w:ascii="Times New Roman" w:hAnsi="Times New Roman" w:cs="Times New Roman"/>
                <w:bCs/>
                <w:sz w:val="24"/>
                <w:szCs w:val="24"/>
                <w:lang w:val="lt-LT"/>
              </w:rPr>
              <w:t>, kad Perkančioji organizacija negali riboti tiekėjų teisių dėl pretenzijos pateikimo būdų.</w:t>
            </w:r>
          </w:p>
        </w:tc>
      </w:tr>
      <w:tr w:rsidR="00BB55FA" w:rsidRPr="00B1416B" w:rsidTr="00AE5200">
        <w:trPr>
          <w:trHeight w:val="285"/>
        </w:trPr>
        <w:tc>
          <w:tcPr>
            <w:tcW w:w="422" w:type="dxa"/>
          </w:tcPr>
          <w:p w:rsidR="00BB55FA" w:rsidRPr="00B1416B" w:rsidRDefault="00BB55FA" w:rsidP="00AE5200">
            <w:pPr>
              <w:pStyle w:val="ListParagraph"/>
              <w:tabs>
                <w:tab w:val="left" w:pos="993"/>
              </w:tabs>
              <w:ind w:left="0"/>
              <w:jc w:val="both"/>
              <w:rPr>
                <w:rFonts w:ascii="Times New Roman" w:hAnsi="Times New Roman" w:cs="Times New Roman"/>
                <w:sz w:val="24"/>
                <w:szCs w:val="24"/>
                <w:lang w:val="lt-LT"/>
              </w:rPr>
            </w:pPr>
            <w:r>
              <w:rPr>
                <w:rFonts w:ascii="Times New Roman" w:hAnsi="Times New Roman" w:cs="Times New Roman"/>
                <w:sz w:val="24"/>
                <w:szCs w:val="24"/>
                <w:lang w:val="lt-LT"/>
              </w:rPr>
              <w:t>3</w:t>
            </w:r>
            <w:r w:rsidRPr="00B1416B">
              <w:rPr>
                <w:rFonts w:ascii="Times New Roman" w:hAnsi="Times New Roman" w:cs="Times New Roman"/>
                <w:sz w:val="24"/>
                <w:szCs w:val="24"/>
                <w:lang w:val="lt-LT"/>
              </w:rPr>
              <w:t>.</w:t>
            </w:r>
          </w:p>
        </w:tc>
        <w:tc>
          <w:tcPr>
            <w:tcW w:w="8849" w:type="dxa"/>
          </w:tcPr>
          <w:p w:rsidR="00BB55FA" w:rsidRPr="00B1416B" w:rsidRDefault="00BB55FA" w:rsidP="00AE5200">
            <w:pPr>
              <w:pStyle w:val="ListParagraph"/>
              <w:tabs>
                <w:tab w:val="left" w:pos="993"/>
              </w:tabs>
              <w:ind w:left="0"/>
              <w:jc w:val="both"/>
              <w:rPr>
                <w:rFonts w:ascii="Times New Roman" w:hAnsi="Times New Roman" w:cs="Times New Roman"/>
                <w:b/>
                <w:sz w:val="24"/>
                <w:szCs w:val="24"/>
                <w:lang w:val="lt-LT"/>
              </w:rPr>
            </w:pPr>
            <w:r w:rsidRPr="00B1416B">
              <w:rPr>
                <w:rFonts w:ascii="Times New Roman" w:hAnsi="Times New Roman" w:cs="Times New Roman"/>
                <w:b/>
                <w:sz w:val="24"/>
                <w:szCs w:val="24"/>
                <w:lang w:val="lt-LT"/>
              </w:rPr>
              <w:t>-</w:t>
            </w:r>
          </w:p>
        </w:tc>
      </w:tr>
      <w:tr w:rsidR="00BB55FA" w:rsidRPr="00B1416B" w:rsidTr="00AE5200">
        <w:trPr>
          <w:trHeight w:val="1425"/>
        </w:trPr>
        <w:tc>
          <w:tcPr>
            <w:tcW w:w="9271" w:type="dxa"/>
            <w:gridSpan w:val="2"/>
          </w:tcPr>
          <w:p w:rsidR="00BB55FA" w:rsidRPr="00BB55FA" w:rsidRDefault="00BB55FA" w:rsidP="00BB55FA">
            <w:pPr>
              <w:ind w:firstLine="596"/>
              <w:jc w:val="both"/>
              <w:rPr>
                <w:rFonts w:ascii="Times New Roman" w:hAnsi="Times New Roman" w:cs="Times New Roman"/>
                <w:sz w:val="24"/>
                <w:szCs w:val="24"/>
                <w:lang w:val="lt-LT"/>
              </w:rPr>
            </w:pPr>
            <w:r w:rsidRPr="00BB55FA">
              <w:rPr>
                <w:rFonts w:ascii="Times New Roman" w:hAnsi="Times New Roman" w:cs="Times New Roman"/>
                <w:sz w:val="24"/>
                <w:szCs w:val="24"/>
                <w:lang w:val="lt-LT"/>
              </w:rPr>
              <w:t>Pirkimo sąlygų 9.7 punkte nustatytos pasiūlymo atmetimo sąlygos, tačiau nenustatytos pasiūlymo atmetimo sąlygos dėl Įstatymo 28 straipsnio 10 dalies nuostatų, nes Perkančiajai organizacijai yra numatyta pareiga kreiptis į tiekėją, jeigu tiekėjas, teikdamas pasiūlymą, pateikė netikslius, neišsamius dokumentus (tiekėjo įgaliojimą asmeniui pasirašyti paraišką ar pasiūlymą, jungtinės veiklos sutartį, pasiūlymo galiojimo užtikrinimą patvirtinantį dokumentą, ar jų nepateikė) su prašymu juos patikslinti, ir tik jeigu tiekėjas nepatikslina tokių duomenų, tuomet perkančioji organizacija tokį tiekėjo pasiūlymą atmeta.</w:t>
            </w:r>
          </w:p>
        </w:tc>
      </w:tr>
    </w:tbl>
    <w:p w:rsidR="00F607C9" w:rsidRPr="00B1416B" w:rsidRDefault="00F607C9" w:rsidP="00455BB0">
      <w:pPr>
        <w:jc w:val="center"/>
        <w:rPr>
          <w:rFonts w:ascii="Times New Roman" w:hAnsi="Times New Roman" w:cs="Times New Roman"/>
          <w:b/>
          <w:sz w:val="24"/>
          <w:szCs w:val="24"/>
          <w:lang w:val="lt-LT"/>
        </w:rPr>
      </w:pPr>
    </w:p>
    <w:p w:rsidR="008C62BC" w:rsidRPr="00B1416B" w:rsidRDefault="00ED2E43" w:rsidP="00455BB0">
      <w:pPr>
        <w:jc w:val="center"/>
        <w:rPr>
          <w:rFonts w:ascii="Times New Roman" w:hAnsi="Times New Roman" w:cs="Times New Roman"/>
          <w:b/>
          <w:sz w:val="24"/>
          <w:szCs w:val="24"/>
          <w:lang w:val="lt-LT"/>
        </w:rPr>
      </w:pPr>
      <w:r w:rsidRPr="00B1416B">
        <w:rPr>
          <w:rFonts w:ascii="Times New Roman" w:hAnsi="Times New Roman" w:cs="Times New Roman"/>
          <w:b/>
          <w:sz w:val="24"/>
          <w:szCs w:val="24"/>
          <w:lang w:val="lt-LT"/>
        </w:rPr>
        <w:lastRenderedPageBreak/>
        <w:t>I</w:t>
      </w:r>
      <w:r w:rsidR="00D83099" w:rsidRPr="00B1416B">
        <w:rPr>
          <w:rFonts w:ascii="Times New Roman" w:hAnsi="Times New Roman" w:cs="Times New Roman"/>
          <w:b/>
          <w:sz w:val="24"/>
          <w:szCs w:val="24"/>
          <w:lang w:val="lt-LT"/>
        </w:rPr>
        <w:t>V dalis. SPRENDIMAS</w:t>
      </w:r>
    </w:p>
    <w:p w:rsidR="00E326D1" w:rsidRDefault="00CC10E0" w:rsidP="00CC10E0">
      <w:pPr>
        <w:spacing w:after="0" w:line="240" w:lineRule="auto"/>
        <w:ind w:firstLine="708"/>
        <w:jc w:val="both"/>
        <w:rPr>
          <w:rFonts w:ascii="Times New Roman" w:hAnsi="Times New Roman" w:cs="Times New Roman"/>
          <w:sz w:val="24"/>
          <w:szCs w:val="24"/>
          <w:lang w:val="lt-LT"/>
        </w:rPr>
      </w:pPr>
      <w:r w:rsidRPr="00B1416B">
        <w:rPr>
          <w:rFonts w:ascii="Times New Roman" w:hAnsi="Times New Roman" w:cs="Times New Roman"/>
          <w:sz w:val="24"/>
          <w:szCs w:val="24"/>
          <w:lang w:val="lt-LT"/>
        </w:rPr>
        <w:t>Atsižvelgdama į tai, kad Lietuvos vyriausiasis administracinis teismas 2012-12-05 nutartimi administracinėje byloje Nr. A525-2907/2012 pabrėžė, jog Lietuvos Respublikos viešojo administravimo įstatymo 23 straipsnio 4 dalis nustato, kad, jeigu paaiškėja, jog pradėjus administracinę procedūrą, skundą tuo pačiu klausimu pradėjo nagrinėti ir teismas, administracinė procedūra sustabdoma, kol teismas išnagrinės skundą, šioje išvadoje Tarnyba nepasisakys dėl</w:t>
      </w:r>
      <w:r w:rsidR="00E326D1" w:rsidRPr="00B1416B">
        <w:rPr>
          <w:rFonts w:ascii="Times New Roman" w:hAnsi="Times New Roman" w:cs="Times New Roman"/>
          <w:sz w:val="24"/>
          <w:szCs w:val="24"/>
          <w:lang w:val="lt-LT"/>
        </w:rPr>
        <w:t xml:space="preserve"> Techninėje specifikacijoje 2, 4, 5, 6 ir 10 objekto dalims nusta</w:t>
      </w:r>
      <w:r w:rsidR="009D47A7" w:rsidRPr="00B1416B">
        <w:rPr>
          <w:rFonts w:ascii="Times New Roman" w:hAnsi="Times New Roman" w:cs="Times New Roman"/>
          <w:sz w:val="24"/>
          <w:szCs w:val="24"/>
          <w:lang w:val="lt-LT"/>
        </w:rPr>
        <w:t xml:space="preserve">tytų reikalavimų teisėtumo, nes </w:t>
      </w:r>
      <w:r w:rsidR="009B11E4" w:rsidRPr="00B1416B">
        <w:rPr>
          <w:rFonts w:ascii="Times New Roman" w:hAnsi="Times New Roman" w:cs="Times New Roman"/>
          <w:sz w:val="24"/>
          <w:szCs w:val="24"/>
          <w:lang w:val="lt-LT"/>
        </w:rPr>
        <w:t>I</w:t>
      </w:r>
      <w:r w:rsidR="00E326D1" w:rsidRPr="00B1416B">
        <w:rPr>
          <w:rFonts w:ascii="Times New Roman" w:hAnsi="Times New Roman" w:cs="Times New Roman"/>
          <w:sz w:val="24"/>
          <w:szCs w:val="24"/>
          <w:lang w:val="lt-LT"/>
        </w:rPr>
        <w:t>eškiniu skundžiama</w:t>
      </w:r>
      <w:r w:rsidR="009B11E4" w:rsidRPr="00B1416B">
        <w:rPr>
          <w:rFonts w:ascii="Times New Roman" w:hAnsi="Times New Roman" w:cs="Times New Roman"/>
          <w:sz w:val="24"/>
          <w:szCs w:val="24"/>
          <w:lang w:val="lt-LT"/>
        </w:rPr>
        <w:t xml:space="preserve"> </w:t>
      </w:r>
      <w:r w:rsidRPr="00B1416B">
        <w:rPr>
          <w:rFonts w:ascii="Times New Roman" w:hAnsi="Times New Roman" w:cs="Times New Roman"/>
          <w:sz w:val="24"/>
          <w:szCs w:val="24"/>
          <w:lang w:val="lt-LT"/>
        </w:rPr>
        <w:t xml:space="preserve"> </w:t>
      </w:r>
      <w:r w:rsidR="00E326D1" w:rsidRPr="00B1416B">
        <w:rPr>
          <w:rFonts w:ascii="Times New Roman" w:hAnsi="Times New Roman" w:cs="Times New Roman"/>
          <w:sz w:val="24"/>
          <w:szCs w:val="24"/>
          <w:lang w:val="lt-LT"/>
        </w:rPr>
        <w:t>Techninėje specifikacijoje 2, 4, 5 ir 6 objekto dalims n</w:t>
      </w:r>
      <w:r w:rsidR="009D47A7" w:rsidRPr="00B1416B">
        <w:rPr>
          <w:rFonts w:ascii="Times New Roman" w:hAnsi="Times New Roman" w:cs="Times New Roman"/>
          <w:sz w:val="24"/>
          <w:szCs w:val="24"/>
          <w:lang w:val="lt-LT"/>
        </w:rPr>
        <w:t xml:space="preserve">ustatytų reikalavimų teisėtumas, o </w:t>
      </w:r>
      <w:r w:rsidR="003614B5" w:rsidRPr="00B1416B">
        <w:rPr>
          <w:rFonts w:ascii="Times New Roman" w:hAnsi="Times New Roman" w:cs="Times New Roman"/>
          <w:sz w:val="24"/>
          <w:szCs w:val="24"/>
          <w:lang w:val="lt-LT"/>
        </w:rPr>
        <w:t>Techninėje specifikacijoje</w:t>
      </w:r>
      <w:r w:rsidR="00D87080" w:rsidRPr="00B1416B">
        <w:rPr>
          <w:rFonts w:ascii="Times New Roman" w:hAnsi="Times New Roman" w:cs="Times New Roman"/>
          <w:sz w:val="24"/>
          <w:szCs w:val="24"/>
          <w:lang w:val="lt-LT"/>
        </w:rPr>
        <w:t xml:space="preserve"> 10 objekto daliai nustatytų</w:t>
      </w:r>
      <w:r w:rsidR="003614B5" w:rsidRPr="00B1416B">
        <w:rPr>
          <w:rFonts w:ascii="Times New Roman" w:hAnsi="Times New Roman" w:cs="Times New Roman"/>
          <w:sz w:val="24"/>
          <w:szCs w:val="24"/>
          <w:lang w:val="lt-LT"/>
        </w:rPr>
        <w:t xml:space="preserve"> reikalavi</w:t>
      </w:r>
      <w:r w:rsidR="00D87080" w:rsidRPr="00B1416B">
        <w:rPr>
          <w:rFonts w:ascii="Times New Roman" w:hAnsi="Times New Roman" w:cs="Times New Roman"/>
          <w:sz w:val="24"/>
          <w:szCs w:val="24"/>
          <w:lang w:val="lt-LT"/>
        </w:rPr>
        <w:t>mų teisė</w:t>
      </w:r>
      <w:r w:rsidR="008B18E7" w:rsidRPr="00B1416B">
        <w:rPr>
          <w:rFonts w:ascii="Times New Roman" w:hAnsi="Times New Roman" w:cs="Times New Roman"/>
          <w:sz w:val="24"/>
          <w:szCs w:val="24"/>
          <w:lang w:val="lt-LT"/>
        </w:rPr>
        <w:t>tumas analogiškas Ieškinio dalykui</w:t>
      </w:r>
      <w:r w:rsidR="00D87080" w:rsidRPr="00B1416B">
        <w:rPr>
          <w:rFonts w:ascii="Times New Roman" w:hAnsi="Times New Roman" w:cs="Times New Roman"/>
          <w:sz w:val="24"/>
          <w:szCs w:val="24"/>
          <w:lang w:val="lt-LT"/>
        </w:rPr>
        <w:t>.</w:t>
      </w:r>
    </w:p>
    <w:p w:rsidR="0064090D" w:rsidRPr="00B1416B" w:rsidRDefault="0064090D" w:rsidP="0064090D">
      <w:pPr>
        <w:pStyle w:val="NoSpacing"/>
        <w:ind w:firstLine="720"/>
        <w:jc w:val="both"/>
        <w:rPr>
          <w:rFonts w:ascii="Times New Roman" w:hAnsi="Times New Roman" w:cs="Times New Roman"/>
          <w:sz w:val="24"/>
          <w:szCs w:val="24"/>
          <w:lang w:val="lt-LT"/>
        </w:rPr>
      </w:pPr>
      <w:r w:rsidRPr="00B1416B">
        <w:rPr>
          <w:rFonts w:ascii="Times New Roman" w:hAnsi="Times New Roman" w:cs="Times New Roman"/>
          <w:sz w:val="24"/>
          <w:szCs w:val="24"/>
          <w:lang w:val="lt-LT"/>
        </w:rPr>
        <w:t>Teismui priėmus sprendimą Ieškinyje nurodytais klausimais, prašome pateikti Teismo sprendimo įvykdymą ar sprendimo apskundimą patvirtinančių dokumentų kopijas, o nepriėmus galutinio sprendimo dėl Lietuvos Respublikos civilinio proceso kodekso 139 – 141 straipsniuose nustatytų pagrindų, prašome nedelsiant raštu apie tai informuoti Tarnybą. Tokiu atveju, Tarnyba, vadovaudamasi Viešųjų pirkimų procedūrų vertinimų atlikimo ir jų rezultatų įforminimo taisyklių, patvirtintų Tarnybos direktoriaus 2014 m. gegužės 30 d. įsakymu Nr. 1S-90 „Dėl Viešųjų pirkimų procedūrų vertinimų atlikimo ir jų rezultatų įforminimo taisyklių patvirtinimo“ 24 punktu, spręs klausimą dėl Pirkimo vertinimo atnaujinimo.</w:t>
      </w:r>
    </w:p>
    <w:p w:rsidR="00C51EC0" w:rsidRDefault="00C51EC0" w:rsidP="00C51EC0">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Tarnyba, atsižvelgdama į nustatytus Įstatymo nuostatų pažeidimus ir, vadovaudamasi Lietuvos Respublikos viešųjų pirkimų įstatymo 8</w:t>
      </w:r>
      <w:r>
        <w:rPr>
          <w:rFonts w:ascii="Times New Roman" w:hAnsi="Times New Roman"/>
          <w:sz w:val="24"/>
          <w:szCs w:val="24"/>
          <w:vertAlign w:val="superscript"/>
          <w:lang w:val="lt-LT"/>
        </w:rPr>
        <w:t>2</w:t>
      </w:r>
      <w:r>
        <w:rPr>
          <w:rFonts w:ascii="Times New Roman" w:hAnsi="Times New Roman"/>
          <w:sz w:val="24"/>
          <w:szCs w:val="24"/>
          <w:lang w:val="lt-LT"/>
        </w:rPr>
        <w:t xml:space="preserve"> straipsnio 2 dalies 6 punktu, įpareigoja Perkančiąją organizaciją:</w:t>
      </w:r>
    </w:p>
    <w:p w:rsidR="00C51EC0" w:rsidRDefault="0064090D" w:rsidP="00C51EC0">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1.</w:t>
      </w:r>
      <w:r>
        <w:rPr>
          <w:rFonts w:ascii="Times New Roman" w:hAnsi="Times New Roman"/>
          <w:sz w:val="24"/>
          <w:szCs w:val="24"/>
          <w:lang w:val="lt-LT"/>
        </w:rPr>
        <w:tab/>
        <w:t>p</w:t>
      </w:r>
      <w:r w:rsidR="00C51EC0">
        <w:rPr>
          <w:rFonts w:ascii="Times New Roman" w:hAnsi="Times New Roman"/>
          <w:sz w:val="24"/>
          <w:szCs w:val="24"/>
          <w:lang w:val="lt-LT"/>
        </w:rPr>
        <w:t>akeisti Pirkimo dokumentų sąlygas, neati</w:t>
      </w:r>
      <w:r>
        <w:rPr>
          <w:rFonts w:ascii="Times New Roman" w:hAnsi="Times New Roman"/>
          <w:sz w:val="24"/>
          <w:szCs w:val="24"/>
          <w:lang w:val="lt-LT"/>
        </w:rPr>
        <w:t>tinkančias Įstatymo reikalavimų;</w:t>
      </w:r>
    </w:p>
    <w:p w:rsidR="00C51EC0" w:rsidRDefault="00C51EC0" w:rsidP="00C51EC0">
      <w:pPr>
        <w:spacing w:after="0" w:line="240" w:lineRule="auto"/>
        <w:ind w:firstLine="709"/>
        <w:jc w:val="both"/>
        <w:rPr>
          <w:rFonts w:ascii="Times New Roman" w:hAnsi="Times New Roman"/>
          <w:sz w:val="24"/>
          <w:szCs w:val="24"/>
          <w:lang w:val="lt-LT"/>
        </w:rPr>
      </w:pPr>
      <w:r>
        <w:rPr>
          <w:rFonts w:ascii="Times New Roman" w:hAnsi="Times New Roman"/>
          <w:sz w:val="24"/>
          <w:szCs w:val="24"/>
          <w:lang w:val="lt-LT"/>
        </w:rPr>
        <w:t>2.</w:t>
      </w:r>
      <w:r>
        <w:rPr>
          <w:rFonts w:ascii="Times New Roman" w:hAnsi="Times New Roman"/>
          <w:sz w:val="24"/>
          <w:szCs w:val="24"/>
          <w:lang w:val="lt-LT"/>
        </w:rPr>
        <w:tab/>
        <w:t>Įstatymo nustatyta tvarka</w:t>
      </w:r>
      <w:r w:rsidR="0064090D">
        <w:rPr>
          <w:rFonts w:ascii="Times New Roman" w:hAnsi="Times New Roman"/>
          <w:sz w:val="24"/>
          <w:szCs w:val="24"/>
          <w:lang w:val="lt-LT"/>
        </w:rPr>
        <w:t xml:space="preserve"> patikslinti Pirkimo dokumentus;</w:t>
      </w:r>
    </w:p>
    <w:p w:rsidR="00C51EC0" w:rsidRPr="00B1416B" w:rsidRDefault="0064090D" w:rsidP="00C51EC0">
      <w:pPr>
        <w:spacing w:after="0" w:line="240" w:lineRule="auto"/>
        <w:ind w:firstLine="708"/>
        <w:jc w:val="both"/>
        <w:rPr>
          <w:rFonts w:ascii="Times New Roman" w:hAnsi="Times New Roman" w:cs="Times New Roman"/>
          <w:sz w:val="24"/>
          <w:szCs w:val="24"/>
          <w:lang w:val="lt-LT"/>
        </w:rPr>
      </w:pPr>
      <w:r>
        <w:rPr>
          <w:rFonts w:ascii="Times New Roman" w:hAnsi="Times New Roman"/>
          <w:sz w:val="24"/>
          <w:szCs w:val="24"/>
          <w:lang w:val="lt-LT"/>
        </w:rPr>
        <w:t>3.</w:t>
      </w:r>
      <w:r>
        <w:rPr>
          <w:rFonts w:ascii="Times New Roman" w:hAnsi="Times New Roman"/>
          <w:sz w:val="24"/>
          <w:szCs w:val="24"/>
          <w:lang w:val="lt-LT"/>
        </w:rPr>
        <w:tab/>
        <w:t>r</w:t>
      </w:r>
      <w:r w:rsidR="00C51EC0">
        <w:rPr>
          <w:rFonts w:ascii="Times New Roman" w:hAnsi="Times New Roman"/>
          <w:sz w:val="24"/>
          <w:szCs w:val="24"/>
          <w:lang w:val="lt-LT"/>
        </w:rPr>
        <w:t>aštu informuoti Tarnybą apie įpareigojimo įvykdymą ir pateikti tai patvirtinančius dokumentus.</w:t>
      </w:r>
    </w:p>
    <w:p w:rsidR="00F607C9" w:rsidRPr="00B1416B" w:rsidRDefault="00F607C9" w:rsidP="00BA0285">
      <w:pPr>
        <w:pStyle w:val="NoSpacing"/>
        <w:ind w:firstLine="720"/>
        <w:jc w:val="both"/>
        <w:rPr>
          <w:rFonts w:ascii="Times New Roman" w:hAnsi="Times New Roman" w:cs="Times New Roman"/>
          <w:sz w:val="24"/>
          <w:szCs w:val="24"/>
          <w:lang w:val="lt-LT"/>
        </w:rPr>
      </w:pPr>
      <w:r w:rsidRPr="00B1416B">
        <w:rPr>
          <w:rFonts w:ascii="Times New Roman" w:hAnsi="Times New Roman" w:cs="Times New Roman"/>
          <w:sz w:val="24"/>
          <w:szCs w:val="24"/>
          <w:lang w:val="lt-LT"/>
        </w:rPr>
        <w:t>Vadovaujantis Lietuvos Respublikos administracinių bylų teisenos įstatymo 5 ir 15 straipsniais, n</w:t>
      </w:r>
      <w:r w:rsidR="008B18E7" w:rsidRPr="00B1416B">
        <w:rPr>
          <w:rFonts w:ascii="Times New Roman" w:hAnsi="Times New Roman" w:cs="Times New Roman"/>
          <w:sz w:val="24"/>
          <w:szCs w:val="24"/>
          <w:lang w:val="lt-LT"/>
        </w:rPr>
        <w:t>esutikę su Tarnybos sprendimu</w:t>
      </w:r>
      <w:r w:rsidRPr="00B1416B">
        <w:rPr>
          <w:rFonts w:ascii="Times New Roman" w:hAnsi="Times New Roman" w:cs="Times New Roman"/>
          <w:sz w:val="24"/>
          <w:szCs w:val="24"/>
          <w:lang w:val="lt-LT"/>
        </w:rPr>
        <w:t>, Jūs galite jį apskųsti teismui šio įstatymo nustatyta tvarka.</w:t>
      </w:r>
    </w:p>
    <w:p w:rsidR="00D23D14" w:rsidRPr="00B1416B" w:rsidRDefault="00D23D14" w:rsidP="004562AA">
      <w:pPr>
        <w:spacing w:after="0" w:line="240" w:lineRule="auto"/>
        <w:ind w:firstLine="709"/>
        <w:jc w:val="both"/>
        <w:rPr>
          <w:rFonts w:ascii="Times New Roman" w:hAnsi="Times New Roman" w:cs="Times New Roman"/>
          <w:bCs/>
          <w:sz w:val="24"/>
          <w:szCs w:val="24"/>
          <w:lang w:val="lt-LT"/>
        </w:rPr>
      </w:pPr>
    </w:p>
    <w:p w:rsidR="00E93D32" w:rsidRPr="00B1416B" w:rsidRDefault="00B85D34" w:rsidP="00251612">
      <w:pPr>
        <w:jc w:val="both"/>
        <w:rPr>
          <w:rFonts w:ascii="Times New Roman" w:hAnsi="Times New Roman" w:cs="Times New Roman"/>
          <w:sz w:val="24"/>
          <w:szCs w:val="24"/>
          <w:lang w:val="lt-LT"/>
        </w:rPr>
      </w:pPr>
      <w:r w:rsidRPr="00B1416B">
        <w:rPr>
          <w:rFonts w:ascii="Times New Roman" w:hAnsi="Times New Roman" w:cs="Times New Roman"/>
          <w:bCs/>
          <w:sz w:val="24"/>
          <w:szCs w:val="24"/>
          <w:lang w:val="lt-LT"/>
        </w:rPr>
        <w:t>Kontrolės skyriaus vyriausiasis specialistas</w:t>
      </w:r>
      <w:r w:rsidRPr="00B1416B">
        <w:rPr>
          <w:rFonts w:ascii="Times New Roman" w:hAnsi="Times New Roman" w:cs="Times New Roman"/>
          <w:bCs/>
          <w:sz w:val="24"/>
          <w:szCs w:val="24"/>
          <w:lang w:val="lt-LT"/>
        </w:rPr>
        <w:tab/>
        <w:t xml:space="preserve">                               </w:t>
      </w:r>
      <w:r w:rsidR="00B62C84" w:rsidRPr="00B1416B">
        <w:rPr>
          <w:rFonts w:ascii="Times New Roman" w:hAnsi="Times New Roman" w:cs="Times New Roman"/>
          <w:bCs/>
          <w:sz w:val="24"/>
          <w:szCs w:val="24"/>
          <w:lang w:val="lt-LT"/>
        </w:rPr>
        <w:t xml:space="preserve">   </w:t>
      </w:r>
      <w:r w:rsidRPr="00B1416B">
        <w:rPr>
          <w:rFonts w:ascii="Times New Roman" w:hAnsi="Times New Roman" w:cs="Times New Roman"/>
          <w:bCs/>
          <w:sz w:val="24"/>
          <w:szCs w:val="24"/>
          <w:lang w:val="lt-LT"/>
        </w:rPr>
        <w:t xml:space="preserve">                  Deividas Vitkauskas</w:t>
      </w:r>
    </w:p>
    <w:p w:rsidR="00186786" w:rsidRPr="00B1416B" w:rsidRDefault="00186786" w:rsidP="00B85D34">
      <w:pPr>
        <w:tabs>
          <w:tab w:val="left" w:pos="900"/>
        </w:tabs>
        <w:jc w:val="both"/>
        <w:rPr>
          <w:rFonts w:ascii="Times New Roman" w:hAnsi="Times New Roman" w:cs="Times New Roman"/>
          <w:sz w:val="20"/>
          <w:szCs w:val="20"/>
          <w:lang w:val="lt-LT"/>
        </w:rPr>
      </w:pPr>
    </w:p>
    <w:p w:rsidR="000A5F14" w:rsidRDefault="000A5F14" w:rsidP="00B85D34">
      <w:pPr>
        <w:tabs>
          <w:tab w:val="left" w:pos="900"/>
        </w:tabs>
        <w:jc w:val="both"/>
        <w:rPr>
          <w:rFonts w:ascii="Times New Roman" w:hAnsi="Times New Roman" w:cs="Times New Roman"/>
          <w:sz w:val="20"/>
          <w:szCs w:val="20"/>
          <w:lang w:val="lt-LT"/>
        </w:rPr>
      </w:pPr>
    </w:p>
    <w:p w:rsidR="000A5F14" w:rsidRDefault="000A5F14" w:rsidP="00B85D34">
      <w:pPr>
        <w:tabs>
          <w:tab w:val="left" w:pos="900"/>
        </w:tabs>
        <w:jc w:val="both"/>
        <w:rPr>
          <w:rFonts w:ascii="Times New Roman" w:hAnsi="Times New Roman" w:cs="Times New Roman"/>
          <w:sz w:val="20"/>
          <w:szCs w:val="20"/>
          <w:lang w:val="lt-LT"/>
        </w:rPr>
      </w:pPr>
    </w:p>
    <w:p w:rsidR="000A5F14" w:rsidRDefault="000A5F14" w:rsidP="00B85D34">
      <w:pPr>
        <w:tabs>
          <w:tab w:val="left" w:pos="900"/>
        </w:tabs>
        <w:jc w:val="both"/>
        <w:rPr>
          <w:rFonts w:ascii="Times New Roman" w:hAnsi="Times New Roman" w:cs="Times New Roman"/>
          <w:sz w:val="20"/>
          <w:szCs w:val="20"/>
          <w:lang w:val="lt-LT"/>
        </w:rPr>
      </w:pPr>
    </w:p>
    <w:p w:rsidR="000A5F14" w:rsidRDefault="000A5F14" w:rsidP="00B85D34">
      <w:pPr>
        <w:tabs>
          <w:tab w:val="left" w:pos="900"/>
        </w:tabs>
        <w:jc w:val="both"/>
        <w:rPr>
          <w:rFonts w:ascii="Times New Roman" w:hAnsi="Times New Roman" w:cs="Times New Roman"/>
          <w:sz w:val="20"/>
          <w:szCs w:val="20"/>
          <w:lang w:val="lt-LT"/>
        </w:rPr>
      </w:pPr>
    </w:p>
    <w:p w:rsidR="000A5F14" w:rsidRDefault="000A5F14" w:rsidP="00B85D34">
      <w:pPr>
        <w:tabs>
          <w:tab w:val="left" w:pos="900"/>
        </w:tabs>
        <w:jc w:val="both"/>
        <w:rPr>
          <w:rFonts w:ascii="Times New Roman" w:hAnsi="Times New Roman" w:cs="Times New Roman"/>
          <w:sz w:val="20"/>
          <w:szCs w:val="20"/>
          <w:lang w:val="lt-LT"/>
        </w:rPr>
      </w:pPr>
    </w:p>
    <w:p w:rsidR="000A5F14" w:rsidRDefault="000A5F14" w:rsidP="00B85D34">
      <w:pPr>
        <w:tabs>
          <w:tab w:val="left" w:pos="900"/>
        </w:tabs>
        <w:jc w:val="both"/>
        <w:rPr>
          <w:rFonts w:ascii="Times New Roman" w:hAnsi="Times New Roman" w:cs="Times New Roman"/>
          <w:sz w:val="20"/>
          <w:szCs w:val="20"/>
          <w:lang w:val="lt-LT"/>
        </w:rPr>
      </w:pPr>
    </w:p>
    <w:p w:rsidR="000A5F14" w:rsidRDefault="000A5F14" w:rsidP="00B85D34">
      <w:pPr>
        <w:tabs>
          <w:tab w:val="left" w:pos="900"/>
        </w:tabs>
        <w:jc w:val="both"/>
        <w:rPr>
          <w:rFonts w:ascii="Times New Roman" w:hAnsi="Times New Roman" w:cs="Times New Roman"/>
          <w:sz w:val="20"/>
          <w:szCs w:val="20"/>
          <w:lang w:val="lt-LT"/>
        </w:rPr>
      </w:pPr>
    </w:p>
    <w:p w:rsidR="000A5F14" w:rsidRDefault="000A5F14" w:rsidP="00B85D34">
      <w:pPr>
        <w:tabs>
          <w:tab w:val="left" w:pos="900"/>
        </w:tabs>
        <w:jc w:val="both"/>
        <w:rPr>
          <w:rFonts w:ascii="Times New Roman" w:hAnsi="Times New Roman" w:cs="Times New Roman"/>
          <w:sz w:val="20"/>
          <w:szCs w:val="20"/>
          <w:lang w:val="lt-LT"/>
        </w:rPr>
      </w:pPr>
    </w:p>
    <w:p w:rsidR="000A5F14" w:rsidRDefault="000A5F14" w:rsidP="00B85D34">
      <w:pPr>
        <w:tabs>
          <w:tab w:val="left" w:pos="900"/>
        </w:tabs>
        <w:jc w:val="both"/>
        <w:rPr>
          <w:rFonts w:ascii="Times New Roman" w:hAnsi="Times New Roman" w:cs="Times New Roman"/>
          <w:sz w:val="20"/>
          <w:szCs w:val="20"/>
          <w:lang w:val="lt-LT"/>
        </w:rPr>
      </w:pPr>
    </w:p>
    <w:p w:rsidR="000A5F14" w:rsidRDefault="000A5F14" w:rsidP="00B85D34">
      <w:pPr>
        <w:tabs>
          <w:tab w:val="left" w:pos="900"/>
        </w:tabs>
        <w:jc w:val="both"/>
        <w:rPr>
          <w:rFonts w:ascii="Times New Roman" w:hAnsi="Times New Roman" w:cs="Times New Roman"/>
          <w:sz w:val="20"/>
          <w:szCs w:val="20"/>
          <w:lang w:val="lt-LT"/>
        </w:rPr>
      </w:pPr>
    </w:p>
    <w:p w:rsidR="000A5F14" w:rsidRDefault="000A5F14" w:rsidP="00B85D34">
      <w:pPr>
        <w:tabs>
          <w:tab w:val="left" w:pos="900"/>
        </w:tabs>
        <w:jc w:val="both"/>
        <w:rPr>
          <w:rFonts w:ascii="Times New Roman" w:hAnsi="Times New Roman" w:cs="Times New Roman"/>
          <w:sz w:val="20"/>
          <w:szCs w:val="20"/>
          <w:lang w:val="lt-LT"/>
        </w:rPr>
      </w:pPr>
    </w:p>
    <w:p w:rsidR="000A5F14" w:rsidRPr="00B1416B" w:rsidRDefault="000A5F14" w:rsidP="00B85D34">
      <w:pPr>
        <w:tabs>
          <w:tab w:val="left" w:pos="900"/>
        </w:tabs>
        <w:jc w:val="both"/>
        <w:rPr>
          <w:rFonts w:ascii="Times New Roman" w:hAnsi="Times New Roman" w:cs="Times New Roman"/>
          <w:sz w:val="20"/>
          <w:szCs w:val="20"/>
          <w:lang w:val="lt-LT"/>
        </w:rPr>
      </w:pPr>
    </w:p>
    <w:p w:rsidR="00B85D34" w:rsidRPr="00B1416B" w:rsidRDefault="00A56D7F" w:rsidP="00B85D34">
      <w:pPr>
        <w:tabs>
          <w:tab w:val="left" w:pos="900"/>
        </w:tabs>
        <w:jc w:val="both"/>
        <w:rPr>
          <w:rFonts w:ascii="Times New Roman" w:hAnsi="Times New Roman" w:cs="Times New Roman"/>
          <w:sz w:val="20"/>
          <w:szCs w:val="20"/>
          <w:lang w:val="lt-LT"/>
        </w:rPr>
      </w:pPr>
      <w:r w:rsidRPr="00B1416B">
        <w:rPr>
          <w:rFonts w:ascii="Times New Roman" w:hAnsi="Times New Roman" w:cs="Times New Roman"/>
          <w:sz w:val="20"/>
          <w:szCs w:val="20"/>
          <w:lang w:val="lt-LT"/>
        </w:rPr>
        <w:t>Dei</w:t>
      </w:r>
      <w:r w:rsidR="00B85D34" w:rsidRPr="00B1416B">
        <w:rPr>
          <w:rFonts w:ascii="Times New Roman" w:hAnsi="Times New Roman" w:cs="Times New Roman"/>
          <w:sz w:val="20"/>
          <w:szCs w:val="20"/>
          <w:lang w:val="lt-LT"/>
        </w:rPr>
        <w:t xml:space="preserve">vidas Vitkauskas, tel. (8 5) 203 4836, el. p. </w:t>
      </w:r>
      <w:hyperlink r:id="rId9" w:history="1">
        <w:r w:rsidR="00B85D34" w:rsidRPr="00B1416B">
          <w:rPr>
            <w:rStyle w:val="Hyperlink"/>
            <w:rFonts w:ascii="Times New Roman" w:hAnsi="Times New Roman" w:cs="Times New Roman"/>
            <w:sz w:val="20"/>
            <w:szCs w:val="20"/>
            <w:lang w:val="lt-LT"/>
          </w:rPr>
          <w:t>deividas.vitkauskas@vpt.lt</w:t>
        </w:r>
      </w:hyperlink>
    </w:p>
    <w:sectPr w:rsidR="00B85D34" w:rsidRPr="00B1416B" w:rsidSect="009B3C41">
      <w:pgSz w:w="11906" w:h="16838"/>
      <w:pgMar w:top="1138" w:right="850" w:bottom="1138" w:left="1699"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0E0" w:rsidRDefault="00CC10E0" w:rsidP="006741AE">
      <w:pPr>
        <w:spacing w:after="0" w:line="240" w:lineRule="auto"/>
      </w:pPr>
      <w:r>
        <w:separator/>
      </w:r>
    </w:p>
  </w:endnote>
  <w:endnote w:type="continuationSeparator" w:id="0">
    <w:p w:rsidR="00CC10E0" w:rsidRDefault="00CC10E0" w:rsidP="00674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0E0" w:rsidRDefault="00CC10E0" w:rsidP="006741AE">
      <w:pPr>
        <w:spacing w:after="0" w:line="240" w:lineRule="auto"/>
      </w:pPr>
      <w:r>
        <w:separator/>
      </w:r>
    </w:p>
  </w:footnote>
  <w:footnote w:type="continuationSeparator" w:id="0">
    <w:p w:rsidR="00CC10E0" w:rsidRDefault="00CC10E0" w:rsidP="006741AE">
      <w:pPr>
        <w:spacing w:after="0" w:line="240" w:lineRule="auto"/>
      </w:pPr>
      <w:r>
        <w:continuationSeparator/>
      </w:r>
    </w:p>
  </w:footnote>
  <w:footnote w:id="1">
    <w:p w:rsidR="000A5F14" w:rsidRPr="000A5F14" w:rsidRDefault="000A5F14">
      <w:pPr>
        <w:pStyle w:val="FootnoteText"/>
        <w:rPr>
          <w:rFonts w:ascii="Times New Roman" w:hAnsi="Times New Roman" w:cs="Times New Roman"/>
          <w:lang w:val="lt-LT"/>
        </w:rPr>
      </w:pPr>
      <w:r w:rsidRPr="000A5F14">
        <w:rPr>
          <w:rStyle w:val="FootnoteReference"/>
          <w:rFonts w:ascii="Times New Roman" w:hAnsi="Times New Roman" w:cs="Times New Roman"/>
        </w:rPr>
        <w:footnoteRef/>
      </w:r>
      <w:r w:rsidRPr="000A5F14">
        <w:rPr>
          <w:rFonts w:ascii="Times New Roman" w:hAnsi="Times New Roman" w:cs="Times New Roman"/>
        </w:rPr>
        <w:t xml:space="preserve"> </w:t>
      </w:r>
      <w:r w:rsidRPr="000A5F14">
        <w:rPr>
          <w:rFonts w:ascii="Times New Roman" w:hAnsi="Times New Roman" w:cs="Times New Roman"/>
          <w:lang w:val="lt-LT"/>
        </w:rPr>
        <w:t xml:space="preserve">Pirkimo dokumentuose turi būti </w:t>
      </w:r>
      <w:r w:rsidRPr="000A5F14">
        <w:rPr>
          <w:rFonts w:ascii="Times New Roman" w:hAnsi="Times New Roman" w:cs="Times New Roman"/>
          <w:i/>
          <w:lang w:val="lt-LT"/>
        </w:rPr>
        <w:t>„perkančiosios organizacijos siūlomos šalims pasirašyti pirkimo sutarties sąlygos pagal šio įstatymo 18 straipsnio 6 dalies reikalavimus“</w:t>
      </w:r>
      <w:r w:rsidRPr="000A5F14">
        <w:rPr>
          <w:rFonts w:ascii="Times New Roman" w:hAnsi="Times New Roman" w:cs="Times New Roman"/>
          <w:lang w:val="lt-LT"/>
        </w:rPr>
        <w:t>;</w:t>
      </w:r>
    </w:p>
  </w:footnote>
  <w:footnote w:id="2">
    <w:p w:rsidR="008515D8" w:rsidRPr="00B1416B" w:rsidRDefault="008515D8">
      <w:pPr>
        <w:pStyle w:val="FootnoteText"/>
        <w:rPr>
          <w:rFonts w:ascii="Times New Roman" w:hAnsi="Times New Roman" w:cs="Times New Roman"/>
          <w:lang w:val="lt-LT"/>
        </w:rPr>
      </w:pPr>
      <w:r w:rsidRPr="00B1416B">
        <w:rPr>
          <w:rStyle w:val="FootnoteReference"/>
          <w:rFonts w:ascii="Times New Roman" w:hAnsi="Times New Roman" w:cs="Times New Roman"/>
        </w:rPr>
        <w:footnoteRef/>
      </w:r>
      <w:r w:rsidRPr="00B1416B">
        <w:rPr>
          <w:rFonts w:ascii="Times New Roman" w:hAnsi="Times New Roman" w:cs="Times New Roman"/>
        </w:rPr>
        <w:t xml:space="preserve"> </w:t>
      </w:r>
      <w:r w:rsidRPr="00B1416B">
        <w:rPr>
          <w:rFonts w:ascii="Times New Roman" w:hAnsi="Times New Roman" w:cs="Times New Roman"/>
          <w:lang w:val="lt-LT"/>
        </w:rPr>
        <w:t xml:space="preserve">Pirkimo sutartyje, kai ji sudaroma raštu, turi būti </w:t>
      </w:r>
      <w:r w:rsidRPr="00B1416B">
        <w:rPr>
          <w:rFonts w:ascii="Times New Roman" w:hAnsi="Times New Roman" w:cs="Times New Roman"/>
          <w:i/>
          <w:lang w:val="lt-LT"/>
        </w:rPr>
        <w:t>nustatyta „kainodaros taisyklės, nustatytos pagal Lietuvos Respublikos Vyriausybės arba jos įgaliotos institucijos patvirtintą metodiką“</w:t>
      </w:r>
      <w:r w:rsidRPr="00B1416B">
        <w:rPr>
          <w:rFonts w:ascii="Times New Roman" w:hAnsi="Times New Roman" w:cs="Times New Roman"/>
          <w:lang w:val="lt-LT"/>
        </w:rPr>
        <w:t>;</w:t>
      </w:r>
    </w:p>
  </w:footnote>
  <w:footnote w:id="3">
    <w:p w:rsidR="000329AE" w:rsidRPr="00B1416B" w:rsidRDefault="000329AE">
      <w:pPr>
        <w:pStyle w:val="FootnoteText"/>
        <w:rPr>
          <w:rFonts w:ascii="Times New Roman" w:hAnsi="Times New Roman" w:cs="Times New Roman"/>
          <w:lang w:val="lt-LT"/>
        </w:rPr>
      </w:pPr>
      <w:r w:rsidRPr="00B1416B">
        <w:rPr>
          <w:rStyle w:val="FootnoteReference"/>
          <w:rFonts w:ascii="Times New Roman" w:hAnsi="Times New Roman" w:cs="Times New Roman"/>
        </w:rPr>
        <w:footnoteRef/>
      </w:r>
      <w:r w:rsidRPr="00B1416B">
        <w:rPr>
          <w:rFonts w:ascii="Times New Roman" w:hAnsi="Times New Roman" w:cs="Times New Roman"/>
        </w:rPr>
        <w:t xml:space="preserve"> </w:t>
      </w:r>
      <w:r w:rsidRPr="00B1416B">
        <w:rPr>
          <w:rFonts w:ascii="Times New Roman" w:hAnsi="Times New Roman" w:cs="Times New Roman"/>
          <w:i/>
          <w:lang w:val="lt-LT"/>
        </w:rPr>
        <w:t>„Pirkimo dokumentai turi būti tikslūs, aiškūs, be dviprasmybių &lt;...&gt;“</w:t>
      </w:r>
      <w:r w:rsidR="008515D8" w:rsidRPr="00B1416B">
        <w:rPr>
          <w:rFonts w:ascii="Times New Roman" w:hAnsi="Times New Roman" w:cs="Times New Roman"/>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22FE3"/>
    <w:multiLevelType w:val="hybridMultilevel"/>
    <w:tmpl w:val="100A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F05A1"/>
    <w:multiLevelType w:val="multilevel"/>
    <w:tmpl w:val="56D460A6"/>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09C57DEB"/>
    <w:multiLevelType w:val="hybridMultilevel"/>
    <w:tmpl w:val="FA8A31A0"/>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16642FFD"/>
    <w:multiLevelType w:val="multilevel"/>
    <w:tmpl w:val="149AAB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B92C19"/>
    <w:multiLevelType w:val="hybridMultilevel"/>
    <w:tmpl w:val="53B8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11690C"/>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B139E"/>
    <w:multiLevelType w:val="hybridMultilevel"/>
    <w:tmpl w:val="2DFC7E78"/>
    <w:lvl w:ilvl="0" w:tplc="D5EEC24A">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42542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2B536F"/>
    <w:multiLevelType w:val="multilevel"/>
    <w:tmpl w:val="4D6470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04617F"/>
    <w:multiLevelType w:val="hybridMultilevel"/>
    <w:tmpl w:val="16087F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E102394"/>
    <w:multiLevelType w:val="hybridMultilevel"/>
    <w:tmpl w:val="16087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20448"/>
    <w:multiLevelType w:val="hybridMultilevel"/>
    <w:tmpl w:val="BC28D57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AFB502A"/>
    <w:multiLevelType w:val="multilevel"/>
    <w:tmpl w:val="2D7412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BE71456"/>
    <w:multiLevelType w:val="hybridMultilevel"/>
    <w:tmpl w:val="03D8BD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CF648ED"/>
    <w:multiLevelType w:val="multilevel"/>
    <w:tmpl w:val="C1BCE864"/>
    <w:lvl w:ilvl="0">
      <w:start w:val="1"/>
      <w:numFmt w:val="decimal"/>
      <w:lvlText w:val="%1."/>
      <w:lvlJc w:val="left"/>
      <w:pPr>
        <w:ind w:left="1211" w:hanging="360"/>
      </w:pPr>
      <w:rPr>
        <w:rFonts w:hint="default"/>
        <w:sz w:val="24"/>
        <w:szCs w:val="24"/>
      </w:rPr>
    </w:lvl>
    <w:lvl w:ilvl="1">
      <w:start w:val="1"/>
      <w:numFmt w:val="decimal"/>
      <w:isLgl/>
      <w:lvlText w:val="%1.%2."/>
      <w:lvlJc w:val="left"/>
      <w:pPr>
        <w:ind w:left="1211" w:hanging="360"/>
      </w:pPr>
      <w:rPr>
        <w:rFonts w:hint="default"/>
        <w:color w:val="auto"/>
        <w:sz w:val="24"/>
      </w:rPr>
    </w:lvl>
    <w:lvl w:ilvl="2">
      <w:start w:val="1"/>
      <w:numFmt w:val="decimal"/>
      <w:isLgl/>
      <w:lvlText w:val="%1.%2.%3."/>
      <w:lvlJc w:val="left"/>
      <w:pPr>
        <w:ind w:left="1571" w:hanging="720"/>
      </w:pPr>
      <w:rPr>
        <w:rFonts w:hint="default"/>
        <w:color w:val="auto"/>
        <w:sz w:val="24"/>
      </w:rPr>
    </w:lvl>
    <w:lvl w:ilvl="3">
      <w:start w:val="1"/>
      <w:numFmt w:val="decimal"/>
      <w:isLgl/>
      <w:lvlText w:val="%1.%2.%3.%4."/>
      <w:lvlJc w:val="left"/>
      <w:pPr>
        <w:ind w:left="1571" w:hanging="720"/>
      </w:pPr>
      <w:rPr>
        <w:rFonts w:hint="default"/>
        <w:color w:val="auto"/>
        <w:sz w:val="24"/>
      </w:rPr>
    </w:lvl>
    <w:lvl w:ilvl="4">
      <w:start w:val="1"/>
      <w:numFmt w:val="decimal"/>
      <w:isLgl/>
      <w:lvlText w:val="%1.%2.%3.%4.%5."/>
      <w:lvlJc w:val="left"/>
      <w:pPr>
        <w:ind w:left="1931" w:hanging="1080"/>
      </w:pPr>
      <w:rPr>
        <w:rFonts w:hint="default"/>
        <w:color w:val="auto"/>
        <w:sz w:val="24"/>
      </w:rPr>
    </w:lvl>
    <w:lvl w:ilvl="5">
      <w:start w:val="1"/>
      <w:numFmt w:val="decimal"/>
      <w:isLgl/>
      <w:lvlText w:val="%1.%2.%3.%4.%5.%6."/>
      <w:lvlJc w:val="left"/>
      <w:pPr>
        <w:ind w:left="1931" w:hanging="1080"/>
      </w:pPr>
      <w:rPr>
        <w:rFonts w:hint="default"/>
        <w:color w:val="auto"/>
        <w:sz w:val="24"/>
      </w:rPr>
    </w:lvl>
    <w:lvl w:ilvl="6">
      <w:start w:val="1"/>
      <w:numFmt w:val="decimal"/>
      <w:isLgl/>
      <w:lvlText w:val="%1.%2.%3.%4.%5.%6.%7."/>
      <w:lvlJc w:val="left"/>
      <w:pPr>
        <w:ind w:left="1931" w:hanging="1080"/>
      </w:pPr>
      <w:rPr>
        <w:rFonts w:hint="default"/>
        <w:color w:val="auto"/>
        <w:sz w:val="24"/>
      </w:rPr>
    </w:lvl>
    <w:lvl w:ilvl="7">
      <w:start w:val="1"/>
      <w:numFmt w:val="decimal"/>
      <w:isLgl/>
      <w:lvlText w:val="%1.%2.%3.%4.%5.%6.%7.%8."/>
      <w:lvlJc w:val="left"/>
      <w:pPr>
        <w:ind w:left="2291" w:hanging="1440"/>
      </w:pPr>
      <w:rPr>
        <w:rFonts w:hint="default"/>
        <w:color w:val="auto"/>
        <w:sz w:val="24"/>
      </w:rPr>
    </w:lvl>
    <w:lvl w:ilvl="8">
      <w:start w:val="1"/>
      <w:numFmt w:val="decimal"/>
      <w:isLgl/>
      <w:lvlText w:val="%1.%2.%3.%4.%5.%6.%7.%8.%9."/>
      <w:lvlJc w:val="left"/>
      <w:pPr>
        <w:ind w:left="2291" w:hanging="1440"/>
      </w:pPr>
      <w:rPr>
        <w:rFonts w:hint="default"/>
        <w:color w:val="auto"/>
        <w:sz w:val="24"/>
      </w:rPr>
    </w:lvl>
  </w:abstractNum>
  <w:abstractNum w:abstractNumId="16" w15:restartNumberingAfterBreak="0">
    <w:nsid w:val="4F385934"/>
    <w:multiLevelType w:val="hybridMultilevel"/>
    <w:tmpl w:val="8EB8B9B6"/>
    <w:lvl w:ilvl="0" w:tplc="F13AF560">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FE9628E"/>
    <w:multiLevelType w:val="hybridMultilevel"/>
    <w:tmpl w:val="E0187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8398A"/>
    <w:multiLevelType w:val="multilevel"/>
    <w:tmpl w:val="46941D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CA7C4A"/>
    <w:multiLevelType w:val="multilevel"/>
    <w:tmpl w:val="C890BC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9543FF"/>
    <w:multiLevelType w:val="hybridMultilevel"/>
    <w:tmpl w:val="7DD86E6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706827"/>
    <w:multiLevelType w:val="hybridMultilevel"/>
    <w:tmpl w:val="30F228E2"/>
    <w:lvl w:ilvl="0" w:tplc="368AD3F0">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93E0723"/>
    <w:multiLevelType w:val="multilevel"/>
    <w:tmpl w:val="067AB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22"/>
  </w:num>
  <w:num w:numId="3">
    <w:abstractNumId w:val="13"/>
  </w:num>
  <w:num w:numId="4">
    <w:abstractNumId w:val="19"/>
  </w:num>
  <w:num w:numId="5">
    <w:abstractNumId w:val="21"/>
  </w:num>
  <w:num w:numId="6">
    <w:abstractNumId w:val="2"/>
  </w:num>
  <w:num w:numId="7">
    <w:abstractNumId w:val="9"/>
  </w:num>
  <w:num w:numId="8">
    <w:abstractNumId w:val="18"/>
  </w:num>
  <w:num w:numId="9">
    <w:abstractNumId w:val="5"/>
  </w:num>
  <w:num w:numId="10">
    <w:abstractNumId w:val="14"/>
  </w:num>
  <w:num w:numId="11">
    <w:abstractNumId w:val="1"/>
  </w:num>
  <w:num w:numId="12">
    <w:abstractNumId w:val="12"/>
  </w:num>
  <w:num w:numId="13">
    <w:abstractNumId w:val="15"/>
  </w:num>
  <w:num w:numId="14">
    <w:abstractNumId w:val="3"/>
  </w:num>
  <w:num w:numId="15">
    <w:abstractNumId w:val="8"/>
  </w:num>
  <w:num w:numId="16">
    <w:abstractNumId w:val="17"/>
  </w:num>
  <w:num w:numId="17">
    <w:abstractNumId w:val="16"/>
  </w:num>
  <w:num w:numId="18">
    <w:abstractNumId w:val="20"/>
  </w:num>
  <w:num w:numId="19">
    <w:abstractNumId w:val="11"/>
  </w:num>
  <w:num w:numId="20">
    <w:abstractNumId w:val="10"/>
  </w:num>
  <w:num w:numId="21">
    <w:abstractNumId w:val="6"/>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16"/>
    <w:rsid w:val="00014242"/>
    <w:rsid w:val="000329AE"/>
    <w:rsid w:val="00060BBB"/>
    <w:rsid w:val="00075B0D"/>
    <w:rsid w:val="0008132B"/>
    <w:rsid w:val="00081379"/>
    <w:rsid w:val="000A2523"/>
    <w:rsid w:val="000A336E"/>
    <w:rsid w:val="000A5F14"/>
    <w:rsid w:val="000B3732"/>
    <w:rsid w:val="000C19E9"/>
    <w:rsid w:val="000E7B16"/>
    <w:rsid w:val="000F1C2C"/>
    <w:rsid w:val="001057DE"/>
    <w:rsid w:val="00107D4C"/>
    <w:rsid w:val="00122454"/>
    <w:rsid w:val="001328AC"/>
    <w:rsid w:val="00136583"/>
    <w:rsid w:val="001404F3"/>
    <w:rsid w:val="00151943"/>
    <w:rsid w:val="00186786"/>
    <w:rsid w:val="001A1AA5"/>
    <w:rsid w:val="001B75E3"/>
    <w:rsid w:val="001C035B"/>
    <w:rsid w:val="001D13EE"/>
    <w:rsid w:val="001E60DD"/>
    <w:rsid w:val="001E62B2"/>
    <w:rsid w:val="001E72AF"/>
    <w:rsid w:val="001F48D7"/>
    <w:rsid w:val="00211FCF"/>
    <w:rsid w:val="0021419D"/>
    <w:rsid w:val="00217FFC"/>
    <w:rsid w:val="00220083"/>
    <w:rsid w:val="00223ECA"/>
    <w:rsid w:val="00225D9A"/>
    <w:rsid w:val="002271FE"/>
    <w:rsid w:val="00231341"/>
    <w:rsid w:val="00233FA2"/>
    <w:rsid w:val="002441C4"/>
    <w:rsid w:val="00251612"/>
    <w:rsid w:val="00253A92"/>
    <w:rsid w:val="00260261"/>
    <w:rsid w:val="002636F6"/>
    <w:rsid w:val="00263E4B"/>
    <w:rsid w:val="0026481C"/>
    <w:rsid w:val="002968F9"/>
    <w:rsid w:val="002A15CD"/>
    <w:rsid w:val="002A2D0F"/>
    <w:rsid w:val="002B0659"/>
    <w:rsid w:val="002B1AC4"/>
    <w:rsid w:val="002B1E9D"/>
    <w:rsid w:val="002B39C1"/>
    <w:rsid w:val="002C1D77"/>
    <w:rsid w:val="002D3EDA"/>
    <w:rsid w:val="002E145F"/>
    <w:rsid w:val="002F7C5D"/>
    <w:rsid w:val="003114CE"/>
    <w:rsid w:val="0031766E"/>
    <w:rsid w:val="00317DC1"/>
    <w:rsid w:val="00322671"/>
    <w:rsid w:val="00330013"/>
    <w:rsid w:val="003469F2"/>
    <w:rsid w:val="00350C8E"/>
    <w:rsid w:val="003614B5"/>
    <w:rsid w:val="0037586E"/>
    <w:rsid w:val="00377C32"/>
    <w:rsid w:val="0038145D"/>
    <w:rsid w:val="003974B1"/>
    <w:rsid w:val="003C0DD8"/>
    <w:rsid w:val="003C1ABE"/>
    <w:rsid w:val="003C3D7B"/>
    <w:rsid w:val="003D3541"/>
    <w:rsid w:val="003D601A"/>
    <w:rsid w:val="003E24C8"/>
    <w:rsid w:val="003F15C7"/>
    <w:rsid w:val="003F2332"/>
    <w:rsid w:val="003F717E"/>
    <w:rsid w:val="00404A1F"/>
    <w:rsid w:val="00415399"/>
    <w:rsid w:val="00423CE3"/>
    <w:rsid w:val="00426034"/>
    <w:rsid w:val="00430E27"/>
    <w:rsid w:val="00440769"/>
    <w:rsid w:val="00440936"/>
    <w:rsid w:val="004446FC"/>
    <w:rsid w:val="00447878"/>
    <w:rsid w:val="00455BB0"/>
    <w:rsid w:val="004562AA"/>
    <w:rsid w:val="004571DA"/>
    <w:rsid w:val="004733DF"/>
    <w:rsid w:val="004756E6"/>
    <w:rsid w:val="00477891"/>
    <w:rsid w:val="00494855"/>
    <w:rsid w:val="004B4420"/>
    <w:rsid w:val="004B46E2"/>
    <w:rsid w:val="004B62B6"/>
    <w:rsid w:val="004D3A17"/>
    <w:rsid w:val="004E3B0D"/>
    <w:rsid w:val="004E41CF"/>
    <w:rsid w:val="004F35FA"/>
    <w:rsid w:val="005021D3"/>
    <w:rsid w:val="00506301"/>
    <w:rsid w:val="00525A89"/>
    <w:rsid w:val="00527578"/>
    <w:rsid w:val="005338E3"/>
    <w:rsid w:val="00540E8A"/>
    <w:rsid w:val="005528CF"/>
    <w:rsid w:val="00561C2C"/>
    <w:rsid w:val="005704C2"/>
    <w:rsid w:val="005904D3"/>
    <w:rsid w:val="00590648"/>
    <w:rsid w:val="0059578C"/>
    <w:rsid w:val="0059657F"/>
    <w:rsid w:val="005A09EF"/>
    <w:rsid w:val="005A1CAD"/>
    <w:rsid w:val="005B4891"/>
    <w:rsid w:val="005D40EC"/>
    <w:rsid w:val="005F3DC0"/>
    <w:rsid w:val="005F773A"/>
    <w:rsid w:val="00603C4E"/>
    <w:rsid w:val="00614DC0"/>
    <w:rsid w:val="00635055"/>
    <w:rsid w:val="006372FB"/>
    <w:rsid w:val="0064090D"/>
    <w:rsid w:val="006654ED"/>
    <w:rsid w:val="00667A00"/>
    <w:rsid w:val="006741AE"/>
    <w:rsid w:val="006760D4"/>
    <w:rsid w:val="00677808"/>
    <w:rsid w:val="00690339"/>
    <w:rsid w:val="00691E27"/>
    <w:rsid w:val="006A22AE"/>
    <w:rsid w:val="006A7EFC"/>
    <w:rsid w:val="006D1A7C"/>
    <w:rsid w:val="007032C0"/>
    <w:rsid w:val="00704798"/>
    <w:rsid w:val="00704A24"/>
    <w:rsid w:val="00711D28"/>
    <w:rsid w:val="0071396E"/>
    <w:rsid w:val="007269F7"/>
    <w:rsid w:val="007362D5"/>
    <w:rsid w:val="00782A07"/>
    <w:rsid w:val="00783047"/>
    <w:rsid w:val="007A1C3E"/>
    <w:rsid w:val="007D6712"/>
    <w:rsid w:val="007E4301"/>
    <w:rsid w:val="007E45B5"/>
    <w:rsid w:val="007F0785"/>
    <w:rsid w:val="007F09E8"/>
    <w:rsid w:val="007F4371"/>
    <w:rsid w:val="007F5D85"/>
    <w:rsid w:val="0080153D"/>
    <w:rsid w:val="00804B76"/>
    <w:rsid w:val="0081274A"/>
    <w:rsid w:val="00814533"/>
    <w:rsid w:val="0082697A"/>
    <w:rsid w:val="00847A13"/>
    <w:rsid w:val="0085037E"/>
    <w:rsid w:val="00850388"/>
    <w:rsid w:val="008515D8"/>
    <w:rsid w:val="008635E6"/>
    <w:rsid w:val="00872D06"/>
    <w:rsid w:val="00885BC5"/>
    <w:rsid w:val="008A7785"/>
    <w:rsid w:val="008B18E7"/>
    <w:rsid w:val="008B5D52"/>
    <w:rsid w:val="008C62BC"/>
    <w:rsid w:val="008D6CAD"/>
    <w:rsid w:val="008F4663"/>
    <w:rsid w:val="008F46F0"/>
    <w:rsid w:val="008F4A7F"/>
    <w:rsid w:val="0091128C"/>
    <w:rsid w:val="00916413"/>
    <w:rsid w:val="00920221"/>
    <w:rsid w:val="009219D1"/>
    <w:rsid w:val="0092706B"/>
    <w:rsid w:val="009310B9"/>
    <w:rsid w:val="00936C1D"/>
    <w:rsid w:val="0094589A"/>
    <w:rsid w:val="00950187"/>
    <w:rsid w:val="00952093"/>
    <w:rsid w:val="00954587"/>
    <w:rsid w:val="0096393A"/>
    <w:rsid w:val="00972EE1"/>
    <w:rsid w:val="009A5B56"/>
    <w:rsid w:val="009B11E4"/>
    <w:rsid w:val="009B3C41"/>
    <w:rsid w:val="009C3E93"/>
    <w:rsid w:val="009D1808"/>
    <w:rsid w:val="009D47A7"/>
    <w:rsid w:val="009D57DE"/>
    <w:rsid w:val="009D5ABB"/>
    <w:rsid w:val="009E55F8"/>
    <w:rsid w:val="00A0233C"/>
    <w:rsid w:val="00A03381"/>
    <w:rsid w:val="00A13C0B"/>
    <w:rsid w:val="00A220B9"/>
    <w:rsid w:val="00A243C2"/>
    <w:rsid w:val="00A34A6E"/>
    <w:rsid w:val="00A417BB"/>
    <w:rsid w:val="00A500B8"/>
    <w:rsid w:val="00A56D7F"/>
    <w:rsid w:val="00A56E73"/>
    <w:rsid w:val="00A65FCA"/>
    <w:rsid w:val="00A74C13"/>
    <w:rsid w:val="00A82827"/>
    <w:rsid w:val="00AA5A01"/>
    <w:rsid w:val="00AB1809"/>
    <w:rsid w:val="00AB1C8E"/>
    <w:rsid w:val="00AB4E93"/>
    <w:rsid w:val="00AD41D5"/>
    <w:rsid w:val="00AD45A4"/>
    <w:rsid w:val="00AE428E"/>
    <w:rsid w:val="00AF0602"/>
    <w:rsid w:val="00AF2232"/>
    <w:rsid w:val="00AF484F"/>
    <w:rsid w:val="00B0256E"/>
    <w:rsid w:val="00B1416B"/>
    <w:rsid w:val="00B14E0B"/>
    <w:rsid w:val="00B32174"/>
    <w:rsid w:val="00B53A2F"/>
    <w:rsid w:val="00B62C84"/>
    <w:rsid w:val="00B64236"/>
    <w:rsid w:val="00B822E0"/>
    <w:rsid w:val="00B85D34"/>
    <w:rsid w:val="00B91312"/>
    <w:rsid w:val="00B94791"/>
    <w:rsid w:val="00B95B7F"/>
    <w:rsid w:val="00BA0285"/>
    <w:rsid w:val="00BA12F3"/>
    <w:rsid w:val="00BA3D29"/>
    <w:rsid w:val="00BB1AE7"/>
    <w:rsid w:val="00BB55FA"/>
    <w:rsid w:val="00BB662C"/>
    <w:rsid w:val="00BC0CAF"/>
    <w:rsid w:val="00BC2257"/>
    <w:rsid w:val="00BC7E36"/>
    <w:rsid w:val="00BD1049"/>
    <w:rsid w:val="00BD1554"/>
    <w:rsid w:val="00BF4CDA"/>
    <w:rsid w:val="00C02FA6"/>
    <w:rsid w:val="00C20D24"/>
    <w:rsid w:val="00C27541"/>
    <w:rsid w:val="00C378A0"/>
    <w:rsid w:val="00C40B12"/>
    <w:rsid w:val="00C451E3"/>
    <w:rsid w:val="00C47A33"/>
    <w:rsid w:val="00C510AC"/>
    <w:rsid w:val="00C51EC0"/>
    <w:rsid w:val="00C5562E"/>
    <w:rsid w:val="00C634AA"/>
    <w:rsid w:val="00C711C7"/>
    <w:rsid w:val="00C83E80"/>
    <w:rsid w:val="00CB1DD3"/>
    <w:rsid w:val="00CC10E0"/>
    <w:rsid w:val="00CC15F1"/>
    <w:rsid w:val="00CC226F"/>
    <w:rsid w:val="00CD0C19"/>
    <w:rsid w:val="00CD23B3"/>
    <w:rsid w:val="00CD5FFF"/>
    <w:rsid w:val="00CF697F"/>
    <w:rsid w:val="00CF7139"/>
    <w:rsid w:val="00D0594E"/>
    <w:rsid w:val="00D07990"/>
    <w:rsid w:val="00D11A42"/>
    <w:rsid w:val="00D23D14"/>
    <w:rsid w:val="00D32EBC"/>
    <w:rsid w:val="00D361EE"/>
    <w:rsid w:val="00D37A87"/>
    <w:rsid w:val="00D57624"/>
    <w:rsid w:val="00D666AA"/>
    <w:rsid w:val="00D73C09"/>
    <w:rsid w:val="00D7534B"/>
    <w:rsid w:val="00D83099"/>
    <w:rsid w:val="00D87080"/>
    <w:rsid w:val="00D9113D"/>
    <w:rsid w:val="00DA2A95"/>
    <w:rsid w:val="00DA3252"/>
    <w:rsid w:val="00DA6B7B"/>
    <w:rsid w:val="00DC3E31"/>
    <w:rsid w:val="00DD71C7"/>
    <w:rsid w:val="00DF5759"/>
    <w:rsid w:val="00DF7A2F"/>
    <w:rsid w:val="00E05E31"/>
    <w:rsid w:val="00E06320"/>
    <w:rsid w:val="00E16433"/>
    <w:rsid w:val="00E25238"/>
    <w:rsid w:val="00E25A9D"/>
    <w:rsid w:val="00E326D1"/>
    <w:rsid w:val="00E3540A"/>
    <w:rsid w:val="00E45C79"/>
    <w:rsid w:val="00E47623"/>
    <w:rsid w:val="00E5127A"/>
    <w:rsid w:val="00E66E07"/>
    <w:rsid w:val="00E70E72"/>
    <w:rsid w:val="00E733F0"/>
    <w:rsid w:val="00E8786E"/>
    <w:rsid w:val="00E918D8"/>
    <w:rsid w:val="00E930CB"/>
    <w:rsid w:val="00E933B8"/>
    <w:rsid w:val="00E93D32"/>
    <w:rsid w:val="00E94F3F"/>
    <w:rsid w:val="00E97DD4"/>
    <w:rsid w:val="00EA056A"/>
    <w:rsid w:val="00EA4BA4"/>
    <w:rsid w:val="00EA5F68"/>
    <w:rsid w:val="00EA7A48"/>
    <w:rsid w:val="00EB01C3"/>
    <w:rsid w:val="00EB21AA"/>
    <w:rsid w:val="00ED2E43"/>
    <w:rsid w:val="00EE762A"/>
    <w:rsid w:val="00EE7DF2"/>
    <w:rsid w:val="00EF122E"/>
    <w:rsid w:val="00EF3BAF"/>
    <w:rsid w:val="00EF7CE4"/>
    <w:rsid w:val="00F04F5F"/>
    <w:rsid w:val="00F16B28"/>
    <w:rsid w:val="00F23CF4"/>
    <w:rsid w:val="00F3527F"/>
    <w:rsid w:val="00F35901"/>
    <w:rsid w:val="00F43787"/>
    <w:rsid w:val="00F46577"/>
    <w:rsid w:val="00F524AE"/>
    <w:rsid w:val="00F607C9"/>
    <w:rsid w:val="00F67CB7"/>
    <w:rsid w:val="00F82294"/>
    <w:rsid w:val="00F8734F"/>
    <w:rsid w:val="00FC67BB"/>
    <w:rsid w:val="00FD4EA1"/>
    <w:rsid w:val="00FE3BCA"/>
    <w:rsid w:val="00FE4929"/>
    <w:rsid w:val="00FE5F61"/>
    <w:rsid w:val="00FF76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4ABA03-C35A-4FE8-9199-14AE3855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7B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81C"/>
    <w:pPr>
      <w:ind w:left="720"/>
      <w:contextualSpacing/>
    </w:pPr>
  </w:style>
  <w:style w:type="character" w:styleId="CommentReference">
    <w:name w:val="annotation reference"/>
    <w:basedOn w:val="DefaultParagraphFont"/>
    <w:uiPriority w:val="99"/>
    <w:semiHidden/>
    <w:unhideWhenUsed/>
    <w:rsid w:val="00AB4E93"/>
    <w:rPr>
      <w:sz w:val="16"/>
      <w:szCs w:val="16"/>
    </w:rPr>
  </w:style>
  <w:style w:type="paragraph" w:styleId="CommentText">
    <w:name w:val="annotation text"/>
    <w:basedOn w:val="Normal"/>
    <w:link w:val="CommentTextChar"/>
    <w:uiPriority w:val="99"/>
    <w:semiHidden/>
    <w:unhideWhenUsed/>
    <w:rsid w:val="00AB4E93"/>
    <w:pPr>
      <w:spacing w:line="240" w:lineRule="auto"/>
    </w:pPr>
    <w:rPr>
      <w:sz w:val="20"/>
      <w:szCs w:val="20"/>
    </w:rPr>
  </w:style>
  <w:style w:type="character" w:customStyle="1" w:styleId="CommentTextChar">
    <w:name w:val="Comment Text Char"/>
    <w:basedOn w:val="DefaultParagraphFont"/>
    <w:link w:val="CommentText"/>
    <w:uiPriority w:val="99"/>
    <w:semiHidden/>
    <w:rsid w:val="00AB4E93"/>
    <w:rPr>
      <w:sz w:val="20"/>
      <w:szCs w:val="20"/>
    </w:rPr>
  </w:style>
  <w:style w:type="paragraph" w:styleId="CommentSubject">
    <w:name w:val="annotation subject"/>
    <w:basedOn w:val="CommentText"/>
    <w:next w:val="CommentText"/>
    <w:link w:val="CommentSubjectChar"/>
    <w:uiPriority w:val="99"/>
    <w:semiHidden/>
    <w:unhideWhenUsed/>
    <w:rsid w:val="00AB4E93"/>
    <w:rPr>
      <w:b/>
      <w:bCs/>
    </w:rPr>
  </w:style>
  <w:style w:type="character" w:customStyle="1" w:styleId="CommentSubjectChar">
    <w:name w:val="Comment Subject Char"/>
    <w:basedOn w:val="CommentTextChar"/>
    <w:link w:val="CommentSubject"/>
    <w:uiPriority w:val="99"/>
    <w:semiHidden/>
    <w:rsid w:val="00AB4E93"/>
    <w:rPr>
      <w:b/>
      <w:bCs/>
      <w:sz w:val="20"/>
      <w:szCs w:val="20"/>
    </w:rPr>
  </w:style>
  <w:style w:type="paragraph" w:styleId="BalloonText">
    <w:name w:val="Balloon Text"/>
    <w:basedOn w:val="Normal"/>
    <w:link w:val="BalloonTextChar"/>
    <w:uiPriority w:val="99"/>
    <w:semiHidden/>
    <w:unhideWhenUsed/>
    <w:rsid w:val="00AB4E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E93"/>
    <w:rPr>
      <w:rFonts w:ascii="Segoe UI" w:hAnsi="Segoe UI" w:cs="Segoe UI"/>
      <w:sz w:val="18"/>
      <w:szCs w:val="18"/>
    </w:rPr>
  </w:style>
  <w:style w:type="paragraph" w:styleId="Revision">
    <w:name w:val="Revision"/>
    <w:hidden/>
    <w:uiPriority w:val="99"/>
    <w:semiHidden/>
    <w:rsid w:val="00F23CF4"/>
    <w:pPr>
      <w:spacing w:after="0" w:line="240" w:lineRule="auto"/>
    </w:pPr>
  </w:style>
  <w:style w:type="character" w:styleId="Hyperlink">
    <w:name w:val="Hyperlink"/>
    <w:basedOn w:val="DefaultParagraphFont"/>
    <w:rsid w:val="000A336E"/>
    <w:rPr>
      <w:color w:val="0000FF"/>
      <w:u w:val="single"/>
    </w:rPr>
  </w:style>
  <w:style w:type="paragraph" w:customStyle="1" w:styleId="Normal12pt">
    <w:name w:val="Normal + 12 pt"/>
    <w:basedOn w:val="Normal"/>
    <w:link w:val="Normal12ptChar"/>
    <w:rsid w:val="000A336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0A336E"/>
    <w:rPr>
      <w:rFonts w:ascii="Times New Roman" w:eastAsia="Times New Roman" w:hAnsi="Times New Roman" w:cs="Times New Roman"/>
      <w:sz w:val="24"/>
      <w:szCs w:val="24"/>
      <w:lang w:val="lt-LT"/>
    </w:rPr>
  </w:style>
  <w:style w:type="paragraph" w:styleId="FootnoteText">
    <w:name w:val="footnote text"/>
    <w:basedOn w:val="Normal"/>
    <w:link w:val="FootnoteTextChar"/>
    <w:uiPriority w:val="99"/>
    <w:semiHidden/>
    <w:unhideWhenUsed/>
    <w:rsid w:val="006741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41AE"/>
    <w:rPr>
      <w:sz w:val="20"/>
      <w:szCs w:val="20"/>
    </w:rPr>
  </w:style>
  <w:style w:type="character" w:styleId="FootnoteReference">
    <w:name w:val="footnote reference"/>
    <w:basedOn w:val="DefaultParagraphFont"/>
    <w:uiPriority w:val="99"/>
    <w:unhideWhenUsed/>
    <w:rsid w:val="006741AE"/>
    <w:rPr>
      <w:vertAlign w:val="superscript"/>
    </w:rPr>
  </w:style>
  <w:style w:type="paragraph" w:styleId="Header">
    <w:name w:val="header"/>
    <w:basedOn w:val="Normal"/>
    <w:link w:val="HeaderChar"/>
    <w:uiPriority w:val="99"/>
    <w:unhideWhenUsed/>
    <w:rsid w:val="00D37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A87"/>
  </w:style>
  <w:style w:type="paragraph" w:styleId="Footer">
    <w:name w:val="footer"/>
    <w:basedOn w:val="Normal"/>
    <w:link w:val="FooterChar"/>
    <w:uiPriority w:val="99"/>
    <w:unhideWhenUsed/>
    <w:rsid w:val="00D37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A87"/>
  </w:style>
  <w:style w:type="character" w:styleId="FollowedHyperlink">
    <w:name w:val="FollowedHyperlink"/>
    <w:basedOn w:val="DefaultParagraphFont"/>
    <w:uiPriority w:val="99"/>
    <w:semiHidden/>
    <w:unhideWhenUsed/>
    <w:rsid w:val="00B85D34"/>
    <w:rPr>
      <w:color w:val="954F72" w:themeColor="followedHyperlink"/>
      <w:u w:val="single"/>
    </w:rPr>
  </w:style>
  <w:style w:type="paragraph" w:styleId="NoSpacing">
    <w:name w:val="No Spacing"/>
    <w:uiPriority w:val="1"/>
    <w:qFormat/>
    <w:rsid w:val="00C378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7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ividas.vitkauskas@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774E6B-2DF7-4EB6-9FB7-5E813180E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TotalTime>
  <Pages>3</Pages>
  <Words>1138</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Ilčiukas</dc:creator>
  <cp:lastModifiedBy>Deividas Vitkauskas</cp:lastModifiedBy>
  <cp:revision>13</cp:revision>
  <cp:lastPrinted>2016-08-22T09:47:00Z</cp:lastPrinted>
  <dcterms:created xsi:type="dcterms:W3CDTF">2016-08-17T13:11:00Z</dcterms:created>
  <dcterms:modified xsi:type="dcterms:W3CDTF">2016-08-24T12:42:00Z</dcterms:modified>
</cp:coreProperties>
</file>