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9F22DF" w:rsidRDefault="00667A00" w:rsidP="00AF484F">
      <w:pPr>
        <w:jc w:val="center"/>
        <w:rPr>
          <w:rFonts w:ascii="Times New Roman" w:hAnsi="Times New Roman" w:cs="Times New Roman"/>
          <w:b/>
          <w:sz w:val="24"/>
          <w:szCs w:val="24"/>
          <w:lang w:val="lt-LT"/>
        </w:rPr>
      </w:pPr>
      <w:bookmarkStart w:id="0" w:name="_GoBack"/>
      <w:bookmarkEnd w:id="0"/>
      <w:r w:rsidRPr="009F22DF">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9F22DF" w:rsidRDefault="00667A00" w:rsidP="00667A00">
      <w:pPr>
        <w:jc w:val="center"/>
        <w:rPr>
          <w:rFonts w:ascii="Times New Roman" w:hAnsi="Times New Roman" w:cs="Times New Roman"/>
          <w:b/>
          <w:bCs/>
          <w:sz w:val="24"/>
          <w:szCs w:val="24"/>
          <w:lang w:val="lt-LT"/>
        </w:rPr>
      </w:pPr>
      <w:r w:rsidRPr="009F22DF">
        <w:rPr>
          <w:rFonts w:ascii="Times New Roman" w:hAnsi="Times New Roman" w:cs="Times New Roman"/>
          <w:b/>
          <w:bCs/>
          <w:sz w:val="24"/>
          <w:szCs w:val="24"/>
          <w:lang w:val="lt-LT"/>
        </w:rPr>
        <w:t>VIEŠŲJŲ PIRKIMŲ TARNYBA</w:t>
      </w:r>
    </w:p>
    <w:p w:rsidR="00667A00" w:rsidRPr="009F22DF" w:rsidRDefault="00667A00" w:rsidP="00667A00">
      <w:pPr>
        <w:jc w:val="center"/>
        <w:rPr>
          <w:rFonts w:ascii="Times New Roman" w:hAnsi="Times New Roman" w:cs="Times New Roman"/>
          <w:b/>
          <w:bCs/>
          <w:sz w:val="24"/>
          <w:szCs w:val="24"/>
          <w:lang w:val="lt-LT"/>
        </w:rPr>
      </w:pPr>
      <w:r w:rsidRPr="009F22DF">
        <w:rPr>
          <w:rFonts w:ascii="Times New Roman" w:hAnsi="Times New Roman" w:cs="Times New Roman"/>
          <w:b/>
          <w:bCs/>
          <w:sz w:val="24"/>
          <w:szCs w:val="24"/>
          <w:lang w:val="lt-LT"/>
        </w:rPr>
        <w:t>KONTROLĖS SKYRIUS</w:t>
      </w:r>
    </w:p>
    <w:p w:rsidR="006760D4" w:rsidRPr="009F22DF" w:rsidRDefault="006760D4" w:rsidP="00667A00">
      <w:pPr>
        <w:jc w:val="center"/>
        <w:rPr>
          <w:rFonts w:ascii="Times New Roman" w:hAnsi="Times New Roman" w:cs="Times New Roman"/>
          <w:b/>
          <w:bCs/>
          <w:sz w:val="24"/>
          <w:szCs w:val="24"/>
          <w:lang w:val="lt-LT"/>
        </w:rPr>
      </w:pPr>
      <w:r w:rsidRPr="009F22DF">
        <w:rPr>
          <w:rFonts w:ascii="Times New Roman" w:hAnsi="Times New Roman" w:cs="Times New Roman"/>
          <w:b/>
          <w:bCs/>
          <w:sz w:val="24"/>
          <w:szCs w:val="24"/>
          <w:lang w:val="lt-LT"/>
        </w:rPr>
        <w:t>PI</w:t>
      </w:r>
      <w:r w:rsidR="00CD5FFF" w:rsidRPr="009F22DF">
        <w:rPr>
          <w:rFonts w:ascii="Times New Roman" w:hAnsi="Times New Roman" w:cs="Times New Roman"/>
          <w:b/>
          <w:bCs/>
          <w:sz w:val="24"/>
          <w:szCs w:val="24"/>
          <w:lang w:val="lt-LT"/>
        </w:rPr>
        <w:t>R</w:t>
      </w:r>
      <w:r w:rsidR="00FE3BCA" w:rsidRPr="009F22DF">
        <w:rPr>
          <w:rFonts w:ascii="Times New Roman" w:hAnsi="Times New Roman" w:cs="Times New Roman"/>
          <w:b/>
          <w:bCs/>
          <w:sz w:val="24"/>
          <w:szCs w:val="24"/>
          <w:lang w:val="lt-LT"/>
        </w:rPr>
        <w:t>KIMO</w:t>
      </w:r>
      <w:r w:rsidRPr="009F22DF">
        <w:rPr>
          <w:rFonts w:ascii="Times New Roman" w:hAnsi="Times New Roman" w:cs="Times New Roman"/>
          <w:b/>
          <w:bCs/>
          <w:sz w:val="24"/>
          <w:szCs w:val="24"/>
          <w:lang w:val="lt-LT"/>
        </w:rPr>
        <w:t xml:space="preserve"> VERTINIMO IŠVADA</w:t>
      </w:r>
    </w:p>
    <w:p w:rsidR="006760D4" w:rsidRPr="009F22DF" w:rsidRDefault="004E2641" w:rsidP="003114CE">
      <w:pPr>
        <w:jc w:val="center"/>
        <w:rPr>
          <w:rFonts w:ascii="Times New Roman" w:hAnsi="Times New Roman" w:cs="Times New Roman"/>
          <w:sz w:val="24"/>
          <w:szCs w:val="24"/>
          <w:lang w:val="lt-LT"/>
        </w:rPr>
      </w:pPr>
      <w:r>
        <w:rPr>
          <w:rFonts w:ascii="Times New Roman" w:hAnsi="Times New Roman" w:cs="Times New Roman"/>
          <w:sz w:val="24"/>
          <w:szCs w:val="24"/>
          <w:u w:val="single"/>
          <w:lang w:val="lt-LT"/>
        </w:rPr>
        <w:t>2016-09</w:t>
      </w:r>
      <w:r w:rsidR="003114CE" w:rsidRPr="009F22DF">
        <w:rPr>
          <w:rFonts w:ascii="Times New Roman" w:hAnsi="Times New Roman" w:cs="Times New Roman"/>
          <w:sz w:val="24"/>
          <w:szCs w:val="24"/>
          <w:u w:val="single"/>
          <w:lang w:val="lt-LT"/>
        </w:rPr>
        <w:t xml:space="preserve">- </w:t>
      </w:r>
      <w:r w:rsidR="006760D4" w:rsidRPr="009F22DF">
        <w:rPr>
          <w:rFonts w:ascii="Times New Roman" w:hAnsi="Times New Roman" w:cs="Times New Roman"/>
          <w:sz w:val="24"/>
          <w:szCs w:val="24"/>
          <w:u w:val="single"/>
          <w:lang w:val="lt-LT"/>
        </w:rPr>
        <w:t>_</w:t>
      </w:r>
      <w:r w:rsidR="003114CE" w:rsidRPr="009F22DF">
        <w:rPr>
          <w:rFonts w:ascii="Times New Roman" w:hAnsi="Times New Roman" w:cs="Times New Roman"/>
          <w:sz w:val="24"/>
          <w:szCs w:val="24"/>
          <w:lang w:val="lt-LT"/>
        </w:rPr>
        <w:t xml:space="preserve">  </w:t>
      </w:r>
      <w:r w:rsidR="006760D4" w:rsidRPr="009F22DF">
        <w:rPr>
          <w:rFonts w:ascii="Times New Roman" w:hAnsi="Times New Roman" w:cs="Times New Roman"/>
          <w:sz w:val="24"/>
          <w:szCs w:val="24"/>
          <w:lang w:val="lt-LT"/>
        </w:rPr>
        <w:t>Nr. 4S-_________</w:t>
      </w:r>
    </w:p>
    <w:p w:rsidR="00667A00" w:rsidRPr="009F22DF" w:rsidRDefault="00667A00" w:rsidP="003114CE">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Vilnius</w:t>
      </w:r>
    </w:p>
    <w:p w:rsidR="00A03381" w:rsidRPr="009F22DF" w:rsidRDefault="00FC1758" w:rsidP="004562AA">
      <w:pPr>
        <w:spacing w:after="0" w:line="240" w:lineRule="auto"/>
        <w:ind w:firstLine="709"/>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Viešųjų pirkimų tarnyba (toliau – Tarnyba), vadovaudamasi Lietuvos Respublikos viešųjų pirkimų įstatymo 8² straipsnio 1 dalies 2 punktu, įvertino Lietuvos automobilių kelių direkcijos prie Susisiekimo ministerijos (toliau – Perkančioji organizacija) pateiktus dokumentus, susijusius su vykdomu viešuoju pirkimu.</w:t>
      </w:r>
    </w:p>
    <w:p w:rsidR="0042280A" w:rsidRPr="009F22DF" w:rsidRDefault="0042280A" w:rsidP="004562AA">
      <w:pPr>
        <w:spacing w:after="0" w:line="240" w:lineRule="auto"/>
        <w:ind w:firstLine="709"/>
        <w:jc w:val="both"/>
        <w:rPr>
          <w:rFonts w:ascii="Times New Roman" w:hAnsi="Times New Roman" w:cs="Times New Roman"/>
          <w:sz w:val="24"/>
          <w:szCs w:val="24"/>
          <w:lang w:val="lt-LT"/>
        </w:rPr>
      </w:pPr>
    </w:p>
    <w:p w:rsidR="00AB1809" w:rsidRPr="009F22DF" w:rsidRDefault="00AB1809" w:rsidP="004562AA">
      <w:pPr>
        <w:jc w:val="center"/>
        <w:rPr>
          <w:rFonts w:ascii="Times New Roman" w:hAnsi="Times New Roman" w:cs="Times New Roman"/>
          <w:b/>
          <w:sz w:val="24"/>
          <w:szCs w:val="24"/>
          <w:lang w:val="lt-LT"/>
        </w:rPr>
      </w:pPr>
      <w:r w:rsidRPr="009F22DF">
        <w:rPr>
          <w:rFonts w:ascii="Times New Roman" w:hAnsi="Times New Roman" w:cs="Times New Roman"/>
          <w:b/>
          <w:sz w:val="24"/>
          <w:szCs w:val="24"/>
          <w:lang w:val="lt-LT"/>
        </w:rPr>
        <w:t>I dalis.</w:t>
      </w:r>
      <w:r w:rsidR="007E4301" w:rsidRPr="009F22DF">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9F22DF" w:rsidTr="0081274A">
        <w:tc>
          <w:tcPr>
            <w:tcW w:w="4672" w:type="dxa"/>
          </w:tcPr>
          <w:p w:rsidR="00AB1809" w:rsidRPr="009F22DF" w:rsidRDefault="00AB1809" w:rsidP="007E4301">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 xml:space="preserve">Pirkimo </w:t>
            </w:r>
            <w:r w:rsidR="007E4301" w:rsidRPr="009F22DF">
              <w:rPr>
                <w:rFonts w:ascii="Times New Roman" w:hAnsi="Times New Roman" w:cs="Times New Roman"/>
                <w:sz w:val="24"/>
                <w:szCs w:val="24"/>
                <w:lang w:val="lt-LT"/>
              </w:rPr>
              <w:t xml:space="preserve">pavadinimas, </w:t>
            </w:r>
            <w:r w:rsidRPr="009F22DF">
              <w:rPr>
                <w:rFonts w:ascii="Times New Roman" w:hAnsi="Times New Roman" w:cs="Times New Roman"/>
                <w:sz w:val="24"/>
                <w:szCs w:val="24"/>
                <w:lang w:val="lt-LT"/>
              </w:rPr>
              <w:t>numeris (jeigu skelbtas)</w:t>
            </w:r>
            <w:r w:rsidR="007E4301" w:rsidRPr="009F22DF">
              <w:rPr>
                <w:rFonts w:ascii="Times New Roman" w:hAnsi="Times New Roman" w:cs="Times New Roman"/>
                <w:sz w:val="24"/>
                <w:szCs w:val="24"/>
                <w:lang w:val="lt-LT"/>
              </w:rPr>
              <w:t>,</w:t>
            </w:r>
            <w:r w:rsidRPr="009F22DF">
              <w:rPr>
                <w:rFonts w:ascii="Times New Roman" w:hAnsi="Times New Roman" w:cs="Times New Roman"/>
                <w:sz w:val="24"/>
                <w:szCs w:val="24"/>
                <w:lang w:val="lt-LT"/>
              </w:rPr>
              <w:t xml:space="preserve"> pirkimo paskelbimo (kvietimo pateikti pasiūlymą) data</w:t>
            </w:r>
          </w:p>
        </w:tc>
        <w:tc>
          <w:tcPr>
            <w:tcW w:w="4934" w:type="dxa"/>
          </w:tcPr>
          <w:p w:rsidR="00AB1809" w:rsidRPr="009F22DF" w:rsidRDefault="00FC1758" w:rsidP="0080153D">
            <w:pPr>
              <w:ind w:firstLine="728"/>
              <w:jc w:val="both"/>
              <w:rPr>
                <w:rFonts w:ascii="Times New Roman" w:hAnsi="Times New Roman" w:cs="Times New Roman"/>
                <w:sz w:val="24"/>
                <w:szCs w:val="24"/>
                <w:lang w:val="lt-LT"/>
              </w:rPr>
            </w:pPr>
            <w:r w:rsidRPr="009F22DF">
              <w:rPr>
                <w:rFonts w:ascii="Times New Roman" w:hAnsi="Times New Roman" w:cs="Times New Roman"/>
                <w:i/>
                <w:sz w:val="24"/>
                <w:szCs w:val="24"/>
                <w:lang w:val="lt-LT"/>
              </w:rPr>
              <w:t>Žvyrkelių, esančių Kretingos ir Skuodo rajonuose, rekonstravimas</w:t>
            </w:r>
            <w:r w:rsidR="00FE3BCA" w:rsidRPr="009F22DF">
              <w:rPr>
                <w:rFonts w:ascii="Times New Roman" w:hAnsi="Times New Roman" w:cs="Times New Roman"/>
                <w:sz w:val="24"/>
                <w:szCs w:val="24"/>
                <w:lang w:val="lt-LT"/>
              </w:rPr>
              <w:t xml:space="preserve"> </w:t>
            </w:r>
            <w:r w:rsidR="00225D9A" w:rsidRPr="009F22DF">
              <w:rPr>
                <w:rFonts w:ascii="Times New Roman" w:hAnsi="Times New Roman" w:cs="Times New Roman"/>
                <w:sz w:val="24"/>
                <w:szCs w:val="24"/>
                <w:lang w:val="lt-LT"/>
              </w:rPr>
              <w:t>(s</w:t>
            </w:r>
            <w:r w:rsidRPr="009F22DF">
              <w:rPr>
                <w:rFonts w:ascii="Times New Roman" w:hAnsi="Times New Roman" w:cs="Times New Roman"/>
                <w:sz w:val="24"/>
                <w:szCs w:val="24"/>
                <w:lang w:val="lt-LT"/>
              </w:rPr>
              <w:t>kelbtas 2016-06-17</w:t>
            </w:r>
            <w:r w:rsidR="003114CE" w:rsidRPr="009F22DF">
              <w:rPr>
                <w:rFonts w:ascii="Times New Roman" w:hAnsi="Times New Roman" w:cs="Times New Roman"/>
                <w:sz w:val="24"/>
                <w:szCs w:val="24"/>
                <w:lang w:val="lt-LT"/>
              </w:rPr>
              <w:t xml:space="preserve"> Centrinėje viešųjų pirkimų informacinėje sistemoje (toliau –</w:t>
            </w:r>
            <w:r w:rsidR="00E5127A" w:rsidRPr="009F22DF">
              <w:rPr>
                <w:rFonts w:ascii="Times New Roman" w:hAnsi="Times New Roman" w:cs="Times New Roman"/>
                <w:sz w:val="24"/>
                <w:szCs w:val="24"/>
                <w:lang w:val="lt-LT"/>
              </w:rPr>
              <w:t xml:space="preserve"> CVP IS),</w:t>
            </w:r>
            <w:r w:rsidRPr="009F22DF">
              <w:rPr>
                <w:rFonts w:ascii="Times New Roman" w:hAnsi="Times New Roman" w:cs="Times New Roman"/>
                <w:sz w:val="24"/>
                <w:szCs w:val="24"/>
                <w:lang w:val="lt-LT"/>
              </w:rPr>
              <w:t xml:space="preserve"> pirkimo Nr. 175747</w:t>
            </w:r>
            <w:r w:rsidR="00E5127A" w:rsidRPr="009F22DF">
              <w:rPr>
                <w:rFonts w:ascii="Times New Roman" w:hAnsi="Times New Roman" w:cs="Times New Roman"/>
                <w:sz w:val="24"/>
                <w:szCs w:val="24"/>
                <w:lang w:val="lt-LT"/>
              </w:rPr>
              <w:t>; toliau - Pirkimas</w:t>
            </w:r>
            <w:r w:rsidR="00225D9A" w:rsidRPr="009F22DF">
              <w:rPr>
                <w:rFonts w:ascii="Times New Roman" w:hAnsi="Times New Roman" w:cs="Times New Roman"/>
                <w:sz w:val="24"/>
                <w:szCs w:val="24"/>
                <w:lang w:val="lt-LT"/>
              </w:rPr>
              <w:t>)</w:t>
            </w:r>
          </w:p>
        </w:tc>
      </w:tr>
      <w:tr w:rsidR="00AB1809" w:rsidRPr="009F22DF" w:rsidTr="0081274A">
        <w:tc>
          <w:tcPr>
            <w:tcW w:w="4672" w:type="dxa"/>
          </w:tcPr>
          <w:p w:rsidR="00AB1809" w:rsidRPr="009F22DF" w:rsidRDefault="00AB1809" w:rsidP="0081274A">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Pirkimo būdas</w:t>
            </w:r>
          </w:p>
        </w:tc>
        <w:tc>
          <w:tcPr>
            <w:tcW w:w="4934" w:type="dxa"/>
          </w:tcPr>
          <w:p w:rsidR="00AB1809" w:rsidRPr="009F22DF" w:rsidRDefault="00FC1758" w:rsidP="006654ED">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Supaprastintas a</w:t>
            </w:r>
            <w:r w:rsidR="00D361EE" w:rsidRPr="009F22DF">
              <w:rPr>
                <w:rFonts w:ascii="Times New Roman" w:hAnsi="Times New Roman" w:cs="Times New Roman"/>
                <w:sz w:val="24"/>
                <w:szCs w:val="24"/>
                <w:lang w:val="lt-LT"/>
              </w:rPr>
              <w:t>tviras konkursas</w:t>
            </w:r>
          </w:p>
        </w:tc>
      </w:tr>
      <w:tr w:rsidR="00AB1809" w:rsidRPr="009F22DF" w:rsidTr="0081274A">
        <w:tc>
          <w:tcPr>
            <w:tcW w:w="4672" w:type="dxa"/>
          </w:tcPr>
          <w:p w:rsidR="00AB1809" w:rsidRPr="009F22DF" w:rsidRDefault="00AB1809" w:rsidP="007E4301">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 xml:space="preserve">Planuojama </w:t>
            </w:r>
            <w:r w:rsidR="00CD5FFF" w:rsidRPr="009F22DF">
              <w:rPr>
                <w:rFonts w:ascii="Times New Roman" w:hAnsi="Times New Roman" w:cs="Times New Roman"/>
                <w:sz w:val="24"/>
                <w:szCs w:val="24"/>
                <w:lang w:val="lt-LT"/>
              </w:rPr>
              <w:t>(nenurodoma, jeigu pirkimas vertinamas iki vokų su pasiūlymais atplėšimo procedūros)</w:t>
            </w:r>
            <w:r w:rsidR="00D361EE" w:rsidRPr="009F22DF">
              <w:rPr>
                <w:rFonts w:ascii="Times New Roman" w:hAnsi="Times New Roman" w:cs="Times New Roman"/>
                <w:sz w:val="24"/>
                <w:szCs w:val="24"/>
                <w:lang w:val="lt-LT"/>
              </w:rPr>
              <w:t xml:space="preserve"> pirkimo sutarties vertė</w:t>
            </w:r>
            <w:r w:rsidR="00CF61ED">
              <w:rPr>
                <w:rFonts w:ascii="Times New Roman" w:hAnsi="Times New Roman" w:cs="Times New Roman"/>
                <w:sz w:val="24"/>
                <w:szCs w:val="24"/>
                <w:lang w:val="lt-LT"/>
              </w:rPr>
              <w:t xml:space="preserve"> su</w:t>
            </w:r>
            <w:r w:rsidRPr="009F22DF">
              <w:rPr>
                <w:rFonts w:ascii="Times New Roman" w:hAnsi="Times New Roman" w:cs="Times New Roman"/>
                <w:sz w:val="24"/>
                <w:szCs w:val="24"/>
                <w:lang w:val="lt-LT"/>
              </w:rPr>
              <w:t xml:space="preserve"> PVM</w:t>
            </w:r>
            <w:r w:rsidR="0060794B">
              <w:rPr>
                <w:rFonts w:ascii="Times New Roman" w:hAnsi="Times New Roman" w:cs="Times New Roman"/>
                <w:sz w:val="24"/>
                <w:szCs w:val="24"/>
                <w:lang w:val="lt-LT"/>
              </w:rPr>
              <w:t>/be PVM</w:t>
            </w:r>
          </w:p>
        </w:tc>
        <w:tc>
          <w:tcPr>
            <w:tcW w:w="4934" w:type="dxa"/>
          </w:tcPr>
          <w:p w:rsidR="00AB1809" w:rsidRPr="009F22DF" w:rsidRDefault="006B002B" w:rsidP="0081274A">
            <w:pPr>
              <w:jc w:val="center"/>
              <w:rPr>
                <w:rFonts w:ascii="Times New Roman" w:hAnsi="Times New Roman" w:cs="Times New Roman"/>
                <w:sz w:val="24"/>
                <w:szCs w:val="24"/>
                <w:lang w:val="lt-LT"/>
              </w:rPr>
            </w:pPr>
            <w:r>
              <w:rPr>
                <w:rFonts w:ascii="Times New Roman" w:hAnsi="Times New Roman" w:cs="Times New Roman"/>
                <w:sz w:val="24"/>
                <w:szCs w:val="24"/>
                <w:lang w:val="lt-LT"/>
              </w:rPr>
              <w:t>2.44</w:t>
            </w:r>
            <w:r w:rsidR="00CF61ED">
              <w:rPr>
                <w:rFonts w:ascii="Times New Roman" w:hAnsi="Times New Roman" w:cs="Times New Roman"/>
                <w:sz w:val="24"/>
                <w:szCs w:val="24"/>
                <w:lang w:val="lt-LT"/>
              </w:rPr>
              <w:t>0.000,00 EUR</w:t>
            </w:r>
            <w:r w:rsidR="0060794B">
              <w:rPr>
                <w:rFonts w:ascii="Times New Roman" w:hAnsi="Times New Roman" w:cs="Times New Roman"/>
                <w:sz w:val="24"/>
                <w:szCs w:val="24"/>
                <w:lang w:val="lt-LT"/>
              </w:rPr>
              <w:t xml:space="preserve"> su PVM/2.016.528,93 EUR be PVM</w:t>
            </w:r>
          </w:p>
        </w:tc>
      </w:tr>
      <w:tr w:rsidR="00AB1809" w:rsidRPr="009F22DF" w:rsidTr="0081274A">
        <w:tc>
          <w:tcPr>
            <w:tcW w:w="4672" w:type="dxa"/>
          </w:tcPr>
          <w:p w:rsidR="00AB1809" w:rsidRPr="009F22DF" w:rsidRDefault="00AB1809" w:rsidP="00BA3D29">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 xml:space="preserve">Pirkimas finansuojamas ES lėšomis, projekto pavadinimas, </w:t>
            </w:r>
            <w:r w:rsidR="00BA3D29" w:rsidRPr="009F22DF">
              <w:rPr>
                <w:rFonts w:ascii="Times New Roman" w:hAnsi="Times New Roman" w:cs="Times New Roman"/>
                <w:sz w:val="24"/>
                <w:szCs w:val="24"/>
                <w:lang w:val="lt-LT"/>
              </w:rPr>
              <w:t>Įgyvendinančioji institucija</w:t>
            </w:r>
          </w:p>
        </w:tc>
        <w:tc>
          <w:tcPr>
            <w:tcW w:w="4934" w:type="dxa"/>
          </w:tcPr>
          <w:p w:rsidR="00AB1809" w:rsidRPr="009F22DF" w:rsidRDefault="004562AA" w:rsidP="0081274A">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w:t>
            </w:r>
          </w:p>
        </w:tc>
      </w:tr>
      <w:tr w:rsidR="00AB1809" w:rsidRPr="009F22DF" w:rsidTr="0081274A">
        <w:tc>
          <w:tcPr>
            <w:tcW w:w="4672" w:type="dxa"/>
          </w:tcPr>
          <w:p w:rsidR="00AB1809" w:rsidRPr="009F22DF" w:rsidRDefault="00CD5FFF" w:rsidP="00BA3D29">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Pirkimo vykdymo t</w:t>
            </w:r>
            <w:r w:rsidR="00AB1809" w:rsidRPr="009F22DF">
              <w:rPr>
                <w:rFonts w:ascii="Times New Roman" w:hAnsi="Times New Roman" w:cs="Times New Roman"/>
                <w:sz w:val="24"/>
                <w:szCs w:val="24"/>
                <w:lang w:val="lt-LT"/>
              </w:rPr>
              <w:t xml:space="preserve">eisinis pagrindas (pirkimui taikomo </w:t>
            </w:r>
            <w:r w:rsidR="00BA3D29" w:rsidRPr="009F22DF">
              <w:rPr>
                <w:rFonts w:ascii="Times New Roman" w:hAnsi="Times New Roman" w:cs="Times New Roman"/>
                <w:sz w:val="24"/>
                <w:szCs w:val="24"/>
                <w:lang w:val="lt-LT"/>
              </w:rPr>
              <w:t>įstatymo</w:t>
            </w:r>
            <w:r w:rsidR="00AB1809" w:rsidRPr="009F22DF">
              <w:rPr>
                <w:rFonts w:ascii="Times New Roman" w:hAnsi="Times New Roman" w:cs="Times New Roman"/>
                <w:sz w:val="24"/>
                <w:szCs w:val="24"/>
                <w:lang w:val="lt-LT"/>
              </w:rPr>
              <w:t>, supaprastintų pirkimų taisyklių redakcija)</w:t>
            </w:r>
          </w:p>
        </w:tc>
        <w:tc>
          <w:tcPr>
            <w:tcW w:w="4934" w:type="dxa"/>
          </w:tcPr>
          <w:p w:rsidR="00B91312" w:rsidRPr="009F22DF" w:rsidRDefault="0081274A" w:rsidP="0042280A">
            <w:pPr>
              <w:ind w:firstLine="728"/>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Lietuvos Respublikos viešųjų pirki</w:t>
            </w:r>
            <w:r w:rsidR="00D361EE" w:rsidRPr="009F22DF">
              <w:rPr>
                <w:rFonts w:ascii="Times New Roman" w:hAnsi="Times New Roman" w:cs="Times New Roman"/>
                <w:sz w:val="24"/>
                <w:szCs w:val="24"/>
                <w:lang w:val="lt-LT"/>
              </w:rPr>
              <w:t>mų įstatymas (redakcija nuo 2016-01-01</w:t>
            </w:r>
            <w:r w:rsidR="00F04F5F" w:rsidRPr="009F22DF">
              <w:rPr>
                <w:rFonts w:ascii="Times New Roman" w:hAnsi="Times New Roman" w:cs="Times New Roman"/>
                <w:sz w:val="24"/>
                <w:szCs w:val="24"/>
                <w:lang w:val="lt-LT"/>
              </w:rPr>
              <w:t>; toliau</w:t>
            </w:r>
            <w:r w:rsidR="005338E3" w:rsidRPr="009F22DF">
              <w:rPr>
                <w:rFonts w:ascii="Times New Roman" w:hAnsi="Times New Roman" w:cs="Times New Roman"/>
                <w:sz w:val="24"/>
                <w:szCs w:val="24"/>
                <w:lang w:val="lt-LT"/>
              </w:rPr>
              <w:t xml:space="preserve"> -</w:t>
            </w:r>
            <w:r w:rsidR="00F04F5F" w:rsidRPr="009F22DF">
              <w:rPr>
                <w:rFonts w:ascii="Times New Roman" w:hAnsi="Times New Roman" w:cs="Times New Roman"/>
                <w:sz w:val="24"/>
                <w:szCs w:val="24"/>
                <w:lang w:val="lt-LT"/>
              </w:rPr>
              <w:t>Įstatymas</w:t>
            </w:r>
            <w:r w:rsidR="00FE3BCA" w:rsidRPr="009F22DF">
              <w:rPr>
                <w:rFonts w:ascii="Times New Roman" w:hAnsi="Times New Roman" w:cs="Times New Roman"/>
                <w:sz w:val="24"/>
                <w:szCs w:val="24"/>
                <w:lang w:val="lt-LT"/>
              </w:rPr>
              <w:t>)</w:t>
            </w:r>
            <w:r w:rsidR="0042280A" w:rsidRPr="009F22DF">
              <w:rPr>
                <w:rFonts w:ascii="Times New Roman" w:hAnsi="Times New Roman" w:cs="Times New Roman"/>
                <w:sz w:val="24"/>
                <w:szCs w:val="24"/>
                <w:lang w:val="lt-LT"/>
              </w:rPr>
              <w:t>; Perkančiosios organizacijos direktoriaus 2014-12-15 įsakymu Nr. V-432 patvirtintos Lietuvos automobilių kelių direkcijos prie susisiekimo ministerijos supaprastintų viešųjų pirkimų taisyklės (toliau – Taisyklės)</w:t>
            </w:r>
          </w:p>
        </w:tc>
      </w:tr>
      <w:tr w:rsidR="00AB1809" w:rsidRPr="009F22DF" w:rsidTr="0081274A">
        <w:tc>
          <w:tcPr>
            <w:tcW w:w="4672" w:type="dxa"/>
          </w:tcPr>
          <w:p w:rsidR="00AB1809" w:rsidRPr="009F22DF" w:rsidRDefault="00AB1809" w:rsidP="0081274A">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 xml:space="preserve">Vertinimo </w:t>
            </w:r>
            <w:r w:rsidR="007E4301" w:rsidRPr="009F22DF">
              <w:rPr>
                <w:rFonts w:ascii="Times New Roman" w:hAnsi="Times New Roman" w:cs="Times New Roman"/>
                <w:sz w:val="24"/>
                <w:szCs w:val="24"/>
                <w:lang w:val="lt-LT"/>
              </w:rPr>
              <w:t>apimtys/</w:t>
            </w:r>
            <w:r w:rsidRPr="009F22DF">
              <w:rPr>
                <w:rFonts w:ascii="Times New Roman" w:hAnsi="Times New Roman" w:cs="Times New Roman"/>
                <w:sz w:val="24"/>
                <w:szCs w:val="24"/>
                <w:lang w:val="lt-LT"/>
              </w:rPr>
              <w:t>etapas</w:t>
            </w:r>
          </w:p>
        </w:tc>
        <w:tc>
          <w:tcPr>
            <w:tcW w:w="4934" w:type="dxa"/>
          </w:tcPr>
          <w:p w:rsidR="00AB1809" w:rsidRPr="009F22DF" w:rsidRDefault="0042280A" w:rsidP="00225D9A">
            <w:pPr>
              <w:ind w:firstLine="728"/>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Išsamus</w:t>
            </w:r>
            <w:r w:rsidR="004562AA" w:rsidRPr="009F22DF">
              <w:rPr>
                <w:rFonts w:ascii="Times New Roman" w:hAnsi="Times New Roman" w:cs="Times New Roman"/>
                <w:sz w:val="24"/>
                <w:szCs w:val="24"/>
                <w:lang w:val="lt-LT"/>
              </w:rPr>
              <w:t xml:space="preserve"> vertinimas /</w:t>
            </w:r>
            <w:r w:rsidR="00D361EE" w:rsidRPr="009F22DF">
              <w:rPr>
                <w:rFonts w:ascii="Times New Roman" w:hAnsi="Times New Roman" w:cs="Times New Roman"/>
                <w:sz w:val="24"/>
                <w:szCs w:val="24"/>
                <w:lang w:val="lt-LT"/>
              </w:rPr>
              <w:t xml:space="preserve"> </w:t>
            </w:r>
            <w:r w:rsidR="00CF61ED">
              <w:rPr>
                <w:rFonts w:ascii="Times New Roman" w:hAnsi="Times New Roman" w:cs="Times New Roman"/>
                <w:sz w:val="24"/>
                <w:szCs w:val="24"/>
                <w:lang w:val="lt-LT"/>
              </w:rPr>
              <w:t>Pirkimo procedūrų vertinimas po</w:t>
            </w:r>
            <w:r w:rsidR="004562AA" w:rsidRPr="009F22DF">
              <w:rPr>
                <w:rFonts w:ascii="Times New Roman" w:hAnsi="Times New Roman" w:cs="Times New Roman"/>
                <w:sz w:val="24"/>
                <w:szCs w:val="24"/>
                <w:lang w:val="lt-LT"/>
              </w:rPr>
              <w:t xml:space="preserve"> </w:t>
            </w:r>
            <w:r w:rsidR="00225D9A" w:rsidRPr="009F22DF">
              <w:rPr>
                <w:rFonts w:ascii="Times New Roman" w:hAnsi="Times New Roman" w:cs="Times New Roman"/>
                <w:sz w:val="24"/>
                <w:szCs w:val="24"/>
                <w:lang w:val="lt-LT"/>
              </w:rPr>
              <w:t>vokų plėšimo</w:t>
            </w:r>
            <w:r w:rsidR="00CF61ED">
              <w:rPr>
                <w:rFonts w:ascii="Times New Roman" w:hAnsi="Times New Roman" w:cs="Times New Roman"/>
                <w:sz w:val="24"/>
                <w:szCs w:val="24"/>
                <w:lang w:val="lt-LT"/>
              </w:rPr>
              <w:t>, bet iki Pirkimo sutarties sudarymo</w:t>
            </w:r>
          </w:p>
        </w:tc>
      </w:tr>
      <w:tr w:rsidR="00AB1809" w:rsidRPr="009F22DF" w:rsidTr="007E4301">
        <w:tc>
          <w:tcPr>
            <w:tcW w:w="4672" w:type="dxa"/>
          </w:tcPr>
          <w:p w:rsidR="00AB1809" w:rsidRPr="009F22DF" w:rsidRDefault="00AB1809" w:rsidP="00BA3D29">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9F22DF">
              <w:rPr>
                <w:rFonts w:ascii="Times New Roman" w:hAnsi="Times New Roman" w:cs="Times New Roman"/>
                <w:sz w:val="24"/>
                <w:szCs w:val="24"/>
                <w:lang w:val="lt-LT"/>
              </w:rPr>
              <w:t>,</w:t>
            </w:r>
            <w:r w:rsidRPr="009F22DF">
              <w:rPr>
                <w:rFonts w:ascii="Times New Roman" w:hAnsi="Times New Roman" w:cs="Times New Roman"/>
                <w:sz w:val="24"/>
                <w:szCs w:val="24"/>
                <w:lang w:val="lt-LT"/>
              </w:rPr>
              <w:t xml:space="preserve"> apygardos, apeliacinis teismas)</w:t>
            </w:r>
          </w:p>
        </w:tc>
        <w:tc>
          <w:tcPr>
            <w:tcW w:w="4934" w:type="dxa"/>
          </w:tcPr>
          <w:p w:rsidR="00AB1809" w:rsidRPr="009F22DF" w:rsidRDefault="0042280A" w:rsidP="0042280A">
            <w:pPr>
              <w:jc w:val="center"/>
              <w:rPr>
                <w:rFonts w:ascii="Times New Roman" w:hAnsi="Times New Roman" w:cs="Times New Roman"/>
                <w:sz w:val="24"/>
                <w:szCs w:val="24"/>
                <w:lang w:val="lt-LT"/>
              </w:rPr>
            </w:pPr>
            <w:r w:rsidRPr="009F22DF">
              <w:rPr>
                <w:rFonts w:ascii="Times New Roman" w:hAnsi="Times New Roman" w:cs="Times New Roman"/>
                <w:sz w:val="24"/>
                <w:szCs w:val="24"/>
                <w:lang w:val="lt-LT"/>
              </w:rPr>
              <w:t>-</w:t>
            </w:r>
          </w:p>
        </w:tc>
      </w:tr>
    </w:tbl>
    <w:p w:rsidR="00225D9A" w:rsidRPr="009F22DF" w:rsidRDefault="00225D9A" w:rsidP="00950187">
      <w:pPr>
        <w:jc w:val="center"/>
        <w:rPr>
          <w:rFonts w:ascii="Times New Roman" w:hAnsi="Times New Roman" w:cs="Times New Roman"/>
          <w:b/>
          <w:sz w:val="24"/>
          <w:szCs w:val="24"/>
          <w:lang w:val="lt-LT"/>
        </w:rPr>
      </w:pPr>
    </w:p>
    <w:p w:rsidR="00EA5638" w:rsidRDefault="00EA5638" w:rsidP="00950187">
      <w:pPr>
        <w:jc w:val="center"/>
        <w:rPr>
          <w:rFonts w:ascii="Times New Roman" w:hAnsi="Times New Roman" w:cs="Times New Roman"/>
          <w:b/>
          <w:sz w:val="24"/>
          <w:szCs w:val="24"/>
          <w:lang w:val="lt-LT"/>
        </w:rPr>
      </w:pPr>
    </w:p>
    <w:p w:rsidR="00EA5638" w:rsidRDefault="00EA5638" w:rsidP="00950187">
      <w:pPr>
        <w:jc w:val="center"/>
        <w:rPr>
          <w:rFonts w:ascii="Times New Roman" w:hAnsi="Times New Roman" w:cs="Times New Roman"/>
          <w:b/>
          <w:sz w:val="24"/>
          <w:szCs w:val="24"/>
          <w:lang w:val="lt-LT"/>
        </w:rPr>
      </w:pPr>
    </w:p>
    <w:p w:rsidR="00EA5638" w:rsidRDefault="00EA5638" w:rsidP="00950187">
      <w:pPr>
        <w:jc w:val="center"/>
        <w:rPr>
          <w:rFonts w:ascii="Times New Roman" w:hAnsi="Times New Roman" w:cs="Times New Roman"/>
          <w:b/>
          <w:sz w:val="24"/>
          <w:szCs w:val="24"/>
          <w:lang w:val="lt-LT"/>
        </w:rPr>
      </w:pPr>
    </w:p>
    <w:p w:rsidR="00EA5638" w:rsidRDefault="00EA5638" w:rsidP="00950187">
      <w:pPr>
        <w:jc w:val="center"/>
        <w:rPr>
          <w:rFonts w:ascii="Times New Roman" w:hAnsi="Times New Roman" w:cs="Times New Roman"/>
          <w:b/>
          <w:sz w:val="24"/>
          <w:szCs w:val="24"/>
          <w:lang w:val="lt-LT"/>
        </w:rPr>
      </w:pPr>
    </w:p>
    <w:p w:rsidR="00950187" w:rsidRPr="009F22DF" w:rsidRDefault="00950187" w:rsidP="00950187">
      <w:pPr>
        <w:jc w:val="center"/>
        <w:rPr>
          <w:rFonts w:ascii="Times New Roman" w:hAnsi="Times New Roman" w:cs="Times New Roman"/>
          <w:b/>
          <w:sz w:val="24"/>
          <w:szCs w:val="24"/>
          <w:lang w:val="lt-LT"/>
        </w:rPr>
      </w:pPr>
      <w:r w:rsidRPr="009F22DF">
        <w:rPr>
          <w:rFonts w:ascii="Times New Roman" w:hAnsi="Times New Roman" w:cs="Times New Roman"/>
          <w:b/>
          <w:sz w:val="24"/>
          <w:szCs w:val="24"/>
          <w:lang w:val="lt-LT"/>
        </w:rPr>
        <w:t>II dalis. Vertinimo metu nustatyti pažeidimai</w:t>
      </w:r>
    </w:p>
    <w:tbl>
      <w:tblPr>
        <w:tblStyle w:val="TableGrid"/>
        <w:tblW w:w="9287" w:type="dxa"/>
        <w:tblLayout w:type="fixed"/>
        <w:tblLook w:val="04A0" w:firstRow="1" w:lastRow="0" w:firstColumn="1" w:lastColumn="0" w:noHBand="0" w:noVBand="1"/>
      </w:tblPr>
      <w:tblGrid>
        <w:gridCol w:w="422"/>
        <w:gridCol w:w="7"/>
        <w:gridCol w:w="8842"/>
        <w:gridCol w:w="16"/>
      </w:tblGrid>
      <w:tr w:rsidR="00F04F5F" w:rsidRPr="009F22DF" w:rsidTr="0042280A">
        <w:trPr>
          <w:trHeight w:val="316"/>
        </w:trPr>
        <w:tc>
          <w:tcPr>
            <w:tcW w:w="429" w:type="dxa"/>
            <w:gridSpan w:val="2"/>
          </w:tcPr>
          <w:p w:rsidR="00F04F5F" w:rsidRPr="009F22DF" w:rsidRDefault="00E930CB" w:rsidP="00F04F5F">
            <w:pPr>
              <w:pStyle w:val="ListParagraph"/>
              <w:tabs>
                <w:tab w:val="left" w:pos="993"/>
              </w:tabs>
              <w:ind w:left="0"/>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1</w:t>
            </w:r>
            <w:r w:rsidR="00F04F5F" w:rsidRPr="009F22DF">
              <w:rPr>
                <w:rFonts w:ascii="Times New Roman" w:hAnsi="Times New Roman" w:cs="Times New Roman"/>
                <w:sz w:val="24"/>
                <w:szCs w:val="24"/>
                <w:lang w:val="lt-LT"/>
              </w:rPr>
              <w:t>.</w:t>
            </w:r>
          </w:p>
        </w:tc>
        <w:tc>
          <w:tcPr>
            <w:tcW w:w="8858" w:type="dxa"/>
            <w:gridSpan w:val="2"/>
          </w:tcPr>
          <w:p w:rsidR="00F04F5F" w:rsidRPr="009F22DF" w:rsidRDefault="0042280A" w:rsidP="009B11E4">
            <w:pPr>
              <w:pStyle w:val="ListParagraph"/>
              <w:tabs>
                <w:tab w:val="left" w:pos="993"/>
              </w:tabs>
              <w:ind w:left="0"/>
              <w:jc w:val="both"/>
              <w:rPr>
                <w:rFonts w:ascii="Times New Roman" w:hAnsi="Times New Roman" w:cs="Times New Roman"/>
                <w:b/>
                <w:sz w:val="24"/>
                <w:szCs w:val="24"/>
                <w:lang w:val="lt-LT"/>
              </w:rPr>
            </w:pPr>
            <w:r w:rsidRPr="009F22DF">
              <w:rPr>
                <w:rFonts w:ascii="Times New Roman" w:hAnsi="Times New Roman" w:cs="Times New Roman"/>
                <w:bCs/>
                <w:sz w:val="24"/>
                <w:szCs w:val="24"/>
                <w:lang w:val="lt-LT"/>
              </w:rPr>
              <w:t>Įstatymo 3 straipsnio 1 dalis</w:t>
            </w:r>
            <w:r w:rsidR="00EA5638">
              <w:rPr>
                <w:rStyle w:val="FootnoteReference"/>
                <w:rFonts w:ascii="Times New Roman" w:hAnsi="Times New Roman" w:cs="Times New Roman"/>
                <w:bCs/>
                <w:sz w:val="24"/>
                <w:szCs w:val="24"/>
                <w:lang w:val="lt-LT"/>
              </w:rPr>
              <w:footnoteReference w:id="1"/>
            </w:r>
            <w:r w:rsidRPr="009F22DF">
              <w:rPr>
                <w:rFonts w:ascii="Times New Roman" w:hAnsi="Times New Roman" w:cs="Times New Roman"/>
                <w:bCs/>
                <w:sz w:val="24"/>
                <w:szCs w:val="24"/>
                <w:lang w:val="lt-LT"/>
              </w:rPr>
              <w:t>, Įstatymo 3 straipsnio 2 dalis</w:t>
            </w:r>
            <w:r w:rsidR="00EA5638">
              <w:rPr>
                <w:rStyle w:val="FootnoteReference"/>
                <w:rFonts w:ascii="Times New Roman" w:hAnsi="Times New Roman" w:cs="Times New Roman"/>
                <w:bCs/>
                <w:sz w:val="24"/>
                <w:szCs w:val="24"/>
                <w:lang w:val="lt-LT"/>
              </w:rPr>
              <w:footnoteReference w:id="2"/>
            </w:r>
          </w:p>
        </w:tc>
      </w:tr>
      <w:tr w:rsidR="00F04F5F" w:rsidRPr="009F22DF" w:rsidTr="0042280A">
        <w:trPr>
          <w:trHeight w:val="313"/>
        </w:trPr>
        <w:tc>
          <w:tcPr>
            <w:tcW w:w="9287" w:type="dxa"/>
            <w:gridSpan w:val="4"/>
          </w:tcPr>
          <w:p w:rsidR="00A75F98" w:rsidRDefault="0042280A" w:rsidP="0042280A">
            <w:pPr>
              <w:pStyle w:val="ListParagraph"/>
              <w:tabs>
                <w:tab w:val="left" w:pos="284"/>
              </w:tabs>
              <w:ind w:left="0" w:firstLine="567"/>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Pirkimo sąlygų, patvirtintų Perkančiosios organizacijos vadovo pavaduotojo Dainiaus Miškinio, 4 punkte nurodyta, kad darbai vykdomi pagal parengtus techninius projektus trijuose Kretingos ir Skuodo</w:t>
            </w:r>
            <w:r w:rsidR="0060794B">
              <w:rPr>
                <w:rFonts w:ascii="Times New Roman" w:hAnsi="Times New Roman" w:cs="Times New Roman"/>
                <w:bCs/>
                <w:sz w:val="24"/>
                <w:szCs w:val="24"/>
                <w:lang w:val="lt-LT"/>
              </w:rPr>
              <w:t xml:space="preserve"> rajonų keliuose Nr. 2325, Nr. 3712 ir Nr. 3718 ir</w:t>
            </w:r>
            <w:r w:rsidRPr="009F22DF">
              <w:rPr>
                <w:rFonts w:ascii="Times New Roman" w:hAnsi="Times New Roman" w:cs="Times New Roman"/>
                <w:bCs/>
                <w:sz w:val="24"/>
                <w:szCs w:val="24"/>
                <w:lang w:val="lt-LT"/>
              </w:rPr>
              <w:t xml:space="preserve"> Pirkimo sąlygų 9 punkte nustatyta, kad </w:t>
            </w:r>
            <w:r w:rsidRPr="009F22DF">
              <w:rPr>
                <w:rFonts w:ascii="Times New Roman" w:hAnsi="Times New Roman" w:cs="Times New Roman"/>
                <w:bCs/>
                <w:i/>
                <w:sz w:val="24"/>
                <w:szCs w:val="24"/>
                <w:lang w:val="lt-LT"/>
              </w:rPr>
              <w:t>„Pirkimas nėra skirstomas į dalis. Tiekėjai privalo siūlyti visą darbų apimtį“</w:t>
            </w:r>
            <w:r w:rsidR="0060794B">
              <w:rPr>
                <w:rFonts w:ascii="Times New Roman" w:hAnsi="Times New Roman" w:cs="Times New Roman"/>
                <w:bCs/>
                <w:sz w:val="24"/>
                <w:szCs w:val="24"/>
                <w:lang w:val="lt-LT"/>
              </w:rPr>
              <w:t xml:space="preserve">, </w:t>
            </w:r>
            <w:proofErr w:type="spellStart"/>
            <w:r w:rsidR="0060794B">
              <w:rPr>
                <w:rFonts w:ascii="Times New Roman" w:hAnsi="Times New Roman" w:cs="Times New Roman"/>
                <w:bCs/>
                <w:sz w:val="24"/>
                <w:szCs w:val="24"/>
                <w:lang w:val="lt-LT"/>
              </w:rPr>
              <w:t>t.y</w:t>
            </w:r>
            <w:proofErr w:type="spellEnd"/>
            <w:r w:rsidR="0060794B">
              <w:rPr>
                <w:rFonts w:ascii="Times New Roman" w:hAnsi="Times New Roman" w:cs="Times New Roman"/>
                <w:bCs/>
                <w:sz w:val="24"/>
                <w:szCs w:val="24"/>
                <w:lang w:val="lt-LT"/>
              </w:rPr>
              <w:t>. nors vykdomas skirtingų</w:t>
            </w:r>
            <w:r w:rsidR="00A75F98">
              <w:rPr>
                <w:rFonts w:ascii="Times New Roman" w:hAnsi="Times New Roman" w:cs="Times New Roman"/>
                <w:bCs/>
                <w:sz w:val="24"/>
                <w:szCs w:val="24"/>
                <w:lang w:val="lt-LT"/>
              </w:rPr>
              <w:t xml:space="preserve"> savarankiškų kelio ruožų rekonstrukcijų</w:t>
            </w:r>
            <w:r w:rsidR="0060794B">
              <w:rPr>
                <w:rFonts w:ascii="Times New Roman" w:hAnsi="Times New Roman" w:cs="Times New Roman"/>
                <w:bCs/>
                <w:sz w:val="24"/>
                <w:szCs w:val="24"/>
                <w:lang w:val="lt-LT"/>
              </w:rPr>
              <w:t xml:space="preserve"> darbų pirkimas</w:t>
            </w:r>
            <w:r w:rsidR="00A75F98">
              <w:rPr>
                <w:rFonts w:ascii="Times New Roman" w:hAnsi="Times New Roman" w:cs="Times New Roman"/>
                <w:bCs/>
                <w:sz w:val="24"/>
                <w:szCs w:val="24"/>
                <w:lang w:val="lt-LT"/>
              </w:rPr>
              <w:t>, tačiau Perkančioji organizacija</w:t>
            </w:r>
            <w:r w:rsidR="0060794B">
              <w:rPr>
                <w:rFonts w:ascii="Times New Roman" w:hAnsi="Times New Roman" w:cs="Times New Roman"/>
                <w:bCs/>
                <w:sz w:val="24"/>
                <w:szCs w:val="24"/>
                <w:lang w:val="lt-LT"/>
              </w:rPr>
              <w:t xml:space="preserve"> </w:t>
            </w:r>
            <w:r w:rsidR="00A75F98">
              <w:rPr>
                <w:rFonts w:ascii="Times New Roman" w:hAnsi="Times New Roman" w:cs="Times New Roman"/>
                <w:bCs/>
                <w:sz w:val="24"/>
                <w:szCs w:val="24"/>
                <w:lang w:val="lt-LT"/>
              </w:rPr>
              <w:t>Pirkimo objekto į atskiras dalis neskaido ir tokiu būdu reikalauja, kad visų šių</w:t>
            </w:r>
            <w:r w:rsidR="005B56E7">
              <w:rPr>
                <w:rFonts w:ascii="Times New Roman" w:hAnsi="Times New Roman" w:cs="Times New Roman"/>
                <w:bCs/>
                <w:sz w:val="24"/>
                <w:szCs w:val="24"/>
                <w:lang w:val="lt-LT"/>
              </w:rPr>
              <w:t xml:space="preserve"> skirtingų</w:t>
            </w:r>
            <w:r w:rsidR="00A75F98">
              <w:rPr>
                <w:rFonts w:ascii="Times New Roman" w:hAnsi="Times New Roman" w:cs="Times New Roman"/>
                <w:bCs/>
                <w:sz w:val="24"/>
                <w:szCs w:val="24"/>
                <w:lang w:val="lt-LT"/>
              </w:rPr>
              <w:t xml:space="preserve"> kelio ruožų rekonstrukcijas atliktų vienas tiekėjas</w:t>
            </w:r>
            <w:r w:rsidR="0060794B">
              <w:rPr>
                <w:rFonts w:ascii="Times New Roman" w:hAnsi="Times New Roman" w:cs="Times New Roman"/>
                <w:bCs/>
                <w:sz w:val="24"/>
                <w:szCs w:val="24"/>
                <w:lang w:val="lt-LT"/>
              </w:rPr>
              <w:t>.</w:t>
            </w:r>
          </w:p>
          <w:p w:rsidR="0042280A" w:rsidRPr="009F22DF" w:rsidRDefault="0042280A" w:rsidP="0042280A">
            <w:pPr>
              <w:pStyle w:val="ListParagraph"/>
              <w:tabs>
                <w:tab w:val="left" w:pos="284"/>
              </w:tabs>
              <w:ind w:left="0" w:firstLine="567"/>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Atsižvelgiant į tai Tarnyba konstatuoja, kad Perkančioji organizacija</w:t>
            </w:r>
            <w:r w:rsidR="00A75F98">
              <w:rPr>
                <w:rFonts w:ascii="Times New Roman" w:hAnsi="Times New Roman" w:cs="Times New Roman"/>
                <w:bCs/>
                <w:sz w:val="24"/>
                <w:szCs w:val="24"/>
                <w:lang w:val="lt-LT"/>
              </w:rPr>
              <w:t xml:space="preserve"> Pirkimo objektą sustambino dirbtinai,</w:t>
            </w:r>
            <w:r w:rsidRPr="009F22DF">
              <w:rPr>
                <w:rFonts w:ascii="Times New Roman" w:hAnsi="Times New Roman" w:cs="Times New Roman"/>
                <w:bCs/>
                <w:sz w:val="24"/>
                <w:szCs w:val="24"/>
                <w:lang w:val="lt-LT"/>
              </w:rPr>
              <w:t xml:space="preserve"> Pirkimo į dalis neskaid</w:t>
            </w:r>
            <w:r w:rsidR="009F22DF" w:rsidRPr="009F22DF">
              <w:rPr>
                <w:rFonts w:ascii="Times New Roman" w:hAnsi="Times New Roman" w:cs="Times New Roman"/>
                <w:bCs/>
                <w:sz w:val="24"/>
                <w:szCs w:val="24"/>
                <w:lang w:val="lt-LT"/>
              </w:rPr>
              <w:t>o</w:t>
            </w:r>
            <w:r w:rsidRPr="009F22DF">
              <w:rPr>
                <w:rFonts w:ascii="Times New Roman" w:hAnsi="Times New Roman" w:cs="Times New Roman"/>
                <w:bCs/>
                <w:sz w:val="24"/>
                <w:szCs w:val="24"/>
                <w:lang w:val="lt-LT"/>
              </w:rPr>
              <w:t xml:space="preserve"> nepagrįstai ir t</w:t>
            </w:r>
            <w:r w:rsidR="009F22DF" w:rsidRPr="009F22DF">
              <w:rPr>
                <w:rFonts w:ascii="Times New Roman" w:hAnsi="Times New Roman" w:cs="Times New Roman"/>
                <w:bCs/>
                <w:sz w:val="24"/>
                <w:szCs w:val="24"/>
                <w:lang w:val="lt-LT"/>
              </w:rPr>
              <w:t>iekėjams nesudaro</w:t>
            </w:r>
            <w:r w:rsidRPr="009F22DF">
              <w:rPr>
                <w:rFonts w:ascii="Times New Roman" w:hAnsi="Times New Roman" w:cs="Times New Roman"/>
                <w:bCs/>
                <w:sz w:val="24"/>
                <w:szCs w:val="24"/>
                <w:lang w:val="lt-LT"/>
              </w:rPr>
              <w:t xml:space="preserve"> sąlygų dalyvauti Pirkimo procedūrose, nes Pirkimo išskaidymas į dalis sudarytų galimybę dalyvauti Pirkime didesniam tiekėjų skaičiui ir skatintų jų konkurenciją, o Perkančioji organizacija turėtų galimybę išsirinkti ekonomiškiausius pasiūlymus ir racionaliau naudoti Pirkimui skirtas lėšas.</w:t>
            </w:r>
          </w:p>
          <w:p w:rsidR="0042280A" w:rsidRPr="009F22DF" w:rsidRDefault="0042280A" w:rsidP="0042280A">
            <w:pPr>
              <w:pStyle w:val="ListParagraph"/>
              <w:tabs>
                <w:tab w:val="left" w:pos="284"/>
              </w:tabs>
              <w:ind w:left="0" w:firstLine="567"/>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 xml:space="preserve">Perkančioji organizacija, neskaidydama Pirkimo objekto į dalis, taip pat neatsižvelgė į Smulkiojo ir vidutinio verslo subjektų skatinimo dalyvauti viešuosiuose pirkimuose rekomendacijas, patvirtintas Tarnybos direktoriaus 2010 m. rugsėjo 30 d. įsakymu Nr. 1S-139 „Dėl Smulkiojo ir vidutinio verslo subjektų skatinimo dalyvauti viešuosiuose pirkimuose rekomendacijų patvirtinimo“ (redakcija nuo 2015-01-01, toliau – Rekomendacijos), kuriose rekomenduojama skaidyti didelės apimties pirkimus į dalis, atsižvelgiant į tai, kad mažesnis pirkimo dalių dydis suteiktų galimybę pirkimuose dalyvauti daugiau tiekėjų, o pirkimo dalių turinys labiau atitiktų tiekėjų </w:t>
            </w:r>
            <w:proofErr w:type="spellStart"/>
            <w:r w:rsidRPr="009F22DF">
              <w:rPr>
                <w:rFonts w:ascii="Times New Roman" w:hAnsi="Times New Roman" w:cs="Times New Roman"/>
                <w:bCs/>
                <w:sz w:val="24"/>
                <w:szCs w:val="24"/>
                <w:lang w:val="lt-LT"/>
              </w:rPr>
              <w:t>pajėgumus</w:t>
            </w:r>
            <w:proofErr w:type="spellEnd"/>
            <w:r w:rsidRPr="009F22DF">
              <w:rPr>
                <w:rFonts w:ascii="Times New Roman" w:hAnsi="Times New Roman" w:cs="Times New Roman"/>
                <w:bCs/>
                <w:sz w:val="24"/>
                <w:szCs w:val="24"/>
                <w:lang w:val="lt-LT"/>
              </w:rPr>
              <w:t>. Tokiu atveju pirkimų skaidymas į dalis, sudarantis sąlygas didelės apimties pirkimuose dalyvauti didesniam tiekėjų skaičiui, paskatintų konkurenciją rinkoje. Taip pat rekomenduojama, visais atvejais identifikuoti pirkimo ob</w:t>
            </w:r>
            <w:r w:rsidR="00A75F98">
              <w:rPr>
                <w:rFonts w:ascii="Times New Roman" w:hAnsi="Times New Roman" w:cs="Times New Roman"/>
                <w:bCs/>
                <w:sz w:val="24"/>
                <w:szCs w:val="24"/>
                <w:lang w:val="lt-LT"/>
              </w:rPr>
              <w:t>jektą dirbtinai jo nestambinant,</w:t>
            </w:r>
            <w:r w:rsidRPr="009F22DF">
              <w:rPr>
                <w:rFonts w:ascii="Times New Roman" w:hAnsi="Times New Roman" w:cs="Times New Roman"/>
                <w:bCs/>
                <w:sz w:val="24"/>
                <w:szCs w:val="24"/>
                <w:lang w:val="lt-LT"/>
              </w:rPr>
              <w:t xml:space="preserve"> nes perkančioji organizacija turi sudaryti galimybę tiekėjams pateikti pasiūlymą kiekvienam iš perkamų savarankišką ekonominę ar techninę funkciją atliekančių objektų atskirai (Rekomendacijų 4.1 ir 4.2 papunkčiai).</w:t>
            </w:r>
          </w:p>
          <w:p w:rsidR="00225D9A" w:rsidRPr="009F22DF" w:rsidRDefault="0042280A" w:rsidP="0042280A">
            <w:pPr>
              <w:pStyle w:val="ListParagraph"/>
              <w:tabs>
                <w:tab w:val="left" w:pos="284"/>
              </w:tabs>
              <w:ind w:left="0" w:firstLine="567"/>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Tarnyba taip pat pažymi, kad naujausiose Europos Sąjungos klasikinio ir komunalinio sektoriaus viešųjų pirkimų direktyvose (Nr. 2014/24/ES ir 2014/25/ES) vyrauja tiekėjų konkurencijos užtikrinimo ir mažų bei vidutinių įmonių veiklos skatinimo tendencija, pagal kurią siekiama, kuo dažniau išskirti tiek vienalyčius, tiek savo pobūdžiu skirtingus pirkimo objektus.</w:t>
            </w:r>
          </w:p>
        </w:tc>
      </w:tr>
      <w:tr w:rsidR="009F22DF" w:rsidRPr="009F22DF" w:rsidTr="0042280A">
        <w:trPr>
          <w:gridAfter w:val="1"/>
          <w:wAfter w:w="16" w:type="dxa"/>
          <w:trHeight w:val="285"/>
        </w:trPr>
        <w:tc>
          <w:tcPr>
            <w:tcW w:w="422" w:type="dxa"/>
          </w:tcPr>
          <w:p w:rsidR="009F22DF" w:rsidRPr="009F22DF" w:rsidRDefault="009F22DF" w:rsidP="009F22DF">
            <w:pPr>
              <w:pStyle w:val="ListParagraph"/>
              <w:tabs>
                <w:tab w:val="left" w:pos="993"/>
              </w:tabs>
              <w:ind w:left="0"/>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2.</w:t>
            </w:r>
          </w:p>
        </w:tc>
        <w:tc>
          <w:tcPr>
            <w:tcW w:w="8849" w:type="dxa"/>
            <w:gridSpan w:val="2"/>
          </w:tcPr>
          <w:p w:rsidR="009F22DF" w:rsidRPr="00EA5638" w:rsidRDefault="009F22DF" w:rsidP="009F22DF">
            <w:pPr>
              <w:pStyle w:val="ListParagraph"/>
              <w:tabs>
                <w:tab w:val="left" w:pos="993"/>
              </w:tabs>
              <w:ind w:left="0"/>
              <w:jc w:val="both"/>
              <w:rPr>
                <w:rFonts w:ascii="Times New Roman" w:hAnsi="Times New Roman" w:cs="Times New Roman"/>
                <w:b/>
                <w:sz w:val="24"/>
                <w:szCs w:val="24"/>
                <w:lang w:val="lt-LT"/>
              </w:rPr>
            </w:pPr>
            <w:r w:rsidRPr="00EA5638">
              <w:rPr>
                <w:rFonts w:ascii="Times New Roman" w:hAnsi="Times New Roman" w:cs="Times New Roman"/>
                <w:b/>
                <w:sz w:val="24"/>
                <w:szCs w:val="24"/>
                <w:lang w:val="lt-LT"/>
              </w:rPr>
              <w:t>Įstatymo 87 straipsnio 1 dalis</w:t>
            </w:r>
            <w:r w:rsidR="00EA5638">
              <w:rPr>
                <w:rStyle w:val="FootnoteReference"/>
                <w:rFonts w:ascii="Times New Roman" w:hAnsi="Times New Roman" w:cs="Times New Roman"/>
                <w:b/>
                <w:sz w:val="24"/>
                <w:szCs w:val="24"/>
                <w:lang w:val="lt-LT"/>
              </w:rPr>
              <w:footnoteReference w:id="3"/>
            </w:r>
            <w:r w:rsidRPr="00EA5638">
              <w:rPr>
                <w:rFonts w:ascii="Times New Roman" w:hAnsi="Times New Roman" w:cs="Times New Roman"/>
                <w:b/>
                <w:sz w:val="24"/>
                <w:szCs w:val="24"/>
                <w:lang w:val="lt-LT"/>
              </w:rPr>
              <w:t xml:space="preserve">, </w:t>
            </w:r>
            <w:r w:rsidRPr="00EA5638">
              <w:rPr>
                <w:rFonts w:ascii="Times New Roman" w:hAnsi="Times New Roman" w:cs="Times New Roman"/>
                <w:b/>
                <w:bCs/>
                <w:sz w:val="24"/>
                <w:szCs w:val="24"/>
                <w:lang w:val="lt-LT"/>
              </w:rPr>
              <w:t>Įstatymo 32 straipsnio 2 dalis</w:t>
            </w:r>
            <w:r w:rsidR="00EA5638">
              <w:rPr>
                <w:rStyle w:val="FootnoteReference"/>
                <w:rFonts w:ascii="Times New Roman" w:hAnsi="Times New Roman" w:cs="Times New Roman"/>
                <w:b/>
                <w:bCs/>
                <w:sz w:val="24"/>
                <w:szCs w:val="24"/>
                <w:lang w:val="lt-LT"/>
              </w:rPr>
              <w:footnoteReference w:id="4"/>
            </w:r>
            <w:r w:rsidRPr="00EA5638">
              <w:rPr>
                <w:rFonts w:ascii="Times New Roman" w:hAnsi="Times New Roman" w:cs="Times New Roman"/>
                <w:b/>
                <w:bCs/>
                <w:sz w:val="24"/>
                <w:szCs w:val="24"/>
                <w:lang w:val="lt-LT"/>
              </w:rPr>
              <w:t>, Įstatymo 85 straipsnio 2 dalis</w:t>
            </w:r>
            <w:r w:rsidR="00EA5638">
              <w:rPr>
                <w:rStyle w:val="FootnoteReference"/>
                <w:rFonts w:ascii="Times New Roman" w:hAnsi="Times New Roman" w:cs="Times New Roman"/>
                <w:b/>
                <w:bCs/>
                <w:sz w:val="24"/>
                <w:szCs w:val="24"/>
                <w:lang w:val="lt-LT"/>
              </w:rPr>
              <w:footnoteReference w:id="5"/>
            </w:r>
          </w:p>
        </w:tc>
      </w:tr>
      <w:tr w:rsidR="009F22DF" w:rsidRPr="009F22DF" w:rsidTr="0042280A">
        <w:trPr>
          <w:gridAfter w:val="1"/>
          <w:wAfter w:w="16" w:type="dxa"/>
          <w:trHeight w:val="324"/>
        </w:trPr>
        <w:tc>
          <w:tcPr>
            <w:tcW w:w="9271" w:type="dxa"/>
            <w:gridSpan w:val="3"/>
          </w:tcPr>
          <w:p w:rsidR="009F22DF" w:rsidRPr="009F22DF" w:rsidRDefault="009F22DF" w:rsidP="009F22DF">
            <w:pPr>
              <w:ind w:firstLine="596"/>
              <w:jc w:val="both"/>
              <w:rPr>
                <w:rFonts w:ascii="Times New Roman" w:hAnsi="Times New Roman" w:cs="Times New Roman"/>
                <w:sz w:val="24"/>
                <w:szCs w:val="24"/>
                <w:lang w:val="lt-LT"/>
              </w:rPr>
            </w:pPr>
            <w:r w:rsidRPr="009F22DF">
              <w:rPr>
                <w:rFonts w:ascii="Times New Roman" w:hAnsi="Times New Roman" w:cs="Times New Roman"/>
                <w:bCs/>
                <w:sz w:val="24"/>
                <w:szCs w:val="24"/>
                <w:lang w:val="lt-LT"/>
              </w:rPr>
              <w:t xml:space="preserve">Pirkimo sąlygų 12.10 punkte nustatytas tiekėjų kvalifikacijos reikalavimas, kad </w:t>
            </w:r>
            <w:r w:rsidRPr="009F22DF">
              <w:rPr>
                <w:rFonts w:ascii="Times New Roman" w:hAnsi="Times New Roman" w:cs="Times New Roman"/>
                <w:bCs/>
                <w:i/>
                <w:sz w:val="24"/>
                <w:szCs w:val="24"/>
                <w:lang w:val="lt-LT"/>
              </w:rPr>
              <w:t xml:space="preserve">„Tiekėjo per paskutinius 5 metus iki pasiūlymų pateikimo termino pabaigos arba per laiką nuo įregistravimo dienos &lt;...&gt; </w:t>
            </w:r>
            <w:r w:rsidRPr="009F22DF">
              <w:rPr>
                <w:rFonts w:ascii="Times New Roman" w:hAnsi="Times New Roman" w:cs="Times New Roman"/>
                <w:bCs/>
                <w:i/>
                <w:sz w:val="24"/>
                <w:szCs w:val="24"/>
                <w:u w:val="single"/>
                <w:lang w:val="lt-LT"/>
              </w:rPr>
              <w:t>vienos arba dviejų</w:t>
            </w:r>
            <w:r w:rsidRPr="009F22DF">
              <w:rPr>
                <w:rFonts w:ascii="Times New Roman" w:hAnsi="Times New Roman" w:cs="Times New Roman"/>
                <w:bCs/>
                <w:i/>
                <w:sz w:val="24"/>
                <w:szCs w:val="24"/>
                <w:lang w:val="lt-LT"/>
              </w:rPr>
              <w:t xml:space="preserve"> tinkamai įvykdytų sutarčių suma ypatingų statinių grupei priskiriamuose statiniuose &lt;...&gt; turi būti ne mažesnė kaip &lt;...&gt;“</w:t>
            </w:r>
            <w:r w:rsidRPr="009F22DF">
              <w:rPr>
                <w:rFonts w:ascii="Times New Roman" w:hAnsi="Times New Roman" w:cs="Times New Roman"/>
                <w:bCs/>
                <w:sz w:val="24"/>
                <w:szCs w:val="24"/>
                <w:lang w:val="lt-LT"/>
              </w:rPr>
              <w:t xml:space="preserve">. Tačiau Pirkimu įsigyjama 3 savarankiškų kelio ruožų </w:t>
            </w:r>
            <w:r w:rsidRPr="009F22DF">
              <w:rPr>
                <w:rFonts w:ascii="Times New Roman" w:hAnsi="Times New Roman" w:cs="Times New Roman"/>
                <w:sz w:val="24"/>
                <w:szCs w:val="24"/>
                <w:lang w:val="lt-LT"/>
              </w:rPr>
              <w:t>rekonstrukcija, todėl tiekėjai gali turėti patirties rekonstruo</w:t>
            </w:r>
            <w:r w:rsidR="00A75F98">
              <w:rPr>
                <w:rFonts w:ascii="Times New Roman" w:hAnsi="Times New Roman" w:cs="Times New Roman"/>
                <w:sz w:val="24"/>
                <w:szCs w:val="24"/>
                <w:lang w:val="lt-LT"/>
              </w:rPr>
              <w:t>jant kelio ruožus pagal daugiau nei 2</w:t>
            </w:r>
            <w:r w:rsidRPr="009F22DF">
              <w:rPr>
                <w:rFonts w:ascii="Times New Roman" w:hAnsi="Times New Roman" w:cs="Times New Roman"/>
                <w:sz w:val="24"/>
                <w:szCs w:val="24"/>
                <w:lang w:val="lt-LT"/>
              </w:rPr>
              <w:t xml:space="preserve"> sutartis ir nepaisant to, kad jie turės analogiškos patirties t. y. įvykdytų sutarčių verčių suma bus</w:t>
            </w:r>
            <w:r w:rsidR="005B56E7">
              <w:rPr>
                <w:rFonts w:ascii="Times New Roman" w:hAnsi="Times New Roman" w:cs="Times New Roman"/>
                <w:sz w:val="24"/>
                <w:szCs w:val="24"/>
                <w:lang w:val="lt-LT"/>
              </w:rPr>
              <w:t xml:space="preserve"> didesnė nei Pirkimo</w:t>
            </w:r>
            <w:r w:rsidRPr="009F22DF">
              <w:rPr>
                <w:rFonts w:ascii="Times New Roman" w:hAnsi="Times New Roman" w:cs="Times New Roman"/>
                <w:sz w:val="24"/>
                <w:szCs w:val="24"/>
                <w:lang w:val="lt-LT"/>
              </w:rPr>
              <w:t xml:space="preserve"> sąlygų 12.10 punkte </w:t>
            </w:r>
            <w:r w:rsidRPr="009F22DF">
              <w:rPr>
                <w:rFonts w:ascii="Times New Roman" w:hAnsi="Times New Roman" w:cs="Times New Roman"/>
                <w:sz w:val="24"/>
                <w:szCs w:val="24"/>
                <w:lang w:val="lt-LT"/>
              </w:rPr>
              <w:lastRenderedPageBreak/>
              <w:t>nustatyta, jie negalės dalyvauti Pirkime, kadangi neatitiks šio kvalifikacijos reikalavimo. Atsižvelgiant į tai, Tarnyba konstatuoja, kad</w:t>
            </w:r>
            <w:r>
              <w:rPr>
                <w:rFonts w:ascii="Times New Roman" w:hAnsi="Times New Roman" w:cs="Times New Roman"/>
                <w:sz w:val="24"/>
                <w:szCs w:val="24"/>
                <w:lang w:val="lt-LT"/>
              </w:rPr>
              <w:t xml:space="preserve"> </w:t>
            </w:r>
            <w:r w:rsidRPr="009F22DF">
              <w:rPr>
                <w:rFonts w:ascii="Times New Roman" w:hAnsi="Times New Roman" w:cs="Times New Roman"/>
                <w:sz w:val="24"/>
                <w:szCs w:val="24"/>
                <w:lang w:val="lt-LT"/>
              </w:rPr>
              <w:t>Pirkimų sąlygų 12.10</w:t>
            </w:r>
            <w:r>
              <w:rPr>
                <w:rFonts w:ascii="Times New Roman" w:hAnsi="Times New Roman" w:cs="Times New Roman"/>
                <w:sz w:val="24"/>
                <w:szCs w:val="24"/>
                <w:lang w:val="lt-LT"/>
              </w:rPr>
              <w:t xml:space="preserve"> punkte nustatytas</w:t>
            </w:r>
            <w:r w:rsidRPr="009F22DF">
              <w:rPr>
                <w:rFonts w:ascii="Times New Roman" w:hAnsi="Times New Roman" w:cs="Times New Roman"/>
                <w:sz w:val="24"/>
                <w:szCs w:val="24"/>
                <w:lang w:val="lt-LT"/>
              </w:rPr>
              <w:t xml:space="preserve"> reikalavimas dirbtinai riboja potencialių tiekėjų galimybę dalyvau</w:t>
            </w:r>
            <w:r>
              <w:rPr>
                <w:rFonts w:ascii="Times New Roman" w:hAnsi="Times New Roman" w:cs="Times New Roman"/>
                <w:sz w:val="24"/>
                <w:szCs w:val="24"/>
                <w:lang w:val="lt-LT"/>
              </w:rPr>
              <w:t>ti Pirkime ir</w:t>
            </w:r>
            <w:r w:rsidR="00A75F98">
              <w:rPr>
                <w:rFonts w:ascii="Times New Roman" w:hAnsi="Times New Roman" w:cs="Times New Roman"/>
                <w:sz w:val="24"/>
                <w:szCs w:val="24"/>
                <w:lang w:val="lt-LT"/>
              </w:rPr>
              <w:t xml:space="preserve"> tuo</w:t>
            </w:r>
            <w:r>
              <w:rPr>
                <w:rFonts w:ascii="Times New Roman" w:hAnsi="Times New Roman" w:cs="Times New Roman"/>
                <w:sz w:val="24"/>
                <w:szCs w:val="24"/>
                <w:lang w:val="lt-LT"/>
              </w:rPr>
              <w:t xml:space="preserve"> Perkančioji organizacija neužtikrino Taisyklių 20 punkto</w:t>
            </w:r>
            <w:r w:rsidR="00EA5638">
              <w:rPr>
                <w:rStyle w:val="FootnoteReference"/>
                <w:rFonts w:ascii="Times New Roman" w:hAnsi="Times New Roman" w:cs="Times New Roman"/>
                <w:sz w:val="24"/>
                <w:szCs w:val="24"/>
                <w:lang w:val="lt-LT"/>
              </w:rPr>
              <w:footnoteReference w:id="6"/>
            </w:r>
            <w:r>
              <w:rPr>
                <w:rFonts w:ascii="Times New Roman" w:hAnsi="Times New Roman" w:cs="Times New Roman"/>
                <w:sz w:val="24"/>
                <w:szCs w:val="24"/>
                <w:lang w:val="lt-LT"/>
              </w:rPr>
              <w:t xml:space="preserve"> nuostatų laikymosi.</w:t>
            </w:r>
          </w:p>
        </w:tc>
      </w:tr>
    </w:tbl>
    <w:p w:rsidR="00CF61ED" w:rsidRDefault="00CF61ED" w:rsidP="00AF484F">
      <w:pPr>
        <w:jc w:val="center"/>
        <w:rPr>
          <w:rFonts w:ascii="Times New Roman" w:hAnsi="Times New Roman" w:cs="Times New Roman"/>
          <w:b/>
          <w:sz w:val="24"/>
          <w:szCs w:val="24"/>
          <w:lang w:val="lt-LT"/>
        </w:rPr>
      </w:pPr>
    </w:p>
    <w:p w:rsidR="00B64236" w:rsidRPr="009F22DF" w:rsidRDefault="008F4663" w:rsidP="00AF484F">
      <w:pPr>
        <w:jc w:val="center"/>
        <w:rPr>
          <w:rFonts w:ascii="Times New Roman" w:hAnsi="Times New Roman" w:cs="Times New Roman"/>
          <w:b/>
          <w:sz w:val="24"/>
          <w:szCs w:val="24"/>
          <w:lang w:val="lt-LT"/>
        </w:rPr>
      </w:pPr>
      <w:r w:rsidRPr="009F22DF">
        <w:rPr>
          <w:rFonts w:ascii="Times New Roman" w:hAnsi="Times New Roman" w:cs="Times New Roman"/>
          <w:b/>
          <w:sz w:val="24"/>
          <w:szCs w:val="24"/>
          <w:lang w:val="lt-LT"/>
        </w:rPr>
        <w:t>I</w:t>
      </w:r>
      <w:r w:rsidR="00ED2E43" w:rsidRPr="009F22DF">
        <w:rPr>
          <w:rFonts w:ascii="Times New Roman" w:hAnsi="Times New Roman" w:cs="Times New Roman"/>
          <w:b/>
          <w:sz w:val="24"/>
          <w:szCs w:val="24"/>
          <w:lang w:val="lt-LT"/>
        </w:rPr>
        <w:t>II</w:t>
      </w:r>
      <w:r w:rsidR="00B64236" w:rsidRPr="009F22DF">
        <w:rPr>
          <w:rFonts w:ascii="Times New Roman" w:hAnsi="Times New Roman" w:cs="Times New Roman"/>
          <w:b/>
          <w:sz w:val="24"/>
          <w:szCs w:val="24"/>
          <w:lang w:val="lt-LT"/>
        </w:rPr>
        <w:t xml:space="preserve"> dalis </w:t>
      </w:r>
      <w:r w:rsidR="007A1C3E" w:rsidRPr="009F22DF">
        <w:rPr>
          <w:rFonts w:ascii="Times New Roman" w:hAnsi="Times New Roman" w:cs="Times New Roman"/>
          <w:b/>
          <w:sz w:val="24"/>
          <w:szCs w:val="24"/>
          <w:lang w:val="lt-LT"/>
        </w:rPr>
        <w:t>P</w:t>
      </w:r>
      <w:r w:rsidR="00B64236" w:rsidRPr="009F22DF">
        <w:rPr>
          <w:rFonts w:ascii="Times New Roman" w:hAnsi="Times New Roman" w:cs="Times New Roman"/>
          <w:b/>
          <w:sz w:val="24"/>
          <w:szCs w:val="24"/>
          <w:lang w:val="lt-LT"/>
        </w:rPr>
        <w:t>astabos</w:t>
      </w:r>
      <w:r w:rsidR="00B822E0" w:rsidRPr="009F22DF">
        <w:rPr>
          <w:rFonts w:ascii="Times New Roman" w:hAnsi="Times New Roman" w:cs="Times New Roman"/>
          <w:b/>
          <w:sz w:val="24"/>
          <w:szCs w:val="24"/>
          <w:lang w:val="lt-LT"/>
        </w:rPr>
        <w:t>,</w:t>
      </w:r>
      <w:r w:rsidR="00B64236" w:rsidRPr="009F22DF">
        <w:rPr>
          <w:rFonts w:ascii="Times New Roman" w:hAnsi="Times New Roman" w:cs="Times New Roman"/>
          <w:b/>
          <w:sz w:val="24"/>
          <w:szCs w:val="24"/>
          <w:lang w:val="lt-LT"/>
        </w:rPr>
        <w:t xml:space="preserve"> </w:t>
      </w:r>
      <w:r w:rsidR="0071396E" w:rsidRPr="009F22DF">
        <w:rPr>
          <w:rFonts w:ascii="Times New Roman" w:hAnsi="Times New Roman" w:cs="Times New Roman"/>
          <w:b/>
          <w:sz w:val="24"/>
          <w:szCs w:val="24"/>
          <w:lang w:val="lt-LT"/>
        </w:rPr>
        <w:t xml:space="preserve">į kurias </w:t>
      </w:r>
      <w:r w:rsidR="00E930CB" w:rsidRPr="009F22DF">
        <w:rPr>
          <w:rFonts w:ascii="Times New Roman" w:hAnsi="Times New Roman" w:cs="Times New Roman"/>
          <w:b/>
          <w:sz w:val="24"/>
          <w:szCs w:val="24"/>
          <w:lang w:val="lt-LT"/>
        </w:rPr>
        <w:t>p</w:t>
      </w:r>
      <w:r w:rsidR="00BA3D29" w:rsidRPr="009F22DF">
        <w:rPr>
          <w:rFonts w:ascii="Times New Roman" w:hAnsi="Times New Roman" w:cs="Times New Roman"/>
          <w:b/>
          <w:sz w:val="24"/>
          <w:szCs w:val="24"/>
          <w:lang w:val="lt-LT"/>
        </w:rPr>
        <w:t>erkančioji organizacija</w:t>
      </w:r>
      <w:r w:rsidR="0071396E" w:rsidRPr="009F22DF">
        <w:rPr>
          <w:rFonts w:ascii="Times New Roman" w:hAnsi="Times New Roman" w:cs="Times New Roman"/>
          <w:b/>
          <w:sz w:val="24"/>
          <w:szCs w:val="24"/>
          <w:lang w:val="lt-LT"/>
        </w:rPr>
        <w:t xml:space="preserve"> turėtų atsižvelgti vykdydama </w:t>
      </w:r>
      <w:r w:rsidR="00E93D32" w:rsidRPr="009F22DF">
        <w:rPr>
          <w:rFonts w:ascii="Times New Roman" w:hAnsi="Times New Roman" w:cs="Times New Roman"/>
          <w:b/>
          <w:sz w:val="24"/>
          <w:szCs w:val="24"/>
          <w:lang w:val="lt-LT"/>
        </w:rPr>
        <w:t xml:space="preserve">kitus </w:t>
      </w:r>
      <w:r w:rsidR="0071396E" w:rsidRPr="009F22DF">
        <w:rPr>
          <w:rFonts w:ascii="Times New Roman" w:hAnsi="Times New Roman" w:cs="Times New Roman"/>
          <w:b/>
          <w:sz w:val="24"/>
          <w:szCs w:val="24"/>
          <w:lang w:val="lt-LT"/>
        </w:rPr>
        <w:t>pirkimus</w:t>
      </w:r>
    </w:p>
    <w:tbl>
      <w:tblPr>
        <w:tblStyle w:val="TableGrid"/>
        <w:tblW w:w="9271" w:type="dxa"/>
        <w:tblLayout w:type="fixed"/>
        <w:tblLook w:val="04A0" w:firstRow="1" w:lastRow="0" w:firstColumn="1" w:lastColumn="0" w:noHBand="0" w:noVBand="1"/>
      </w:tblPr>
      <w:tblGrid>
        <w:gridCol w:w="422"/>
        <w:gridCol w:w="8849"/>
      </w:tblGrid>
      <w:tr w:rsidR="00952093" w:rsidRPr="009F22DF" w:rsidTr="00B1416B">
        <w:trPr>
          <w:trHeight w:val="285"/>
        </w:trPr>
        <w:tc>
          <w:tcPr>
            <w:tcW w:w="422" w:type="dxa"/>
          </w:tcPr>
          <w:p w:rsidR="00952093" w:rsidRPr="009F22DF" w:rsidRDefault="00393380" w:rsidP="00F73552">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952093" w:rsidRPr="009F22DF">
              <w:rPr>
                <w:rFonts w:ascii="Times New Roman" w:hAnsi="Times New Roman" w:cs="Times New Roman"/>
                <w:sz w:val="24"/>
                <w:szCs w:val="24"/>
                <w:lang w:val="lt-LT"/>
              </w:rPr>
              <w:t>.</w:t>
            </w:r>
          </w:p>
        </w:tc>
        <w:tc>
          <w:tcPr>
            <w:tcW w:w="8849" w:type="dxa"/>
          </w:tcPr>
          <w:p w:rsidR="00952093" w:rsidRPr="009F22DF" w:rsidRDefault="00C6420A" w:rsidP="00F73552">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952093" w:rsidRPr="009F22DF" w:rsidTr="0042280A">
        <w:trPr>
          <w:trHeight w:val="262"/>
        </w:trPr>
        <w:tc>
          <w:tcPr>
            <w:tcW w:w="9271" w:type="dxa"/>
            <w:gridSpan w:val="2"/>
          </w:tcPr>
          <w:p w:rsidR="00952093" w:rsidRPr="009F22DF" w:rsidRDefault="00C6420A" w:rsidP="00C6420A">
            <w:pPr>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 xml:space="preserve">Pirkimo sąlygų 12.12 punkte nustatytas tiekėjų kvalifikacijos reikalavimas, kad </w:t>
            </w:r>
            <w:r w:rsidRPr="009F22DF">
              <w:rPr>
                <w:rFonts w:ascii="Times New Roman" w:hAnsi="Times New Roman" w:cs="Times New Roman"/>
                <w:bCs/>
                <w:i/>
                <w:sz w:val="24"/>
                <w:szCs w:val="24"/>
                <w:lang w:val="lt-LT"/>
              </w:rPr>
              <w:t>„Tiekėjas turi nuosavybės teise turėti arba turi galimybę nuomotis (ar kitais pagrindais naudoti) šių pagrindinių statybos mechanizmų, reikalingų sutarties darbams atlikti, minimalų kiekį &lt;...&gt;“</w:t>
            </w:r>
            <w:r w:rsidRPr="009F22DF">
              <w:rPr>
                <w:rFonts w:ascii="Times New Roman" w:hAnsi="Times New Roman" w:cs="Times New Roman"/>
                <w:bCs/>
                <w:sz w:val="24"/>
                <w:szCs w:val="24"/>
                <w:lang w:val="lt-LT"/>
              </w:rPr>
              <w:t xml:space="preserve">. Atsižvelgiant į tai, kad tiekėjai yra savo srities profesionalai, </w:t>
            </w:r>
            <w:r w:rsidRPr="009F22DF">
              <w:rPr>
                <w:rStyle w:val="Strong"/>
                <w:rFonts w:ascii="Times New Roman" w:hAnsi="Times New Roman" w:cs="Times New Roman"/>
                <w:b w:val="0"/>
                <w:sz w:val="24"/>
                <w:szCs w:val="24"/>
                <w:lang w:val="lt-LT"/>
              </w:rPr>
              <w:t>Perkančiosios organizacijos keliami reikalavimai dėl mechanizmų kiekio yra pertekliniai. Perkančiosios organizacijos turėtų nurodyti, kokiomis techninėmis priemonėmis turi disponuoti tiekėjas, bet sprendimus dėl jų kiekio turi priimti patys tiekėjai, kurie teikdami pasiūlymus viešuosiuose pirkimuose ir siekdami juos laimėti, parinks reikiamus išteklius ir jų skaičių, kad optimaliomis sąnaudomis galėtų įvykdyti pirkimų sąlygas.</w:t>
            </w:r>
          </w:p>
        </w:tc>
      </w:tr>
      <w:tr w:rsidR="00551606" w:rsidRPr="009F22DF" w:rsidTr="006D70C5">
        <w:trPr>
          <w:trHeight w:val="285"/>
        </w:trPr>
        <w:tc>
          <w:tcPr>
            <w:tcW w:w="422" w:type="dxa"/>
          </w:tcPr>
          <w:p w:rsidR="00551606" w:rsidRPr="009F22DF" w:rsidRDefault="00C6420A" w:rsidP="006D70C5">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551606" w:rsidRPr="009F22DF">
              <w:rPr>
                <w:rFonts w:ascii="Times New Roman" w:hAnsi="Times New Roman" w:cs="Times New Roman"/>
                <w:sz w:val="24"/>
                <w:szCs w:val="24"/>
                <w:lang w:val="lt-LT"/>
              </w:rPr>
              <w:t>.</w:t>
            </w:r>
          </w:p>
        </w:tc>
        <w:tc>
          <w:tcPr>
            <w:tcW w:w="8849" w:type="dxa"/>
          </w:tcPr>
          <w:p w:rsidR="00551606" w:rsidRPr="009F22DF" w:rsidRDefault="00551606" w:rsidP="006D70C5">
            <w:pPr>
              <w:pStyle w:val="ListParagraph"/>
              <w:tabs>
                <w:tab w:val="left" w:pos="993"/>
              </w:tabs>
              <w:ind w:left="0"/>
              <w:jc w:val="both"/>
              <w:rPr>
                <w:rFonts w:ascii="Times New Roman" w:hAnsi="Times New Roman" w:cs="Times New Roman"/>
                <w:b/>
                <w:sz w:val="24"/>
                <w:szCs w:val="24"/>
                <w:lang w:val="lt-LT"/>
              </w:rPr>
            </w:pPr>
            <w:r w:rsidRPr="009F22DF">
              <w:rPr>
                <w:rFonts w:ascii="Times New Roman" w:hAnsi="Times New Roman" w:cs="Times New Roman"/>
                <w:b/>
                <w:sz w:val="24"/>
                <w:szCs w:val="24"/>
                <w:lang w:val="lt-LT"/>
              </w:rPr>
              <w:t>-</w:t>
            </w:r>
          </w:p>
        </w:tc>
      </w:tr>
      <w:tr w:rsidR="00551606" w:rsidRPr="009F22DF" w:rsidTr="006D70C5">
        <w:trPr>
          <w:trHeight w:val="262"/>
        </w:trPr>
        <w:tc>
          <w:tcPr>
            <w:tcW w:w="9271" w:type="dxa"/>
            <w:gridSpan w:val="2"/>
          </w:tcPr>
          <w:p w:rsidR="00551606" w:rsidRPr="009F22DF" w:rsidRDefault="00C6420A" w:rsidP="00C6420A">
            <w:pPr>
              <w:jc w:val="both"/>
              <w:rPr>
                <w:rFonts w:ascii="Times New Roman" w:hAnsi="Times New Roman" w:cs="Times New Roman"/>
                <w:bCs/>
                <w:sz w:val="24"/>
                <w:szCs w:val="24"/>
                <w:lang w:val="lt-LT"/>
              </w:rPr>
            </w:pPr>
            <w:r w:rsidRPr="00C6420A">
              <w:rPr>
                <w:rFonts w:ascii="Times New Roman" w:hAnsi="Times New Roman"/>
                <w:sz w:val="24"/>
                <w:szCs w:val="24"/>
                <w:lang w:val="lt-LT"/>
              </w:rPr>
              <w:t>P</w:t>
            </w:r>
            <w:r>
              <w:rPr>
                <w:rFonts w:ascii="Times New Roman" w:hAnsi="Times New Roman"/>
                <w:sz w:val="24"/>
                <w:szCs w:val="24"/>
                <w:lang w:val="lt-LT"/>
              </w:rPr>
              <w:t>i</w:t>
            </w:r>
            <w:r w:rsidRPr="00C6420A">
              <w:rPr>
                <w:rFonts w:ascii="Times New Roman" w:hAnsi="Times New Roman"/>
                <w:sz w:val="24"/>
                <w:szCs w:val="24"/>
                <w:lang w:val="lt-LT"/>
              </w:rPr>
              <w:t>rkimo sąlygų 12.12 punkto reikalavimas „&lt;...&gt; volai turi turėti sistemas, skirtas visame plote kontroliuoti dangos sluoksnių tankinimo eigą (GPS pagalba) ir temperatūrą“ yra perteklinis ir neproporcingas Pirkimo objektui, kadangi reikalaujama sistema nėra standartinis įrenginys rangos darbuose naudojamuose mechanizmuose, o statybos darbų vadovas ir techninis prižiūrėtojas kitais būdais gali ir turi užtikrinti atliekamų darbų kokybę. Atsiž</w:t>
            </w:r>
            <w:r>
              <w:rPr>
                <w:rFonts w:ascii="Times New Roman" w:hAnsi="Times New Roman"/>
                <w:sz w:val="24"/>
                <w:szCs w:val="24"/>
                <w:lang w:val="lt-LT"/>
              </w:rPr>
              <w:t>v</w:t>
            </w:r>
            <w:r w:rsidRPr="00C6420A">
              <w:rPr>
                <w:rFonts w:ascii="Times New Roman" w:hAnsi="Times New Roman"/>
                <w:sz w:val="24"/>
                <w:szCs w:val="24"/>
                <w:lang w:val="lt-LT"/>
              </w:rPr>
              <w:t xml:space="preserve">elgiant į tai, Perkančioji organizacija taip pat turėtų tikslinti Pirkimo techninės specifikacijos reikalavimus, pvz. </w:t>
            </w:r>
            <w:r>
              <w:rPr>
                <w:rFonts w:ascii="Times New Roman" w:hAnsi="Times New Roman"/>
                <w:sz w:val="24"/>
                <w:szCs w:val="24"/>
                <w:lang w:val="lt-LT"/>
              </w:rPr>
              <w:t>6.2</w:t>
            </w:r>
            <w:r w:rsidRPr="00C6420A">
              <w:rPr>
                <w:rFonts w:ascii="Times New Roman" w:hAnsi="Times New Roman"/>
                <w:sz w:val="24"/>
                <w:szCs w:val="24"/>
                <w:lang w:val="lt-LT"/>
              </w:rPr>
              <w:t xml:space="preserve"> punktą, naikinat reikalavimą  „&lt;...&gt; būtina naudoti volus turinčius sistemas, skirtas visame plote kontroliuoti dangos sluoksnių tankinimo eigą (GPS pagalba) ir temperatūrą“</w:t>
            </w:r>
          </w:p>
        </w:tc>
      </w:tr>
    </w:tbl>
    <w:p w:rsidR="00C6420A" w:rsidRDefault="00C6420A" w:rsidP="00455BB0">
      <w:pPr>
        <w:jc w:val="center"/>
        <w:rPr>
          <w:rFonts w:ascii="Times New Roman" w:hAnsi="Times New Roman" w:cs="Times New Roman"/>
          <w:b/>
          <w:sz w:val="24"/>
          <w:szCs w:val="24"/>
          <w:lang w:val="lt-LT"/>
        </w:rPr>
      </w:pPr>
    </w:p>
    <w:p w:rsidR="008C62BC" w:rsidRPr="009F22DF" w:rsidRDefault="00ED2E43" w:rsidP="00455BB0">
      <w:pPr>
        <w:jc w:val="center"/>
        <w:rPr>
          <w:rFonts w:ascii="Times New Roman" w:hAnsi="Times New Roman" w:cs="Times New Roman"/>
          <w:b/>
          <w:sz w:val="24"/>
          <w:szCs w:val="24"/>
          <w:lang w:val="lt-LT"/>
        </w:rPr>
      </w:pPr>
      <w:r w:rsidRPr="009F22DF">
        <w:rPr>
          <w:rFonts w:ascii="Times New Roman" w:hAnsi="Times New Roman" w:cs="Times New Roman"/>
          <w:b/>
          <w:sz w:val="24"/>
          <w:szCs w:val="24"/>
          <w:lang w:val="lt-LT"/>
        </w:rPr>
        <w:t>I</w:t>
      </w:r>
      <w:r w:rsidR="00D83099" w:rsidRPr="009F22DF">
        <w:rPr>
          <w:rFonts w:ascii="Times New Roman" w:hAnsi="Times New Roman" w:cs="Times New Roman"/>
          <w:b/>
          <w:sz w:val="24"/>
          <w:szCs w:val="24"/>
          <w:lang w:val="lt-LT"/>
        </w:rPr>
        <w:t>V dalis. SPRENDIMAS</w:t>
      </w:r>
    </w:p>
    <w:p w:rsidR="009F22DF" w:rsidRPr="009F22DF" w:rsidRDefault="009F22DF" w:rsidP="009F22DF">
      <w:pPr>
        <w:tabs>
          <w:tab w:val="left" w:pos="900"/>
        </w:tabs>
        <w:spacing w:after="0"/>
        <w:ind w:firstLine="850"/>
        <w:contextualSpacing/>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 xml:space="preserve">Tarnyba, atsižvelgdama į nustatytus Įstatymo pažeidimus, nurodytus šios vertinimo išvados II dalyje, vadovaudamasi Įstatymo </w:t>
      </w:r>
      <w:r w:rsidRPr="009F22DF">
        <w:rPr>
          <w:rFonts w:ascii="Times New Roman" w:hAnsi="Times New Roman" w:cs="Times New Roman"/>
          <w:color w:val="000000"/>
          <w:sz w:val="24"/>
          <w:szCs w:val="24"/>
          <w:lang w:val="lt-LT"/>
        </w:rPr>
        <w:t>8</w:t>
      </w:r>
      <w:r w:rsidRPr="009F22DF">
        <w:rPr>
          <w:rFonts w:ascii="Times New Roman" w:hAnsi="Times New Roman" w:cs="Times New Roman"/>
          <w:color w:val="000000"/>
          <w:sz w:val="24"/>
          <w:szCs w:val="24"/>
          <w:vertAlign w:val="superscript"/>
          <w:lang w:val="lt-LT"/>
        </w:rPr>
        <w:t>2</w:t>
      </w:r>
      <w:r w:rsidRPr="009F22DF">
        <w:rPr>
          <w:rFonts w:ascii="Times New Roman" w:hAnsi="Times New Roman" w:cs="Times New Roman"/>
          <w:sz w:val="24"/>
          <w:szCs w:val="24"/>
          <w:lang w:val="lt-LT"/>
        </w:rPr>
        <w:t xml:space="preserve"> straipsnio 2 dalies 6 punktu, įpareigoja Perkančiąją organizaciją:</w:t>
      </w:r>
    </w:p>
    <w:p w:rsidR="009F22DF" w:rsidRPr="009F22DF" w:rsidRDefault="009F22DF" w:rsidP="009F22DF">
      <w:pPr>
        <w:tabs>
          <w:tab w:val="left" w:pos="900"/>
        </w:tabs>
        <w:spacing w:after="0"/>
        <w:contextualSpacing/>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ab/>
        <w:t xml:space="preserve">1. </w:t>
      </w:r>
      <w:r w:rsidR="004E4956">
        <w:rPr>
          <w:rFonts w:ascii="Times New Roman" w:hAnsi="Times New Roman" w:cs="Times New Roman"/>
          <w:sz w:val="24"/>
          <w:szCs w:val="24"/>
          <w:lang w:val="lt-LT"/>
        </w:rPr>
        <w:t>nutraukti Pirkimo procedūras</w:t>
      </w:r>
      <w:r w:rsidRPr="009F22DF">
        <w:rPr>
          <w:rFonts w:ascii="Times New Roman" w:hAnsi="Times New Roman" w:cs="Times New Roman"/>
          <w:sz w:val="24"/>
          <w:szCs w:val="24"/>
          <w:lang w:val="lt-LT"/>
        </w:rPr>
        <w:t>;</w:t>
      </w:r>
    </w:p>
    <w:p w:rsidR="009F22DF" w:rsidRPr="009F22DF" w:rsidRDefault="009F22DF" w:rsidP="009F22DF">
      <w:pPr>
        <w:tabs>
          <w:tab w:val="left" w:pos="900"/>
        </w:tabs>
        <w:spacing w:after="0"/>
        <w:contextualSpacing/>
        <w:jc w:val="both"/>
        <w:rPr>
          <w:rFonts w:ascii="Times New Roman" w:hAnsi="Times New Roman" w:cs="Times New Roman"/>
          <w:sz w:val="24"/>
          <w:szCs w:val="24"/>
          <w:lang w:val="lt-LT"/>
        </w:rPr>
      </w:pPr>
      <w:r w:rsidRPr="009F22DF">
        <w:rPr>
          <w:rFonts w:ascii="Times New Roman" w:hAnsi="Times New Roman" w:cs="Times New Roman"/>
          <w:sz w:val="24"/>
          <w:szCs w:val="24"/>
          <w:lang w:val="lt-LT"/>
        </w:rPr>
        <w:tab/>
      </w:r>
      <w:r w:rsidR="004E4956">
        <w:rPr>
          <w:rFonts w:ascii="Times New Roman" w:hAnsi="Times New Roman" w:cs="Times New Roman"/>
          <w:sz w:val="24"/>
          <w:szCs w:val="24"/>
          <w:lang w:val="lt-LT"/>
        </w:rPr>
        <w:t>2</w:t>
      </w:r>
      <w:r w:rsidRPr="009F22DF">
        <w:rPr>
          <w:rFonts w:ascii="Times New Roman" w:hAnsi="Times New Roman" w:cs="Times New Roman"/>
          <w:sz w:val="24"/>
          <w:szCs w:val="24"/>
          <w:lang w:val="lt-LT"/>
        </w:rPr>
        <w:t>. raštu informuoti Tarnybą apie įpareigojimo įvykdymą ir pateikti tai įrodančių dokumentų kopijas, patvirtintas Lietuvos Respublikos teisės aktų nustatyta tvarka.</w:t>
      </w:r>
    </w:p>
    <w:p w:rsidR="009F22DF" w:rsidRDefault="009F22DF" w:rsidP="009F22DF">
      <w:pPr>
        <w:tabs>
          <w:tab w:val="left" w:pos="900"/>
        </w:tabs>
        <w:spacing w:after="0"/>
        <w:ind w:firstLine="850"/>
        <w:contextualSpacing/>
        <w:jc w:val="both"/>
        <w:rPr>
          <w:rFonts w:ascii="Times New Roman" w:hAnsi="Times New Roman" w:cs="Times New Roman"/>
          <w:bCs/>
          <w:sz w:val="24"/>
          <w:szCs w:val="24"/>
          <w:lang w:val="lt-LT" w:eastAsia="lt-LT"/>
        </w:rPr>
      </w:pPr>
      <w:r w:rsidRPr="009F22DF">
        <w:rPr>
          <w:rFonts w:ascii="Times New Roman" w:hAnsi="Times New Roman" w:cs="Times New Roman"/>
          <w:bCs/>
          <w:sz w:val="24"/>
          <w:szCs w:val="24"/>
          <w:lang w:val="lt-LT" w:eastAsia="lt-LT"/>
        </w:rPr>
        <w:t>Vadovaujantis Lietuvos Respublikos administracinių bylų teisenos įstatymo 5 ir 15 straipsniais, nesutikę su Tarnybos sprendimu, Jūs galite jį apskųsti teismui šio įstatymo nustatyta tvarka.</w:t>
      </w:r>
    </w:p>
    <w:p w:rsidR="00EA5638" w:rsidRPr="009F22DF" w:rsidRDefault="00EA5638" w:rsidP="009F22DF">
      <w:pPr>
        <w:tabs>
          <w:tab w:val="left" w:pos="900"/>
        </w:tabs>
        <w:spacing w:after="0"/>
        <w:ind w:firstLine="850"/>
        <w:contextualSpacing/>
        <w:jc w:val="both"/>
        <w:rPr>
          <w:rFonts w:ascii="Times New Roman" w:hAnsi="Times New Roman" w:cs="Times New Roman"/>
          <w:sz w:val="24"/>
          <w:szCs w:val="24"/>
          <w:lang w:val="lt-LT"/>
        </w:rPr>
      </w:pPr>
    </w:p>
    <w:p w:rsidR="00EA5638" w:rsidRDefault="00B85D34" w:rsidP="00EA5638">
      <w:pPr>
        <w:jc w:val="both"/>
        <w:rPr>
          <w:rFonts w:ascii="Times New Roman" w:hAnsi="Times New Roman" w:cs="Times New Roman"/>
          <w:bCs/>
          <w:sz w:val="24"/>
          <w:szCs w:val="24"/>
          <w:lang w:val="lt-LT"/>
        </w:rPr>
      </w:pPr>
      <w:r w:rsidRPr="009F22DF">
        <w:rPr>
          <w:rFonts w:ascii="Times New Roman" w:hAnsi="Times New Roman" w:cs="Times New Roman"/>
          <w:bCs/>
          <w:sz w:val="24"/>
          <w:szCs w:val="24"/>
          <w:lang w:val="lt-LT"/>
        </w:rPr>
        <w:t>Kontrolės skyriaus vyriausiasis specialistas</w:t>
      </w:r>
      <w:r w:rsidRPr="009F22DF">
        <w:rPr>
          <w:rFonts w:ascii="Times New Roman" w:hAnsi="Times New Roman" w:cs="Times New Roman"/>
          <w:bCs/>
          <w:sz w:val="24"/>
          <w:szCs w:val="24"/>
          <w:lang w:val="lt-LT"/>
        </w:rPr>
        <w:tab/>
        <w:t xml:space="preserve">                               </w:t>
      </w:r>
      <w:r w:rsidR="00B62C84" w:rsidRPr="009F22DF">
        <w:rPr>
          <w:rFonts w:ascii="Times New Roman" w:hAnsi="Times New Roman" w:cs="Times New Roman"/>
          <w:bCs/>
          <w:sz w:val="24"/>
          <w:szCs w:val="24"/>
          <w:lang w:val="lt-LT"/>
        </w:rPr>
        <w:t xml:space="preserve">   </w:t>
      </w:r>
      <w:r w:rsidRPr="009F22DF">
        <w:rPr>
          <w:rFonts w:ascii="Times New Roman" w:hAnsi="Times New Roman" w:cs="Times New Roman"/>
          <w:bCs/>
          <w:sz w:val="24"/>
          <w:szCs w:val="24"/>
          <w:lang w:val="lt-LT"/>
        </w:rPr>
        <w:t xml:space="preserve">                  Deividas Vitkauskas</w:t>
      </w:r>
    </w:p>
    <w:p w:rsidR="00CF61ED" w:rsidRDefault="00CF61ED" w:rsidP="00EA5638">
      <w:pPr>
        <w:jc w:val="both"/>
        <w:rPr>
          <w:rFonts w:ascii="Times New Roman" w:hAnsi="Times New Roman" w:cs="Times New Roman"/>
          <w:sz w:val="20"/>
          <w:szCs w:val="20"/>
          <w:lang w:val="lt-LT"/>
        </w:rPr>
      </w:pPr>
    </w:p>
    <w:p w:rsidR="00CF61ED" w:rsidRDefault="00CF61ED" w:rsidP="00EA5638">
      <w:pPr>
        <w:jc w:val="both"/>
        <w:rPr>
          <w:rFonts w:ascii="Times New Roman" w:hAnsi="Times New Roman" w:cs="Times New Roman"/>
          <w:sz w:val="20"/>
          <w:szCs w:val="20"/>
          <w:lang w:val="lt-LT"/>
        </w:rPr>
      </w:pPr>
    </w:p>
    <w:p w:rsidR="00B85D34" w:rsidRPr="00EA5638" w:rsidRDefault="00A56D7F" w:rsidP="00EA5638">
      <w:pPr>
        <w:jc w:val="both"/>
        <w:rPr>
          <w:rFonts w:ascii="Times New Roman" w:hAnsi="Times New Roman" w:cs="Times New Roman"/>
          <w:sz w:val="20"/>
          <w:szCs w:val="20"/>
          <w:lang w:val="lt-LT"/>
        </w:rPr>
      </w:pPr>
      <w:r w:rsidRPr="00EA5638">
        <w:rPr>
          <w:rFonts w:ascii="Times New Roman" w:hAnsi="Times New Roman" w:cs="Times New Roman"/>
          <w:sz w:val="20"/>
          <w:szCs w:val="20"/>
          <w:lang w:val="lt-LT"/>
        </w:rPr>
        <w:t>Dei</w:t>
      </w:r>
      <w:r w:rsidR="00B85D34" w:rsidRPr="00EA5638">
        <w:rPr>
          <w:rFonts w:ascii="Times New Roman" w:hAnsi="Times New Roman" w:cs="Times New Roman"/>
          <w:sz w:val="20"/>
          <w:szCs w:val="20"/>
          <w:lang w:val="lt-LT"/>
        </w:rPr>
        <w:t xml:space="preserve">vidas Vitkauskas, tel. (8 5) 203 4836, el. p. </w:t>
      </w:r>
      <w:hyperlink r:id="rId9" w:history="1">
        <w:r w:rsidR="00B85D34" w:rsidRPr="00EA5638">
          <w:rPr>
            <w:rStyle w:val="Hyperlink"/>
            <w:rFonts w:ascii="Times New Roman" w:hAnsi="Times New Roman" w:cs="Times New Roman"/>
            <w:sz w:val="20"/>
            <w:szCs w:val="20"/>
            <w:lang w:val="lt-LT"/>
          </w:rPr>
          <w:t>deividas.vitkauskas@vpt.lt</w:t>
        </w:r>
      </w:hyperlink>
    </w:p>
    <w:sectPr w:rsidR="00B85D34" w:rsidRPr="00EA5638" w:rsidSect="009B3C41">
      <w:pgSz w:w="11906" w:h="16838"/>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41" w:rsidRDefault="00FF4041" w:rsidP="006741AE">
      <w:pPr>
        <w:spacing w:after="0" w:line="240" w:lineRule="auto"/>
      </w:pPr>
      <w:r>
        <w:separator/>
      </w:r>
    </w:p>
  </w:endnote>
  <w:endnote w:type="continuationSeparator" w:id="0">
    <w:p w:rsidR="00FF4041" w:rsidRDefault="00FF4041"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41" w:rsidRDefault="00FF4041" w:rsidP="006741AE">
      <w:pPr>
        <w:spacing w:after="0" w:line="240" w:lineRule="auto"/>
      </w:pPr>
      <w:r>
        <w:separator/>
      </w:r>
    </w:p>
  </w:footnote>
  <w:footnote w:type="continuationSeparator" w:id="0">
    <w:p w:rsidR="00FF4041" w:rsidRDefault="00FF4041" w:rsidP="006741AE">
      <w:pPr>
        <w:spacing w:after="0" w:line="240" w:lineRule="auto"/>
      </w:pPr>
      <w:r>
        <w:continuationSeparator/>
      </w:r>
    </w:p>
  </w:footnote>
  <w:footnote w:id="1">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„Perkančioji organizacija užtikrina, kad atliekant pirkimo procedūras ir nustatant laimėtoją būtų laikomasi &lt;...&gt; proporcingumo ir skaidrumo principų“</w:t>
      </w:r>
      <w:r w:rsidRPr="00EA5638">
        <w:rPr>
          <w:rFonts w:ascii="Times New Roman" w:hAnsi="Times New Roman" w:cs="Times New Roman"/>
          <w:lang w:val="lt-LT"/>
        </w:rPr>
        <w:t>;</w:t>
      </w:r>
    </w:p>
  </w:footnote>
  <w:footnote w:id="2">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„Pirkimų tikslas – vadovaujantis šio įstatymo reikalavimais sudaryti pirkimo sutartį, leidžiančią įsigyti perkančiajai organizacijai &lt;...&gt; reikalingų prekių, paslaugų ar darbų, racionaliai naudojant tam skirtas lėšas“</w:t>
      </w:r>
      <w:r w:rsidRPr="00EA5638">
        <w:rPr>
          <w:rFonts w:ascii="Times New Roman" w:hAnsi="Times New Roman" w:cs="Times New Roman"/>
          <w:lang w:val="lt-LT"/>
        </w:rPr>
        <w:t>;</w:t>
      </w:r>
    </w:p>
  </w:footnote>
  <w:footnote w:id="3">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„Perkančioji</w:t>
      </w:r>
      <w:r w:rsidRPr="00EA5638">
        <w:rPr>
          <w:rFonts w:ascii="Times New Roman" w:hAnsi="Times New Roman" w:cs="Times New Roman"/>
          <w:b/>
          <w:bCs/>
          <w:i/>
          <w:lang w:val="lt-LT"/>
        </w:rPr>
        <w:t xml:space="preserve"> </w:t>
      </w:r>
      <w:r w:rsidRPr="00EA5638">
        <w:rPr>
          <w:rFonts w:ascii="Times New Roman" w:hAnsi="Times New Roman" w:cs="Times New Roman"/>
          <w:i/>
          <w:lang w:val="lt-LT"/>
        </w:rPr>
        <w:t>organizacija, parinkdama tiekėją ir siekdama įsitikinti, ar tiekėjas bus pajėgus įvykdyti pirkimo sutartį,</w:t>
      </w:r>
      <w:r w:rsidRPr="00EA5638">
        <w:rPr>
          <w:rFonts w:ascii="Times New Roman" w:hAnsi="Times New Roman" w:cs="Times New Roman"/>
          <w:b/>
          <w:bCs/>
          <w:i/>
          <w:lang w:val="lt-LT"/>
        </w:rPr>
        <w:t xml:space="preserve"> </w:t>
      </w:r>
      <w:r w:rsidRPr="00EA5638">
        <w:rPr>
          <w:rFonts w:ascii="Times New Roman" w:hAnsi="Times New Roman" w:cs="Times New Roman"/>
          <w:i/>
          <w:lang w:val="lt-LT"/>
        </w:rPr>
        <w:t>vadovaujasi šio įstatymo 32–38 straipsniuose nustatytais reikalavimais &lt;...&gt;“</w:t>
      </w:r>
      <w:r w:rsidRPr="00EA5638">
        <w:rPr>
          <w:rFonts w:ascii="Times New Roman" w:hAnsi="Times New Roman" w:cs="Times New Roman"/>
          <w:lang w:val="lt-LT"/>
        </w:rPr>
        <w:t>;</w:t>
      </w:r>
    </w:p>
  </w:footnote>
  <w:footnote w:id="4">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„Perkančiosios organizacijos nustatyti minimalūs kandidatų ar dalyvių kvalifikacijos reikalavimai negali dirbtinai riboti konkurencijos. Jie turi būti pagrįsti ir proporcingi pirkimo objektui &lt;...&gt;“</w:t>
      </w:r>
      <w:r w:rsidRPr="00EA5638">
        <w:rPr>
          <w:rFonts w:ascii="Times New Roman" w:hAnsi="Times New Roman" w:cs="Times New Roman"/>
          <w:lang w:val="lt-LT"/>
        </w:rPr>
        <w:t>;</w:t>
      </w:r>
    </w:p>
  </w:footnote>
  <w:footnote w:id="5">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„Perkančioji organizacija &lt;...&gt; supaprastintus pirkimus atlieka pagal pasitvirtintas taisykles &lt;...&gt;“</w:t>
      </w:r>
      <w:r w:rsidRPr="00EA5638">
        <w:rPr>
          <w:rFonts w:ascii="Times New Roman" w:hAnsi="Times New Roman" w:cs="Times New Roman"/>
          <w:lang w:val="lt-LT"/>
        </w:rPr>
        <w:t>;</w:t>
      </w:r>
    </w:p>
  </w:footnote>
  <w:footnote w:id="6">
    <w:p w:rsidR="00EA5638" w:rsidRPr="00EA5638" w:rsidRDefault="00EA5638">
      <w:pPr>
        <w:pStyle w:val="FootnoteText"/>
        <w:rPr>
          <w:rFonts w:ascii="Times New Roman" w:hAnsi="Times New Roman" w:cs="Times New Roman"/>
          <w:lang w:val="lt-LT"/>
        </w:rPr>
      </w:pPr>
      <w:r w:rsidRPr="00EA5638">
        <w:rPr>
          <w:rStyle w:val="FootnoteReference"/>
          <w:rFonts w:ascii="Times New Roman" w:hAnsi="Times New Roman" w:cs="Times New Roman"/>
          <w:lang w:val="lt-LT"/>
        </w:rPr>
        <w:footnoteRef/>
      </w:r>
      <w:r w:rsidRPr="00EA5638">
        <w:rPr>
          <w:rFonts w:ascii="Times New Roman" w:hAnsi="Times New Roman" w:cs="Times New Roman"/>
          <w:lang w:val="lt-LT"/>
        </w:rPr>
        <w:t xml:space="preserve"> </w:t>
      </w:r>
      <w:r w:rsidRPr="00EA5638">
        <w:rPr>
          <w:rFonts w:ascii="Times New Roman" w:hAnsi="Times New Roman" w:cs="Times New Roman"/>
          <w:i/>
          <w:lang w:val="lt-LT"/>
        </w:rPr>
        <w:t>„Parinkdama tiekėją, Kelių direkcija, vadovaudamasi Viešųjų pirkimų įstatymo 32–38 straipsniuose nustatytais reikalavimais &lt;...&gt;“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14242"/>
    <w:rsid w:val="000329AE"/>
    <w:rsid w:val="00060BBB"/>
    <w:rsid w:val="00075B0D"/>
    <w:rsid w:val="0008132B"/>
    <w:rsid w:val="00081379"/>
    <w:rsid w:val="000A2523"/>
    <w:rsid w:val="000A336E"/>
    <w:rsid w:val="000A5F14"/>
    <w:rsid w:val="000B3732"/>
    <w:rsid w:val="000C19E9"/>
    <w:rsid w:val="000E7B16"/>
    <w:rsid w:val="000F1C2C"/>
    <w:rsid w:val="001057DE"/>
    <w:rsid w:val="00107D4C"/>
    <w:rsid w:val="00122454"/>
    <w:rsid w:val="001328AC"/>
    <w:rsid w:val="00136583"/>
    <w:rsid w:val="001404F3"/>
    <w:rsid w:val="00151943"/>
    <w:rsid w:val="00164C8E"/>
    <w:rsid w:val="00186786"/>
    <w:rsid w:val="001A1AA5"/>
    <w:rsid w:val="001B75E3"/>
    <w:rsid w:val="001C035B"/>
    <w:rsid w:val="001D13EE"/>
    <w:rsid w:val="001E60DD"/>
    <w:rsid w:val="001E62B2"/>
    <w:rsid w:val="001E72AF"/>
    <w:rsid w:val="001F48D7"/>
    <w:rsid w:val="00211FCF"/>
    <w:rsid w:val="0021419D"/>
    <w:rsid w:val="00217FFC"/>
    <w:rsid w:val="00220083"/>
    <w:rsid w:val="00223ECA"/>
    <w:rsid w:val="00225D9A"/>
    <w:rsid w:val="002271FE"/>
    <w:rsid w:val="00231341"/>
    <w:rsid w:val="00233FA2"/>
    <w:rsid w:val="002441C4"/>
    <w:rsid w:val="00251612"/>
    <w:rsid w:val="00253A92"/>
    <w:rsid w:val="00260261"/>
    <w:rsid w:val="002636F6"/>
    <w:rsid w:val="00263E4B"/>
    <w:rsid w:val="0026481C"/>
    <w:rsid w:val="002968F9"/>
    <w:rsid w:val="002A15CD"/>
    <w:rsid w:val="002A2D0F"/>
    <w:rsid w:val="002B0659"/>
    <w:rsid w:val="002B1AC4"/>
    <w:rsid w:val="002B1E9D"/>
    <w:rsid w:val="002B39C1"/>
    <w:rsid w:val="002C1D77"/>
    <w:rsid w:val="002D3EDA"/>
    <w:rsid w:val="002E145F"/>
    <w:rsid w:val="002F7C5D"/>
    <w:rsid w:val="003114CE"/>
    <w:rsid w:val="0031766E"/>
    <w:rsid w:val="00317DC1"/>
    <w:rsid w:val="00322671"/>
    <w:rsid w:val="00330013"/>
    <w:rsid w:val="003469F2"/>
    <w:rsid w:val="00350C8E"/>
    <w:rsid w:val="003614B5"/>
    <w:rsid w:val="0037586E"/>
    <w:rsid w:val="00377C32"/>
    <w:rsid w:val="0038145D"/>
    <w:rsid w:val="00393380"/>
    <w:rsid w:val="003974B1"/>
    <w:rsid w:val="003C0DD8"/>
    <w:rsid w:val="003C1ABE"/>
    <w:rsid w:val="003C3D7B"/>
    <w:rsid w:val="003D3541"/>
    <w:rsid w:val="003D601A"/>
    <w:rsid w:val="003E24C8"/>
    <w:rsid w:val="003F15C7"/>
    <w:rsid w:val="003F2332"/>
    <w:rsid w:val="003F717E"/>
    <w:rsid w:val="00404A1F"/>
    <w:rsid w:val="00415399"/>
    <w:rsid w:val="0042280A"/>
    <w:rsid w:val="00423CE3"/>
    <w:rsid w:val="00426034"/>
    <w:rsid w:val="00430E27"/>
    <w:rsid w:val="00440769"/>
    <w:rsid w:val="00440936"/>
    <w:rsid w:val="004446FC"/>
    <w:rsid w:val="00447878"/>
    <w:rsid w:val="00455BB0"/>
    <w:rsid w:val="004562AA"/>
    <w:rsid w:val="004571DA"/>
    <w:rsid w:val="004733DF"/>
    <w:rsid w:val="004756E6"/>
    <w:rsid w:val="00477891"/>
    <w:rsid w:val="004849E7"/>
    <w:rsid w:val="00491554"/>
    <w:rsid w:val="00494855"/>
    <w:rsid w:val="004B4420"/>
    <w:rsid w:val="004B46E2"/>
    <w:rsid w:val="004B62B6"/>
    <w:rsid w:val="004D3A17"/>
    <w:rsid w:val="004E2641"/>
    <w:rsid w:val="004E3B0D"/>
    <w:rsid w:val="004E41CF"/>
    <w:rsid w:val="004E4956"/>
    <w:rsid w:val="004F35FA"/>
    <w:rsid w:val="005021D3"/>
    <w:rsid w:val="00506301"/>
    <w:rsid w:val="00525A89"/>
    <w:rsid w:val="00527578"/>
    <w:rsid w:val="005338E3"/>
    <w:rsid w:val="00540E8A"/>
    <w:rsid w:val="00551606"/>
    <w:rsid w:val="005528CF"/>
    <w:rsid w:val="00561C2C"/>
    <w:rsid w:val="005704C2"/>
    <w:rsid w:val="005904D3"/>
    <w:rsid w:val="00590648"/>
    <w:rsid w:val="0059578C"/>
    <w:rsid w:val="0059657F"/>
    <w:rsid w:val="005A09EF"/>
    <w:rsid w:val="005A1CAD"/>
    <w:rsid w:val="005B4891"/>
    <w:rsid w:val="005B56E7"/>
    <w:rsid w:val="005D40EC"/>
    <w:rsid w:val="005F3DC0"/>
    <w:rsid w:val="00603C4E"/>
    <w:rsid w:val="0060794B"/>
    <w:rsid w:val="00614DC0"/>
    <w:rsid w:val="00635055"/>
    <w:rsid w:val="006372FB"/>
    <w:rsid w:val="0064090D"/>
    <w:rsid w:val="006654ED"/>
    <w:rsid w:val="00667A00"/>
    <w:rsid w:val="006741AE"/>
    <w:rsid w:val="006760D4"/>
    <w:rsid w:val="00677808"/>
    <w:rsid w:val="00690339"/>
    <w:rsid w:val="00691E27"/>
    <w:rsid w:val="006A22AE"/>
    <w:rsid w:val="006A7EFC"/>
    <w:rsid w:val="006B002B"/>
    <w:rsid w:val="006D1A7C"/>
    <w:rsid w:val="007032C0"/>
    <w:rsid w:val="00704798"/>
    <w:rsid w:val="00704A24"/>
    <w:rsid w:val="00711D28"/>
    <w:rsid w:val="0071396E"/>
    <w:rsid w:val="007269F7"/>
    <w:rsid w:val="007362D5"/>
    <w:rsid w:val="00782A07"/>
    <w:rsid w:val="00783047"/>
    <w:rsid w:val="007A1C3E"/>
    <w:rsid w:val="007D6712"/>
    <w:rsid w:val="007E4301"/>
    <w:rsid w:val="007E45B5"/>
    <w:rsid w:val="007F0785"/>
    <w:rsid w:val="007F09E8"/>
    <w:rsid w:val="007F4371"/>
    <w:rsid w:val="007F5D85"/>
    <w:rsid w:val="0080153D"/>
    <w:rsid w:val="00804B76"/>
    <w:rsid w:val="0081274A"/>
    <w:rsid w:val="00814533"/>
    <w:rsid w:val="0082697A"/>
    <w:rsid w:val="00847A13"/>
    <w:rsid w:val="0085037E"/>
    <w:rsid w:val="00850388"/>
    <w:rsid w:val="008515D8"/>
    <w:rsid w:val="008635E6"/>
    <w:rsid w:val="00872D06"/>
    <w:rsid w:val="00885BC5"/>
    <w:rsid w:val="008A7785"/>
    <w:rsid w:val="008B18E7"/>
    <w:rsid w:val="008B5D52"/>
    <w:rsid w:val="008C62BC"/>
    <w:rsid w:val="008D6CAD"/>
    <w:rsid w:val="008F4663"/>
    <w:rsid w:val="008F46F0"/>
    <w:rsid w:val="008F4A7F"/>
    <w:rsid w:val="0091128C"/>
    <w:rsid w:val="00916413"/>
    <w:rsid w:val="00920221"/>
    <w:rsid w:val="009219D1"/>
    <w:rsid w:val="0092706B"/>
    <w:rsid w:val="009310B9"/>
    <w:rsid w:val="00936C1D"/>
    <w:rsid w:val="0094589A"/>
    <w:rsid w:val="00950187"/>
    <w:rsid w:val="00952093"/>
    <w:rsid w:val="00954587"/>
    <w:rsid w:val="0096393A"/>
    <w:rsid w:val="00972EE1"/>
    <w:rsid w:val="009A5B56"/>
    <w:rsid w:val="009B11E4"/>
    <w:rsid w:val="009B3C41"/>
    <w:rsid w:val="009C3E93"/>
    <w:rsid w:val="009D1808"/>
    <w:rsid w:val="009D47A7"/>
    <w:rsid w:val="009D57DE"/>
    <w:rsid w:val="009D5ABB"/>
    <w:rsid w:val="009E55F8"/>
    <w:rsid w:val="009F22DF"/>
    <w:rsid w:val="00A0233C"/>
    <w:rsid w:val="00A03381"/>
    <w:rsid w:val="00A13C0B"/>
    <w:rsid w:val="00A220B9"/>
    <w:rsid w:val="00A243C2"/>
    <w:rsid w:val="00A34A6E"/>
    <w:rsid w:val="00A417BB"/>
    <w:rsid w:val="00A500B8"/>
    <w:rsid w:val="00A56D7F"/>
    <w:rsid w:val="00A56E73"/>
    <w:rsid w:val="00A65FCA"/>
    <w:rsid w:val="00A74C13"/>
    <w:rsid w:val="00A75F98"/>
    <w:rsid w:val="00A82827"/>
    <w:rsid w:val="00AA5A01"/>
    <w:rsid w:val="00AB1809"/>
    <w:rsid w:val="00AB1C8E"/>
    <w:rsid w:val="00AB4E93"/>
    <w:rsid w:val="00AD41D5"/>
    <w:rsid w:val="00AD45A4"/>
    <w:rsid w:val="00AE428E"/>
    <w:rsid w:val="00AF0602"/>
    <w:rsid w:val="00AF2232"/>
    <w:rsid w:val="00AF484F"/>
    <w:rsid w:val="00B0256E"/>
    <w:rsid w:val="00B1416B"/>
    <w:rsid w:val="00B14E0B"/>
    <w:rsid w:val="00B32174"/>
    <w:rsid w:val="00B41E1F"/>
    <w:rsid w:val="00B53A2F"/>
    <w:rsid w:val="00B62C84"/>
    <w:rsid w:val="00B64236"/>
    <w:rsid w:val="00B822E0"/>
    <w:rsid w:val="00B85D34"/>
    <w:rsid w:val="00B91312"/>
    <w:rsid w:val="00B94791"/>
    <w:rsid w:val="00B95B7F"/>
    <w:rsid w:val="00BA0285"/>
    <w:rsid w:val="00BA12F3"/>
    <w:rsid w:val="00BA3D29"/>
    <w:rsid w:val="00BB1AE7"/>
    <w:rsid w:val="00BB55FA"/>
    <w:rsid w:val="00BB662C"/>
    <w:rsid w:val="00BC0CAF"/>
    <w:rsid w:val="00BC2257"/>
    <w:rsid w:val="00BC7E36"/>
    <w:rsid w:val="00BD1049"/>
    <w:rsid w:val="00BD1554"/>
    <w:rsid w:val="00BF4CDA"/>
    <w:rsid w:val="00C02FA6"/>
    <w:rsid w:val="00C20D24"/>
    <w:rsid w:val="00C27541"/>
    <w:rsid w:val="00C378A0"/>
    <w:rsid w:val="00C40B12"/>
    <w:rsid w:val="00C451E3"/>
    <w:rsid w:val="00C47A33"/>
    <w:rsid w:val="00C510AC"/>
    <w:rsid w:val="00C51EC0"/>
    <w:rsid w:val="00C5562E"/>
    <w:rsid w:val="00C634AA"/>
    <w:rsid w:val="00C6420A"/>
    <w:rsid w:val="00C711C7"/>
    <w:rsid w:val="00C83E80"/>
    <w:rsid w:val="00CB1DD3"/>
    <w:rsid w:val="00CC10E0"/>
    <w:rsid w:val="00CC15F1"/>
    <w:rsid w:val="00CC226F"/>
    <w:rsid w:val="00CD0C19"/>
    <w:rsid w:val="00CD23B3"/>
    <w:rsid w:val="00CD5FFF"/>
    <w:rsid w:val="00CF61ED"/>
    <w:rsid w:val="00CF697F"/>
    <w:rsid w:val="00CF7139"/>
    <w:rsid w:val="00D0594E"/>
    <w:rsid w:val="00D07990"/>
    <w:rsid w:val="00D11A42"/>
    <w:rsid w:val="00D23D14"/>
    <w:rsid w:val="00D32EBC"/>
    <w:rsid w:val="00D361EE"/>
    <w:rsid w:val="00D37A87"/>
    <w:rsid w:val="00D57624"/>
    <w:rsid w:val="00D666AA"/>
    <w:rsid w:val="00D73C09"/>
    <w:rsid w:val="00D7534B"/>
    <w:rsid w:val="00D83099"/>
    <w:rsid w:val="00D87080"/>
    <w:rsid w:val="00D9113D"/>
    <w:rsid w:val="00DA2A95"/>
    <w:rsid w:val="00DA3252"/>
    <w:rsid w:val="00DA6B7B"/>
    <w:rsid w:val="00DC3E31"/>
    <w:rsid w:val="00DD71C7"/>
    <w:rsid w:val="00DF5759"/>
    <w:rsid w:val="00DF7A2F"/>
    <w:rsid w:val="00E05E31"/>
    <w:rsid w:val="00E06320"/>
    <w:rsid w:val="00E16433"/>
    <w:rsid w:val="00E25238"/>
    <w:rsid w:val="00E25A9D"/>
    <w:rsid w:val="00E326D1"/>
    <w:rsid w:val="00E3540A"/>
    <w:rsid w:val="00E45C79"/>
    <w:rsid w:val="00E47623"/>
    <w:rsid w:val="00E5127A"/>
    <w:rsid w:val="00E66E07"/>
    <w:rsid w:val="00E70E72"/>
    <w:rsid w:val="00E733F0"/>
    <w:rsid w:val="00E8786E"/>
    <w:rsid w:val="00E918D8"/>
    <w:rsid w:val="00E930CB"/>
    <w:rsid w:val="00E933B8"/>
    <w:rsid w:val="00E93D32"/>
    <w:rsid w:val="00E94F3F"/>
    <w:rsid w:val="00E97DD4"/>
    <w:rsid w:val="00EA056A"/>
    <w:rsid w:val="00EA4BA4"/>
    <w:rsid w:val="00EA5638"/>
    <w:rsid w:val="00EA5F68"/>
    <w:rsid w:val="00EA7A48"/>
    <w:rsid w:val="00EB01C3"/>
    <w:rsid w:val="00EB21AA"/>
    <w:rsid w:val="00ED2E43"/>
    <w:rsid w:val="00EE762A"/>
    <w:rsid w:val="00EE7DF2"/>
    <w:rsid w:val="00EF122E"/>
    <w:rsid w:val="00EF3BAF"/>
    <w:rsid w:val="00EF7CE4"/>
    <w:rsid w:val="00F04F5F"/>
    <w:rsid w:val="00F16B28"/>
    <w:rsid w:val="00F23CF4"/>
    <w:rsid w:val="00F3527F"/>
    <w:rsid w:val="00F35901"/>
    <w:rsid w:val="00F43787"/>
    <w:rsid w:val="00F46577"/>
    <w:rsid w:val="00F50AF5"/>
    <w:rsid w:val="00F524AE"/>
    <w:rsid w:val="00F607C9"/>
    <w:rsid w:val="00F67CB7"/>
    <w:rsid w:val="00F82294"/>
    <w:rsid w:val="00F8734F"/>
    <w:rsid w:val="00FC1758"/>
    <w:rsid w:val="00FC67BB"/>
    <w:rsid w:val="00FD4EA1"/>
    <w:rsid w:val="00FE3BCA"/>
    <w:rsid w:val="00FE4929"/>
    <w:rsid w:val="00FE5F61"/>
    <w:rsid w:val="00FF4041"/>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ABA03-C35A-4FE8-9199-14AE385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character" w:styleId="Strong">
    <w:name w:val="Strong"/>
    <w:qFormat/>
    <w:rsid w:val="009F2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8341">
      <w:bodyDiv w:val="1"/>
      <w:marLeft w:val="0"/>
      <w:marRight w:val="0"/>
      <w:marTop w:val="0"/>
      <w:marBottom w:val="0"/>
      <w:divBdr>
        <w:top w:val="none" w:sz="0" w:space="0" w:color="auto"/>
        <w:left w:val="none" w:sz="0" w:space="0" w:color="auto"/>
        <w:bottom w:val="none" w:sz="0" w:space="0" w:color="auto"/>
        <w:right w:val="none" w:sz="0" w:space="0" w:color="auto"/>
      </w:divBdr>
    </w:div>
    <w:div w:id="10103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0E9FD-2C2A-4056-A4E4-FD11665F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Deividas Vitkauskas</cp:lastModifiedBy>
  <cp:revision>2</cp:revision>
  <cp:lastPrinted>2016-08-26T10:50:00Z</cp:lastPrinted>
  <dcterms:created xsi:type="dcterms:W3CDTF">2016-09-15T06:38:00Z</dcterms:created>
  <dcterms:modified xsi:type="dcterms:W3CDTF">2016-09-15T06:38:00Z</dcterms:modified>
</cp:coreProperties>
</file>