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BC7E36" w:rsidRDefault="00667A00" w:rsidP="00AF484F">
      <w:pPr>
        <w:jc w:val="center"/>
        <w:rPr>
          <w:rFonts w:ascii="Times New Roman" w:hAnsi="Times New Roman" w:cs="Times New Roman"/>
          <w:b/>
          <w:sz w:val="24"/>
          <w:szCs w:val="24"/>
          <w:lang w:val="lt-LT"/>
        </w:rPr>
      </w:pPr>
      <w:r w:rsidRPr="00BC7E36">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BC7E36" w:rsidRDefault="00667A00" w:rsidP="00667A00">
      <w:pPr>
        <w:jc w:val="center"/>
        <w:rPr>
          <w:rFonts w:ascii="Times New Roman" w:hAnsi="Times New Roman" w:cs="Times New Roman"/>
          <w:b/>
          <w:bCs/>
          <w:sz w:val="24"/>
          <w:szCs w:val="24"/>
          <w:lang w:val="lt-LT"/>
        </w:rPr>
      </w:pPr>
      <w:r w:rsidRPr="00BC7E36">
        <w:rPr>
          <w:rFonts w:ascii="Times New Roman" w:hAnsi="Times New Roman" w:cs="Times New Roman"/>
          <w:b/>
          <w:bCs/>
          <w:sz w:val="24"/>
          <w:szCs w:val="24"/>
          <w:lang w:val="lt-LT"/>
        </w:rPr>
        <w:t>VIEŠŲJŲ PIRKIMŲ TARNYBA</w:t>
      </w:r>
    </w:p>
    <w:p w:rsidR="00667A00" w:rsidRPr="00BC7E36" w:rsidRDefault="00667A00" w:rsidP="00667A00">
      <w:pPr>
        <w:jc w:val="center"/>
        <w:rPr>
          <w:rFonts w:ascii="Times New Roman" w:hAnsi="Times New Roman" w:cs="Times New Roman"/>
          <w:b/>
          <w:bCs/>
          <w:sz w:val="24"/>
          <w:szCs w:val="24"/>
          <w:lang w:val="lt-LT"/>
        </w:rPr>
      </w:pPr>
      <w:r w:rsidRPr="00BC7E36">
        <w:rPr>
          <w:rFonts w:ascii="Times New Roman" w:hAnsi="Times New Roman" w:cs="Times New Roman"/>
          <w:b/>
          <w:bCs/>
          <w:sz w:val="24"/>
          <w:szCs w:val="24"/>
          <w:lang w:val="lt-LT"/>
        </w:rPr>
        <w:t>KONTROLĖS SKYRIUS</w:t>
      </w:r>
    </w:p>
    <w:p w:rsidR="006760D4" w:rsidRPr="00BC7E36" w:rsidRDefault="006760D4" w:rsidP="00667A00">
      <w:pPr>
        <w:jc w:val="center"/>
        <w:rPr>
          <w:rFonts w:ascii="Times New Roman" w:hAnsi="Times New Roman" w:cs="Times New Roman"/>
          <w:b/>
          <w:bCs/>
          <w:sz w:val="24"/>
          <w:szCs w:val="24"/>
          <w:lang w:val="lt-LT"/>
        </w:rPr>
      </w:pPr>
      <w:r w:rsidRPr="00BC7E36">
        <w:rPr>
          <w:rFonts w:ascii="Times New Roman" w:hAnsi="Times New Roman" w:cs="Times New Roman"/>
          <w:b/>
          <w:bCs/>
          <w:sz w:val="24"/>
          <w:szCs w:val="24"/>
          <w:lang w:val="lt-LT"/>
        </w:rPr>
        <w:t>PI</w:t>
      </w:r>
      <w:r w:rsidR="00CD5FFF" w:rsidRPr="00BC7E36">
        <w:rPr>
          <w:rFonts w:ascii="Times New Roman" w:hAnsi="Times New Roman" w:cs="Times New Roman"/>
          <w:b/>
          <w:bCs/>
          <w:sz w:val="24"/>
          <w:szCs w:val="24"/>
          <w:lang w:val="lt-LT"/>
        </w:rPr>
        <w:t>R</w:t>
      </w:r>
      <w:r w:rsidRPr="00BC7E36">
        <w:rPr>
          <w:rFonts w:ascii="Times New Roman" w:hAnsi="Times New Roman" w:cs="Times New Roman"/>
          <w:b/>
          <w:bCs/>
          <w:sz w:val="24"/>
          <w:szCs w:val="24"/>
          <w:lang w:val="lt-LT"/>
        </w:rPr>
        <w:t>KIMŲ VERTINIMO IŠVADA</w:t>
      </w:r>
    </w:p>
    <w:p w:rsidR="006760D4" w:rsidRPr="00BC7E36" w:rsidRDefault="005338E3" w:rsidP="003114CE">
      <w:pPr>
        <w:jc w:val="center"/>
        <w:rPr>
          <w:rFonts w:ascii="Times New Roman" w:hAnsi="Times New Roman" w:cs="Times New Roman"/>
          <w:sz w:val="24"/>
          <w:szCs w:val="24"/>
          <w:lang w:val="lt-LT"/>
        </w:rPr>
      </w:pPr>
      <w:r>
        <w:rPr>
          <w:rFonts w:ascii="Times New Roman" w:hAnsi="Times New Roman" w:cs="Times New Roman"/>
          <w:sz w:val="24"/>
          <w:szCs w:val="24"/>
          <w:u w:val="single"/>
          <w:lang w:val="lt-LT"/>
        </w:rPr>
        <w:t>2016-06</w:t>
      </w:r>
      <w:r w:rsidR="003114CE" w:rsidRPr="00BC7E36">
        <w:rPr>
          <w:rFonts w:ascii="Times New Roman" w:hAnsi="Times New Roman" w:cs="Times New Roman"/>
          <w:sz w:val="24"/>
          <w:szCs w:val="24"/>
          <w:u w:val="single"/>
          <w:lang w:val="lt-LT"/>
        </w:rPr>
        <w:t xml:space="preserve">- </w:t>
      </w:r>
      <w:r w:rsidR="006760D4" w:rsidRPr="00BC7E36">
        <w:rPr>
          <w:rFonts w:ascii="Times New Roman" w:hAnsi="Times New Roman" w:cs="Times New Roman"/>
          <w:sz w:val="24"/>
          <w:szCs w:val="24"/>
          <w:u w:val="single"/>
          <w:lang w:val="lt-LT"/>
        </w:rPr>
        <w:t>_</w:t>
      </w:r>
      <w:proofErr w:type="gramStart"/>
      <w:r w:rsidR="003114CE" w:rsidRPr="00BC7E36">
        <w:rPr>
          <w:rFonts w:ascii="Times New Roman" w:hAnsi="Times New Roman" w:cs="Times New Roman"/>
          <w:sz w:val="24"/>
          <w:szCs w:val="24"/>
          <w:lang w:val="lt-LT"/>
        </w:rPr>
        <w:t xml:space="preserve">  </w:t>
      </w:r>
      <w:proofErr w:type="gramEnd"/>
      <w:r w:rsidR="006760D4" w:rsidRPr="00BC7E36">
        <w:rPr>
          <w:rFonts w:ascii="Times New Roman" w:hAnsi="Times New Roman" w:cs="Times New Roman"/>
          <w:sz w:val="24"/>
          <w:szCs w:val="24"/>
          <w:lang w:val="lt-LT"/>
        </w:rPr>
        <w:t>Nr. 4S-_________</w:t>
      </w:r>
    </w:p>
    <w:p w:rsidR="00667A00" w:rsidRPr="00BC7E36" w:rsidRDefault="00667A00" w:rsidP="003114CE">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Vilnius</w:t>
      </w:r>
    </w:p>
    <w:p w:rsidR="004562AA" w:rsidRPr="00BC7E36" w:rsidRDefault="005021D3" w:rsidP="004562AA">
      <w:pPr>
        <w:spacing w:after="0" w:line="240" w:lineRule="auto"/>
        <w:ind w:firstLine="709"/>
        <w:jc w:val="both"/>
        <w:rPr>
          <w:rFonts w:ascii="Times New Roman" w:hAnsi="Times New Roman" w:cs="Times New Roman"/>
          <w:bCs/>
          <w:sz w:val="24"/>
          <w:szCs w:val="24"/>
          <w:lang w:val="lt-LT"/>
        </w:rPr>
      </w:pPr>
      <w:r w:rsidRPr="00BC7E36">
        <w:rPr>
          <w:rFonts w:ascii="Times New Roman" w:hAnsi="Times New Roman" w:cs="Times New Roman"/>
          <w:sz w:val="24"/>
          <w:szCs w:val="24"/>
          <w:lang w:val="lt-LT"/>
        </w:rPr>
        <w:t>Viešųjų pirkimų tarnyba (toliau – Tarnyba), vadovaudamasi Lietuvos Respublikos viešųjų pirkimų įstatymo 8</w:t>
      </w:r>
      <w:r w:rsidRPr="00BC7E36">
        <w:rPr>
          <w:rFonts w:ascii="Times New Roman" w:hAnsi="Times New Roman" w:cs="Times New Roman"/>
          <w:sz w:val="24"/>
          <w:szCs w:val="24"/>
          <w:vertAlign w:val="superscript"/>
          <w:lang w:val="lt-LT"/>
        </w:rPr>
        <w:t>2</w:t>
      </w:r>
      <w:r w:rsidRPr="00BC7E36">
        <w:rPr>
          <w:rFonts w:ascii="Times New Roman" w:hAnsi="Times New Roman" w:cs="Times New Roman"/>
          <w:sz w:val="24"/>
          <w:szCs w:val="24"/>
          <w:lang w:val="lt-LT"/>
        </w:rPr>
        <w:t xml:space="preserve"> straipsnio 1 dalies 2 punktu, </w:t>
      </w:r>
      <w:r w:rsidR="004562AA" w:rsidRPr="00BC7E36">
        <w:rPr>
          <w:rFonts w:ascii="Times New Roman" w:hAnsi="Times New Roman" w:cs="Times New Roman"/>
          <w:sz w:val="24"/>
          <w:szCs w:val="24"/>
          <w:lang w:val="lt-LT"/>
        </w:rPr>
        <w:t>įvertino</w:t>
      </w:r>
      <w:r w:rsidRPr="00BC7E36">
        <w:rPr>
          <w:rFonts w:ascii="Times New Roman" w:hAnsi="Times New Roman" w:cs="Times New Roman"/>
          <w:sz w:val="24"/>
          <w:szCs w:val="24"/>
          <w:lang w:val="lt-LT"/>
        </w:rPr>
        <w:t xml:space="preserve"> </w:t>
      </w:r>
      <w:r w:rsidR="00D361EE" w:rsidRPr="00BC7E36">
        <w:rPr>
          <w:rFonts w:ascii="Times New Roman" w:hAnsi="Times New Roman" w:cs="Times New Roman"/>
          <w:sz w:val="24"/>
          <w:szCs w:val="24"/>
          <w:lang w:val="lt-LT"/>
        </w:rPr>
        <w:t>AB „Kauno energija“</w:t>
      </w:r>
      <w:r w:rsidRPr="00BC7E36">
        <w:rPr>
          <w:rFonts w:ascii="Times New Roman" w:hAnsi="Times New Roman" w:cs="Times New Roman"/>
          <w:sz w:val="24"/>
          <w:szCs w:val="24"/>
          <w:lang w:val="lt-LT"/>
        </w:rPr>
        <w:t xml:space="preserve"> (toliau – Perkančioji organizacija) </w:t>
      </w:r>
      <w:r w:rsidR="004562AA" w:rsidRPr="00BC7E36">
        <w:rPr>
          <w:rFonts w:ascii="Times New Roman" w:hAnsi="Times New Roman" w:cs="Times New Roman"/>
          <w:bCs/>
          <w:sz w:val="24"/>
          <w:szCs w:val="24"/>
          <w:lang w:val="lt-LT"/>
        </w:rPr>
        <w:t>pateiktus d</w:t>
      </w:r>
      <w:r w:rsidR="00D361EE" w:rsidRPr="00BC7E36">
        <w:rPr>
          <w:rFonts w:ascii="Times New Roman" w:hAnsi="Times New Roman" w:cs="Times New Roman"/>
          <w:bCs/>
          <w:sz w:val="24"/>
          <w:szCs w:val="24"/>
          <w:lang w:val="lt-LT"/>
        </w:rPr>
        <w:t>okumentus, susijusius su vykdomu</w:t>
      </w:r>
      <w:r w:rsidR="004562AA" w:rsidRPr="00BC7E36">
        <w:rPr>
          <w:rFonts w:ascii="Times New Roman" w:hAnsi="Times New Roman" w:cs="Times New Roman"/>
          <w:bCs/>
          <w:sz w:val="24"/>
          <w:szCs w:val="24"/>
          <w:lang w:val="lt-LT"/>
        </w:rPr>
        <w:t xml:space="preserve"> viešuoju pirkimu.</w:t>
      </w:r>
    </w:p>
    <w:p w:rsidR="00A03381" w:rsidRPr="00BC7E36" w:rsidRDefault="00A03381" w:rsidP="004562AA">
      <w:pPr>
        <w:spacing w:after="0" w:line="240" w:lineRule="auto"/>
        <w:ind w:firstLine="709"/>
        <w:jc w:val="both"/>
        <w:rPr>
          <w:rFonts w:ascii="Times New Roman" w:hAnsi="Times New Roman" w:cs="Times New Roman"/>
          <w:sz w:val="24"/>
          <w:szCs w:val="24"/>
          <w:lang w:val="lt-LT"/>
        </w:rPr>
      </w:pPr>
    </w:p>
    <w:p w:rsidR="00AB1809" w:rsidRPr="00BC7E36" w:rsidRDefault="00AB1809" w:rsidP="004562AA">
      <w:pPr>
        <w:jc w:val="center"/>
        <w:rPr>
          <w:rFonts w:ascii="Times New Roman" w:hAnsi="Times New Roman" w:cs="Times New Roman"/>
          <w:b/>
          <w:sz w:val="24"/>
          <w:szCs w:val="24"/>
          <w:lang w:val="lt-LT"/>
        </w:rPr>
      </w:pPr>
      <w:r w:rsidRPr="00BC7E36">
        <w:rPr>
          <w:rFonts w:ascii="Times New Roman" w:hAnsi="Times New Roman" w:cs="Times New Roman"/>
          <w:b/>
          <w:sz w:val="24"/>
          <w:szCs w:val="24"/>
          <w:lang w:val="lt-LT"/>
        </w:rPr>
        <w:t>I dalis.</w:t>
      </w:r>
      <w:r w:rsidR="007E4301" w:rsidRPr="00BC7E36">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BC7E36" w:rsidTr="0081274A">
        <w:tc>
          <w:tcPr>
            <w:tcW w:w="4672" w:type="dxa"/>
          </w:tcPr>
          <w:p w:rsidR="00AB1809" w:rsidRPr="00BC7E36" w:rsidRDefault="00AB1809" w:rsidP="007E4301">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Pirkimo </w:t>
            </w:r>
            <w:r w:rsidR="007E4301" w:rsidRPr="00BC7E36">
              <w:rPr>
                <w:rFonts w:ascii="Times New Roman" w:hAnsi="Times New Roman" w:cs="Times New Roman"/>
                <w:sz w:val="24"/>
                <w:szCs w:val="24"/>
                <w:lang w:val="lt-LT"/>
              </w:rPr>
              <w:t xml:space="preserve">pavadinimas, </w:t>
            </w:r>
            <w:r w:rsidRPr="00BC7E36">
              <w:rPr>
                <w:rFonts w:ascii="Times New Roman" w:hAnsi="Times New Roman" w:cs="Times New Roman"/>
                <w:sz w:val="24"/>
                <w:szCs w:val="24"/>
                <w:lang w:val="lt-LT"/>
              </w:rPr>
              <w:t>numeris (jeigu skelbtas)</w:t>
            </w:r>
            <w:r w:rsidR="007E4301" w:rsidRPr="00BC7E36">
              <w:rPr>
                <w:rFonts w:ascii="Times New Roman" w:hAnsi="Times New Roman" w:cs="Times New Roman"/>
                <w:sz w:val="24"/>
                <w:szCs w:val="24"/>
                <w:lang w:val="lt-LT"/>
              </w:rPr>
              <w:t>,</w:t>
            </w:r>
            <w:r w:rsidRPr="00BC7E36">
              <w:rPr>
                <w:rFonts w:ascii="Times New Roman" w:hAnsi="Times New Roman" w:cs="Times New Roman"/>
                <w:sz w:val="24"/>
                <w:szCs w:val="24"/>
                <w:lang w:val="lt-LT"/>
              </w:rPr>
              <w:t xml:space="preserve"> pirkimo paskelbimo (kvietimo pateikti pasiūlymą) data</w:t>
            </w:r>
          </w:p>
        </w:tc>
        <w:tc>
          <w:tcPr>
            <w:tcW w:w="4934" w:type="dxa"/>
          </w:tcPr>
          <w:p w:rsidR="00AB1809" w:rsidRPr="00BC7E36" w:rsidRDefault="00E25238" w:rsidP="008C62BC">
            <w:pPr>
              <w:ind w:firstLine="728"/>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w:t>
            </w:r>
            <w:r w:rsidR="00D361EE" w:rsidRPr="00BC7E36">
              <w:rPr>
                <w:rFonts w:ascii="Times New Roman" w:hAnsi="Times New Roman" w:cs="Times New Roman"/>
                <w:sz w:val="24"/>
                <w:szCs w:val="24"/>
                <w:lang w:val="lt-LT"/>
              </w:rPr>
              <w:t>Automobilių remonto paslaugų pirkimas“. Skelbtas 2016-02-01</w:t>
            </w:r>
            <w:r w:rsidR="003114CE" w:rsidRPr="00BC7E36">
              <w:rPr>
                <w:rFonts w:ascii="Times New Roman" w:hAnsi="Times New Roman" w:cs="Times New Roman"/>
                <w:sz w:val="24"/>
                <w:szCs w:val="24"/>
                <w:lang w:val="lt-LT"/>
              </w:rPr>
              <w:t xml:space="preserve"> Centrinėje viešųjų pirkimų informacinėje sistemoje (toliau –</w:t>
            </w:r>
            <w:r w:rsidR="00D361EE" w:rsidRPr="00BC7E36">
              <w:rPr>
                <w:rFonts w:ascii="Times New Roman" w:hAnsi="Times New Roman" w:cs="Times New Roman"/>
                <w:sz w:val="24"/>
                <w:szCs w:val="24"/>
                <w:lang w:val="lt-LT"/>
              </w:rPr>
              <w:t xml:space="preserve"> CVP IS); pirkimo Nr. 171142</w:t>
            </w:r>
            <w:r w:rsidR="003114CE" w:rsidRPr="00BC7E36">
              <w:rPr>
                <w:rFonts w:ascii="Times New Roman" w:hAnsi="Times New Roman" w:cs="Times New Roman"/>
                <w:sz w:val="24"/>
                <w:szCs w:val="24"/>
                <w:lang w:val="lt-LT"/>
              </w:rPr>
              <w:t xml:space="preserve"> </w:t>
            </w:r>
            <w:r w:rsidR="009B3C41" w:rsidRPr="00BC7E36">
              <w:rPr>
                <w:rFonts w:ascii="Times New Roman" w:hAnsi="Times New Roman" w:cs="Times New Roman"/>
                <w:sz w:val="24"/>
                <w:szCs w:val="24"/>
                <w:lang w:val="lt-LT"/>
              </w:rPr>
              <w:t>(</w:t>
            </w:r>
            <w:r w:rsidR="003114CE" w:rsidRPr="00BC7E36">
              <w:rPr>
                <w:rFonts w:ascii="Times New Roman" w:hAnsi="Times New Roman" w:cs="Times New Roman"/>
                <w:sz w:val="24"/>
                <w:szCs w:val="24"/>
                <w:lang w:val="lt-LT"/>
              </w:rPr>
              <w:t>toliau – Pirkimas)</w:t>
            </w:r>
          </w:p>
        </w:tc>
      </w:tr>
      <w:tr w:rsidR="00AB1809" w:rsidRPr="00BC7E36" w:rsidTr="0081274A">
        <w:tc>
          <w:tcPr>
            <w:tcW w:w="4672" w:type="dxa"/>
          </w:tcPr>
          <w:p w:rsidR="00AB1809" w:rsidRPr="00BC7E36" w:rsidRDefault="00AB1809" w:rsidP="0081274A">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Pirkimo būdas</w:t>
            </w:r>
          </w:p>
        </w:tc>
        <w:tc>
          <w:tcPr>
            <w:tcW w:w="4934" w:type="dxa"/>
          </w:tcPr>
          <w:p w:rsidR="00AB1809" w:rsidRPr="00BC7E36" w:rsidRDefault="00D361EE" w:rsidP="005021D3">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Supaprastintas atviras konkursas</w:t>
            </w:r>
          </w:p>
        </w:tc>
      </w:tr>
      <w:tr w:rsidR="00AB1809" w:rsidRPr="00BC7E36" w:rsidTr="0081274A">
        <w:tc>
          <w:tcPr>
            <w:tcW w:w="4672" w:type="dxa"/>
          </w:tcPr>
          <w:p w:rsidR="00AB1809" w:rsidRPr="00BC7E36" w:rsidRDefault="00AB1809" w:rsidP="007E4301">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Planuojama </w:t>
            </w:r>
            <w:r w:rsidR="00CD5FFF" w:rsidRPr="00BC7E36">
              <w:rPr>
                <w:rFonts w:ascii="Times New Roman" w:hAnsi="Times New Roman" w:cs="Times New Roman"/>
                <w:sz w:val="24"/>
                <w:szCs w:val="24"/>
                <w:lang w:val="lt-LT"/>
              </w:rPr>
              <w:t>(nenurodoma, jeigu pirkimas vertinamas iki vokų su pasiūlymais atplėšimo procedūros)</w:t>
            </w:r>
            <w:r w:rsidR="00D361EE" w:rsidRPr="00BC7E36">
              <w:rPr>
                <w:rFonts w:ascii="Times New Roman" w:hAnsi="Times New Roman" w:cs="Times New Roman"/>
                <w:sz w:val="24"/>
                <w:szCs w:val="24"/>
                <w:lang w:val="lt-LT"/>
              </w:rPr>
              <w:t xml:space="preserve"> pirkimo sutarties vertė</w:t>
            </w:r>
            <w:r w:rsidR="005F3DC0" w:rsidRPr="00BC7E36">
              <w:rPr>
                <w:rFonts w:ascii="Times New Roman" w:hAnsi="Times New Roman" w:cs="Times New Roman"/>
                <w:sz w:val="24"/>
                <w:szCs w:val="24"/>
                <w:lang w:val="lt-LT"/>
              </w:rPr>
              <w:t xml:space="preserve"> be</w:t>
            </w:r>
            <w:r w:rsidRPr="00BC7E36">
              <w:rPr>
                <w:rFonts w:ascii="Times New Roman" w:hAnsi="Times New Roman" w:cs="Times New Roman"/>
                <w:sz w:val="24"/>
                <w:szCs w:val="24"/>
                <w:lang w:val="lt-LT"/>
              </w:rPr>
              <w:t xml:space="preserve"> PVM</w:t>
            </w:r>
          </w:p>
        </w:tc>
        <w:tc>
          <w:tcPr>
            <w:tcW w:w="4934" w:type="dxa"/>
          </w:tcPr>
          <w:p w:rsidR="00AB1809" w:rsidRPr="00BC7E36" w:rsidRDefault="00D361EE" w:rsidP="0081274A">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105.000,00 E</w:t>
            </w:r>
            <w:r w:rsidR="00251612" w:rsidRPr="00BC7E36">
              <w:rPr>
                <w:rFonts w:ascii="Times New Roman" w:hAnsi="Times New Roman" w:cs="Times New Roman"/>
                <w:sz w:val="24"/>
                <w:szCs w:val="24"/>
                <w:lang w:val="lt-LT"/>
              </w:rPr>
              <w:t>UR</w:t>
            </w:r>
          </w:p>
        </w:tc>
      </w:tr>
      <w:tr w:rsidR="00AB1809" w:rsidRPr="00BC7E36" w:rsidTr="0081274A">
        <w:tc>
          <w:tcPr>
            <w:tcW w:w="4672" w:type="dxa"/>
          </w:tcPr>
          <w:p w:rsidR="00AB1809" w:rsidRPr="00BC7E36" w:rsidRDefault="00AB1809" w:rsidP="00BA3D29">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Pirkimas finansuojamas ES lėšomis, projekto pavadinimas, </w:t>
            </w:r>
            <w:r w:rsidR="00BA3D29" w:rsidRPr="00BC7E36">
              <w:rPr>
                <w:rFonts w:ascii="Times New Roman" w:hAnsi="Times New Roman" w:cs="Times New Roman"/>
                <w:sz w:val="24"/>
                <w:szCs w:val="24"/>
                <w:lang w:val="lt-LT"/>
              </w:rPr>
              <w:t>Įgyvendinančioji institucija</w:t>
            </w:r>
          </w:p>
        </w:tc>
        <w:tc>
          <w:tcPr>
            <w:tcW w:w="4934" w:type="dxa"/>
          </w:tcPr>
          <w:p w:rsidR="00AB1809" w:rsidRPr="00BC7E36" w:rsidRDefault="004562AA" w:rsidP="0081274A">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w:t>
            </w:r>
          </w:p>
        </w:tc>
      </w:tr>
      <w:tr w:rsidR="00AB1809" w:rsidRPr="00BC7E36" w:rsidTr="0081274A">
        <w:tc>
          <w:tcPr>
            <w:tcW w:w="4672" w:type="dxa"/>
          </w:tcPr>
          <w:p w:rsidR="00AB1809" w:rsidRPr="00BC7E36" w:rsidRDefault="00CD5FFF" w:rsidP="00BA3D29">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Pirkimo vykdymo t</w:t>
            </w:r>
            <w:r w:rsidR="00AB1809" w:rsidRPr="00BC7E36">
              <w:rPr>
                <w:rFonts w:ascii="Times New Roman" w:hAnsi="Times New Roman" w:cs="Times New Roman"/>
                <w:sz w:val="24"/>
                <w:szCs w:val="24"/>
                <w:lang w:val="lt-LT"/>
              </w:rPr>
              <w:t xml:space="preserve">eisinis pagrindas (pirkimui taikomo </w:t>
            </w:r>
            <w:r w:rsidR="00BA3D29" w:rsidRPr="00BC7E36">
              <w:rPr>
                <w:rFonts w:ascii="Times New Roman" w:hAnsi="Times New Roman" w:cs="Times New Roman"/>
                <w:sz w:val="24"/>
                <w:szCs w:val="24"/>
                <w:lang w:val="lt-LT"/>
              </w:rPr>
              <w:t>įstatymo</w:t>
            </w:r>
            <w:r w:rsidR="00AB1809" w:rsidRPr="00BC7E36">
              <w:rPr>
                <w:rFonts w:ascii="Times New Roman" w:hAnsi="Times New Roman" w:cs="Times New Roman"/>
                <w:sz w:val="24"/>
                <w:szCs w:val="24"/>
                <w:lang w:val="lt-LT"/>
              </w:rPr>
              <w:t xml:space="preserve">, supaprastintų pirkimų </w:t>
            </w:r>
            <w:proofErr w:type="gramStart"/>
            <w:r w:rsidR="00AB1809" w:rsidRPr="00BC7E36">
              <w:rPr>
                <w:rFonts w:ascii="Times New Roman" w:hAnsi="Times New Roman" w:cs="Times New Roman"/>
                <w:sz w:val="24"/>
                <w:szCs w:val="24"/>
                <w:lang w:val="lt-LT"/>
              </w:rPr>
              <w:t>taisyklių</w:t>
            </w:r>
            <w:proofErr w:type="gramEnd"/>
            <w:r w:rsidR="00AB1809" w:rsidRPr="00BC7E36">
              <w:rPr>
                <w:rFonts w:ascii="Times New Roman" w:hAnsi="Times New Roman" w:cs="Times New Roman"/>
                <w:sz w:val="24"/>
                <w:szCs w:val="24"/>
                <w:lang w:val="lt-LT"/>
              </w:rPr>
              <w:t xml:space="preserve"> redakcija)</w:t>
            </w:r>
          </w:p>
        </w:tc>
        <w:tc>
          <w:tcPr>
            <w:tcW w:w="4934" w:type="dxa"/>
          </w:tcPr>
          <w:p w:rsidR="00B91312" w:rsidRPr="00BC7E36" w:rsidRDefault="0081274A" w:rsidP="005338E3">
            <w:pPr>
              <w:ind w:firstLine="728"/>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Lietuvos Respublikos viešųjų pirki</w:t>
            </w:r>
            <w:r w:rsidR="00D361EE" w:rsidRPr="00BC7E36">
              <w:rPr>
                <w:rFonts w:ascii="Times New Roman" w:hAnsi="Times New Roman" w:cs="Times New Roman"/>
                <w:sz w:val="24"/>
                <w:szCs w:val="24"/>
                <w:lang w:val="lt-LT"/>
              </w:rPr>
              <w:t>mų įstatymas (redakcija nuo 2016-01-01</w:t>
            </w:r>
            <w:r w:rsidR="00F04F5F">
              <w:rPr>
                <w:rFonts w:ascii="Times New Roman" w:hAnsi="Times New Roman" w:cs="Times New Roman"/>
                <w:sz w:val="24"/>
                <w:szCs w:val="24"/>
                <w:lang w:val="lt-LT"/>
              </w:rPr>
              <w:t>; toliau</w:t>
            </w:r>
            <w:r w:rsidR="005338E3">
              <w:rPr>
                <w:rFonts w:ascii="Times New Roman" w:hAnsi="Times New Roman" w:cs="Times New Roman"/>
                <w:sz w:val="24"/>
                <w:szCs w:val="24"/>
                <w:lang w:val="lt-LT"/>
              </w:rPr>
              <w:t xml:space="preserve"> -</w:t>
            </w:r>
            <w:r w:rsidR="00F04F5F">
              <w:rPr>
                <w:rFonts w:ascii="Times New Roman" w:hAnsi="Times New Roman" w:cs="Times New Roman"/>
                <w:sz w:val="24"/>
                <w:szCs w:val="24"/>
                <w:lang w:val="lt-LT"/>
              </w:rPr>
              <w:t>Įstatymas</w:t>
            </w:r>
            <w:r w:rsidRPr="00BC7E36">
              <w:rPr>
                <w:rFonts w:ascii="Times New Roman" w:hAnsi="Times New Roman" w:cs="Times New Roman"/>
                <w:sz w:val="24"/>
                <w:szCs w:val="24"/>
                <w:lang w:val="lt-LT"/>
              </w:rPr>
              <w:t>) ir Perkančiosios organizacijos</w:t>
            </w:r>
            <w:r w:rsidR="00B91312" w:rsidRPr="00BC7E36">
              <w:rPr>
                <w:rFonts w:ascii="Times New Roman" w:hAnsi="Times New Roman" w:cs="Times New Roman"/>
                <w:sz w:val="24"/>
                <w:szCs w:val="24"/>
                <w:lang w:val="lt-LT"/>
              </w:rPr>
              <w:t xml:space="preserve"> valdybos 2014-12-01 sprendimu</w:t>
            </w:r>
            <w:r w:rsidRPr="00BC7E36">
              <w:rPr>
                <w:rFonts w:ascii="Times New Roman" w:hAnsi="Times New Roman" w:cs="Times New Roman"/>
                <w:sz w:val="24"/>
                <w:szCs w:val="24"/>
                <w:lang w:val="lt-LT"/>
              </w:rPr>
              <w:t xml:space="preserve"> </w:t>
            </w:r>
            <w:r w:rsidR="00B91312" w:rsidRPr="00BC7E36">
              <w:rPr>
                <w:rFonts w:ascii="Times New Roman" w:hAnsi="Times New Roman" w:cs="Times New Roman"/>
                <w:sz w:val="24"/>
                <w:szCs w:val="24"/>
                <w:lang w:val="lt-LT"/>
              </w:rPr>
              <w:t>Nr. 2014-29-2</w:t>
            </w:r>
            <w:r w:rsidRPr="00BC7E36">
              <w:rPr>
                <w:rFonts w:ascii="Times New Roman" w:hAnsi="Times New Roman" w:cs="Times New Roman"/>
                <w:sz w:val="24"/>
                <w:szCs w:val="24"/>
                <w:lang w:val="lt-LT"/>
              </w:rPr>
              <w:t xml:space="preserve"> patvirtintos </w:t>
            </w:r>
            <w:r w:rsidR="00B91312" w:rsidRPr="00BC7E36">
              <w:rPr>
                <w:rFonts w:ascii="Times New Roman" w:hAnsi="Times New Roman" w:cs="Times New Roman"/>
                <w:sz w:val="24"/>
                <w:szCs w:val="24"/>
                <w:lang w:val="lt-LT"/>
              </w:rPr>
              <w:t>AB „Kauno energija“</w:t>
            </w:r>
            <w:r w:rsidRPr="00BC7E36">
              <w:rPr>
                <w:rFonts w:ascii="Times New Roman" w:hAnsi="Times New Roman" w:cs="Times New Roman"/>
                <w:sz w:val="24"/>
                <w:szCs w:val="24"/>
                <w:lang w:val="lt-LT"/>
              </w:rPr>
              <w:t xml:space="preserve"> supaprastintų viešųjų pirkimų </w:t>
            </w:r>
            <w:proofErr w:type="gramStart"/>
            <w:r w:rsidRPr="00BC7E36">
              <w:rPr>
                <w:rFonts w:ascii="Times New Roman" w:hAnsi="Times New Roman" w:cs="Times New Roman"/>
                <w:sz w:val="24"/>
                <w:szCs w:val="24"/>
                <w:lang w:val="lt-LT"/>
              </w:rPr>
              <w:t>taisyklės</w:t>
            </w:r>
            <w:proofErr w:type="gramEnd"/>
            <w:r w:rsidR="005B4891">
              <w:rPr>
                <w:rFonts w:ascii="Times New Roman" w:hAnsi="Times New Roman" w:cs="Times New Roman"/>
                <w:sz w:val="24"/>
                <w:szCs w:val="24"/>
                <w:lang w:val="lt-LT"/>
              </w:rPr>
              <w:t xml:space="preserve"> (toliau – Taisyklės)</w:t>
            </w:r>
          </w:p>
        </w:tc>
      </w:tr>
      <w:tr w:rsidR="00AB1809" w:rsidRPr="00BC7E36" w:rsidTr="0081274A">
        <w:tc>
          <w:tcPr>
            <w:tcW w:w="4672" w:type="dxa"/>
          </w:tcPr>
          <w:p w:rsidR="00AB1809" w:rsidRPr="00BC7E36" w:rsidRDefault="00AB1809" w:rsidP="0081274A">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Vertinimo </w:t>
            </w:r>
            <w:r w:rsidR="007E4301" w:rsidRPr="00BC7E36">
              <w:rPr>
                <w:rFonts w:ascii="Times New Roman" w:hAnsi="Times New Roman" w:cs="Times New Roman"/>
                <w:sz w:val="24"/>
                <w:szCs w:val="24"/>
                <w:lang w:val="lt-LT"/>
              </w:rPr>
              <w:t>apimtys/</w:t>
            </w:r>
            <w:r w:rsidRPr="00BC7E36">
              <w:rPr>
                <w:rFonts w:ascii="Times New Roman" w:hAnsi="Times New Roman" w:cs="Times New Roman"/>
                <w:sz w:val="24"/>
                <w:szCs w:val="24"/>
                <w:lang w:val="lt-LT"/>
              </w:rPr>
              <w:t>etapas</w:t>
            </w:r>
          </w:p>
        </w:tc>
        <w:tc>
          <w:tcPr>
            <w:tcW w:w="4934" w:type="dxa"/>
          </w:tcPr>
          <w:p w:rsidR="00AB1809" w:rsidRPr="00BC7E36" w:rsidRDefault="004562AA" w:rsidP="008C62BC">
            <w:pPr>
              <w:ind w:firstLine="728"/>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Išsamus vertinimas /</w:t>
            </w:r>
            <w:r w:rsidR="00D361EE" w:rsidRPr="00BC7E36">
              <w:rPr>
                <w:rFonts w:ascii="Times New Roman" w:hAnsi="Times New Roman" w:cs="Times New Roman"/>
                <w:sz w:val="24"/>
                <w:szCs w:val="24"/>
                <w:lang w:val="lt-LT"/>
              </w:rPr>
              <w:t xml:space="preserve"> Pirkimo procedūrų vertinimas iki</w:t>
            </w:r>
            <w:r w:rsidRPr="00BC7E36">
              <w:rPr>
                <w:rFonts w:ascii="Times New Roman" w:hAnsi="Times New Roman" w:cs="Times New Roman"/>
                <w:sz w:val="24"/>
                <w:szCs w:val="24"/>
                <w:lang w:val="lt-LT"/>
              </w:rPr>
              <w:t xml:space="preserve"> </w:t>
            </w:r>
            <w:r w:rsidR="0081274A" w:rsidRPr="00BC7E36">
              <w:rPr>
                <w:rFonts w:ascii="Times New Roman" w:hAnsi="Times New Roman" w:cs="Times New Roman"/>
                <w:sz w:val="24"/>
                <w:szCs w:val="24"/>
                <w:lang w:val="lt-LT"/>
              </w:rPr>
              <w:t>sutarties sudarymo</w:t>
            </w:r>
          </w:p>
        </w:tc>
      </w:tr>
      <w:tr w:rsidR="00AB1809" w:rsidRPr="00BC7E36" w:rsidTr="007E4301">
        <w:tc>
          <w:tcPr>
            <w:tcW w:w="4672" w:type="dxa"/>
          </w:tcPr>
          <w:p w:rsidR="00AB1809" w:rsidRPr="00BC7E36" w:rsidRDefault="00AB1809" w:rsidP="00BA3D29">
            <w:pPr>
              <w:jc w:val="center"/>
              <w:rPr>
                <w:rFonts w:ascii="Times New Roman" w:hAnsi="Times New Roman" w:cs="Times New Roman"/>
                <w:sz w:val="24"/>
                <w:szCs w:val="24"/>
                <w:lang w:val="lt-LT"/>
              </w:rPr>
            </w:pPr>
            <w:r w:rsidRPr="00BC7E3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BC7E36">
              <w:rPr>
                <w:rFonts w:ascii="Times New Roman" w:hAnsi="Times New Roman" w:cs="Times New Roman"/>
                <w:sz w:val="24"/>
                <w:szCs w:val="24"/>
                <w:lang w:val="lt-LT"/>
              </w:rPr>
              <w:t>,</w:t>
            </w:r>
            <w:r w:rsidRPr="00BC7E36">
              <w:rPr>
                <w:rFonts w:ascii="Times New Roman" w:hAnsi="Times New Roman" w:cs="Times New Roman"/>
                <w:sz w:val="24"/>
                <w:szCs w:val="24"/>
                <w:lang w:val="lt-LT"/>
              </w:rPr>
              <w:t xml:space="preserve"> apygardos, apeliacinis teismas)</w:t>
            </w:r>
          </w:p>
        </w:tc>
        <w:tc>
          <w:tcPr>
            <w:tcW w:w="4934" w:type="dxa"/>
          </w:tcPr>
          <w:p w:rsidR="00AB1809" w:rsidRPr="00BC7E36" w:rsidRDefault="00D361EE" w:rsidP="00477891">
            <w:pPr>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Ūkio subjektų grupė UAB „</w:t>
            </w:r>
            <w:proofErr w:type="spellStart"/>
            <w:r w:rsidRPr="00BC7E36">
              <w:rPr>
                <w:rFonts w:ascii="Times New Roman" w:hAnsi="Times New Roman" w:cs="Times New Roman"/>
                <w:sz w:val="24"/>
                <w:szCs w:val="24"/>
                <w:lang w:val="lt-LT"/>
              </w:rPr>
              <w:t>Intersera</w:t>
            </w:r>
            <w:proofErr w:type="spellEnd"/>
            <w:r w:rsidRPr="00BC7E36">
              <w:rPr>
                <w:rFonts w:ascii="Times New Roman" w:hAnsi="Times New Roman" w:cs="Times New Roman"/>
                <w:sz w:val="24"/>
                <w:szCs w:val="24"/>
                <w:lang w:val="lt-LT"/>
              </w:rPr>
              <w:t>“ ir UAB „</w:t>
            </w:r>
            <w:proofErr w:type="spellStart"/>
            <w:r w:rsidRPr="00BC7E36">
              <w:rPr>
                <w:rFonts w:ascii="Times New Roman" w:hAnsi="Times New Roman" w:cs="Times New Roman"/>
                <w:sz w:val="24"/>
                <w:szCs w:val="24"/>
                <w:lang w:val="lt-LT"/>
              </w:rPr>
              <w:t>Autokurtas</w:t>
            </w:r>
            <w:proofErr w:type="spellEnd"/>
            <w:r w:rsidRPr="00BC7E36">
              <w:rPr>
                <w:rFonts w:ascii="Times New Roman" w:hAnsi="Times New Roman" w:cs="Times New Roman"/>
                <w:sz w:val="24"/>
                <w:szCs w:val="24"/>
                <w:lang w:val="lt-LT"/>
              </w:rPr>
              <w:t>“</w:t>
            </w:r>
            <w:r w:rsidR="007F4371" w:rsidRPr="00BC7E36">
              <w:rPr>
                <w:rFonts w:ascii="Times New Roman" w:hAnsi="Times New Roman" w:cs="Times New Roman"/>
                <w:sz w:val="24"/>
                <w:szCs w:val="24"/>
                <w:lang w:val="lt-LT"/>
              </w:rPr>
              <w:t xml:space="preserve"> (toliau – Ieškovas</w:t>
            </w:r>
            <w:r w:rsidR="000A2523" w:rsidRPr="00BC7E36">
              <w:rPr>
                <w:rFonts w:ascii="Times New Roman" w:hAnsi="Times New Roman" w:cs="Times New Roman"/>
                <w:sz w:val="24"/>
                <w:szCs w:val="24"/>
                <w:lang w:val="lt-LT"/>
              </w:rPr>
              <w:t xml:space="preserve"> arba Tiekėjas Nr.1</w:t>
            </w:r>
            <w:r w:rsidR="00E66E07" w:rsidRPr="00BC7E36">
              <w:rPr>
                <w:rFonts w:ascii="Times New Roman" w:hAnsi="Times New Roman" w:cs="Times New Roman"/>
                <w:sz w:val="24"/>
                <w:szCs w:val="24"/>
                <w:lang w:val="lt-LT"/>
              </w:rPr>
              <w:t>) pateikė ieškinį Kauno apygardos teismui</w:t>
            </w:r>
            <w:r w:rsidR="007F4371" w:rsidRPr="00BC7E36">
              <w:rPr>
                <w:rFonts w:ascii="Times New Roman" w:hAnsi="Times New Roman" w:cs="Times New Roman"/>
                <w:sz w:val="24"/>
                <w:szCs w:val="24"/>
                <w:lang w:val="lt-LT"/>
              </w:rPr>
              <w:t xml:space="preserve"> (toliau – Teismas)</w:t>
            </w:r>
            <w:r w:rsidR="00E66E07" w:rsidRPr="00BC7E36">
              <w:rPr>
                <w:rFonts w:ascii="Times New Roman" w:hAnsi="Times New Roman" w:cs="Times New Roman"/>
                <w:sz w:val="24"/>
                <w:szCs w:val="24"/>
                <w:lang w:val="lt-LT"/>
              </w:rPr>
              <w:t xml:space="preserve"> prašydama panaikinti</w:t>
            </w:r>
            <w:r w:rsidR="00122454" w:rsidRPr="00BC7E36">
              <w:rPr>
                <w:rFonts w:ascii="Times New Roman" w:hAnsi="Times New Roman" w:cs="Times New Roman"/>
                <w:sz w:val="24"/>
                <w:szCs w:val="24"/>
                <w:lang w:val="lt-LT"/>
              </w:rPr>
              <w:t xml:space="preserve"> </w:t>
            </w:r>
            <w:r w:rsidR="007F4371" w:rsidRPr="00BC7E36">
              <w:rPr>
                <w:rFonts w:ascii="Times New Roman" w:hAnsi="Times New Roman" w:cs="Times New Roman"/>
                <w:sz w:val="24"/>
                <w:szCs w:val="24"/>
                <w:lang w:val="lt-LT"/>
              </w:rPr>
              <w:t>Ieškovo nuomone</w:t>
            </w:r>
            <w:r w:rsidR="00122454" w:rsidRPr="00BC7E36">
              <w:rPr>
                <w:rFonts w:ascii="Times New Roman" w:hAnsi="Times New Roman" w:cs="Times New Roman"/>
                <w:sz w:val="24"/>
                <w:szCs w:val="24"/>
                <w:lang w:val="lt-LT"/>
              </w:rPr>
              <w:t xml:space="preserve"> neteisėtus</w:t>
            </w:r>
            <w:r w:rsidR="00E66E07" w:rsidRPr="00BC7E36">
              <w:rPr>
                <w:rFonts w:ascii="Times New Roman" w:hAnsi="Times New Roman" w:cs="Times New Roman"/>
                <w:sz w:val="24"/>
                <w:szCs w:val="24"/>
                <w:lang w:val="lt-LT"/>
              </w:rPr>
              <w:t xml:space="preserve"> Perkančiosios organizacijos veiksmus, susijusius su</w:t>
            </w:r>
            <w:r w:rsidR="007F4371" w:rsidRPr="00BC7E36">
              <w:rPr>
                <w:rFonts w:ascii="Times New Roman" w:hAnsi="Times New Roman" w:cs="Times New Roman"/>
                <w:sz w:val="24"/>
                <w:szCs w:val="24"/>
                <w:lang w:val="lt-LT"/>
              </w:rPr>
              <w:t xml:space="preserve"> Ieškovo</w:t>
            </w:r>
            <w:r w:rsidR="00D0594E">
              <w:rPr>
                <w:rFonts w:ascii="Times New Roman" w:hAnsi="Times New Roman" w:cs="Times New Roman"/>
                <w:sz w:val="24"/>
                <w:szCs w:val="24"/>
                <w:lang w:val="lt-LT"/>
              </w:rPr>
              <w:t xml:space="preserve"> pasitelkiamo subtiekėjo UAB „</w:t>
            </w:r>
            <w:proofErr w:type="spellStart"/>
            <w:r w:rsidR="00D0594E">
              <w:rPr>
                <w:rFonts w:ascii="Times New Roman" w:hAnsi="Times New Roman" w:cs="Times New Roman"/>
                <w:sz w:val="24"/>
                <w:szCs w:val="24"/>
                <w:lang w:val="lt-LT"/>
              </w:rPr>
              <w:t>Restaulita</w:t>
            </w:r>
            <w:proofErr w:type="spellEnd"/>
            <w:r w:rsidR="00D0594E">
              <w:rPr>
                <w:rFonts w:ascii="Times New Roman" w:hAnsi="Times New Roman" w:cs="Times New Roman"/>
                <w:sz w:val="24"/>
                <w:szCs w:val="24"/>
                <w:lang w:val="lt-LT"/>
              </w:rPr>
              <w:t>“</w:t>
            </w:r>
            <w:r w:rsidR="009219D1" w:rsidRPr="00BC7E36">
              <w:rPr>
                <w:rFonts w:ascii="Times New Roman" w:hAnsi="Times New Roman" w:cs="Times New Roman"/>
                <w:sz w:val="24"/>
                <w:szCs w:val="24"/>
                <w:lang w:val="lt-LT"/>
              </w:rPr>
              <w:t xml:space="preserve"> kvalifikacijos atitikties </w:t>
            </w:r>
            <w:r w:rsidR="00FE4929" w:rsidRPr="00BC7E36">
              <w:rPr>
                <w:rFonts w:ascii="Times New Roman" w:hAnsi="Times New Roman" w:cs="Times New Roman"/>
                <w:sz w:val="24"/>
                <w:szCs w:val="24"/>
                <w:lang w:val="lt-LT"/>
              </w:rPr>
              <w:t>Pirki</w:t>
            </w:r>
            <w:r w:rsidR="009219D1" w:rsidRPr="00BC7E36">
              <w:rPr>
                <w:rFonts w:ascii="Times New Roman" w:hAnsi="Times New Roman" w:cs="Times New Roman"/>
                <w:sz w:val="24"/>
                <w:szCs w:val="24"/>
                <w:lang w:val="lt-LT"/>
              </w:rPr>
              <w:t>mo sąlygų 1</w:t>
            </w:r>
            <w:r w:rsidR="00D0594E">
              <w:rPr>
                <w:rFonts w:ascii="Times New Roman" w:hAnsi="Times New Roman" w:cs="Times New Roman"/>
                <w:sz w:val="24"/>
                <w:szCs w:val="24"/>
                <w:lang w:val="lt-LT"/>
              </w:rPr>
              <w:t>3.2 punkte nustatytam</w:t>
            </w:r>
            <w:r w:rsidR="009219D1" w:rsidRPr="00BC7E36">
              <w:rPr>
                <w:rFonts w:ascii="Times New Roman" w:hAnsi="Times New Roman" w:cs="Times New Roman"/>
                <w:sz w:val="24"/>
                <w:szCs w:val="24"/>
                <w:lang w:val="lt-LT"/>
              </w:rPr>
              <w:t xml:space="preserve"> kvalifikacijos reikalavimui vertinimu</w:t>
            </w:r>
            <w:r w:rsidR="00F04F5F">
              <w:rPr>
                <w:rFonts w:ascii="Times New Roman" w:hAnsi="Times New Roman" w:cs="Times New Roman"/>
                <w:sz w:val="24"/>
                <w:szCs w:val="24"/>
                <w:lang w:val="lt-LT"/>
              </w:rPr>
              <w:t xml:space="preserve"> (toliau – Ieškinys)</w:t>
            </w:r>
            <w:r w:rsidR="00E66E07" w:rsidRPr="00BC7E36">
              <w:rPr>
                <w:rFonts w:ascii="Times New Roman" w:hAnsi="Times New Roman" w:cs="Times New Roman"/>
                <w:sz w:val="24"/>
                <w:szCs w:val="24"/>
                <w:lang w:val="lt-LT"/>
              </w:rPr>
              <w:t>.</w:t>
            </w:r>
            <w:r w:rsidR="00F04F5F">
              <w:rPr>
                <w:rFonts w:ascii="Times New Roman" w:hAnsi="Times New Roman" w:cs="Times New Roman"/>
                <w:sz w:val="24"/>
                <w:szCs w:val="24"/>
                <w:lang w:val="lt-LT"/>
              </w:rPr>
              <w:t xml:space="preserve"> Teismas</w:t>
            </w:r>
            <w:r w:rsidR="00BD1049" w:rsidRPr="00BC7E36">
              <w:rPr>
                <w:rFonts w:ascii="Times New Roman" w:hAnsi="Times New Roman" w:cs="Times New Roman"/>
                <w:sz w:val="24"/>
                <w:szCs w:val="24"/>
                <w:lang w:val="lt-LT"/>
              </w:rPr>
              <w:t xml:space="preserve"> 2016-04-25 nutartimi</w:t>
            </w:r>
            <w:r w:rsidR="00CF7139" w:rsidRPr="00BC7E36">
              <w:rPr>
                <w:rFonts w:ascii="Times New Roman" w:hAnsi="Times New Roman" w:cs="Times New Roman"/>
                <w:sz w:val="24"/>
                <w:szCs w:val="24"/>
                <w:lang w:val="lt-LT"/>
              </w:rPr>
              <w:t xml:space="preserve"> civilinėje byloje Nr. e2-1905-273/2016</w:t>
            </w:r>
            <w:r w:rsidR="00BD1049" w:rsidRPr="00BC7E36">
              <w:rPr>
                <w:rFonts w:ascii="Times New Roman" w:hAnsi="Times New Roman" w:cs="Times New Roman"/>
                <w:sz w:val="24"/>
                <w:szCs w:val="24"/>
                <w:lang w:val="lt-LT"/>
              </w:rPr>
              <w:t xml:space="preserve"> pritaikė laikiną</w:t>
            </w:r>
            <w:r w:rsidR="0031766E" w:rsidRPr="00BC7E36">
              <w:rPr>
                <w:rFonts w:ascii="Times New Roman" w:hAnsi="Times New Roman" w:cs="Times New Roman"/>
                <w:sz w:val="24"/>
                <w:szCs w:val="24"/>
                <w:lang w:val="lt-LT"/>
              </w:rPr>
              <w:t>sias apsaugos priemones.</w:t>
            </w:r>
          </w:p>
        </w:tc>
      </w:tr>
    </w:tbl>
    <w:p w:rsidR="00950187" w:rsidRPr="00BC7E36" w:rsidRDefault="00950187" w:rsidP="00AF484F">
      <w:pPr>
        <w:jc w:val="center"/>
        <w:rPr>
          <w:rFonts w:ascii="Times New Roman" w:hAnsi="Times New Roman" w:cs="Times New Roman"/>
          <w:b/>
          <w:sz w:val="24"/>
          <w:szCs w:val="24"/>
          <w:lang w:val="lt-LT"/>
        </w:rPr>
      </w:pPr>
    </w:p>
    <w:p w:rsidR="00950187" w:rsidRPr="00BC7E36" w:rsidRDefault="00950187" w:rsidP="00950187">
      <w:pPr>
        <w:jc w:val="center"/>
        <w:rPr>
          <w:rFonts w:ascii="Times New Roman" w:hAnsi="Times New Roman" w:cs="Times New Roman"/>
          <w:b/>
          <w:sz w:val="24"/>
          <w:szCs w:val="24"/>
          <w:lang w:val="lt-LT"/>
        </w:rPr>
      </w:pPr>
      <w:r w:rsidRPr="00BC7E36">
        <w:rPr>
          <w:rFonts w:ascii="Times New Roman" w:hAnsi="Times New Roman" w:cs="Times New Roman"/>
          <w:b/>
          <w:sz w:val="24"/>
          <w:szCs w:val="24"/>
          <w:lang w:val="lt-LT"/>
        </w:rPr>
        <w:lastRenderedPageBreak/>
        <w:t>II dalis. Vertinimo metu nustatyti pažeidimai</w:t>
      </w:r>
    </w:p>
    <w:p w:rsidR="00950187" w:rsidRPr="00BC7E36" w:rsidRDefault="00950187" w:rsidP="00950187">
      <w:pPr>
        <w:spacing w:after="0" w:line="240" w:lineRule="auto"/>
        <w:jc w:val="center"/>
        <w:rPr>
          <w:rFonts w:ascii="Times New Roman" w:hAnsi="Times New Roman" w:cs="Times New Roman"/>
          <w:b/>
          <w:sz w:val="24"/>
          <w:szCs w:val="24"/>
          <w:lang w:val="lt-LT"/>
        </w:rPr>
      </w:pPr>
    </w:p>
    <w:tbl>
      <w:tblPr>
        <w:tblStyle w:val="TableGrid"/>
        <w:tblW w:w="9738" w:type="dxa"/>
        <w:tblLayout w:type="fixed"/>
        <w:tblLook w:val="04A0"/>
      </w:tblPr>
      <w:tblGrid>
        <w:gridCol w:w="451"/>
        <w:gridCol w:w="9287"/>
      </w:tblGrid>
      <w:tr w:rsidR="00F04F5F" w:rsidRPr="00BC7E36" w:rsidTr="00E930CB">
        <w:trPr>
          <w:trHeight w:val="275"/>
        </w:trPr>
        <w:tc>
          <w:tcPr>
            <w:tcW w:w="451" w:type="dxa"/>
          </w:tcPr>
          <w:p w:rsidR="00F04F5F" w:rsidRPr="00BC7E36" w:rsidRDefault="00E930CB" w:rsidP="00F04F5F">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04F5F" w:rsidRPr="00BC7E36">
              <w:rPr>
                <w:rFonts w:ascii="Times New Roman" w:hAnsi="Times New Roman" w:cs="Times New Roman"/>
                <w:sz w:val="24"/>
                <w:szCs w:val="24"/>
                <w:lang w:val="lt-LT"/>
              </w:rPr>
              <w:t>.</w:t>
            </w:r>
          </w:p>
        </w:tc>
        <w:tc>
          <w:tcPr>
            <w:tcW w:w="9287" w:type="dxa"/>
          </w:tcPr>
          <w:p w:rsidR="00F04F5F" w:rsidRPr="00BC7E36" w:rsidRDefault="00F04F5F" w:rsidP="009B11E4">
            <w:pPr>
              <w:pStyle w:val="ListParagraph"/>
              <w:tabs>
                <w:tab w:val="left" w:pos="993"/>
              </w:tabs>
              <w:ind w:left="0"/>
              <w:jc w:val="both"/>
              <w:rPr>
                <w:rFonts w:ascii="Times New Roman" w:hAnsi="Times New Roman" w:cs="Times New Roman"/>
                <w:b/>
                <w:sz w:val="24"/>
                <w:szCs w:val="24"/>
                <w:lang w:val="lt-LT"/>
              </w:rPr>
            </w:pPr>
            <w:r w:rsidRPr="00BC7E36">
              <w:rPr>
                <w:rFonts w:ascii="Times New Roman" w:hAnsi="Times New Roman" w:cs="Times New Roman"/>
                <w:b/>
                <w:sz w:val="24"/>
                <w:szCs w:val="24"/>
                <w:lang w:val="lt-LT"/>
              </w:rPr>
              <w:t>Įstatymo 32 straipsnio 5 dalis</w:t>
            </w:r>
            <w:r w:rsidR="009B11E4">
              <w:rPr>
                <w:rStyle w:val="FootnoteReference"/>
                <w:rFonts w:ascii="Times New Roman" w:hAnsi="Times New Roman" w:cs="Times New Roman"/>
                <w:b/>
                <w:sz w:val="24"/>
                <w:szCs w:val="24"/>
                <w:lang w:val="lt-LT"/>
              </w:rPr>
              <w:footnoteReference w:id="1"/>
            </w:r>
            <w:r w:rsidRPr="00BC7E36">
              <w:rPr>
                <w:rFonts w:ascii="Times New Roman" w:hAnsi="Times New Roman" w:cs="Times New Roman"/>
                <w:b/>
                <w:sz w:val="24"/>
                <w:szCs w:val="24"/>
                <w:lang w:val="lt-LT"/>
              </w:rPr>
              <w:t>, Įstatymo 32 straipsnio 7 dalis</w:t>
            </w:r>
            <w:r w:rsidR="009B11E4">
              <w:rPr>
                <w:rStyle w:val="FootnoteReference"/>
                <w:rFonts w:ascii="Times New Roman" w:hAnsi="Times New Roman" w:cs="Times New Roman"/>
                <w:b/>
                <w:sz w:val="24"/>
                <w:szCs w:val="24"/>
                <w:lang w:val="lt-LT"/>
              </w:rPr>
              <w:footnoteReference w:id="2"/>
            </w:r>
          </w:p>
        </w:tc>
      </w:tr>
      <w:tr w:rsidR="00F04F5F" w:rsidRPr="00BC7E36" w:rsidTr="00E930CB">
        <w:trPr>
          <w:trHeight w:val="2248"/>
        </w:trPr>
        <w:tc>
          <w:tcPr>
            <w:tcW w:w="9738" w:type="dxa"/>
            <w:gridSpan w:val="2"/>
          </w:tcPr>
          <w:p w:rsidR="00F04F5F" w:rsidRDefault="00477891" w:rsidP="00CC10E0">
            <w:pPr>
              <w:ind w:firstLine="720"/>
              <w:jc w:val="both"/>
              <w:rPr>
                <w:rFonts w:ascii="Times New Roman" w:hAnsi="Times New Roman" w:cs="Times New Roman"/>
                <w:sz w:val="24"/>
                <w:szCs w:val="24"/>
                <w:lang w:val="lt-LT"/>
              </w:rPr>
            </w:pPr>
            <w:r w:rsidRPr="00C02FA6">
              <w:rPr>
                <w:rFonts w:ascii="Times New Roman" w:hAnsi="Times New Roman" w:cs="Times New Roman"/>
                <w:sz w:val="24"/>
                <w:szCs w:val="24"/>
                <w:lang w:val="lt-LT"/>
              </w:rPr>
              <w:t xml:space="preserve">Pirkimo komisija </w:t>
            </w:r>
            <w:r w:rsidR="00704798" w:rsidRPr="00C02FA6">
              <w:rPr>
                <w:rFonts w:ascii="Times New Roman" w:hAnsi="Times New Roman" w:cs="Times New Roman"/>
                <w:sz w:val="24"/>
                <w:szCs w:val="24"/>
                <w:lang w:val="lt-LT"/>
              </w:rPr>
              <w:t xml:space="preserve">2016-02-22 posėdyje (protokolo Nr. 67) nagrinėjo tiekėjų kvalifikacijos atitiktį Pirkimo dokumentuose nustatytiems kvalifikacijos reikalavimams ir CVP IS priemonėmis </w:t>
            </w:r>
            <w:proofErr w:type="gramStart"/>
            <w:r w:rsidR="00704798" w:rsidRPr="00C02FA6">
              <w:rPr>
                <w:rFonts w:ascii="Times New Roman" w:hAnsi="Times New Roman" w:cs="Times New Roman"/>
                <w:sz w:val="24"/>
                <w:szCs w:val="24"/>
                <w:lang w:val="lt-LT"/>
              </w:rPr>
              <w:t>kreipėsi</w:t>
            </w:r>
            <w:proofErr w:type="gramEnd"/>
            <w:r w:rsidR="00704798" w:rsidRPr="00C02FA6">
              <w:rPr>
                <w:rFonts w:ascii="Times New Roman" w:hAnsi="Times New Roman" w:cs="Times New Roman"/>
                <w:sz w:val="24"/>
                <w:szCs w:val="24"/>
                <w:lang w:val="lt-LT"/>
              </w:rPr>
              <w:t xml:space="preserve"> į tiekėjus</w:t>
            </w:r>
            <w:r w:rsidR="00107D4C" w:rsidRPr="00C02FA6">
              <w:rPr>
                <w:rFonts w:ascii="Times New Roman" w:hAnsi="Times New Roman" w:cs="Times New Roman"/>
                <w:sz w:val="24"/>
                <w:szCs w:val="24"/>
                <w:lang w:val="lt-LT"/>
              </w:rPr>
              <w:t xml:space="preserve"> (įskaitant ir Tiekėją Nr.1)</w:t>
            </w:r>
            <w:r w:rsidR="00704798" w:rsidRPr="00C02FA6">
              <w:rPr>
                <w:rFonts w:ascii="Times New Roman" w:hAnsi="Times New Roman" w:cs="Times New Roman"/>
                <w:sz w:val="24"/>
                <w:szCs w:val="24"/>
                <w:lang w:val="lt-LT"/>
              </w:rPr>
              <w:t xml:space="preserve"> dėl kval</w:t>
            </w:r>
            <w:r w:rsidR="0038145D" w:rsidRPr="00C02FA6">
              <w:rPr>
                <w:rFonts w:ascii="Times New Roman" w:hAnsi="Times New Roman" w:cs="Times New Roman"/>
                <w:sz w:val="24"/>
                <w:szCs w:val="24"/>
                <w:lang w:val="lt-LT"/>
              </w:rPr>
              <w:t xml:space="preserve">ifikacijos duomenų patikslinimo. Tarnyba nustatė, kad Tiekėjas Nr.1 </w:t>
            </w:r>
            <w:r w:rsidR="00C02FA6" w:rsidRPr="00C02FA6">
              <w:rPr>
                <w:rFonts w:ascii="Times New Roman" w:hAnsi="Times New Roman" w:cs="Times New Roman"/>
                <w:sz w:val="24"/>
                <w:szCs w:val="24"/>
                <w:lang w:val="lt-LT"/>
              </w:rPr>
              <w:t>nepateikė</w:t>
            </w:r>
            <w:r w:rsidR="00317DC1">
              <w:rPr>
                <w:rFonts w:ascii="Times New Roman" w:hAnsi="Times New Roman" w:cs="Times New Roman"/>
                <w:sz w:val="24"/>
                <w:szCs w:val="24"/>
                <w:lang w:val="lt-LT"/>
              </w:rPr>
              <w:t xml:space="preserve"> ir</w:t>
            </w:r>
            <w:r w:rsidR="00C02FA6" w:rsidRPr="00C02FA6">
              <w:rPr>
                <w:rFonts w:ascii="Times New Roman" w:hAnsi="Times New Roman" w:cs="Times New Roman"/>
                <w:sz w:val="24"/>
                <w:szCs w:val="24"/>
                <w:lang w:val="lt-LT"/>
              </w:rPr>
              <w:t xml:space="preserve"> informacijos apie ū</w:t>
            </w:r>
            <w:r w:rsidR="0038145D" w:rsidRPr="00C02FA6">
              <w:rPr>
                <w:rFonts w:ascii="Times New Roman" w:hAnsi="Times New Roman" w:cs="Times New Roman"/>
                <w:sz w:val="24"/>
                <w:szCs w:val="24"/>
                <w:lang w:val="lt-LT"/>
              </w:rPr>
              <w:t>kio subjektų grupės nario UAB „</w:t>
            </w:r>
            <w:proofErr w:type="spellStart"/>
            <w:r w:rsidR="00C02FA6" w:rsidRPr="00C02FA6">
              <w:rPr>
                <w:rFonts w:ascii="Times New Roman" w:hAnsi="Times New Roman" w:cs="Times New Roman"/>
                <w:sz w:val="24"/>
                <w:szCs w:val="24"/>
                <w:lang w:val="lt-LT"/>
              </w:rPr>
              <w:t>Autokurtas</w:t>
            </w:r>
            <w:proofErr w:type="spellEnd"/>
            <w:r w:rsidR="00C02FA6" w:rsidRPr="00C02FA6">
              <w:rPr>
                <w:rFonts w:ascii="Times New Roman" w:hAnsi="Times New Roman" w:cs="Times New Roman"/>
                <w:sz w:val="24"/>
                <w:szCs w:val="24"/>
                <w:lang w:val="lt-LT"/>
              </w:rPr>
              <w:t xml:space="preserve">“ akcininkus (Tiekėjas Nr.1 pateikė Informatikos ir ryšių departamento prie Lietuvos Respublikos vidaus reikalų ministerijos išduotą pažymą, patvirtinančią R. P. atitiktį Pirkimo sąlygų 13.2 punkte nustatytam kvalifikacijos reikalavimui, tačiau nepateikė dokumentų, patvirtinančių, kad juridinio asmens susirinkime R. P. turi balsų daugumą), tačiau Pirkimo komisija dėl šių </w:t>
            </w:r>
            <w:r w:rsidR="00D0594E">
              <w:rPr>
                <w:rFonts w:ascii="Times New Roman" w:hAnsi="Times New Roman" w:cs="Times New Roman"/>
                <w:sz w:val="24"/>
                <w:szCs w:val="24"/>
                <w:lang w:val="lt-LT"/>
              </w:rPr>
              <w:t>duomenų patikslinimo</w:t>
            </w:r>
            <w:r w:rsidR="00C02FA6" w:rsidRPr="00C02FA6">
              <w:rPr>
                <w:rFonts w:ascii="Times New Roman" w:hAnsi="Times New Roman" w:cs="Times New Roman"/>
                <w:sz w:val="24"/>
                <w:szCs w:val="24"/>
                <w:lang w:val="lt-LT"/>
              </w:rPr>
              <w:t xml:space="preserve"> į Tiekėją Nr.1 nesikreipė.</w:t>
            </w:r>
          </w:p>
          <w:p w:rsidR="00CC10E0" w:rsidRPr="00C02FA6" w:rsidRDefault="00CC10E0" w:rsidP="00CC10E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Tiekėjas Nr.1 </w:t>
            </w:r>
            <w:r w:rsidRPr="00C02FA6">
              <w:rPr>
                <w:rFonts w:ascii="Times New Roman" w:hAnsi="Times New Roman" w:cs="Times New Roman"/>
                <w:sz w:val="24"/>
                <w:szCs w:val="24"/>
                <w:lang w:val="lt-LT"/>
              </w:rPr>
              <w:t>nepateikė deklaracijos, patvirtinančios pasitelkiamo subtiekėjo UAB „</w:t>
            </w:r>
            <w:proofErr w:type="spellStart"/>
            <w:r w:rsidRPr="00C02FA6">
              <w:rPr>
                <w:rFonts w:ascii="Times New Roman" w:hAnsi="Times New Roman" w:cs="Times New Roman"/>
                <w:sz w:val="24"/>
                <w:szCs w:val="24"/>
                <w:lang w:val="lt-LT"/>
              </w:rPr>
              <w:t>Restaulita</w:t>
            </w:r>
            <w:proofErr w:type="spellEnd"/>
            <w:r w:rsidRPr="00C02FA6">
              <w:rPr>
                <w:rFonts w:ascii="Times New Roman" w:hAnsi="Times New Roman" w:cs="Times New Roman"/>
                <w:sz w:val="24"/>
                <w:szCs w:val="24"/>
                <w:lang w:val="lt-LT"/>
              </w:rPr>
              <w:t>“</w:t>
            </w:r>
            <w:r>
              <w:rPr>
                <w:rFonts w:ascii="Times New Roman" w:hAnsi="Times New Roman" w:cs="Times New Roman"/>
                <w:sz w:val="24"/>
                <w:szCs w:val="24"/>
                <w:lang w:val="lt-LT"/>
              </w:rPr>
              <w:t xml:space="preserve"> kvalifikacijos</w:t>
            </w:r>
            <w:r w:rsidRPr="00C02FA6">
              <w:rPr>
                <w:rFonts w:ascii="Times New Roman" w:hAnsi="Times New Roman" w:cs="Times New Roman"/>
                <w:sz w:val="24"/>
                <w:szCs w:val="24"/>
                <w:lang w:val="lt-LT"/>
              </w:rPr>
              <w:t xml:space="preserve"> atitikties Pirkimo sąlygų 13.3 punkte nustatytam kvalifikacijos reikalavimui (Pirkimo sąlygų 4 priedas)</w:t>
            </w:r>
            <w:r>
              <w:rPr>
                <w:rFonts w:ascii="Times New Roman" w:hAnsi="Times New Roman" w:cs="Times New Roman"/>
                <w:sz w:val="24"/>
                <w:szCs w:val="24"/>
                <w:lang w:val="lt-LT"/>
              </w:rPr>
              <w:t>.</w:t>
            </w:r>
          </w:p>
        </w:tc>
      </w:tr>
      <w:tr w:rsidR="00F04F5F" w:rsidRPr="00BC7E36" w:rsidTr="00E930CB">
        <w:trPr>
          <w:trHeight w:val="275"/>
        </w:trPr>
        <w:tc>
          <w:tcPr>
            <w:tcW w:w="451" w:type="dxa"/>
          </w:tcPr>
          <w:p w:rsidR="00F04F5F" w:rsidRPr="00BC7E36" w:rsidRDefault="00E930CB" w:rsidP="00F04F5F">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F04F5F" w:rsidRPr="00BC7E36">
              <w:rPr>
                <w:rFonts w:ascii="Times New Roman" w:hAnsi="Times New Roman" w:cs="Times New Roman"/>
                <w:sz w:val="24"/>
                <w:szCs w:val="24"/>
                <w:lang w:val="lt-LT"/>
              </w:rPr>
              <w:t>.</w:t>
            </w:r>
          </w:p>
        </w:tc>
        <w:tc>
          <w:tcPr>
            <w:tcW w:w="9287" w:type="dxa"/>
          </w:tcPr>
          <w:p w:rsidR="00F04F5F" w:rsidRPr="00BC7E36" w:rsidRDefault="00F04F5F" w:rsidP="00E8786E">
            <w:pPr>
              <w:pStyle w:val="ListParagraph"/>
              <w:tabs>
                <w:tab w:val="left" w:pos="993"/>
              </w:tabs>
              <w:ind w:left="0"/>
              <w:jc w:val="both"/>
              <w:rPr>
                <w:rFonts w:ascii="Times New Roman" w:hAnsi="Times New Roman" w:cs="Times New Roman"/>
                <w:b/>
                <w:sz w:val="24"/>
                <w:szCs w:val="24"/>
                <w:lang w:val="lt-LT"/>
              </w:rPr>
            </w:pPr>
            <w:r w:rsidRPr="00BC7E36">
              <w:rPr>
                <w:rFonts w:ascii="Times New Roman" w:hAnsi="Times New Roman" w:cs="Times New Roman"/>
                <w:b/>
                <w:sz w:val="24"/>
                <w:szCs w:val="24"/>
                <w:lang w:val="lt-LT"/>
              </w:rPr>
              <w:t>Įstatymo 3 straipsnio 1 dalis</w:t>
            </w:r>
            <w:r w:rsidR="00E8786E">
              <w:rPr>
                <w:rStyle w:val="FootnoteReference"/>
                <w:rFonts w:ascii="Times New Roman" w:hAnsi="Times New Roman" w:cs="Times New Roman"/>
                <w:b/>
                <w:sz w:val="24"/>
                <w:szCs w:val="24"/>
                <w:lang w:val="lt-LT"/>
              </w:rPr>
              <w:footnoteReference w:id="3"/>
            </w:r>
          </w:p>
        </w:tc>
      </w:tr>
      <w:tr w:rsidR="00F04F5F" w:rsidRPr="00BC7E36" w:rsidTr="00E930CB">
        <w:trPr>
          <w:trHeight w:val="2523"/>
        </w:trPr>
        <w:tc>
          <w:tcPr>
            <w:tcW w:w="9738" w:type="dxa"/>
            <w:gridSpan w:val="2"/>
          </w:tcPr>
          <w:p w:rsidR="00CC10E0" w:rsidRDefault="00F04F5F" w:rsidP="00CC10E0">
            <w:pPr>
              <w:pStyle w:val="ListParagraph"/>
              <w:tabs>
                <w:tab w:val="left" w:pos="993"/>
              </w:tabs>
              <w:ind w:left="0"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Pirkimo komisija 2016-02-22 posėdyje (protokolo Nr. 67) nutarė </w:t>
            </w:r>
            <w:proofErr w:type="gramStart"/>
            <w:r w:rsidRPr="00BC7E36">
              <w:rPr>
                <w:rFonts w:ascii="Times New Roman" w:hAnsi="Times New Roman" w:cs="Times New Roman"/>
                <w:sz w:val="24"/>
                <w:szCs w:val="24"/>
                <w:lang w:val="lt-LT"/>
              </w:rPr>
              <w:t>kreiptis</w:t>
            </w:r>
            <w:proofErr w:type="gramEnd"/>
            <w:r w:rsidRPr="00BC7E36">
              <w:rPr>
                <w:rFonts w:ascii="Times New Roman" w:hAnsi="Times New Roman" w:cs="Times New Roman"/>
                <w:sz w:val="24"/>
                <w:szCs w:val="24"/>
                <w:lang w:val="lt-LT"/>
              </w:rPr>
              <w:t xml:space="preserve"> į Tiekėją Nr.1 ir tiekėją UAB „</w:t>
            </w:r>
            <w:proofErr w:type="spellStart"/>
            <w:r w:rsidRPr="00BC7E36">
              <w:rPr>
                <w:rFonts w:ascii="Times New Roman" w:hAnsi="Times New Roman" w:cs="Times New Roman"/>
                <w:sz w:val="24"/>
                <w:szCs w:val="24"/>
                <w:lang w:val="lt-LT"/>
              </w:rPr>
              <w:t>Hitra</w:t>
            </w:r>
            <w:proofErr w:type="spellEnd"/>
            <w:r w:rsidRPr="00BC7E36">
              <w:rPr>
                <w:rFonts w:ascii="Times New Roman" w:hAnsi="Times New Roman" w:cs="Times New Roman"/>
                <w:sz w:val="24"/>
                <w:szCs w:val="24"/>
                <w:lang w:val="lt-LT"/>
              </w:rPr>
              <w:t>“ (toliau – Tiekėjas Nr.2) dėl kvalifikacijos duomenų patikslinimo. Tiekėjams pateikus papildomus dokumentus, Pirkimo komisija</w:t>
            </w:r>
            <w:r w:rsidR="00CC10E0">
              <w:rPr>
                <w:rFonts w:ascii="Times New Roman" w:hAnsi="Times New Roman" w:cs="Times New Roman"/>
                <w:sz w:val="24"/>
                <w:szCs w:val="24"/>
                <w:lang w:val="lt-LT"/>
              </w:rPr>
              <w:t>:</w:t>
            </w:r>
          </w:p>
          <w:p w:rsidR="00CC10E0" w:rsidRDefault="00CC10E0" w:rsidP="00CC10E0">
            <w:pPr>
              <w:pStyle w:val="ListParagraph"/>
              <w:tabs>
                <w:tab w:val="left" w:pos="993"/>
              </w:tabs>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04F5F" w:rsidRPr="00BC7E36">
              <w:rPr>
                <w:rFonts w:ascii="Times New Roman" w:hAnsi="Times New Roman" w:cs="Times New Roman"/>
                <w:sz w:val="24"/>
                <w:szCs w:val="24"/>
                <w:lang w:val="lt-LT"/>
              </w:rPr>
              <w:t>2016-03-01</w:t>
            </w:r>
            <w:r w:rsidR="00561C2C">
              <w:rPr>
                <w:rFonts w:ascii="Times New Roman" w:hAnsi="Times New Roman" w:cs="Times New Roman"/>
                <w:sz w:val="24"/>
                <w:szCs w:val="24"/>
                <w:lang w:val="lt-LT"/>
              </w:rPr>
              <w:t xml:space="preserve"> (protokolo Nr.88) posėdyje svarstė, kad</w:t>
            </w:r>
            <w:r>
              <w:rPr>
                <w:rFonts w:ascii="Times New Roman" w:hAnsi="Times New Roman" w:cs="Times New Roman"/>
                <w:sz w:val="24"/>
                <w:szCs w:val="24"/>
                <w:lang w:val="lt-LT"/>
              </w:rPr>
              <w:t xml:space="preserve"> </w:t>
            </w:r>
            <w:r w:rsidR="00561C2C">
              <w:rPr>
                <w:rFonts w:ascii="Times New Roman" w:hAnsi="Times New Roman" w:cs="Times New Roman"/>
                <w:sz w:val="24"/>
                <w:szCs w:val="24"/>
                <w:lang w:val="lt-LT"/>
              </w:rPr>
              <w:t>Tiekėjo Nr. 2 pateikti dokumentai neįrodo Tiekėjo Nr.2</w:t>
            </w:r>
            <w:r w:rsidR="00561C2C" w:rsidRPr="00BC7E36">
              <w:rPr>
                <w:rFonts w:ascii="Times New Roman" w:hAnsi="Times New Roman" w:cs="Times New Roman"/>
                <w:sz w:val="24"/>
                <w:szCs w:val="24"/>
                <w:lang w:val="lt-LT"/>
              </w:rPr>
              <w:t xml:space="preserve"> kvalifikacijos atitikties Pirkimo sąlygų 13.2 punkte nustatytam kvalifikacijos reikalavimui</w:t>
            </w:r>
            <w:r>
              <w:rPr>
                <w:rFonts w:ascii="Times New Roman" w:hAnsi="Times New Roman" w:cs="Times New Roman"/>
                <w:sz w:val="24"/>
                <w:szCs w:val="24"/>
                <w:lang w:val="lt-LT"/>
              </w:rPr>
              <w:t>;</w:t>
            </w:r>
          </w:p>
          <w:p w:rsidR="00F04F5F" w:rsidRPr="00BC7E36" w:rsidRDefault="00CC10E0" w:rsidP="00CC10E0">
            <w:pPr>
              <w:pStyle w:val="ListParagraph"/>
              <w:tabs>
                <w:tab w:val="left" w:pos="993"/>
              </w:tabs>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61C2C">
              <w:rPr>
                <w:rFonts w:ascii="Times New Roman" w:hAnsi="Times New Roman" w:cs="Times New Roman"/>
                <w:sz w:val="24"/>
                <w:szCs w:val="24"/>
                <w:lang w:val="lt-LT"/>
              </w:rPr>
              <w:t>2016-03-09 posėdyje (protokolo</w:t>
            </w:r>
            <w:r w:rsidR="00F04F5F" w:rsidRPr="00BC7E36">
              <w:rPr>
                <w:rFonts w:ascii="Times New Roman" w:hAnsi="Times New Roman" w:cs="Times New Roman"/>
                <w:sz w:val="24"/>
                <w:szCs w:val="24"/>
                <w:lang w:val="lt-LT"/>
              </w:rPr>
              <w:t xml:space="preserve"> Nr. 101) svarstė, kad tiek Tie</w:t>
            </w:r>
            <w:r w:rsidR="00561C2C">
              <w:rPr>
                <w:rFonts w:ascii="Times New Roman" w:hAnsi="Times New Roman" w:cs="Times New Roman"/>
                <w:sz w:val="24"/>
                <w:szCs w:val="24"/>
                <w:lang w:val="lt-LT"/>
              </w:rPr>
              <w:t>kėjo Nr.1</w:t>
            </w:r>
            <w:r w:rsidR="00F04F5F" w:rsidRPr="00BC7E36">
              <w:rPr>
                <w:rFonts w:ascii="Times New Roman" w:hAnsi="Times New Roman" w:cs="Times New Roman"/>
                <w:sz w:val="24"/>
                <w:szCs w:val="24"/>
                <w:lang w:val="lt-LT"/>
              </w:rPr>
              <w:t xml:space="preserve"> </w:t>
            </w:r>
            <w:r w:rsidR="00561C2C">
              <w:rPr>
                <w:rFonts w:ascii="Times New Roman" w:hAnsi="Times New Roman" w:cs="Times New Roman"/>
                <w:sz w:val="24"/>
                <w:szCs w:val="24"/>
                <w:lang w:val="lt-LT"/>
              </w:rPr>
              <w:t xml:space="preserve">pateikti dokumentai neįrodo Tiekėjo Nr.1 pasitelkiamo subtiekėjo </w:t>
            </w:r>
            <w:r w:rsidR="00561C2C" w:rsidRPr="00C02FA6">
              <w:rPr>
                <w:rFonts w:ascii="Times New Roman" w:hAnsi="Times New Roman" w:cs="Times New Roman"/>
                <w:sz w:val="24"/>
                <w:szCs w:val="24"/>
                <w:lang w:val="lt-LT"/>
              </w:rPr>
              <w:t>UAB „</w:t>
            </w:r>
            <w:proofErr w:type="spellStart"/>
            <w:r w:rsidR="00561C2C" w:rsidRPr="00C02FA6">
              <w:rPr>
                <w:rFonts w:ascii="Times New Roman" w:hAnsi="Times New Roman" w:cs="Times New Roman"/>
                <w:sz w:val="24"/>
                <w:szCs w:val="24"/>
                <w:lang w:val="lt-LT"/>
              </w:rPr>
              <w:t>Restaulita</w:t>
            </w:r>
            <w:proofErr w:type="spellEnd"/>
            <w:r w:rsidR="00561C2C" w:rsidRPr="00C02FA6">
              <w:rPr>
                <w:rFonts w:ascii="Times New Roman" w:hAnsi="Times New Roman" w:cs="Times New Roman"/>
                <w:sz w:val="24"/>
                <w:szCs w:val="24"/>
                <w:lang w:val="lt-LT"/>
              </w:rPr>
              <w:t>“</w:t>
            </w:r>
            <w:r w:rsidR="00F04F5F" w:rsidRPr="00BC7E36">
              <w:rPr>
                <w:rFonts w:ascii="Times New Roman" w:hAnsi="Times New Roman" w:cs="Times New Roman"/>
                <w:sz w:val="24"/>
                <w:szCs w:val="24"/>
                <w:lang w:val="lt-LT"/>
              </w:rPr>
              <w:t xml:space="preserve"> kvalifikacijos atitikties Pirkimo sąlygų 13.2 punkte nustatytam kvalifikacijos reikalavimui</w:t>
            </w:r>
            <w:r>
              <w:rPr>
                <w:rFonts w:ascii="Times New Roman" w:hAnsi="Times New Roman" w:cs="Times New Roman"/>
                <w:sz w:val="24"/>
                <w:szCs w:val="24"/>
                <w:lang w:val="lt-LT"/>
              </w:rPr>
              <w:t>, t</w:t>
            </w:r>
            <w:r w:rsidR="00561C2C">
              <w:rPr>
                <w:rFonts w:ascii="Times New Roman" w:hAnsi="Times New Roman" w:cs="Times New Roman"/>
                <w:sz w:val="24"/>
                <w:szCs w:val="24"/>
                <w:lang w:val="lt-LT"/>
              </w:rPr>
              <w:t>.y.</w:t>
            </w:r>
            <w:r>
              <w:rPr>
                <w:rFonts w:ascii="Times New Roman" w:hAnsi="Times New Roman" w:cs="Times New Roman"/>
                <w:sz w:val="24"/>
                <w:szCs w:val="24"/>
                <w:lang w:val="lt-LT"/>
              </w:rPr>
              <w:t xml:space="preserve"> </w:t>
            </w:r>
            <w:r w:rsidR="00561C2C">
              <w:rPr>
                <w:rFonts w:ascii="Times New Roman" w:hAnsi="Times New Roman" w:cs="Times New Roman"/>
                <w:sz w:val="24"/>
                <w:szCs w:val="24"/>
                <w:lang w:val="lt-LT"/>
              </w:rPr>
              <w:t xml:space="preserve">pateikti papildomi </w:t>
            </w:r>
            <w:r w:rsidR="00317DC1">
              <w:rPr>
                <w:rFonts w:ascii="Times New Roman" w:hAnsi="Times New Roman" w:cs="Times New Roman"/>
                <w:sz w:val="24"/>
                <w:szCs w:val="24"/>
                <w:lang w:val="lt-LT"/>
              </w:rPr>
              <w:t>dokumentai</w:t>
            </w:r>
            <w:r w:rsidR="00561C2C">
              <w:rPr>
                <w:rFonts w:ascii="Times New Roman" w:hAnsi="Times New Roman" w:cs="Times New Roman"/>
                <w:sz w:val="24"/>
                <w:szCs w:val="24"/>
                <w:lang w:val="lt-LT"/>
              </w:rPr>
              <w:t xml:space="preserve"> neįrodo</w:t>
            </w:r>
            <w:r>
              <w:rPr>
                <w:rFonts w:ascii="Times New Roman" w:hAnsi="Times New Roman" w:cs="Times New Roman"/>
                <w:sz w:val="24"/>
                <w:szCs w:val="24"/>
                <w:lang w:val="lt-LT"/>
              </w:rPr>
              <w:t xml:space="preserve"> abiejų tiekėjų</w:t>
            </w:r>
            <w:r w:rsidR="00561C2C">
              <w:rPr>
                <w:rFonts w:ascii="Times New Roman" w:hAnsi="Times New Roman" w:cs="Times New Roman"/>
                <w:sz w:val="24"/>
                <w:szCs w:val="24"/>
                <w:lang w:val="lt-LT"/>
              </w:rPr>
              <w:t xml:space="preserve"> kvalifikacijos atitikties</w:t>
            </w:r>
            <w:r>
              <w:rPr>
                <w:rFonts w:ascii="Times New Roman" w:hAnsi="Times New Roman" w:cs="Times New Roman"/>
                <w:sz w:val="24"/>
                <w:szCs w:val="24"/>
                <w:lang w:val="lt-LT"/>
              </w:rPr>
              <w:t xml:space="preserve"> tam pačiam</w:t>
            </w:r>
            <w:r w:rsidR="00561C2C">
              <w:rPr>
                <w:rFonts w:ascii="Times New Roman" w:hAnsi="Times New Roman" w:cs="Times New Roman"/>
                <w:sz w:val="24"/>
                <w:szCs w:val="24"/>
                <w:lang w:val="lt-LT"/>
              </w:rPr>
              <w:t xml:space="preserve"> </w:t>
            </w:r>
            <w:r w:rsidR="00561C2C" w:rsidRPr="00BC7E36">
              <w:rPr>
                <w:rFonts w:ascii="Times New Roman" w:hAnsi="Times New Roman" w:cs="Times New Roman"/>
                <w:sz w:val="24"/>
                <w:szCs w:val="24"/>
                <w:lang w:val="lt-LT"/>
              </w:rPr>
              <w:t>Pirkimo sąlygų 13.2 punkte nustatytam kvalifikacijos reikalavimui</w:t>
            </w:r>
            <w:r w:rsidR="00F04F5F" w:rsidRPr="00BC7E36">
              <w:rPr>
                <w:rFonts w:ascii="Times New Roman" w:hAnsi="Times New Roman" w:cs="Times New Roman"/>
                <w:sz w:val="24"/>
                <w:szCs w:val="24"/>
                <w:lang w:val="lt-LT"/>
              </w:rPr>
              <w:t xml:space="preserve"> ir Pirkimo komisija priėmė</w:t>
            </w:r>
            <w:r w:rsidR="009B11E4">
              <w:rPr>
                <w:rFonts w:ascii="Times New Roman" w:hAnsi="Times New Roman" w:cs="Times New Roman"/>
                <w:sz w:val="24"/>
                <w:szCs w:val="24"/>
                <w:lang w:val="lt-LT"/>
              </w:rPr>
              <w:t xml:space="preserve"> tokius</w:t>
            </w:r>
            <w:r w:rsidR="00F04F5F" w:rsidRPr="00BC7E36">
              <w:rPr>
                <w:rFonts w:ascii="Times New Roman" w:hAnsi="Times New Roman" w:cs="Times New Roman"/>
                <w:sz w:val="24"/>
                <w:szCs w:val="24"/>
                <w:lang w:val="lt-LT"/>
              </w:rPr>
              <w:t xml:space="preserve"> sprendimus: a) </w:t>
            </w:r>
            <w:proofErr w:type="gramStart"/>
            <w:r w:rsidR="00F04F5F" w:rsidRPr="00BC7E36">
              <w:rPr>
                <w:rFonts w:ascii="Times New Roman" w:hAnsi="Times New Roman" w:cs="Times New Roman"/>
                <w:sz w:val="24"/>
                <w:szCs w:val="24"/>
                <w:lang w:val="lt-LT"/>
              </w:rPr>
              <w:t>kreiptis</w:t>
            </w:r>
            <w:proofErr w:type="gramEnd"/>
            <w:r w:rsidR="00F04F5F" w:rsidRPr="00BC7E36">
              <w:rPr>
                <w:rFonts w:ascii="Times New Roman" w:hAnsi="Times New Roman" w:cs="Times New Roman"/>
                <w:sz w:val="24"/>
                <w:szCs w:val="24"/>
                <w:lang w:val="lt-LT"/>
              </w:rPr>
              <w:t xml:space="preserve"> į Tiekėją Nr.2 dėl kvalifikacijos duomenų patikslinimo; b) Tiekėjo Nr.1 pasiūlymą atmesti. Tokiu būdu Pirkimo komisija pažeidė lygiateisiškumo principą, nes, esant vienodoms aplinkybėms, priėmė skirtingus sprendimus skirtingų tiekėjų atžvilgiu.</w:t>
            </w:r>
          </w:p>
        </w:tc>
      </w:tr>
    </w:tbl>
    <w:p w:rsidR="008C62BC" w:rsidRPr="00BC7E36" w:rsidRDefault="008C62BC" w:rsidP="00AF484F">
      <w:pPr>
        <w:jc w:val="center"/>
        <w:rPr>
          <w:rFonts w:ascii="Times New Roman" w:hAnsi="Times New Roman" w:cs="Times New Roman"/>
          <w:b/>
          <w:sz w:val="24"/>
          <w:szCs w:val="24"/>
          <w:lang w:val="lt-LT"/>
        </w:rPr>
      </w:pPr>
    </w:p>
    <w:p w:rsidR="00B64236" w:rsidRDefault="008F4663" w:rsidP="00AF484F">
      <w:pPr>
        <w:jc w:val="center"/>
        <w:rPr>
          <w:rFonts w:ascii="Times New Roman" w:hAnsi="Times New Roman" w:cs="Times New Roman"/>
          <w:b/>
          <w:sz w:val="24"/>
          <w:szCs w:val="24"/>
          <w:lang w:val="lt-LT"/>
        </w:rPr>
      </w:pPr>
      <w:r w:rsidRPr="00BC7E36">
        <w:rPr>
          <w:rFonts w:ascii="Times New Roman" w:hAnsi="Times New Roman" w:cs="Times New Roman"/>
          <w:b/>
          <w:sz w:val="24"/>
          <w:szCs w:val="24"/>
          <w:lang w:val="lt-LT"/>
        </w:rPr>
        <w:t>I</w:t>
      </w:r>
      <w:r w:rsidR="00ED2E43" w:rsidRPr="00BC7E36">
        <w:rPr>
          <w:rFonts w:ascii="Times New Roman" w:hAnsi="Times New Roman" w:cs="Times New Roman"/>
          <w:b/>
          <w:sz w:val="24"/>
          <w:szCs w:val="24"/>
          <w:lang w:val="lt-LT"/>
        </w:rPr>
        <w:t>II</w:t>
      </w:r>
      <w:r w:rsidR="00B64236" w:rsidRPr="00BC7E36">
        <w:rPr>
          <w:rFonts w:ascii="Times New Roman" w:hAnsi="Times New Roman" w:cs="Times New Roman"/>
          <w:b/>
          <w:sz w:val="24"/>
          <w:szCs w:val="24"/>
          <w:lang w:val="lt-LT"/>
        </w:rPr>
        <w:t xml:space="preserve"> dalis </w:t>
      </w:r>
      <w:r w:rsidR="007A1C3E" w:rsidRPr="00BC7E36">
        <w:rPr>
          <w:rFonts w:ascii="Times New Roman" w:hAnsi="Times New Roman" w:cs="Times New Roman"/>
          <w:b/>
          <w:sz w:val="24"/>
          <w:szCs w:val="24"/>
          <w:lang w:val="lt-LT"/>
        </w:rPr>
        <w:t>P</w:t>
      </w:r>
      <w:r w:rsidR="00B64236" w:rsidRPr="00BC7E36">
        <w:rPr>
          <w:rFonts w:ascii="Times New Roman" w:hAnsi="Times New Roman" w:cs="Times New Roman"/>
          <w:b/>
          <w:sz w:val="24"/>
          <w:szCs w:val="24"/>
          <w:lang w:val="lt-LT"/>
        </w:rPr>
        <w:t>astabos</w:t>
      </w:r>
      <w:r w:rsidR="00B822E0" w:rsidRPr="00BC7E36">
        <w:rPr>
          <w:rFonts w:ascii="Times New Roman" w:hAnsi="Times New Roman" w:cs="Times New Roman"/>
          <w:b/>
          <w:sz w:val="24"/>
          <w:szCs w:val="24"/>
          <w:lang w:val="lt-LT"/>
        </w:rPr>
        <w:t>,</w:t>
      </w:r>
      <w:r w:rsidR="00B64236" w:rsidRPr="00BC7E36">
        <w:rPr>
          <w:rFonts w:ascii="Times New Roman" w:hAnsi="Times New Roman" w:cs="Times New Roman"/>
          <w:b/>
          <w:sz w:val="24"/>
          <w:szCs w:val="24"/>
          <w:lang w:val="lt-LT"/>
        </w:rPr>
        <w:t xml:space="preserve"> </w:t>
      </w:r>
      <w:r w:rsidR="0071396E" w:rsidRPr="00BC7E36">
        <w:rPr>
          <w:rFonts w:ascii="Times New Roman" w:hAnsi="Times New Roman" w:cs="Times New Roman"/>
          <w:b/>
          <w:sz w:val="24"/>
          <w:szCs w:val="24"/>
          <w:lang w:val="lt-LT"/>
        </w:rPr>
        <w:t xml:space="preserve">į kurias </w:t>
      </w:r>
      <w:r w:rsidR="00E930CB">
        <w:rPr>
          <w:rFonts w:ascii="Times New Roman" w:hAnsi="Times New Roman" w:cs="Times New Roman"/>
          <w:b/>
          <w:sz w:val="24"/>
          <w:szCs w:val="24"/>
          <w:lang w:val="lt-LT"/>
        </w:rPr>
        <w:t>p</w:t>
      </w:r>
      <w:r w:rsidR="00BA3D29" w:rsidRPr="00BC7E36">
        <w:rPr>
          <w:rFonts w:ascii="Times New Roman" w:hAnsi="Times New Roman" w:cs="Times New Roman"/>
          <w:b/>
          <w:sz w:val="24"/>
          <w:szCs w:val="24"/>
          <w:lang w:val="lt-LT"/>
        </w:rPr>
        <w:t>erkančioji organizacija</w:t>
      </w:r>
      <w:r w:rsidR="0071396E" w:rsidRPr="00BC7E36">
        <w:rPr>
          <w:rFonts w:ascii="Times New Roman" w:hAnsi="Times New Roman" w:cs="Times New Roman"/>
          <w:b/>
          <w:sz w:val="24"/>
          <w:szCs w:val="24"/>
          <w:lang w:val="lt-LT"/>
        </w:rPr>
        <w:t xml:space="preserve"> turėtų atsižvelgti vykdydama </w:t>
      </w:r>
      <w:r w:rsidR="00E93D32" w:rsidRPr="00BC7E36">
        <w:rPr>
          <w:rFonts w:ascii="Times New Roman" w:hAnsi="Times New Roman" w:cs="Times New Roman"/>
          <w:b/>
          <w:sz w:val="24"/>
          <w:szCs w:val="24"/>
          <w:lang w:val="lt-LT"/>
        </w:rPr>
        <w:t xml:space="preserve">kitus </w:t>
      </w:r>
      <w:r w:rsidR="0071396E" w:rsidRPr="00BC7E36">
        <w:rPr>
          <w:rFonts w:ascii="Times New Roman" w:hAnsi="Times New Roman" w:cs="Times New Roman"/>
          <w:b/>
          <w:sz w:val="24"/>
          <w:szCs w:val="24"/>
          <w:lang w:val="lt-LT"/>
        </w:rPr>
        <w:t>pirkimus</w:t>
      </w:r>
    </w:p>
    <w:p w:rsidR="00D0594E" w:rsidRDefault="00D0594E" w:rsidP="00AF484F">
      <w:pPr>
        <w:jc w:val="center"/>
        <w:rPr>
          <w:rFonts w:ascii="Times New Roman" w:hAnsi="Times New Roman" w:cs="Times New Roman"/>
          <w:b/>
          <w:sz w:val="24"/>
          <w:szCs w:val="24"/>
          <w:lang w:val="lt-LT"/>
        </w:rPr>
      </w:pPr>
    </w:p>
    <w:tbl>
      <w:tblPr>
        <w:tblStyle w:val="TableGrid"/>
        <w:tblW w:w="9738" w:type="dxa"/>
        <w:tblLook w:val="04A0"/>
      </w:tblPr>
      <w:tblGrid>
        <w:gridCol w:w="445"/>
        <w:gridCol w:w="304"/>
        <w:gridCol w:w="8989"/>
      </w:tblGrid>
      <w:tr w:rsidR="005021D3" w:rsidRPr="00BC7E36" w:rsidTr="00107D4C">
        <w:tc>
          <w:tcPr>
            <w:tcW w:w="445" w:type="dxa"/>
          </w:tcPr>
          <w:p w:rsidR="005021D3" w:rsidRPr="00BC7E36" w:rsidRDefault="007F5D85" w:rsidP="00A74C13">
            <w:pPr>
              <w:pStyle w:val="ListParagraph"/>
              <w:tabs>
                <w:tab w:val="left" w:pos="993"/>
              </w:tabs>
              <w:ind w:left="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1.</w:t>
            </w:r>
          </w:p>
        </w:tc>
        <w:tc>
          <w:tcPr>
            <w:tcW w:w="9293" w:type="dxa"/>
            <w:gridSpan w:val="2"/>
          </w:tcPr>
          <w:p w:rsidR="005021D3" w:rsidRPr="00BC7E36" w:rsidRDefault="005021D3" w:rsidP="00404A1F">
            <w:pPr>
              <w:pStyle w:val="ListParagraph"/>
              <w:tabs>
                <w:tab w:val="left" w:pos="993"/>
              </w:tabs>
              <w:ind w:left="0"/>
              <w:jc w:val="both"/>
              <w:rPr>
                <w:rFonts w:ascii="Times New Roman" w:hAnsi="Times New Roman" w:cs="Times New Roman"/>
                <w:b/>
                <w:sz w:val="24"/>
                <w:szCs w:val="24"/>
                <w:lang w:val="lt-LT"/>
              </w:rPr>
            </w:pPr>
          </w:p>
        </w:tc>
      </w:tr>
      <w:tr w:rsidR="005021D3" w:rsidRPr="00BC7E36" w:rsidTr="00107D4C">
        <w:tc>
          <w:tcPr>
            <w:tcW w:w="9738" w:type="dxa"/>
            <w:gridSpan w:val="3"/>
          </w:tcPr>
          <w:p w:rsidR="005021D3" w:rsidRPr="00BC7E36" w:rsidRDefault="00E70E72" w:rsidP="006A7EFC">
            <w:pPr>
              <w:pStyle w:val="ListParagraph"/>
              <w:tabs>
                <w:tab w:val="left" w:pos="993"/>
              </w:tabs>
              <w:ind w:left="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           </w:t>
            </w:r>
            <w:r w:rsidR="002A15CD" w:rsidRPr="00BC7E36">
              <w:rPr>
                <w:rFonts w:ascii="Times New Roman" w:hAnsi="Times New Roman" w:cs="Times New Roman"/>
                <w:sz w:val="24"/>
                <w:szCs w:val="24"/>
                <w:lang w:val="lt-LT"/>
              </w:rPr>
              <w:t>Pirkimo sąlygų</w:t>
            </w:r>
            <w:r w:rsidR="005A1CAD" w:rsidRPr="00BC7E36">
              <w:rPr>
                <w:rFonts w:ascii="Times New Roman" w:hAnsi="Times New Roman" w:cs="Times New Roman"/>
                <w:sz w:val="24"/>
                <w:szCs w:val="24"/>
                <w:lang w:val="lt-LT"/>
              </w:rPr>
              <w:t xml:space="preserve"> 1 ir 7 punktuose</w:t>
            </w:r>
            <w:r w:rsidR="002A15CD" w:rsidRPr="00BC7E36">
              <w:rPr>
                <w:rFonts w:ascii="Times New Roman" w:hAnsi="Times New Roman" w:cs="Times New Roman"/>
                <w:sz w:val="24"/>
                <w:szCs w:val="24"/>
                <w:lang w:val="lt-LT"/>
              </w:rPr>
              <w:t xml:space="preserve"> nustatyta, kad Perkančioji organizacija </w:t>
            </w:r>
            <w:proofErr w:type="gramStart"/>
            <w:r w:rsidR="002A15CD" w:rsidRPr="00BC7E36">
              <w:rPr>
                <w:rFonts w:ascii="Times New Roman" w:hAnsi="Times New Roman" w:cs="Times New Roman"/>
                <w:sz w:val="24"/>
                <w:szCs w:val="24"/>
                <w:lang w:val="lt-LT"/>
              </w:rPr>
              <w:t>perka</w:t>
            </w:r>
            <w:proofErr w:type="gramEnd"/>
            <w:r w:rsidR="002A15CD" w:rsidRPr="00BC7E36">
              <w:rPr>
                <w:rFonts w:ascii="Times New Roman" w:hAnsi="Times New Roman" w:cs="Times New Roman"/>
                <w:sz w:val="24"/>
                <w:szCs w:val="24"/>
                <w:lang w:val="lt-LT"/>
              </w:rPr>
              <w:t xml:space="preserve"> </w:t>
            </w:r>
            <w:r w:rsidR="00317DC1">
              <w:rPr>
                <w:rFonts w:ascii="Times New Roman" w:hAnsi="Times New Roman" w:cs="Times New Roman"/>
                <w:sz w:val="24"/>
                <w:szCs w:val="24"/>
                <w:lang w:val="lt-LT"/>
              </w:rPr>
              <w:t>automobilių remonto paslaugas (toliau – Paslaugos)</w:t>
            </w:r>
            <w:r w:rsidR="005A1CAD" w:rsidRPr="00BC7E36">
              <w:rPr>
                <w:rFonts w:ascii="Times New Roman" w:hAnsi="Times New Roman" w:cs="Times New Roman"/>
                <w:sz w:val="24"/>
                <w:szCs w:val="24"/>
                <w:lang w:val="lt-LT"/>
              </w:rPr>
              <w:t xml:space="preserve"> panaudojant </w:t>
            </w:r>
            <w:r w:rsidR="005A1CAD" w:rsidRPr="00BC7E36">
              <w:rPr>
                <w:rFonts w:ascii="Times New Roman" w:hAnsi="Times New Roman" w:cs="Times New Roman"/>
                <w:i/>
                <w:sz w:val="24"/>
                <w:szCs w:val="24"/>
                <w:lang w:val="lt-LT"/>
              </w:rPr>
              <w:t xml:space="preserve">„&lt;...&gt; </w:t>
            </w:r>
            <w:r w:rsidR="002A15CD" w:rsidRPr="00BC7E36">
              <w:rPr>
                <w:rFonts w:ascii="Times New Roman" w:hAnsi="Times New Roman" w:cs="Times New Roman"/>
                <w:i/>
                <w:sz w:val="24"/>
                <w:szCs w:val="24"/>
                <w:lang w:val="lt-LT"/>
              </w:rPr>
              <w:t>naujas originalias detales, mazgus bei medžiagas“</w:t>
            </w:r>
            <w:r w:rsidR="002A15CD" w:rsidRPr="00BC7E36">
              <w:rPr>
                <w:rFonts w:ascii="Times New Roman" w:hAnsi="Times New Roman" w:cs="Times New Roman"/>
                <w:sz w:val="24"/>
                <w:szCs w:val="24"/>
                <w:lang w:val="lt-LT"/>
              </w:rPr>
              <w:t xml:space="preserve"> bei Pirkimo sąlygų 65 punkte nustatyta, kad </w:t>
            </w:r>
            <w:r w:rsidR="002A15CD" w:rsidRPr="00BC7E36">
              <w:rPr>
                <w:rFonts w:ascii="Times New Roman" w:hAnsi="Times New Roman" w:cs="Times New Roman"/>
                <w:i/>
                <w:sz w:val="24"/>
                <w:szCs w:val="24"/>
                <w:lang w:val="lt-LT"/>
              </w:rPr>
              <w:t xml:space="preserve">„Paslaugų teikėjas turi turėti originalių (gamintojo) atsarginių dalių pasirinkimą </w:t>
            </w:r>
            <w:r w:rsidR="00D23D14" w:rsidRPr="00BC7E36">
              <w:rPr>
                <w:rFonts w:ascii="Times New Roman" w:hAnsi="Times New Roman" w:cs="Times New Roman"/>
                <w:i/>
                <w:sz w:val="24"/>
                <w:szCs w:val="24"/>
                <w:lang w:val="lt-LT"/>
              </w:rPr>
              <w:t>Lietuvos rinkos kainomis“</w:t>
            </w:r>
            <w:r w:rsidR="00A417BB" w:rsidRPr="00BC7E36">
              <w:rPr>
                <w:rFonts w:ascii="Times New Roman" w:hAnsi="Times New Roman" w:cs="Times New Roman"/>
                <w:sz w:val="24"/>
                <w:szCs w:val="24"/>
                <w:lang w:val="lt-LT"/>
              </w:rPr>
              <w:t>.</w:t>
            </w:r>
            <w:r w:rsidR="005A1CAD" w:rsidRPr="00BC7E36">
              <w:rPr>
                <w:rFonts w:ascii="Times New Roman" w:hAnsi="Times New Roman" w:cs="Times New Roman"/>
                <w:sz w:val="24"/>
                <w:szCs w:val="24"/>
                <w:lang w:val="lt-LT"/>
              </w:rPr>
              <w:t xml:space="preserve"> Taip pat kituose su Pirkimu susijusiuose dokumentuose</w:t>
            </w:r>
            <w:r w:rsidR="006A7EFC" w:rsidRPr="00BC7E36">
              <w:rPr>
                <w:rFonts w:ascii="Times New Roman" w:hAnsi="Times New Roman" w:cs="Times New Roman"/>
                <w:sz w:val="24"/>
                <w:szCs w:val="24"/>
                <w:lang w:val="lt-LT"/>
              </w:rPr>
              <w:t xml:space="preserve"> (Pirkimo užduotyje</w:t>
            </w:r>
            <w:r w:rsidR="000A2523" w:rsidRPr="00BC7E36">
              <w:rPr>
                <w:rFonts w:ascii="Times New Roman" w:hAnsi="Times New Roman" w:cs="Times New Roman"/>
                <w:sz w:val="24"/>
                <w:szCs w:val="24"/>
                <w:lang w:val="lt-LT"/>
              </w:rPr>
              <w:t>)</w:t>
            </w:r>
            <w:r w:rsidR="005A1CAD" w:rsidRPr="00BC7E36">
              <w:rPr>
                <w:rFonts w:ascii="Times New Roman" w:hAnsi="Times New Roman" w:cs="Times New Roman"/>
                <w:sz w:val="24"/>
                <w:szCs w:val="24"/>
                <w:lang w:val="lt-LT"/>
              </w:rPr>
              <w:t xml:space="preserve"> nurodyta, kad </w:t>
            </w:r>
            <w:r w:rsidR="00D0594E">
              <w:rPr>
                <w:rFonts w:ascii="Times New Roman" w:hAnsi="Times New Roman" w:cs="Times New Roman"/>
                <w:sz w:val="24"/>
                <w:szCs w:val="24"/>
                <w:lang w:val="lt-LT"/>
              </w:rPr>
              <w:t>P</w:t>
            </w:r>
            <w:r w:rsidR="00BB662C" w:rsidRPr="00BC7E36">
              <w:rPr>
                <w:rFonts w:ascii="Times New Roman" w:hAnsi="Times New Roman" w:cs="Times New Roman"/>
                <w:sz w:val="24"/>
                <w:szCs w:val="24"/>
                <w:lang w:val="lt-LT"/>
              </w:rPr>
              <w:t>aslaugų suteikimui naudojamos</w:t>
            </w:r>
            <w:r w:rsidR="00317DC1">
              <w:rPr>
                <w:rFonts w:ascii="Times New Roman" w:hAnsi="Times New Roman" w:cs="Times New Roman"/>
                <w:sz w:val="24"/>
                <w:szCs w:val="24"/>
                <w:lang w:val="lt-LT"/>
              </w:rPr>
              <w:t xml:space="preserve"> originalios d</w:t>
            </w:r>
            <w:r w:rsidR="005A1CAD" w:rsidRPr="00BC7E36">
              <w:rPr>
                <w:rFonts w:ascii="Times New Roman" w:hAnsi="Times New Roman" w:cs="Times New Roman"/>
                <w:sz w:val="24"/>
                <w:szCs w:val="24"/>
                <w:lang w:val="lt-LT"/>
              </w:rPr>
              <w:t>etalės, tačiau</w:t>
            </w:r>
            <w:r w:rsidR="00EA5F68" w:rsidRPr="00BC7E36">
              <w:rPr>
                <w:rFonts w:ascii="Times New Roman" w:hAnsi="Times New Roman" w:cs="Times New Roman"/>
                <w:sz w:val="24"/>
                <w:szCs w:val="24"/>
                <w:lang w:val="lt-LT"/>
              </w:rPr>
              <w:t xml:space="preserve"> </w:t>
            </w:r>
            <w:r w:rsidR="005A1CAD" w:rsidRPr="00BC7E36">
              <w:rPr>
                <w:rFonts w:ascii="Times New Roman" w:hAnsi="Times New Roman" w:cs="Times New Roman"/>
                <w:sz w:val="24"/>
                <w:szCs w:val="24"/>
                <w:lang w:val="lt-LT"/>
              </w:rPr>
              <w:t>Tarnyba pastebi, kad daugeliu atveju Paslauga gali būti suteikiama panaudojant</w:t>
            </w:r>
            <w:r w:rsidR="00217FFC" w:rsidRPr="00BC7E36">
              <w:rPr>
                <w:rFonts w:ascii="Times New Roman" w:hAnsi="Times New Roman" w:cs="Times New Roman"/>
                <w:sz w:val="24"/>
                <w:szCs w:val="24"/>
                <w:lang w:val="lt-LT"/>
              </w:rPr>
              <w:t xml:space="preserve"> kokybiškas</w:t>
            </w:r>
            <w:r w:rsidR="005A1CAD" w:rsidRPr="00BC7E36">
              <w:rPr>
                <w:rFonts w:ascii="Times New Roman" w:hAnsi="Times New Roman" w:cs="Times New Roman"/>
                <w:sz w:val="24"/>
                <w:szCs w:val="24"/>
                <w:lang w:val="lt-LT"/>
              </w:rPr>
              <w:t xml:space="preserve"> neoriginalias detales</w:t>
            </w:r>
            <w:r w:rsidR="00DC3E31" w:rsidRPr="00BC7E36">
              <w:rPr>
                <w:rFonts w:ascii="Times New Roman" w:hAnsi="Times New Roman" w:cs="Times New Roman"/>
                <w:sz w:val="24"/>
                <w:szCs w:val="24"/>
                <w:lang w:val="lt-LT"/>
              </w:rPr>
              <w:t xml:space="preserve">, nes </w:t>
            </w:r>
            <w:r w:rsidR="00217FFC" w:rsidRPr="00BC7E36">
              <w:rPr>
                <w:rFonts w:ascii="Times New Roman" w:hAnsi="Times New Roman" w:cs="Times New Roman"/>
                <w:sz w:val="24"/>
                <w:szCs w:val="24"/>
                <w:lang w:val="lt-LT"/>
              </w:rPr>
              <w:t>rinkoje yra daug neoriginalių d</w:t>
            </w:r>
            <w:r w:rsidR="00DC3E31" w:rsidRPr="00BC7E36">
              <w:rPr>
                <w:rFonts w:ascii="Times New Roman" w:hAnsi="Times New Roman" w:cs="Times New Roman"/>
                <w:sz w:val="24"/>
                <w:szCs w:val="24"/>
                <w:lang w:val="lt-LT"/>
              </w:rPr>
              <w:t xml:space="preserve">etalių, kurių </w:t>
            </w:r>
            <w:r w:rsidR="00DC3E31" w:rsidRPr="00BC7E36">
              <w:rPr>
                <w:rFonts w:ascii="Times New Roman" w:hAnsi="Times New Roman" w:cs="Times New Roman"/>
                <w:sz w:val="24"/>
                <w:szCs w:val="24"/>
                <w:lang w:val="lt-LT"/>
              </w:rPr>
              <w:lastRenderedPageBreak/>
              <w:t xml:space="preserve">kokybė laikytina lygiaverte originalių </w:t>
            </w:r>
            <w:r w:rsidR="00217FFC" w:rsidRPr="00BC7E36">
              <w:rPr>
                <w:rFonts w:ascii="Times New Roman" w:hAnsi="Times New Roman" w:cs="Times New Roman"/>
                <w:sz w:val="24"/>
                <w:szCs w:val="24"/>
                <w:lang w:val="lt-LT"/>
              </w:rPr>
              <w:t>d</w:t>
            </w:r>
            <w:r w:rsidR="00DC3E31" w:rsidRPr="00BC7E36">
              <w:rPr>
                <w:rFonts w:ascii="Times New Roman" w:hAnsi="Times New Roman" w:cs="Times New Roman"/>
                <w:sz w:val="24"/>
                <w:szCs w:val="24"/>
                <w:lang w:val="lt-LT"/>
              </w:rPr>
              <w:t xml:space="preserve">etalių kokybei, </w:t>
            </w:r>
            <w:r w:rsidR="00BB662C" w:rsidRPr="00BC7E36">
              <w:rPr>
                <w:rFonts w:ascii="Times New Roman" w:hAnsi="Times New Roman" w:cs="Times New Roman"/>
                <w:sz w:val="24"/>
                <w:szCs w:val="24"/>
                <w:lang w:val="lt-LT"/>
              </w:rPr>
              <w:t>o</w:t>
            </w:r>
            <w:r w:rsidR="00DC3E31" w:rsidRPr="00BC7E36">
              <w:rPr>
                <w:rFonts w:ascii="Times New Roman" w:hAnsi="Times New Roman" w:cs="Times New Roman"/>
                <w:sz w:val="24"/>
                <w:szCs w:val="24"/>
                <w:lang w:val="lt-LT"/>
              </w:rPr>
              <w:t xml:space="preserve"> jų kaina gerokai mažesnė.</w:t>
            </w:r>
          </w:p>
        </w:tc>
      </w:tr>
      <w:tr w:rsidR="00477891" w:rsidRPr="00BC7E36" w:rsidTr="00107D4C">
        <w:trPr>
          <w:trHeight w:val="275"/>
        </w:trPr>
        <w:tc>
          <w:tcPr>
            <w:tcW w:w="749" w:type="dxa"/>
            <w:gridSpan w:val="2"/>
          </w:tcPr>
          <w:p w:rsidR="00477891" w:rsidRPr="00BC7E36" w:rsidRDefault="00477891" w:rsidP="00477891">
            <w:pPr>
              <w:pStyle w:val="ListParagraph"/>
              <w:ind w:left="0"/>
              <w:jc w:val="center"/>
              <w:rPr>
                <w:rFonts w:ascii="Times New Roman" w:hAnsi="Times New Roman" w:cs="Times New Roman"/>
                <w:sz w:val="24"/>
                <w:szCs w:val="24"/>
                <w:lang w:val="lt-LT"/>
              </w:rPr>
            </w:pPr>
            <w:bookmarkStart w:id="0" w:name="_GoBack"/>
            <w:bookmarkEnd w:id="0"/>
            <w:r>
              <w:rPr>
                <w:rFonts w:ascii="Times New Roman" w:hAnsi="Times New Roman" w:cs="Times New Roman"/>
                <w:sz w:val="24"/>
                <w:szCs w:val="24"/>
                <w:lang w:val="lt-LT"/>
              </w:rPr>
              <w:lastRenderedPageBreak/>
              <w:t>2</w:t>
            </w:r>
            <w:r w:rsidRPr="00BC7E36">
              <w:rPr>
                <w:rFonts w:ascii="Times New Roman" w:hAnsi="Times New Roman" w:cs="Times New Roman"/>
                <w:sz w:val="24"/>
                <w:szCs w:val="24"/>
                <w:lang w:val="lt-LT"/>
              </w:rPr>
              <w:t>.</w:t>
            </w:r>
          </w:p>
        </w:tc>
        <w:tc>
          <w:tcPr>
            <w:tcW w:w="8989" w:type="dxa"/>
          </w:tcPr>
          <w:p w:rsidR="00477891" w:rsidRPr="00BC7E36" w:rsidRDefault="00477891" w:rsidP="00477891">
            <w:pPr>
              <w:jc w:val="both"/>
              <w:rPr>
                <w:rFonts w:ascii="Times New Roman" w:hAnsi="Times New Roman" w:cs="Times New Roman"/>
                <w:b/>
                <w:sz w:val="24"/>
                <w:szCs w:val="24"/>
                <w:lang w:val="lt-LT"/>
              </w:rPr>
            </w:pPr>
          </w:p>
        </w:tc>
      </w:tr>
      <w:tr w:rsidR="00477891" w:rsidRPr="00BC7E36" w:rsidTr="00107D4C">
        <w:trPr>
          <w:trHeight w:val="440"/>
        </w:trPr>
        <w:tc>
          <w:tcPr>
            <w:tcW w:w="9738" w:type="dxa"/>
            <w:gridSpan w:val="3"/>
          </w:tcPr>
          <w:p w:rsidR="00477891" w:rsidRPr="00BC7E36" w:rsidRDefault="00D11A42" w:rsidP="00317DC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 priede „AB „Kauno energija“ preliminariai numatomų automobilių remonto paslaugų techninė specifikacija“ (toliau – Techninė specifikacija) nurodyti perkamų </w:t>
            </w:r>
            <w:r w:rsidR="00317DC1">
              <w:rPr>
                <w:rFonts w:ascii="Times New Roman" w:hAnsi="Times New Roman" w:cs="Times New Roman"/>
                <w:sz w:val="24"/>
                <w:szCs w:val="24"/>
                <w:lang w:val="lt-LT"/>
              </w:rPr>
              <w:t>Paslaugų</w:t>
            </w:r>
            <w:r>
              <w:rPr>
                <w:rFonts w:ascii="Times New Roman" w:hAnsi="Times New Roman" w:cs="Times New Roman"/>
                <w:sz w:val="24"/>
                <w:szCs w:val="24"/>
                <w:lang w:val="lt-LT"/>
              </w:rPr>
              <w:t xml:space="preserve"> kiekiai ir Pirkimo sąlygų 9 punkte bei Techninės specifikacijos 1 punkte nustatyta, kad nurodyti Paslaugų kiekiai</w:t>
            </w:r>
            <w:r w:rsidR="001F48D7">
              <w:rPr>
                <w:rFonts w:ascii="Times New Roman" w:hAnsi="Times New Roman" w:cs="Times New Roman"/>
                <w:sz w:val="24"/>
                <w:szCs w:val="24"/>
                <w:lang w:val="lt-LT"/>
              </w:rPr>
              <w:t xml:space="preserve"> yra preliminarūs ir</w:t>
            </w:r>
            <w:r>
              <w:rPr>
                <w:rFonts w:ascii="Times New Roman" w:hAnsi="Times New Roman" w:cs="Times New Roman"/>
                <w:sz w:val="24"/>
                <w:szCs w:val="24"/>
                <w:lang w:val="lt-LT"/>
              </w:rPr>
              <w:t xml:space="preserve"> skirti tik pasiūlymų kainų palyginimui. Tačiau Pirkimo dokumentuose nėra nustatyta jokių sąlygų</w:t>
            </w:r>
            <w:r w:rsidR="00B32174">
              <w:rPr>
                <w:rFonts w:ascii="Times New Roman" w:hAnsi="Times New Roman" w:cs="Times New Roman"/>
                <w:sz w:val="24"/>
                <w:szCs w:val="24"/>
                <w:lang w:val="lt-LT"/>
              </w:rPr>
              <w:t>, susijusių su</w:t>
            </w:r>
            <w:r w:rsidR="00C02FA6">
              <w:rPr>
                <w:rFonts w:ascii="Times New Roman" w:hAnsi="Times New Roman" w:cs="Times New Roman"/>
                <w:sz w:val="24"/>
                <w:szCs w:val="24"/>
                <w:lang w:val="lt-LT"/>
              </w:rPr>
              <w:t xml:space="preserve"> pasiūlymų kainų priimtinumo</w:t>
            </w:r>
            <w:r w:rsidR="001F48D7">
              <w:rPr>
                <w:rFonts w:ascii="Times New Roman" w:hAnsi="Times New Roman" w:cs="Times New Roman"/>
                <w:sz w:val="24"/>
                <w:szCs w:val="24"/>
                <w:lang w:val="lt-LT"/>
              </w:rPr>
              <w:t xml:space="preserve"> Perkančiajai organizacijai</w:t>
            </w:r>
            <w:r w:rsidR="00C02FA6">
              <w:rPr>
                <w:rFonts w:ascii="Times New Roman" w:hAnsi="Times New Roman" w:cs="Times New Roman"/>
                <w:sz w:val="24"/>
                <w:szCs w:val="24"/>
                <w:lang w:val="lt-LT"/>
              </w:rPr>
              <w:t xml:space="preserve"> vertinimu</w:t>
            </w:r>
            <w:r w:rsidR="001F48D7">
              <w:rPr>
                <w:rFonts w:ascii="Times New Roman" w:hAnsi="Times New Roman" w:cs="Times New Roman"/>
                <w:sz w:val="24"/>
                <w:szCs w:val="24"/>
                <w:lang w:val="lt-LT"/>
              </w:rPr>
              <w:t>.</w:t>
            </w:r>
            <w:r w:rsidR="00107D4C">
              <w:rPr>
                <w:rFonts w:ascii="Times New Roman" w:hAnsi="Times New Roman" w:cs="Times New Roman"/>
                <w:sz w:val="24"/>
                <w:szCs w:val="24"/>
                <w:lang w:val="lt-LT"/>
              </w:rPr>
              <w:t xml:space="preserve"> Pažymėtina, kad </w:t>
            </w:r>
            <w:r w:rsidR="00107D4C" w:rsidRPr="00BC7E36">
              <w:rPr>
                <w:rFonts w:ascii="Times New Roman" w:hAnsi="Times New Roman" w:cs="Times New Roman"/>
                <w:sz w:val="24"/>
                <w:szCs w:val="24"/>
                <w:lang w:val="lt-LT"/>
              </w:rPr>
              <w:t>Pirkimo objektas susideda iš Paslaugų, kurioms numatyta 60.000,00 EUR be PVM ir automobilių detalių/mazgų/medžiagų, reikalingų Paslaugoms suteikti</w:t>
            </w:r>
            <w:r w:rsidR="00C02FA6">
              <w:rPr>
                <w:rFonts w:ascii="Times New Roman" w:hAnsi="Times New Roman" w:cs="Times New Roman"/>
                <w:sz w:val="24"/>
                <w:szCs w:val="24"/>
                <w:lang w:val="lt-LT"/>
              </w:rPr>
              <w:t xml:space="preserve">, </w:t>
            </w:r>
            <w:r w:rsidR="00C02FA6" w:rsidRPr="00BC7E36">
              <w:rPr>
                <w:rFonts w:ascii="Times New Roman" w:hAnsi="Times New Roman" w:cs="Times New Roman"/>
                <w:sz w:val="24"/>
                <w:szCs w:val="24"/>
                <w:lang w:val="lt-LT"/>
              </w:rPr>
              <w:t>kuriom</w:t>
            </w:r>
            <w:r w:rsidR="00C02FA6">
              <w:rPr>
                <w:rFonts w:ascii="Times New Roman" w:hAnsi="Times New Roman" w:cs="Times New Roman"/>
                <w:sz w:val="24"/>
                <w:szCs w:val="24"/>
                <w:lang w:val="lt-LT"/>
              </w:rPr>
              <w:t>s numatyta 45.000,00 EUR be PVM</w:t>
            </w:r>
            <w:r w:rsidR="00C02FA6" w:rsidRPr="00BC7E36">
              <w:rPr>
                <w:rFonts w:ascii="Times New Roman" w:hAnsi="Times New Roman" w:cs="Times New Roman"/>
                <w:sz w:val="24"/>
                <w:szCs w:val="24"/>
                <w:lang w:val="lt-LT"/>
              </w:rPr>
              <w:t xml:space="preserve"> </w:t>
            </w:r>
            <w:r w:rsidR="00C02FA6">
              <w:rPr>
                <w:rFonts w:ascii="Times New Roman" w:hAnsi="Times New Roman" w:cs="Times New Roman"/>
                <w:sz w:val="24"/>
                <w:szCs w:val="24"/>
                <w:lang w:val="lt-LT"/>
              </w:rPr>
              <w:t>(</w:t>
            </w:r>
            <w:r w:rsidR="00C02FA6" w:rsidRPr="00BC7E36">
              <w:rPr>
                <w:rFonts w:ascii="Times New Roman" w:hAnsi="Times New Roman" w:cs="Times New Roman"/>
                <w:sz w:val="24"/>
                <w:szCs w:val="24"/>
                <w:lang w:val="lt-LT"/>
              </w:rPr>
              <w:t>Viso - 105.000,00 EUR be PVM</w:t>
            </w:r>
            <w:r w:rsidR="00C02FA6">
              <w:rPr>
                <w:rFonts w:ascii="Times New Roman" w:hAnsi="Times New Roman" w:cs="Times New Roman"/>
                <w:sz w:val="24"/>
                <w:szCs w:val="24"/>
                <w:lang w:val="lt-LT"/>
              </w:rPr>
              <w:t xml:space="preserve">) </w:t>
            </w:r>
            <w:r w:rsidR="00107D4C" w:rsidRPr="00BC7E36">
              <w:rPr>
                <w:rFonts w:ascii="Times New Roman" w:hAnsi="Times New Roman" w:cs="Times New Roman"/>
                <w:sz w:val="24"/>
                <w:szCs w:val="24"/>
                <w:lang w:val="lt-LT"/>
              </w:rPr>
              <w:t>įsigijimo</w:t>
            </w:r>
            <w:r w:rsidR="00107D4C">
              <w:rPr>
                <w:rFonts w:ascii="Times New Roman" w:hAnsi="Times New Roman" w:cs="Times New Roman"/>
                <w:sz w:val="24"/>
                <w:szCs w:val="24"/>
                <w:lang w:val="lt-LT"/>
              </w:rPr>
              <w:t xml:space="preserve">. </w:t>
            </w:r>
            <w:r w:rsidR="00317DC1">
              <w:rPr>
                <w:rFonts w:ascii="Times New Roman" w:hAnsi="Times New Roman" w:cs="Times New Roman"/>
                <w:sz w:val="24"/>
                <w:szCs w:val="24"/>
                <w:lang w:val="lt-LT"/>
              </w:rPr>
              <w:t xml:space="preserve">Atsižvelgiant į tai, kad Perkančioji organizacija neįsigys visų siūlomų Paslaugų (Paslaugos bus užsakomos pagal faktinį </w:t>
            </w:r>
            <w:proofErr w:type="gramStart"/>
            <w:r w:rsidR="00317DC1">
              <w:rPr>
                <w:rFonts w:ascii="Times New Roman" w:hAnsi="Times New Roman" w:cs="Times New Roman"/>
                <w:sz w:val="24"/>
                <w:szCs w:val="24"/>
                <w:lang w:val="lt-LT"/>
              </w:rPr>
              <w:t>poreikį</w:t>
            </w:r>
            <w:proofErr w:type="gramEnd"/>
            <w:r w:rsidR="00317DC1">
              <w:rPr>
                <w:rFonts w:ascii="Times New Roman" w:hAnsi="Times New Roman" w:cs="Times New Roman"/>
                <w:sz w:val="24"/>
                <w:szCs w:val="24"/>
                <w:lang w:val="lt-LT"/>
              </w:rPr>
              <w:t xml:space="preserve">), o visų tiekėjų </w:t>
            </w:r>
            <w:r w:rsidR="00317DC1" w:rsidRPr="00BC7E36">
              <w:rPr>
                <w:rFonts w:ascii="Times New Roman" w:hAnsi="Times New Roman" w:cs="Times New Roman"/>
                <w:sz w:val="24"/>
                <w:szCs w:val="24"/>
                <w:lang w:val="lt-LT"/>
              </w:rPr>
              <w:t xml:space="preserve">(išskyrus atmesto Tiekėjo Nr.1) pasiūlymų kainos viršija </w:t>
            </w:r>
            <w:r w:rsidR="00317DC1">
              <w:rPr>
                <w:rFonts w:ascii="Times New Roman" w:hAnsi="Times New Roman" w:cs="Times New Roman"/>
                <w:sz w:val="24"/>
                <w:szCs w:val="24"/>
                <w:lang w:val="lt-LT"/>
              </w:rPr>
              <w:t>P</w:t>
            </w:r>
            <w:r w:rsidR="00317DC1" w:rsidRPr="00BC7E36">
              <w:rPr>
                <w:rFonts w:ascii="Times New Roman" w:hAnsi="Times New Roman" w:cs="Times New Roman"/>
                <w:sz w:val="24"/>
                <w:szCs w:val="24"/>
                <w:lang w:val="lt-LT"/>
              </w:rPr>
              <w:t xml:space="preserve">aslaugoms </w:t>
            </w:r>
            <w:r w:rsidR="00317DC1">
              <w:rPr>
                <w:rFonts w:ascii="Times New Roman" w:hAnsi="Times New Roman" w:cs="Times New Roman"/>
                <w:sz w:val="24"/>
                <w:szCs w:val="24"/>
                <w:lang w:val="lt-LT"/>
              </w:rPr>
              <w:t>suplanuotas lėšas, Perkančioji organizacija Pirkimo sąlygose</w:t>
            </w:r>
            <w:r w:rsidR="00D0594E">
              <w:rPr>
                <w:rFonts w:ascii="Times New Roman" w:hAnsi="Times New Roman" w:cs="Times New Roman"/>
                <w:sz w:val="24"/>
                <w:szCs w:val="24"/>
                <w:lang w:val="lt-LT"/>
              </w:rPr>
              <w:t xml:space="preserve"> turėtų</w:t>
            </w:r>
            <w:r w:rsidR="00317DC1">
              <w:rPr>
                <w:rFonts w:ascii="Times New Roman" w:hAnsi="Times New Roman" w:cs="Times New Roman"/>
                <w:sz w:val="24"/>
                <w:szCs w:val="24"/>
                <w:lang w:val="lt-LT"/>
              </w:rPr>
              <w:t xml:space="preserve"> nustatyti kokia pasiūlyme nurodytų Paslaugų kaina būtų ne per didelė ir priimtina Perkančiajai organizacijai.</w:t>
            </w:r>
          </w:p>
        </w:tc>
      </w:tr>
    </w:tbl>
    <w:p w:rsidR="00F607C9" w:rsidRPr="00BC7E36" w:rsidRDefault="00F607C9" w:rsidP="00455BB0">
      <w:pPr>
        <w:jc w:val="center"/>
        <w:rPr>
          <w:rFonts w:ascii="Times New Roman" w:hAnsi="Times New Roman" w:cs="Times New Roman"/>
          <w:b/>
          <w:sz w:val="24"/>
          <w:szCs w:val="24"/>
          <w:lang w:val="lt-LT"/>
        </w:rPr>
      </w:pPr>
    </w:p>
    <w:p w:rsidR="008C62BC" w:rsidRDefault="00ED2E43" w:rsidP="00455BB0">
      <w:pPr>
        <w:jc w:val="center"/>
        <w:rPr>
          <w:rFonts w:ascii="Times New Roman" w:hAnsi="Times New Roman" w:cs="Times New Roman"/>
          <w:b/>
          <w:sz w:val="24"/>
          <w:szCs w:val="24"/>
          <w:lang w:val="lt-LT"/>
        </w:rPr>
      </w:pPr>
      <w:r w:rsidRPr="00BC7E36">
        <w:rPr>
          <w:rFonts w:ascii="Times New Roman" w:hAnsi="Times New Roman" w:cs="Times New Roman"/>
          <w:b/>
          <w:sz w:val="24"/>
          <w:szCs w:val="24"/>
          <w:lang w:val="lt-LT"/>
        </w:rPr>
        <w:t>I</w:t>
      </w:r>
      <w:r w:rsidR="00D83099" w:rsidRPr="00BC7E36">
        <w:rPr>
          <w:rFonts w:ascii="Times New Roman" w:hAnsi="Times New Roman" w:cs="Times New Roman"/>
          <w:b/>
          <w:sz w:val="24"/>
          <w:szCs w:val="24"/>
          <w:lang w:val="lt-LT"/>
        </w:rPr>
        <w:t>V dalis. SPRENDIMAS</w:t>
      </w:r>
    </w:p>
    <w:p w:rsidR="00CC10E0" w:rsidRDefault="00CC10E0" w:rsidP="00CC10E0">
      <w:pPr>
        <w:spacing w:after="0" w:line="240" w:lineRule="auto"/>
        <w:ind w:firstLine="708"/>
        <w:jc w:val="both"/>
        <w:rPr>
          <w:sz w:val="24"/>
          <w:szCs w:val="24"/>
        </w:rPr>
      </w:pPr>
      <w:r w:rsidRPr="003C40D7">
        <w:rPr>
          <w:rFonts w:ascii="Times New Roman" w:hAnsi="Times New Roman"/>
          <w:sz w:val="24"/>
          <w:szCs w:val="24"/>
        </w:rPr>
        <w:t>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šioje išvadoje Tarnyba nepasisakys dėl</w:t>
      </w:r>
      <w:r w:rsidR="009B11E4">
        <w:rPr>
          <w:rFonts w:ascii="Times New Roman" w:hAnsi="Times New Roman"/>
          <w:sz w:val="24"/>
          <w:szCs w:val="24"/>
          <w:lang w:val="lt-LT"/>
        </w:rPr>
        <w:t xml:space="preserve"> I</w:t>
      </w:r>
      <w:r>
        <w:rPr>
          <w:rFonts w:ascii="Times New Roman" w:hAnsi="Times New Roman"/>
          <w:sz w:val="24"/>
          <w:szCs w:val="24"/>
        </w:rPr>
        <w:t>eškinyje skundžiamų</w:t>
      </w:r>
      <w:r w:rsidR="009B11E4">
        <w:rPr>
          <w:rFonts w:ascii="Times New Roman" w:hAnsi="Times New Roman"/>
          <w:sz w:val="24"/>
          <w:szCs w:val="24"/>
          <w:lang w:val="lt-LT"/>
        </w:rPr>
        <w:t xml:space="preserve"> </w:t>
      </w:r>
      <w:r>
        <w:rPr>
          <w:rFonts w:ascii="Times New Roman" w:hAnsi="Times New Roman"/>
          <w:sz w:val="24"/>
          <w:szCs w:val="24"/>
        </w:rPr>
        <w:t xml:space="preserve"> </w:t>
      </w:r>
      <w:r w:rsidR="009B11E4" w:rsidRPr="00BC7E36">
        <w:rPr>
          <w:rFonts w:ascii="Times New Roman" w:hAnsi="Times New Roman" w:cs="Times New Roman"/>
          <w:sz w:val="24"/>
          <w:szCs w:val="24"/>
          <w:lang w:val="lt-LT"/>
        </w:rPr>
        <w:t>Pirkimo procedūrų teisėtumo</w:t>
      </w:r>
      <w:r w:rsidRPr="003C40D7">
        <w:rPr>
          <w:rFonts w:ascii="Times New Roman" w:hAnsi="Times New Roman"/>
          <w:sz w:val="24"/>
          <w:szCs w:val="24"/>
        </w:rPr>
        <w:t>.</w:t>
      </w:r>
      <w:r w:rsidRPr="007029AE">
        <w:rPr>
          <w:sz w:val="24"/>
          <w:szCs w:val="24"/>
        </w:rPr>
        <w:t xml:space="preserve"> </w:t>
      </w:r>
      <w:r>
        <w:rPr>
          <w:sz w:val="24"/>
          <w:szCs w:val="24"/>
        </w:rPr>
        <w:tab/>
      </w:r>
    </w:p>
    <w:p w:rsidR="009B11E4" w:rsidRPr="00BC7E36" w:rsidRDefault="009B11E4" w:rsidP="009B11E4">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 xml:space="preserve">Teismui priėmus sprendimą </w:t>
      </w:r>
      <w:r>
        <w:rPr>
          <w:rFonts w:ascii="Times New Roman" w:hAnsi="Times New Roman" w:cs="Times New Roman"/>
          <w:sz w:val="24"/>
          <w:szCs w:val="24"/>
          <w:lang w:val="lt-LT"/>
        </w:rPr>
        <w:t>I</w:t>
      </w:r>
      <w:r w:rsidRPr="00BC7E36">
        <w:rPr>
          <w:rFonts w:ascii="Times New Roman" w:hAnsi="Times New Roman" w:cs="Times New Roman"/>
          <w:sz w:val="24"/>
          <w:szCs w:val="24"/>
          <w:lang w:val="lt-LT"/>
        </w:rPr>
        <w:t xml:space="preserve">eškinyje nurodytais klausimais, </w:t>
      </w:r>
      <w:proofErr w:type="gramStart"/>
      <w:r w:rsidRPr="00BC7E36">
        <w:rPr>
          <w:rFonts w:ascii="Times New Roman" w:hAnsi="Times New Roman" w:cs="Times New Roman"/>
          <w:sz w:val="24"/>
          <w:szCs w:val="24"/>
          <w:lang w:val="lt-LT"/>
        </w:rPr>
        <w:t>prašome</w:t>
      </w:r>
      <w:proofErr w:type="gramEnd"/>
      <w:r w:rsidRPr="00BC7E36">
        <w:rPr>
          <w:rFonts w:ascii="Times New Roman" w:hAnsi="Times New Roman" w:cs="Times New Roman"/>
          <w:sz w:val="24"/>
          <w:szCs w:val="24"/>
          <w:lang w:val="lt-LT"/>
        </w:rPr>
        <w:t xml:space="preserve"> pateikti Teismo sprendimo</w:t>
      </w:r>
      <w:r>
        <w:rPr>
          <w:rFonts w:ascii="Times New Roman" w:hAnsi="Times New Roman" w:cs="Times New Roman"/>
          <w:sz w:val="24"/>
          <w:szCs w:val="24"/>
          <w:lang w:val="lt-LT"/>
        </w:rPr>
        <w:t xml:space="preserve"> įvykdymą ar sprendimo apskundimą patvirtinančių dokumentų</w:t>
      </w:r>
      <w:r w:rsidRPr="00BC7E36">
        <w:rPr>
          <w:rFonts w:ascii="Times New Roman" w:hAnsi="Times New Roman" w:cs="Times New Roman"/>
          <w:sz w:val="24"/>
          <w:szCs w:val="24"/>
          <w:lang w:val="lt-LT"/>
        </w:rPr>
        <w:t xml:space="preserve"> kopijas, o nepriėmus galutinio sprendimo dėl Lietuvos Respublikos civilinio proceso kodekso 139 – 141 straipsniuose nustatytų pagrindų, prašome nedelsiant raštu apie tai informuoti Tarnybą. Tokiu atveju, Tarnyba, vadovaudamasi Viešųjų pirkimų procedūrų vertinimų atlikimo ir jų rezultatų įforminimo </w:t>
      </w:r>
      <w:proofErr w:type="gramStart"/>
      <w:r w:rsidRPr="00BC7E36">
        <w:rPr>
          <w:rFonts w:ascii="Times New Roman" w:hAnsi="Times New Roman" w:cs="Times New Roman"/>
          <w:sz w:val="24"/>
          <w:szCs w:val="24"/>
          <w:lang w:val="lt-LT"/>
        </w:rPr>
        <w:t>taisyklių</w:t>
      </w:r>
      <w:proofErr w:type="gramEnd"/>
      <w:r w:rsidRPr="00BC7E36">
        <w:rPr>
          <w:rFonts w:ascii="Times New Roman" w:hAnsi="Times New Roman" w:cs="Times New Roman"/>
          <w:sz w:val="24"/>
          <w:szCs w:val="24"/>
          <w:lang w:val="lt-LT"/>
        </w:rPr>
        <w:t>, patvirtintų Tarnybos direktoriaus 2014 m. gegužės 30 d. įsakymu Nr. 1S-90 „Dėl Viešųjų pirkimų procedūrų vertinimų atlikimo ir jų rezultatų įforminimo taisyklių patvirtinimo“ 24 punktu, spręs klausimą dėl Pirkimo vertinimo atnaujinimo.</w:t>
      </w:r>
    </w:p>
    <w:p w:rsidR="00F607C9" w:rsidRPr="00BC7E36" w:rsidRDefault="00F607C9" w:rsidP="00BA0285">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eastAsia="lt-LT"/>
        </w:rPr>
        <w:t>Ta</w:t>
      </w:r>
      <w:r w:rsidR="00BA0285" w:rsidRPr="00BC7E36">
        <w:rPr>
          <w:rFonts w:ascii="Times New Roman" w:hAnsi="Times New Roman" w:cs="Times New Roman"/>
          <w:sz w:val="24"/>
          <w:szCs w:val="24"/>
          <w:lang w:val="lt-LT" w:eastAsia="lt-LT"/>
        </w:rPr>
        <w:t xml:space="preserve">rnyba, atsižvelgdama į </w:t>
      </w:r>
      <w:r w:rsidR="00081379" w:rsidRPr="00BC7E36">
        <w:rPr>
          <w:rFonts w:ascii="Times New Roman" w:hAnsi="Times New Roman" w:cs="Times New Roman"/>
          <w:sz w:val="24"/>
          <w:szCs w:val="24"/>
          <w:lang w:val="lt-LT" w:eastAsia="lt-LT"/>
        </w:rPr>
        <w:t>šioje</w:t>
      </w:r>
      <w:r w:rsidR="00BA0285" w:rsidRPr="00BC7E36">
        <w:rPr>
          <w:rFonts w:ascii="Times New Roman" w:hAnsi="Times New Roman" w:cs="Times New Roman"/>
          <w:sz w:val="24"/>
          <w:szCs w:val="24"/>
          <w:lang w:val="lt-LT" w:eastAsia="lt-LT"/>
        </w:rPr>
        <w:t xml:space="preserve"> i</w:t>
      </w:r>
      <w:r w:rsidR="00920221" w:rsidRPr="00BC7E36">
        <w:rPr>
          <w:rFonts w:ascii="Times New Roman" w:hAnsi="Times New Roman" w:cs="Times New Roman"/>
          <w:sz w:val="24"/>
          <w:szCs w:val="24"/>
          <w:lang w:val="lt-LT" w:eastAsia="lt-LT"/>
        </w:rPr>
        <w:t>švado</w:t>
      </w:r>
      <w:r w:rsidR="00081379" w:rsidRPr="00BC7E36">
        <w:rPr>
          <w:rFonts w:ascii="Times New Roman" w:hAnsi="Times New Roman" w:cs="Times New Roman"/>
          <w:sz w:val="24"/>
          <w:szCs w:val="24"/>
          <w:lang w:val="lt-LT" w:eastAsia="lt-LT"/>
        </w:rPr>
        <w:t>je</w:t>
      </w:r>
      <w:r w:rsidR="00920221" w:rsidRPr="00BC7E36">
        <w:rPr>
          <w:rFonts w:ascii="Times New Roman" w:hAnsi="Times New Roman" w:cs="Times New Roman"/>
          <w:sz w:val="24"/>
          <w:szCs w:val="24"/>
          <w:lang w:val="lt-LT" w:eastAsia="lt-LT"/>
        </w:rPr>
        <w:t xml:space="preserve"> </w:t>
      </w:r>
      <w:r w:rsidR="001C035B" w:rsidRPr="00BC7E36">
        <w:rPr>
          <w:rFonts w:ascii="Times New Roman" w:hAnsi="Times New Roman" w:cs="Times New Roman"/>
          <w:sz w:val="24"/>
          <w:szCs w:val="24"/>
          <w:lang w:val="lt-LT" w:eastAsia="lt-LT"/>
        </w:rPr>
        <w:t>konstatuo</w:t>
      </w:r>
      <w:r w:rsidR="00081379" w:rsidRPr="00BC7E36">
        <w:rPr>
          <w:rFonts w:ascii="Times New Roman" w:hAnsi="Times New Roman" w:cs="Times New Roman"/>
          <w:sz w:val="24"/>
          <w:szCs w:val="24"/>
          <w:lang w:val="lt-LT" w:eastAsia="lt-LT"/>
        </w:rPr>
        <w:t>tus</w:t>
      </w:r>
      <w:r w:rsidR="001C035B" w:rsidRPr="00BC7E36">
        <w:rPr>
          <w:rFonts w:ascii="Times New Roman" w:hAnsi="Times New Roman" w:cs="Times New Roman"/>
          <w:sz w:val="24"/>
          <w:szCs w:val="24"/>
          <w:lang w:val="lt-LT" w:eastAsia="lt-LT"/>
        </w:rPr>
        <w:t xml:space="preserve"> pažeidim</w:t>
      </w:r>
      <w:r w:rsidR="00081379" w:rsidRPr="00BC7E36">
        <w:rPr>
          <w:rFonts w:ascii="Times New Roman" w:hAnsi="Times New Roman" w:cs="Times New Roman"/>
          <w:sz w:val="24"/>
          <w:szCs w:val="24"/>
          <w:lang w:val="lt-LT" w:eastAsia="lt-LT"/>
        </w:rPr>
        <w:t>us</w:t>
      </w:r>
      <w:r w:rsidRPr="00BC7E36">
        <w:rPr>
          <w:rFonts w:ascii="Times New Roman" w:hAnsi="Times New Roman" w:cs="Times New Roman"/>
          <w:sz w:val="24"/>
          <w:szCs w:val="24"/>
          <w:lang w:val="lt-LT" w:eastAsia="lt-LT"/>
        </w:rPr>
        <w:t xml:space="preserve">, </w:t>
      </w:r>
      <w:r w:rsidRPr="00BC7E36">
        <w:rPr>
          <w:rFonts w:ascii="Times New Roman" w:hAnsi="Times New Roman" w:cs="Times New Roman"/>
          <w:sz w:val="24"/>
          <w:szCs w:val="24"/>
          <w:lang w:val="lt-LT"/>
        </w:rPr>
        <w:t>vadovaudamasi Įstatymo 8</w:t>
      </w:r>
      <w:r w:rsidRPr="00BC7E36">
        <w:rPr>
          <w:rFonts w:ascii="Times New Roman" w:hAnsi="Times New Roman" w:cs="Times New Roman"/>
          <w:sz w:val="24"/>
          <w:szCs w:val="24"/>
          <w:vertAlign w:val="superscript"/>
          <w:lang w:val="lt-LT"/>
        </w:rPr>
        <w:t>2</w:t>
      </w:r>
      <w:r w:rsidRPr="00BC7E36">
        <w:rPr>
          <w:rFonts w:ascii="Times New Roman" w:hAnsi="Times New Roman" w:cs="Times New Roman"/>
          <w:sz w:val="24"/>
          <w:szCs w:val="24"/>
          <w:lang w:val="lt-LT"/>
        </w:rPr>
        <w:t xml:space="preserve"> straipsnio 2 dalies 6 punktu, įpareigoja Perkančiąją organizaciją:</w:t>
      </w:r>
    </w:p>
    <w:p w:rsidR="00081379" w:rsidRPr="00BC7E36" w:rsidRDefault="00E930CB" w:rsidP="000813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iš naujo vertinti Tiekėjo Nr.1 kvalifikacijos atitiktį</w:t>
      </w:r>
      <w:r w:rsidR="005338E3">
        <w:rPr>
          <w:rFonts w:ascii="Times New Roman" w:hAnsi="Times New Roman" w:cs="Times New Roman"/>
          <w:sz w:val="24"/>
          <w:szCs w:val="24"/>
          <w:lang w:val="lt-LT"/>
        </w:rPr>
        <w:t xml:space="preserve"> </w:t>
      </w:r>
      <w:r w:rsidR="005338E3" w:rsidRPr="00BC7E36">
        <w:rPr>
          <w:rFonts w:ascii="Times New Roman" w:hAnsi="Times New Roman" w:cs="Times New Roman"/>
          <w:sz w:val="24"/>
          <w:szCs w:val="24"/>
          <w:lang w:val="lt-LT"/>
        </w:rPr>
        <w:t>Pirkimo dokumentuose nustatytiems reikalavimams</w:t>
      </w:r>
      <w:r w:rsidR="00BA0285" w:rsidRPr="00BC7E36">
        <w:rPr>
          <w:rFonts w:ascii="Times New Roman" w:hAnsi="Times New Roman" w:cs="Times New Roman"/>
          <w:sz w:val="24"/>
          <w:szCs w:val="24"/>
          <w:lang w:val="lt-LT"/>
        </w:rPr>
        <w:t>, atsižvelgiant į šios i</w:t>
      </w:r>
      <w:r>
        <w:rPr>
          <w:rFonts w:ascii="Times New Roman" w:hAnsi="Times New Roman" w:cs="Times New Roman"/>
          <w:sz w:val="24"/>
          <w:szCs w:val="24"/>
          <w:lang w:val="lt-LT"/>
        </w:rPr>
        <w:t>švados II</w:t>
      </w:r>
      <w:r w:rsidR="001C035B" w:rsidRPr="00BC7E36">
        <w:rPr>
          <w:rFonts w:ascii="Times New Roman" w:hAnsi="Times New Roman" w:cs="Times New Roman"/>
          <w:sz w:val="24"/>
          <w:szCs w:val="24"/>
          <w:lang w:val="lt-LT"/>
        </w:rPr>
        <w:t xml:space="preserve"> </w:t>
      </w:r>
      <w:r w:rsidR="009B11E4">
        <w:rPr>
          <w:rFonts w:ascii="Times New Roman" w:hAnsi="Times New Roman" w:cs="Times New Roman"/>
          <w:sz w:val="24"/>
          <w:szCs w:val="24"/>
          <w:lang w:val="lt-LT"/>
        </w:rPr>
        <w:t>skyriaus 1 punkte</w:t>
      </w:r>
      <w:r>
        <w:rPr>
          <w:rFonts w:ascii="Times New Roman" w:hAnsi="Times New Roman" w:cs="Times New Roman"/>
          <w:sz w:val="24"/>
          <w:szCs w:val="24"/>
          <w:lang w:val="lt-LT"/>
        </w:rPr>
        <w:t xml:space="preserve"> konstatuotus Įstatymo pažeidimus</w:t>
      </w:r>
      <w:r w:rsidR="00081379" w:rsidRPr="00BC7E36">
        <w:rPr>
          <w:rFonts w:ascii="Times New Roman" w:hAnsi="Times New Roman" w:cs="Times New Roman"/>
          <w:sz w:val="24"/>
          <w:szCs w:val="24"/>
          <w:lang w:val="lt-LT"/>
        </w:rPr>
        <w:t>;</w:t>
      </w:r>
    </w:p>
    <w:p w:rsidR="001C035B" w:rsidRPr="00BC7E36" w:rsidRDefault="00F607C9" w:rsidP="00BA0285">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 raštu informuoti Tarnybą apie įpareigojimo įvykdymą ir pateikti tai patvirtinančius dokumentus.</w:t>
      </w:r>
    </w:p>
    <w:p w:rsidR="00F607C9" w:rsidRPr="00BC7E36" w:rsidRDefault="00F607C9" w:rsidP="00BA0285">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D23D14" w:rsidRPr="00BC7E36" w:rsidRDefault="00D23D14" w:rsidP="004562AA">
      <w:pPr>
        <w:spacing w:after="0" w:line="240" w:lineRule="auto"/>
        <w:ind w:firstLine="709"/>
        <w:jc w:val="both"/>
        <w:rPr>
          <w:rFonts w:ascii="Times New Roman" w:hAnsi="Times New Roman" w:cs="Times New Roman"/>
          <w:bCs/>
          <w:sz w:val="24"/>
          <w:szCs w:val="24"/>
          <w:lang w:val="lt-LT"/>
        </w:rPr>
      </w:pPr>
    </w:p>
    <w:p w:rsidR="00E93D32" w:rsidRPr="00BC7E36" w:rsidRDefault="00B85D34" w:rsidP="00251612">
      <w:pPr>
        <w:jc w:val="both"/>
        <w:rPr>
          <w:rFonts w:ascii="Times New Roman" w:hAnsi="Times New Roman" w:cs="Times New Roman"/>
          <w:sz w:val="24"/>
          <w:szCs w:val="24"/>
          <w:lang w:val="lt-LT"/>
        </w:rPr>
      </w:pPr>
      <w:r w:rsidRPr="00BC7E36">
        <w:rPr>
          <w:rFonts w:ascii="Times New Roman" w:hAnsi="Times New Roman" w:cs="Times New Roman"/>
          <w:bCs/>
          <w:sz w:val="24"/>
          <w:szCs w:val="24"/>
          <w:lang w:val="lt-LT"/>
        </w:rPr>
        <w:t>Kontrolės skyriaus vyriausiasis specialistas</w:t>
      </w:r>
      <w:r w:rsidRPr="00BC7E36">
        <w:rPr>
          <w:rFonts w:ascii="Times New Roman" w:hAnsi="Times New Roman" w:cs="Times New Roman"/>
          <w:bCs/>
          <w:sz w:val="24"/>
          <w:szCs w:val="24"/>
          <w:lang w:val="lt-LT"/>
        </w:rPr>
        <w:tab/>
        <w:t xml:space="preserve">                               </w:t>
      </w:r>
      <w:r w:rsidR="00B62C84" w:rsidRPr="00BC7E36">
        <w:rPr>
          <w:rFonts w:ascii="Times New Roman" w:hAnsi="Times New Roman" w:cs="Times New Roman"/>
          <w:bCs/>
          <w:sz w:val="24"/>
          <w:szCs w:val="24"/>
          <w:lang w:val="lt-LT"/>
        </w:rPr>
        <w:t xml:space="preserve">   </w:t>
      </w:r>
      <w:r w:rsidRPr="00BC7E36">
        <w:rPr>
          <w:rFonts w:ascii="Times New Roman" w:hAnsi="Times New Roman" w:cs="Times New Roman"/>
          <w:bCs/>
          <w:sz w:val="24"/>
          <w:szCs w:val="24"/>
          <w:lang w:val="lt-LT"/>
        </w:rPr>
        <w:t xml:space="preserve">                  Deividas Vitkauskas</w:t>
      </w:r>
    </w:p>
    <w:p w:rsidR="0091128C" w:rsidRPr="00BC7E36" w:rsidRDefault="0091128C" w:rsidP="00B85D34">
      <w:pPr>
        <w:tabs>
          <w:tab w:val="left" w:pos="900"/>
        </w:tabs>
        <w:jc w:val="both"/>
        <w:rPr>
          <w:rFonts w:ascii="Times New Roman" w:hAnsi="Times New Roman" w:cs="Times New Roman"/>
          <w:sz w:val="20"/>
          <w:szCs w:val="20"/>
          <w:lang w:val="lt-LT"/>
        </w:rPr>
      </w:pPr>
    </w:p>
    <w:p w:rsidR="00E930CB" w:rsidRDefault="00E930CB" w:rsidP="00B85D34">
      <w:pPr>
        <w:tabs>
          <w:tab w:val="left" w:pos="900"/>
        </w:tabs>
        <w:jc w:val="both"/>
        <w:rPr>
          <w:rFonts w:ascii="Times New Roman" w:hAnsi="Times New Roman" w:cs="Times New Roman"/>
          <w:sz w:val="20"/>
          <w:szCs w:val="20"/>
          <w:lang w:val="lt-LT"/>
        </w:rPr>
      </w:pPr>
    </w:p>
    <w:p w:rsidR="009B11E4" w:rsidRDefault="009B11E4" w:rsidP="00B85D34">
      <w:pPr>
        <w:tabs>
          <w:tab w:val="left" w:pos="900"/>
        </w:tabs>
        <w:jc w:val="both"/>
        <w:rPr>
          <w:rFonts w:ascii="Times New Roman" w:hAnsi="Times New Roman" w:cs="Times New Roman"/>
          <w:sz w:val="20"/>
          <w:szCs w:val="20"/>
          <w:lang w:val="lt-LT"/>
        </w:rPr>
      </w:pPr>
    </w:p>
    <w:p w:rsidR="00E06320" w:rsidRPr="00BC7E36" w:rsidRDefault="00E06320" w:rsidP="00B85D34">
      <w:pPr>
        <w:tabs>
          <w:tab w:val="left" w:pos="900"/>
        </w:tabs>
        <w:jc w:val="both"/>
        <w:rPr>
          <w:rFonts w:ascii="Times New Roman" w:hAnsi="Times New Roman" w:cs="Times New Roman"/>
          <w:sz w:val="20"/>
          <w:szCs w:val="20"/>
          <w:lang w:val="lt-LT"/>
        </w:rPr>
      </w:pPr>
    </w:p>
    <w:p w:rsidR="00B85D34" w:rsidRPr="00BC7E36" w:rsidRDefault="00A56D7F" w:rsidP="00B85D34">
      <w:pPr>
        <w:tabs>
          <w:tab w:val="left" w:pos="900"/>
        </w:tabs>
        <w:jc w:val="both"/>
        <w:rPr>
          <w:rFonts w:ascii="Times New Roman" w:hAnsi="Times New Roman" w:cs="Times New Roman"/>
          <w:sz w:val="20"/>
          <w:szCs w:val="20"/>
          <w:lang w:val="lt-LT"/>
        </w:rPr>
      </w:pPr>
      <w:r w:rsidRPr="00BC7E36">
        <w:rPr>
          <w:rFonts w:ascii="Times New Roman" w:hAnsi="Times New Roman" w:cs="Times New Roman"/>
          <w:sz w:val="20"/>
          <w:szCs w:val="20"/>
          <w:lang w:val="lt-LT"/>
        </w:rPr>
        <w:t>Dei</w:t>
      </w:r>
      <w:r w:rsidR="00B85D34" w:rsidRPr="00BC7E36">
        <w:rPr>
          <w:rFonts w:ascii="Times New Roman" w:hAnsi="Times New Roman" w:cs="Times New Roman"/>
          <w:sz w:val="20"/>
          <w:szCs w:val="20"/>
          <w:lang w:val="lt-LT"/>
        </w:rPr>
        <w:t xml:space="preserve">vidas Vitkauskas, tel. (8 5) 203 4836, el. p. </w:t>
      </w:r>
      <w:hyperlink r:id="rId9" w:history="1">
        <w:r w:rsidR="00B85D34" w:rsidRPr="00BC7E36">
          <w:rPr>
            <w:rStyle w:val="Hyperlink"/>
            <w:rFonts w:ascii="Times New Roman" w:hAnsi="Times New Roman" w:cs="Times New Roman"/>
            <w:sz w:val="20"/>
            <w:szCs w:val="20"/>
            <w:lang w:val="lt-LT"/>
          </w:rPr>
          <w:t>deividas.vitkauskas@vpt.lt</w:t>
        </w:r>
      </w:hyperlink>
    </w:p>
    <w:sectPr w:rsidR="00B85D34" w:rsidRPr="00BC7E36" w:rsidSect="009B3C41">
      <w:pgSz w:w="11906" w:h="16838"/>
      <w:pgMar w:top="1138" w:right="850" w:bottom="1138" w:left="1699"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E0" w:rsidRDefault="00CC10E0" w:rsidP="006741AE">
      <w:pPr>
        <w:spacing w:after="0" w:line="240" w:lineRule="auto"/>
      </w:pPr>
      <w:r>
        <w:separator/>
      </w:r>
    </w:p>
  </w:endnote>
  <w:endnote w:type="continuationSeparator" w:id="0">
    <w:p w:rsidR="00CC10E0" w:rsidRDefault="00CC10E0"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E0" w:rsidRDefault="00CC10E0" w:rsidP="006741AE">
      <w:pPr>
        <w:spacing w:after="0" w:line="240" w:lineRule="auto"/>
      </w:pPr>
      <w:r>
        <w:separator/>
      </w:r>
    </w:p>
  </w:footnote>
  <w:footnote w:type="continuationSeparator" w:id="0">
    <w:p w:rsidR="00CC10E0" w:rsidRDefault="00CC10E0" w:rsidP="006741AE">
      <w:pPr>
        <w:spacing w:after="0" w:line="240" w:lineRule="auto"/>
      </w:pPr>
      <w:r>
        <w:continuationSeparator/>
      </w:r>
    </w:p>
  </w:footnote>
  <w:footnote w:id="1">
    <w:p w:rsidR="009B11E4" w:rsidRPr="009B11E4" w:rsidRDefault="009B11E4">
      <w:pPr>
        <w:pStyle w:val="FootnoteText"/>
        <w:rPr>
          <w:lang w:val="lt-LT"/>
        </w:rPr>
      </w:pPr>
      <w:r>
        <w:rPr>
          <w:rStyle w:val="FootnoteReference"/>
        </w:rPr>
        <w:footnoteRef/>
      </w:r>
      <w:r>
        <w:t xml:space="preserve"> </w:t>
      </w:r>
      <w:r>
        <w:rPr>
          <w:lang w:val="lt-LT"/>
        </w:rPr>
        <w:t xml:space="preserve"> </w:t>
      </w:r>
      <w:r w:rsidRPr="00BF4CDA">
        <w:rPr>
          <w:rFonts w:ascii="Times New Roman" w:hAnsi="Times New Roman" w:cs="Times New Roman"/>
          <w:i/>
          <w:lang w:val="lt-LT"/>
        </w:rPr>
        <w:t>„</w:t>
      </w:r>
      <w:r w:rsidRPr="00BF4CDA">
        <w:rPr>
          <w:rFonts w:ascii="Times New Roman" w:hAnsi="Times New Roman" w:cs="Times New Roman"/>
          <w:i/>
        </w:rPr>
        <w:t xml:space="preserve">Jeigu kandidatas ar dalyvis pateikė netikslius ar neišsamius duomenis apie savo kvalifikaciją, perkančioji organizacija privalo nepažeisdama viešųjų pirkimų principų </w:t>
      </w:r>
      <w:proofErr w:type="gramStart"/>
      <w:r w:rsidRPr="00BF4CDA">
        <w:rPr>
          <w:rFonts w:ascii="Times New Roman" w:hAnsi="Times New Roman" w:cs="Times New Roman"/>
          <w:i/>
        </w:rPr>
        <w:t>prašyti</w:t>
      </w:r>
      <w:proofErr w:type="gramEnd"/>
      <w:r w:rsidRPr="00BF4CDA">
        <w:rPr>
          <w:rFonts w:ascii="Times New Roman" w:hAnsi="Times New Roman" w:cs="Times New Roman"/>
          <w:i/>
        </w:rPr>
        <w:t xml:space="preserve"> kandidatą ar dalyvį šiuos duomenis papildyti arba paaiškinti per protingą terminą</w:t>
      </w:r>
      <w:r w:rsidRPr="00BF4CDA">
        <w:rPr>
          <w:rFonts w:ascii="Times New Roman" w:hAnsi="Times New Roman" w:cs="Times New Roman"/>
          <w:i/>
          <w:lang w:val="lt-LT"/>
        </w:rPr>
        <w:t>“</w:t>
      </w:r>
      <w:r w:rsidRPr="00BF4CDA">
        <w:rPr>
          <w:rFonts w:ascii="Times New Roman" w:hAnsi="Times New Roman" w:cs="Times New Roman"/>
          <w:lang w:val="lt-LT"/>
        </w:rPr>
        <w:t>;</w:t>
      </w:r>
    </w:p>
  </w:footnote>
  <w:footnote w:id="2">
    <w:p w:rsidR="009B11E4" w:rsidRPr="009B11E4" w:rsidRDefault="009B11E4">
      <w:pPr>
        <w:pStyle w:val="FootnoteText"/>
        <w:rPr>
          <w:rFonts w:ascii="Times New Roman" w:hAnsi="Times New Roman" w:cs="Times New Roman"/>
          <w:lang w:val="lt-LT"/>
        </w:rPr>
      </w:pPr>
      <w:r>
        <w:rPr>
          <w:rStyle w:val="FootnoteReference"/>
        </w:rPr>
        <w:footnoteRef/>
      </w:r>
      <w:r>
        <w:t xml:space="preserve"> </w:t>
      </w:r>
      <w:r>
        <w:rPr>
          <w:lang w:val="lt-LT"/>
        </w:rPr>
        <w:t xml:space="preserve"> </w:t>
      </w:r>
      <w:r w:rsidRPr="00BF4CDA">
        <w:rPr>
          <w:rFonts w:ascii="Times New Roman" w:hAnsi="Times New Roman" w:cs="Times New Roman"/>
          <w:i/>
          <w:lang w:val="lt-LT"/>
        </w:rPr>
        <w:t>„</w:t>
      </w:r>
      <w:r w:rsidRPr="00BF4CDA">
        <w:rPr>
          <w:rFonts w:ascii="Times New Roman" w:hAnsi="Times New Roman" w:cs="Times New Roman"/>
          <w:i/>
        </w:rPr>
        <w:t>Kandidatų ir dalyvių kvalifikaciniai duomenys vertinami vadovaujantis jiems pateiktuose pirkimo dokumentuose nustatytais kriterijais ir procedūromis</w:t>
      </w:r>
      <w:r w:rsidRPr="00BF4CDA">
        <w:rPr>
          <w:rFonts w:ascii="Times New Roman" w:hAnsi="Times New Roman" w:cs="Times New Roman"/>
          <w:i/>
          <w:lang w:val="lt-LT"/>
        </w:rPr>
        <w:t>“</w:t>
      </w:r>
      <w:r>
        <w:rPr>
          <w:rFonts w:ascii="Times New Roman" w:hAnsi="Times New Roman" w:cs="Times New Roman"/>
          <w:lang w:val="lt-LT"/>
        </w:rPr>
        <w:t>;</w:t>
      </w:r>
    </w:p>
  </w:footnote>
  <w:footnote w:id="3">
    <w:p w:rsidR="00CC10E0" w:rsidRPr="00BF4CDA" w:rsidRDefault="00CC10E0">
      <w:pPr>
        <w:pStyle w:val="FootnoteText"/>
        <w:rPr>
          <w:rFonts w:ascii="Times New Roman" w:hAnsi="Times New Roman" w:cs="Times New Roman"/>
          <w:lang w:val="lt-LT"/>
        </w:rPr>
      </w:pPr>
      <w:r w:rsidRPr="00BF4CDA">
        <w:rPr>
          <w:rStyle w:val="FootnoteReference"/>
          <w:rFonts w:ascii="Times New Roman" w:hAnsi="Times New Roman" w:cs="Times New Roman"/>
        </w:rPr>
        <w:footnoteRef/>
      </w:r>
      <w:r w:rsidRPr="00BF4CDA">
        <w:rPr>
          <w:rFonts w:ascii="Times New Roman" w:hAnsi="Times New Roman" w:cs="Times New Roman"/>
        </w:rPr>
        <w:t xml:space="preserve"> </w:t>
      </w:r>
      <w:r w:rsidRPr="00BF4CDA">
        <w:rPr>
          <w:rFonts w:ascii="Times New Roman" w:hAnsi="Times New Roman" w:cs="Times New Roman"/>
          <w:i/>
          <w:lang w:val="lt-LT"/>
        </w:rPr>
        <w:t>„</w:t>
      </w:r>
      <w:r w:rsidRPr="00BF4CDA">
        <w:rPr>
          <w:rFonts w:ascii="Times New Roman" w:hAnsi="Times New Roman" w:cs="Times New Roman"/>
          <w:i/>
        </w:rPr>
        <w:t>Perkančioji organizacija užtikrina, kad atliekant pirkimo procedūras ir nustatant laimėtoją būtų laikomasi lygiateisiškumo</w:t>
      </w:r>
      <w:r w:rsidRPr="00BF4CDA">
        <w:rPr>
          <w:rFonts w:ascii="Times New Roman" w:hAnsi="Times New Roman" w:cs="Times New Roman"/>
          <w:i/>
          <w:lang w:val="lt-LT"/>
        </w:rPr>
        <w:t xml:space="preserve"> &lt;...&gt; </w:t>
      </w:r>
      <w:r w:rsidRPr="00BF4CDA">
        <w:rPr>
          <w:rFonts w:ascii="Times New Roman" w:hAnsi="Times New Roman" w:cs="Times New Roman"/>
          <w:i/>
        </w:rPr>
        <w:t>principų</w:t>
      </w:r>
      <w:r w:rsidRPr="00BF4CDA">
        <w:rPr>
          <w:rFonts w:ascii="Times New Roman" w:hAnsi="Times New Roman" w:cs="Times New Roman"/>
          <w:i/>
          <w:lang w:val="lt-LT"/>
        </w:rPr>
        <w:t>“</w:t>
      </w:r>
      <w:r w:rsidR="009B11E4">
        <w:rPr>
          <w:rFonts w:ascii="Times New Roman" w:hAnsi="Times New Roman" w:cs="Times New Roman"/>
          <w:lang w:val="lt-L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4242"/>
    <w:rsid w:val="00060BBB"/>
    <w:rsid w:val="00075B0D"/>
    <w:rsid w:val="0008132B"/>
    <w:rsid w:val="00081379"/>
    <w:rsid w:val="000A2523"/>
    <w:rsid w:val="000A336E"/>
    <w:rsid w:val="000B3732"/>
    <w:rsid w:val="000C19E9"/>
    <w:rsid w:val="000E7B16"/>
    <w:rsid w:val="000F1C2C"/>
    <w:rsid w:val="001057DE"/>
    <w:rsid w:val="00107D4C"/>
    <w:rsid w:val="00122454"/>
    <w:rsid w:val="001328AC"/>
    <w:rsid w:val="00136583"/>
    <w:rsid w:val="001404F3"/>
    <w:rsid w:val="00151943"/>
    <w:rsid w:val="001A1AA5"/>
    <w:rsid w:val="001B75E3"/>
    <w:rsid w:val="001C035B"/>
    <w:rsid w:val="001D13EE"/>
    <w:rsid w:val="001E60DD"/>
    <w:rsid w:val="001E62B2"/>
    <w:rsid w:val="001E72AF"/>
    <w:rsid w:val="001F48D7"/>
    <w:rsid w:val="00211FCF"/>
    <w:rsid w:val="00217FFC"/>
    <w:rsid w:val="00220083"/>
    <w:rsid w:val="00223ECA"/>
    <w:rsid w:val="002271FE"/>
    <w:rsid w:val="00231341"/>
    <w:rsid w:val="00233FA2"/>
    <w:rsid w:val="002441C4"/>
    <w:rsid w:val="00251612"/>
    <w:rsid w:val="00253A92"/>
    <w:rsid w:val="00260261"/>
    <w:rsid w:val="002636F6"/>
    <w:rsid w:val="00263E4B"/>
    <w:rsid w:val="0026481C"/>
    <w:rsid w:val="002968F9"/>
    <w:rsid w:val="002A15CD"/>
    <w:rsid w:val="002A2D0F"/>
    <w:rsid w:val="002B0659"/>
    <w:rsid w:val="002B1AC4"/>
    <w:rsid w:val="002B39C1"/>
    <w:rsid w:val="002C1D77"/>
    <w:rsid w:val="002D3EDA"/>
    <w:rsid w:val="002E145F"/>
    <w:rsid w:val="002F7C5D"/>
    <w:rsid w:val="003114CE"/>
    <w:rsid w:val="0031766E"/>
    <w:rsid w:val="00317DC1"/>
    <w:rsid w:val="00322671"/>
    <w:rsid w:val="00330013"/>
    <w:rsid w:val="003469F2"/>
    <w:rsid w:val="00350C8E"/>
    <w:rsid w:val="0037586E"/>
    <w:rsid w:val="00377C32"/>
    <w:rsid w:val="0038145D"/>
    <w:rsid w:val="003974B1"/>
    <w:rsid w:val="003C0DD8"/>
    <w:rsid w:val="003C1ABE"/>
    <w:rsid w:val="003C3D7B"/>
    <w:rsid w:val="003D3541"/>
    <w:rsid w:val="003D601A"/>
    <w:rsid w:val="003E24C8"/>
    <w:rsid w:val="003F15C7"/>
    <w:rsid w:val="003F2332"/>
    <w:rsid w:val="003F717E"/>
    <w:rsid w:val="00404A1F"/>
    <w:rsid w:val="00415399"/>
    <w:rsid w:val="00423CE3"/>
    <w:rsid w:val="00426034"/>
    <w:rsid w:val="00430E27"/>
    <w:rsid w:val="00440769"/>
    <w:rsid w:val="00440936"/>
    <w:rsid w:val="004446FC"/>
    <w:rsid w:val="00447878"/>
    <w:rsid w:val="00455BB0"/>
    <w:rsid w:val="004562AA"/>
    <w:rsid w:val="004571DA"/>
    <w:rsid w:val="004733DF"/>
    <w:rsid w:val="004756E6"/>
    <w:rsid w:val="00477891"/>
    <w:rsid w:val="00494855"/>
    <w:rsid w:val="004B4420"/>
    <w:rsid w:val="004B62B6"/>
    <w:rsid w:val="004D3A17"/>
    <w:rsid w:val="004E3B0D"/>
    <w:rsid w:val="004E41CF"/>
    <w:rsid w:val="004F35FA"/>
    <w:rsid w:val="005021D3"/>
    <w:rsid w:val="00506301"/>
    <w:rsid w:val="00525A89"/>
    <w:rsid w:val="00527578"/>
    <w:rsid w:val="005338E3"/>
    <w:rsid w:val="00540E8A"/>
    <w:rsid w:val="005528CF"/>
    <w:rsid w:val="00561C2C"/>
    <w:rsid w:val="005704C2"/>
    <w:rsid w:val="005904D3"/>
    <w:rsid w:val="00590648"/>
    <w:rsid w:val="0059657F"/>
    <w:rsid w:val="005A1CAD"/>
    <w:rsid w:val="005B4891"/>
    <w:rsid w:val="005F3DC0"/>
    <w:rsid w:val="00603C4E"/>
    <w:rsid w:val="00635055"/>
    <w:rsid w:val="006372FB"/>
    <w:rsid w:val="00667A00"/>
    <w:rsid w:val="006741AE"/>
    <w:rsid w:val="006760D4"/>
    <w:rsid w:val="00677808"/>
    <w:rsid w:val="00690339"/>
    <w:rsid w:val="00691E27"/>
    <w:rsid w:val="006A22AE"/>
    <w:rsid w:val="006A7EFC"/>
    <w:rsid w:val="006D1A7C"/>
    <w:rsid w:val="007032C0"/>
    <w:rsid w:val="00704798"/>
    <w:rsid w:val="00704A24"/>
    <w:rsid w:val="00711D28"/>
    <w:rsid w:val="0071396E"/>
    <w:rsid w:val="007269F7"/>
    <w:rsid w:val="007362D5"/>
    <w:rsid w:val="00782A07"/>
    <w:rsid w:val="00783047"/>
    <w:rsid w:val="007A1C3E"/>
    <w:rsid w:val="007D6712"/>
    <w:rsid w:val="007E4301"/>
    <w:rsid w:val="007E45B5"/>
    <w:rsid w:val="007F0785"/>
    <w:rsid w:val="007F09E8"/>
    <w:rsid w:val="007F4371"/>
    <w:rsid w:val="007F5D85"/>
    <w:rsid w:val="00804B76"/>
    <w:rsid w:val="0081274A"/>
    <w:rsid w:val="00814533"/>
    <w:rsid w:val="0082697A"/>
    <w:rsid w:val="00847A13"/>
    <w:rsid w:val="0085037E"/>
    <w:rsid w:val="00850388"/>
    <w:rsid w:val="008635E6"/>
    <w:rsid w:val="00872D06"/>
    <w:rsid w:val="00885BC5"/>
    <w:rsid w:val="008A7785"/>
    <w:rsid w:val="008B5D52"/>
    <w:rsid w:val="008C62BC"/>
    <w:rsid w:val="008D6CAD"/>
    <w:rsid w:val="008F4663"/>
    <w:rsid w:val="008F46F0"/>
    <w:rsid w:val="008F4A7F"/>
    <w:rsid w:val="0091128C"/>
    <w:rsid w:val="00916413"/>
    <w:rsid w:val="00920221"/>
    <w:rsid w:val="009219D1"/>
    <w:rsid w:val="0092706B"/>
    <w:rsid w:val="009310B9"/>
    <w:rsid w:val="00936C1D"/>
    <w:rsid w:val="0094589A"/>
    <w:rsid w:val="00950187"/>
    <w:rsid w:val="00954587"/>
    <w:rsid w:val="0096393A"/>
    <w:rsid w:val="00972EE1"/>
    <w:rsid w:val="009A5B56"/>
    <w:rsid w:val="009B11E4"/>
    <w:rsid w:val="009B3C41"/>
    <w:rsid w:val="009C3E93"/>
    <w:rsid w:val="009D1808"/>
    <w:rsid w:val="009D57DE"/>
    <w:rsid w:val="009E55F8"/>
    <w:rsid w:val="00A0233C"/>
    <w:rsid w:val="00A03381"/>
    <w:rsid w:val="00A13C0B"/>
    <w:rsid w:val="00A220B9"/>
    <w:rsid w:val="00A243C2"/>
    <w:rsid w:val="00A34A6E"/>
    <w:rsid w:val="00A417BB"/>
    <w:rsid w:val="00A500B8"/>
    <w:rsid w:val="00A56D7F"/>
    <w:rsid w:val="00A56E73"/>
    <w:rsid w:val="00A65FCA"/>
    <w:rsid w:val="00A74C13"/>
    <w:rsid w:val="00A82827"/>
    <w:rsid w:val="00AA5A01"/>
    <w:rsid w:val="00AB1809"/>
    <w:rsid w:val="00AB1C8E"/>
    <w:rsid w:val="00AB4E93"/>
    <w:rsid w:val="00AD41D5"/>
    <w:rsid w:val="00AD45A4"/>
    <w:rsid w:val="00AE428E"/>
    <w:rsid w:val="00AF0602"/>
    <w:rsid w:val="00AF2232"/>
    <w:rsid w:val="00AF484F"/>
    <w:rsid w:val="00B0256E"/>
    <w:rsid w:val="00B14E0B"/>
    <w:rsid w:val="00B32174"/>
    <w:rsid w:val="00B62C84"/>
    <w:rsid w:val="00B64236"/>
    <w:rsid w:val="00B822E0"/>
    <w:rsid w:val="00B85D34"/>
    <w:rsid w:val="00B91312"/>
    <w:rsid w:val="00B94791"/>
    <w:rsid w:val="00B95B7F"/>
    <w:rsid w:val="00BA0285"/>
    <w:rsid w:val="00BA12F3"/>
    <w:rsid w:val="00BA3D29"/>
    <w:rsid w:val="00BB1AE7"/>
    <w:rsid w:val="00BB662C"/>
    <w:rsid w:val="00BC0CAF"/>
    <w:rsid w:val="00BC2257"/>
    <w:rsid w:val="00BC7E36"/>
    <w:rsid w:val="00BD1049"/>
    <w:rsid w:val="00BD1554"/>
    <w:rsid w:val="00BF4CDA"/>
    <w:rsid w:val="00C02FA6"/>
    <w:rsid w:val="00C20D24"/>
    <w:rsid w:val="00C27541"/>
    <w:rsid w:val="00C378A0"/>
    <w:rsid w:val="00C40B12"/>
    <w:rsid w:val="00C47A33"/>
    <w:rsid w:val="00C510AC"/>
    <w:rsid w:val="00C5562E"/>
    <w:rsid w:val="00C634AA"/>
    <w:rsid w:val="00C711C7"/>
    <w:rsid w:val="00C83E80"/>
    <w:rsid w:val="00CB1DD3"/>
    <w:rsid w:val="00CC10E0"/>
    <w:rsid w:val="00CC15F1"/>
    <w:rsid w:val="00CC226F"/>
    <w:rsid w:val="00CD0C19"/>
    <w:rsid w:val="00CD23B3"/>
    <w:rsid w:val="00CD5FFF"/>
    <w:rsid w:val="00CF7139"/>
    <w:rsid w:val="00D0594E"/>
    <w:rsid w:val="00D07990"/>
    <w:rsid w:val="00D11A42"/>
    <w:rsid w:val="00D23D14"/>
    <w:rsid w:val="00D32EBC"/>
    <w:rsid w:val="00D361EE"/>
    <w:rsid w:val="00D37A87"/>
    <w:rsid w:val="00D57624"/>
    <w:rsid w:val="00D666AA"/>
    <w:rsid w:val="00D73C09"/>
    <w:rsid w:val="00D7534B"/>
    <w:rsid w:val="00D83099"/>
    <w:rsid w:val="00D9113D"/>
    <w:rsid w:val="00DA2A95"/>
    <w:rsid w:val="00DA3252"/>
    <w:rsid w:val="00DA6B7B"/>
    <w:rsid w:val="00DC3E31"/>
    <w:rsid w:val="00DD71C7"/>
    <w:rsid w:val="00DF5759"/>
    <w:rsid w:val="00DF7A2F"/>
    <w:rsid w:val="00E06320"/>
    <w:rsid w:val="00E16433"/>
    <w:rsid w:val="00E25238"/>
    <w:rsid w:val="00E3540A"/>
    <w:rsid w:val="00E47623"/>
    <w:rsid w:val="00E66E07"/>
    <w:rsid w:val="00E70E72"/>
    <w:rsid w:val="00E733F0"/>
    <w:rsid w:val="00E8786E"/>
    <w:rsid w:val="00E930CB"/>
    <w:rsid w:val="00E933B8"/>
    <w:rsid w:val="00E93D32"/>
    <w:rsid w:val="00E94F3F"/>
    <w:rsid w:val="00E97DD4"/>
    <w:rsid w:val="00EA056A"/>
    <w:rsid w:val="00EA4BA4"/>
    <w:rsid w:val="00EA5F68"/>
    <w:rsid w:val="00EA7A48"/>
    <w:rsid w:val="00EB01C3"/>
    <w:rsid w:val="00EB21AA"/>
    <w:rsid w:val="00ED2E43"/>
    <w:rsid w:val="00EE7DF2"/>
    <w:rsid w:val="00EF122E"/>
    <w:rsid w:val="00EF3BAF"/>
    <w:rsid w:val="00EF7CE4"/>
    <w:rsid w:val="00F04F5F"/>
    <w:rsid w:val="00F16B28"/>
    <w:rsid w:val="00F23CF4"/>
    <w:rsid w:val="00F3527F"/>
    <w:rsid w:val="00F35901"/>
    <w:rsid w:val="00F43787"/>
    <w:rsid w:val="00F46577"/>
    <w:rsid w:val="00F524AE"/>
    <w:rsid w:val="00F607C9"/>
    <w:rsid w:val="00F67CB7"/>
    <w:rsid w:val="00F82294"/>
    <w:rsid w:val="00F8734F"/>
    <w:rsid w:val="00FC67BB"/>
    <w:rsid w:val="00FD4EA1"/>
    <w:rsid w:val="00FE4929"/>
    <w:rsid w:val="00FE5F61"/>
    <w:rsid w:val="00FF7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E5E97-2ED2-49B6-B93D-AB1DC95B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DVitkauskas</cp:lastModifiedBy>
  <cp:revision>6</cp:revision>
  <cp:lastPrinted>2016-06-01T12:16:00Z</cp:lastPrinted>
  <dcterms:created xsi:type="dcterms:W3CDTF">2016-06-06T08:28:00Z</dcterms:created>
  <dcterms:modified xsi:type="dcterms:W3CDTF">2016-06-07T06:44:00Z</dcterms:modified>
</cp:coreProperties>
</file>