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301915618"/>
    <w:bookmarkEnd w:id="0"/>
    <w:bookmarkStart w:id="1" w:name="_MON_1051956295"/>
    <w:bookmarkEnd w:id="1"/>
    <w:p w14:paraId="78F35B6A" w14:textId="77777777" w:rsidR="00907C82" w:rsidRPr="001372F6" w:rsidRDefault="00364784" w:rsidP="00907C82">
      <w:pPr>
        <w:jc w:val="center"/>
        <w:rPr>
          <w:rFonts w:ascii="CG Times" w:hAnsi="CG Times"/>
          <w:sz w:val="24"/>
          <w:szCs w:val="24"/>
        </w:rPr>
      </w:pPr>
      <w:r w:rsidRPr="001372F6">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32122043" r:id="rId9"/>
        </w:object>
      </w:r>
    </w:p>
    <w:p w14:paraId="2B06DE61" w14:textId="77777777" w:rsidR="00CD0D68" w:rsidRPr="001372F6" w:rsidRDefault="00CD0D68" w:rsidP="00907C82">
      <w:pPr>
        <w:jc w:val="center"/>
        <w:rPr>
          <w:sz w:val="24"/>
          <w:szCs w:val="24"/>
        </w:rPr>
      </w:pPr>
    </w:p>
    <w:p w14:paraId="418E063B" w14:textId="77777777" w:rsidR="00351E8D" w:rsidRPr="001372F6" w:rsidRDefault="00351E8D" w:rsidP="009310AB">
      <w:pPr>
        <w:pStyle w:val="Heading1"/>
        <w:tabs>
          <w:tab w:val="left" w:pos="900"/>
        </w:tabs>
        <w:jc w:val="center"/>
        <w:rPr>
          <w:sz w:val="24"/>
          <w:szCs w:val="24"/>
        </w:rPr>
      </w:pPr>
      <w:r w:rsidRPr="001372F6">
        <w:rPr>
          <w:sz w:val="24"/>
          <w:szCs w:val="24"/>
        </w:rPr>
        <w:t>VIEŠŲJŲ PIRKIMŲ TARNYBA</w:t>
      </w:r>
    </w:p>
    <w:p w14:paraId="0091DADB" w14:textId="2B354713" w:rsidR="00F75CB5" w:rsidRDefault="00F75CB5" w:rsidP="00A77BDD">
      <w:pPr>
        <w:tabs>
          <w:tab w:val="left" w:pos="900"/>
        </w:tabs>
        <w:rPr>
          <w:bCs/>
          <w:sz w:val="24"/>
          <w:szCs w:val="24"/>
        </w:rPr>
      </w:pPr>
    </w:p>
    <w:p w14:paraId="35F47C65" w14:textId="77777777" w:rsidR="00D352A1" w:rsidRPr="001372F6" w:rsidRDefault="00D352A1"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567"/>
        <w:gridCol w:w="2267"/>
      </w:tblGrid>
      <w:tr w:rsidR="00CB04A1" w:rsidRPr="001372F6" w14:paraId="33E27AB9" w14:textId="77777777" w:rsidTr="00350917">
        <w:trPr>
          <w:cantSplit/>
        </w:trPr>
        <w:tc>
          <w:tcPr>
            <w:tcW w:w="5240" w:type="dxa"/>
            <w:gridSpan w:val="4"/>
          </w:tcPr>
          <w:p w14:paraId="5AC0754A" w14:textId="77777777" w:rsidR="001B5351" w:rsidRPr="00AD28C2" w:rsidRDefault="001B5351" w:rsidP="001B5351">
            <w:pPr>
              <w:keepNext/>
              <w:rPr>
                <w:sz w:val="24"/>
                <w:szCs w:val="24"/>
              </w:rPr>
            </w:pPr>
            <w:r>
              <w:rPr>
                <w:sz w:val="24"/>
                <w:szCs w:val="24"/>
              </w:rPr>
              <w:t>Rokiškio rajono savivaldybės administracijai</w:t>
            </w:r>
          </w:p>
          <w:p w14:paraId="246082BC" w14:textId="77777777" w:rsidR="001B5351" w:rsidRPr="00AD28C2" w:rsidRDefault="001B5351" w:rsidP="001B5351">
            <w:pPr>
              <w:keepNext/>
              <w:rPr>
                <w:sz w:val="24"/>
                <w:szCs w:val="24"/>
              </w:rPr>
            </w:pPr>
            <w:r>
              <w:rPr>
                <w:sz w:val="24"/>
                <w:szCs w:val="24"/>
              </w:rPr>
              <w:t>Respublikos g. 94</w:t>
            </w:r>
          </w:p>
          <w:p w14:paraId="2B1E7495" w14:textId="25841A86" w:rsidR="009405EC" w:rsidRDefault="001B5351" w:rsidP="001B5351">
            <w:pPr>
              <w:rPr>
                <w:sz w:val="24"/>
                <w:szCs w:val="24"/>
              </w:rPr>
            </w:pPr>
            <w:r>
              <w:rPr>
                <w:sz w:val="24"/>
                <w:szCs w:val="24"/>
              </w:rPr>
              <w:t>42136 Rokiškis</w:t>
            </w:r>
          </w:p>
          <w:p w14:paraId="62A15421" w14:textId="77777777" w:rsidR="001B5351" w:rsidRPr="00AD28C2" w:rsidRDefault="001B5351" w:rsidP="001B5351">
            <w:pPr>
              <w:keepNext/>
              <w:rPr>
                <w:sz w:val="24"/>
                <w:szCs w:val="24"/>
                <w:lang w:val="en-US"/>
              </w:rPr>
            </w:pPr>
            <w:r w:rsidRPr="00AD28C2">
              <w:rPr>
                <w:sz w:val="24"/>
                <w:szCs w:val="24"/>
              </w:rPr>
              <w:t xml:space="preserve">el. p. </w:t>
            </w:r>
            <w:r>
              <w:rPr>
                <w:sz w:val="24"/>
                <w:szCs w:val="24"/>
              </w:rPr>
              <w:t>savivaldybe</w:t>
            </w:r>
            <w:r w:rsidRPr="00AD28C2">
              <w:rPr>
                <w:sz w:val="24"/>
                <w:szCs w:val="24"/>
                <w:lang w:val="en-US"/>
              </w:rPr>
              <w:t>@</w:t>
            </w:r>
            <w:proofErr w:type="spellStart"/>
            <w:r>
              <w:rPr>
                <w:sz w:val="24"/>
                <w:szCs w:val="24"/>
                <w:lang w:val="en-US"/>
              </w:rPr>
              <w:t>post.rokiskis.lt</w:t>
            </w:r>
            <w:proofErr w:type="spellEnd"/>
          </w:p>
          <w:p w14:paraId="642B6655" w14:textId="255ACE00" w:rsidR="009405EC" w:rsidRDefault="009405EC" w:rsidP="00904F5C">
            <w:pPr>
              <w:rPr>
                <w:sz w:val="24"/>
                <w:szCs w:val="24"/>
              </w:rPr>
            </w:pPr>
            <w:r>
              <w:rPr>
                <w:sz w:val="24"/>
                <w:szCs w:val="24"/>
              </w:rPr>
              <w:t xml:space="preserve"> </w:t>
            </w:r>
          </w:p>
          <w:p w14:paraId="5B24C876" w14:textId="2D2B48AF" w:rsidR="009405EC" w:rsidRDefault="009405EC" w:rsidP="00904F5C">
            <w:pPr>
              <w:rPr>
                <w:sz w:val="24"/>
                <w:szCs w:val="24"/>
              </w:rPr>
            </w:pPr>
          </w:p>
          <w:p w14:paraId="7090380A" w14:textId="33D7567F" w:rsidR="009405EC" w:rsidRDefault="009405EC" w:rsidP="00904F5C">
            <w:pPr>
              <w:rPr>
                <w:sz w:val="24"/>
                <w:szCs w:val="24"/>
              </w:rPr>
            </w:pPr>
            <w:r>
              <w:rPr>
                <w:sz w:val="24"/>
                <w:szCs w:val="24"/>
              </w:rPr>
              <w:t>Centrinei projektų valdymo agentūrai</w:t>
            </w:r>
          </w:p>
          <w:p w14:paraId="6DD49B12" w14:textId="77777777" w:rsidR="0062252F" w:rsidRDefault="009405EC" w:rsidP="00904F5C">
            <w:pPr>
              <w:rPr>
                <w:sz w:val="24"/>
                <w:szCs w:val="24"/>
              </w:rPr>
            </w:pPr>
            <w:r w:rsidRPr="009405EC">
              <w:rPr>
                <w:sz w:val="24"/>
                <w:szCs w:val="24"/>
              </w:rPr>
              <w:t xml:space="preserve">S. Konarskio g. 13, </w:t>
            </w:r>
          </w:p>
          <w:p w14:paraId="671E1ABB" w14:textId="418E4A75" w:rsidR="009405EC" w:rsidRDefault="009405EC" w:rsidP="00904F5C">
            <w:pPr>
              <w:rPr>
                <w:sz w:val="24"/>
                <w:szCs w:val="24"/>
              </w:rPr>
            </w:pPr>
            <w:r w:rsidRPr="009405EC">
              <w:rPr>
                <w:sz w:val="24"/>
                <w:szCs w:val="24"/>
              </w:rPr>
              <w:t>03109 Vilnius</w:t>
            </w:r>
          </w:p>
          <w:p w14:paraId="5EA9CA29" w14:textId="79F6BC72" w:rsidR="00CE1ECD" w:rsidRPr="000D13FD" w:rsidRDefault="009405EC" w:rsidP="000D13FD">
            <w:pPr>
              <w:rPr>
                <w:sz w:val="24"/>
                <w:szCs w:val="24"/>
              </w:rPr>
            </w:pPr>
            <w:r>
              <w:rPr>
                <w:sz w:val="24"/>
                <w:szCs w:val="24"/>
              </w:rPr>
              <w:t xml:space="preserve">El. p.: </w:t>
            </w:r>
            <w:hyperlink r:id="rId10" w:history="1">
              <w:r w:rsidRPr="006A0D07">
                <w:rPr>
                  <w:rStyle w:val="Hyperlink"/>
                  <w:sz w:val="24"/>
                  <w:szCs w:val="24"/>
                </w:rPr>
                <w:t>info@cpva.lt</w:t>
              </w:r>
            </w:hyperlink>
            <w:r>
              <w:rPr>
                <w:sz w:val="24"/>
                <w:szCs w:val="24"/>
              </w:rPr>
              <w:t xml:space="preserve"> </w:t>
            </w:r>
          </w:p>
        </w:tc>
        <w:tc>
          <w:tcPr>
            <w:tcW w:w="1560" w:type="dxa"/>
          </w:tcPr>
          <w:p w14:paraId="06460AA5" w14:textId="77777777" w:rsidR="001C573C" w:rsidRDefault="00671986" w:rsidP="00961D2E">
            <w:pPr>
              <w:rPr>
                <w:sz w:val="24"/>
                <w:szCs w:val="24"/>
              </w:rPr>
            </w:pPr>
            <w:r>
              <w:rPr>
                <w:sz w:val="24"/>
                <w:szCs w:val="24"/>
              </w:rPr>
              <w:t>2019-10-</w:t>
            </w:r>
          </w:p>
          <w:p w14:paraId="3163C8F2" w14:textId="40DFEA7C" w:rsidR="00671986" w:rsidRPr="001372F6" w:rsidRDefault="00671986" w:rsidP="00961D2E">
            <w:pPr>
              <w:rPr>
                <w:sz w:val="24"/>
                <w:szCs w:val="24"/>
              </w:rPr>
            </w:pPr>
            <w:r>
              <w:rPr>
                <w:sz w:val="24"/>
                <w:szCs w:val="24"/>
              </w:rPr>
              <w:t>Į 2019-09-24</w:t>
            </w:r>
          </w:p>
        </w:tc>
        <w:tc>
          <w:tcPr>
            <w:tcW w:w="567" w:type="dxa"/>
            <w:shd w:val="clear" w:color="auto" w:fill="auto"/>
          </w:tcPr>
          <w:p w14:paraId="5563EA6B" w14:textId="77777777" w:rsidR="003C4D34" w:rsidRDefault="00671986" w:rsidP="003C4D34">
            <w:pPr>
              <w:ind w:left="-108" w:right="-108"/>
              <w:rPr>
                <w:sz w:val="24"/>
                <w:szCs w:val="24"/>
              </w:rPr>
            </w:pPr>
            <w:r>
              <w:rPr>
                <w:sz w:val="24"/>
                <w:szCs w:val="24"/>
              </w:rPr>
              <w:t xml:space="preserve"> Nr. </w:t>
            </w:r>
          </w:p>
          <w:p w14:paraId="1C320F9F" w14:textId="2FAC5799" w:rsidR="00671986" w:rsidRPr="001372F6" w:rsidRDefault="00671986" w:rsidP="003C4D34">
            <w:pPr>
              <w:ind w:left="-108" w:right="-108"/>
              <w:rPr>
                <w:sz w:val="24"/>
                <w:szCs w:val="24"/>
              </w:rPr>
            </w:pPr>
            <w:r>
              <w:rPr>
                <w:sz w:val="24"/>
                <w:szCs w:val="24"/>
              </w:rPr>
              <w:t xml:space="preserve"> Nr.    </w:t>
            </w:r>
          </w:p>
        </w:tc>
        <w:tc>
          <w:tcPr>
            <w:tcW w:w="2267" w:type="dxa"/>
            <w:shd w:val="clear" w:color="auto" w:fill="auto"/>
          </w:tcPr>
          <w:p w14:paraId="59AA80FC" w14:textId="65E0212D" w:rsidR="003C4D34" w:rsidRDefault="00671986" w:rsidP="001873E3">
            <w:pPr>
              <w:rPr>
                <w:sz w:val="24"/>
                <w:szCs w:val="24"/>
              </w:rPr>
            </w:pPr>
            <w:r>
              <w:rPr>
                <w:sz w:val="24"/>
                <w:szCs w:val="24"/>
              </w:rPr>
              <w:t>4S-       (7.28)</w:t>
            </w:r>
          </w:p>
          <w:p w14:paraId="3166128D" w14:textId="260D2289" w:rsidR="00671986" w:rsidRPr="001372F6" w:rsidRDefault="00671986" w:rsidP="001873E3">
            <w:pPr>
              <w:rPr>
                <w:sz w:val="24"/>
                <w:szCs w:val="24"/>
              </w:rPr>
            </w:pPr>
            <w:r>
              <w:rPr>
                <w:sz w:val="24"/>
                <w:szCs w:val="24"/>
              </w:rPr>
              <w:t>SD-5.45-3304</w:t>
            </w:r>
          </w:p>
        </w:tc>
      </w:tr>
      <w:tr w:rsidR="00CB04A1" w:rsidRPr="001372F6" w14:paraId="371847FD" w14:textId="77777777" w:rsidTr="002E5609">
        <w:trPr>
          <w:gridAfter w:val="4"/>
          <w:wAfter w:w="5240" w:type="dxa"/>
          <w:cantSplit/>
          <w:trHeight w:val="80"/>
        </w:trPr>
        <w:tc>
          <w:tcPr>
            <w:tcW w:w="1560" w:type="dxa"/>
          </w:tcPr>
          <w:p w14:paraId="128ADA56" w14:textId="77777777" w:rsidR="000A5F61" w:rsidRPr="001372F6" w:rsidRDefault="000A5F61" w:rsidP="001873E3">
            <w:pPr>
              <w:rPr>
                <w:sz w:val="24"/>
                <w:szCs w:val="24"/>
              </w:rPr>
            </w:pPr>
          </w:p>
        </w:tc>
        <w:tc>
          <w:tcPr>
            <w:tcW w:w="567" w:type="dxa"/>
          </w:tcPr>
          <w:p w14:paraId="73E6C186" w14:textId="77777777" w:rsidR="000A5F61" w:rsidRPr="001372F6" w:rsidRDefault="000A5F61" w:rsidP="001873E3">
            <w:pPr>
              <w:ind w:left="-108" w:right="-108"/>
              <w:rPr>
                <w:sz w:val="24"/>
                <w:szCs w:val="24"/>
              </w:rPr>
            </w:pPr>
          </w:p>
        </w:tc>
        <w:tc>
          <w:tcPr>
            <w:tcW w:w="2267" w:type="dxa"/>
          </w:tcPr>
          <w:p w14:paraId="769B18EE" w14:textId="77777777" w:rsidR="000A5F61" w:rsidRPr="001372F6" w:rsidRDefault="000A5F61" w:rsidP="001873E3">
            <w:pPr>
              <w:rPr>
                <w:sz w:val="24"/>
                <w:szCs w:val="24"/>
              </w:rPr>
            </w:pPr>
          </w:p>
        </w:tc>
      </w:tr>
    </w:tbl>
    <w:p w14:paraId="398E938C" w14:textId="77777777" w:rsidR="00DB2912" w:rsidRPr="001372F6" w:rsidRDefault="00DB2912" w:rsidP="0088148E">
      <w:pPr>
        <w:jc w:val="center"/>
        <w:rPr>
          <w:rFonts w:eastAsia="Calibri"/>
          <w:b/>
          <w:bCs/>
          <w:sz w:val="24"/>
          <w:szCs w:val="24"/>
        </w:rPr>
      </w:pPr>
    </w:p>
    <w:p w14:paraId="2DBF2525" w14:textId="77777777" w:rsidR="0088148E" w:rsidRPr="001372F6" w:rsidRDefault="0088148E" w:rsidP="0088148E">
      <w:pPr>
        <w:jc w:val="center"/>
        <w:rPr>
          <w:rFonts w:eastAsia="Calibri"/>
          <w:b/>
          <w:bCs/>
          <w:sz w:val="24"/>
          <w:szCs w:val="24"/>
        </w:rPr>
      </w:pPr>
      <w:r w:rsidRPr="001372F6">
        <w:rPr>
          <w:rFonts w:eastAsia="Calibri"/>
          <w:b/>
          <w:bCs/>
          <w:sz w:val="24"/>
          <w:szCs w:val="24"/>
        </w:rPr>
        <w:t>VERTINIMO IŠVADA</w:t>
      </w:r>
    </w:p>
    <w:p w14:paraId="1900DAA1" w14:textId="77777777" w:rsidR="0088148E" w:rsidRPr="001372F6" w:rsidRDefault="0088148E" w:rsidP="0088148E">
      <w:pPr>
        <w:rPr>
          <w:rFonts w:eastAsia="Calibri"/>
          <w:sz w:val="24"/>
          <w:szCs w:val="24"/>
        </w:rPr>
      </w:pPr>
    </w:p>
    <w:p w14:paraId="0DAB02E2" w14:textId="67A3C717" w:rsidR="0088148E" w:rsidRDefault="0088148E" w:rsidP="0088148E">
      <w:pPr>
        <w:ind w:firstLine="708"/>
        <w:jc w:val="center"/>
        <w:rPr>
          <w:rFonts w:eastAsia="Calibri"/>
          <w:sz w:val="24"/>
          <w:szCs w:val="24"/>
        </w:rPr>
      </w:pPr>
    </w:p>
    <w:p w14:paraId="125A6D7F" w14:textId="77777777" w:rsidR="001B5351" w:rsidRDefault="001B5351" w:rsidP="001B5351">
      <w:pPr>
        <w:ind w:firstLine="709"/>
        <w:jc w:val="both"/>
        <w:rPr>
          <w:rFonts w:eastAsia="Calibri"/>
          <w:sz w:val="24"/>
          <w:szCs w:val="24"/>
        </w:rPr>
      </w:pPr>
      <w:r>
        <w:rPr>
          <w:rFonts w:eastAsia="Calibri"/>
          <w:bCs/>
          <w:sz w:val="24"/>
          <w:szCs w:val="24"/>
        </w:rPr>
        <w:t>Viešųjų pirkimų tarnyba (toliau – Tarnyba), vadovaudamasi Lietuvos Respublikos viešųjų pirkimų įstatymo 95 straipsnio 1 dalies 2 punktu, įvertino Rokiškio rajono savivaldybės  administracijos (toliau – Perkančioji organizacija) vykdyto viešojo pirkimo pagrindu sudarytą preliminariąją sutartį bei jos pagrindu sudarytą pagrindinę viešojo pirkimo sutartį.</w:t>
      </w:r>
    </w:p>
    <w:p w14:paraId="5908B064" w14:textId="3D63CEA3" w:rsidR="001B5351" w:rsidRDefault="001B5351" w:rsidP="0088148E">
      <w:pPr>
        <w:ind w:firstLine="708"/>
        <w:jc w:val="center"/>
        <w:rPr>
          <w:rFonts w:eastAsia="Calibri"/>
          <w:sz w:val="24"/>
          <w:szCs w:val="24"/>
        </w:rPr>
      </w:pPr>
    </w:p>
    <w:p w14:paraId="38FB0E25" w14:textId="77777777" w:rsidR="001B5351" w:rsidRPr="001372F6" w:rsidRDefault="001B5351"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CB04A1" w:rsidRPr="001372F6" w14:paraId="56AF26ED" w14:textId="77777777" w:rsidTr="001372F6">
        <w:tc>
          <w:tcPr>
            <w:tcW w:w="4503" w:type="dxa"/>
            <w:shd w:val="clear" w:color="auto" w:fill="auto"/>
            <w:vAlign w:val="center"/>
          </w:tcPr>
          <w:p w14:paraId="749A5E3B" w14:textId="5F59AB88" w:rsidR="0088148E" w:rsidRPr="001372F6" w:rsidRDefault="001B5351" w:rsidP="001372F6">
            <w:pPr>
              <w:jc w:val="both"/>
              <w:rPr>
                <w:rFonts w:eastAsia="Calibri"/>
                <w:sz w:val="24"/>
                <w:szCs w:val="24"/>
              </w:rPr>
            </w:pPr>
            <w:r>
              <w:rPr>
                <w:color w:val="000000"/>
                <w:sz w:val="24"/>
                <w:szCs w:val="24"/>
              </w:rPr>
              <w:t>P</w:t>
            </w:r>
            <w:r w:rsidR="001372F6" w:rsidRPr="001372F6">
              <w:rPr>
                <w:color w:val="000000"/>
                <w:sz w:val="24"/>
                <w:szCs w:val="24"/>
              </w:rPr>
              <w:t>irkimo* pavadinimas, numeris (jeigu skelbtas), pirkimo paskelbimo (kvietimo pateikti paraišką/pasiūlymą) data/ sutarties pavadinimas, data, numeris</w:t>
            </w:r>
          </w:p>
        </w:tc>
        <w:tc>
          <w:tcPr>
            <w:tcW w:w="5244" w:type="dxa"/>
            <w:shd w:val="clear" w:color="auto" w:fill="auto"/>
            <w:vAlign w:val="center"/>
          </w:tcPr>
          <w:p w14:paraId="0039E8D6" w14:textId="628EA6F3" w:rsidR="001B5351" w:rsidRPr="00D30FEE" w:rsidRDefault="001B5351" w:rsidP="00EE1E2A">
            <w:pPr>
              <w:spacing w:line="256" w:lineRule="auto"/>
              <w:jc w:val="both"/>
              <w:rPr>
                <w:bCs/>
                <w:sz w:val="23"/>
                <w:szCs w:val="23"/>
              </w:rPr>
            </w:pPr>
            <w:r>
              <w:rPr>
                <w:sz w:val="24"/>
              </w:rPr>
              <w:t xml:space="preserve">„Projekto „Obelių miesto gyvenamosios vietovės atnaujinimas“ rangos darbų pirkimas“ </w:t>
            </w:r>
            <w:r w:rsidRPr="00D30FEE">
              <w:rPr>
                <w:sz w:val="23"/>
                <w:szCs w:val="23"/>
              </w:rPr>
              <w:t>(Centrinėje viešųjų pirkimų informacinėje sistemoje</w:t>
            </w:r>
            <w:r w:rsidR="00EE1E2A">
              <w:rPr>
                <w:sz w:val="23"/>
                <w:szCs w:val="23"/>
              </w:rPr>
              <w:t xml:space="preserve"> </w:t>
            </w:r>
            <w:r w:rsidRPr="00D30FEE">
              <w:rPr>
                <w:sz w:val="23"/>
                <w:szCs w:val="23"/>
              </w:rPr>
              <w:t>skelbtas 201</w:t>
            </w:r>
            <w:r>
              <w:rPr>
                <w:sz w:val="23"/>
                <w:szCs w:val="23"/>
              </w:rPr>
              <w:t>7</w:t>
            </w:r>
            <w:r w:rsidRPr="00D30FEE">
              <w:rPr>
                <w:sz w:val="23"/>
                <w:szCs w:val="23"/>
              </w:rPr>
              <w:t>-</w:t>
            </w:r>
            <w:r>
              <w:rPr>
                <w:sz w:val="23"/>
                <w:szCs w:val="23"/>
              </w:rPr>
              <w:t>12</w:t>
            </w:r>
            <w:r w:rsidRPr="00D30FEE">
              <w:rPr>
                <w:sz w:val="23"/>
                <w:szCs w:val="23"/>
              </w:rPr>
              <w:t>-</w:t>
            </w:r>
            <w:r>
              <w:rPr>
                <w:sz w:val="23"/>
                <w:szCs w:val="23"/>
              </w:rPr>
              <w:t>12</w:t>
            </w:r>
            <w:r w:rsidRPr="00D30FEE">
              <w:rPr>
                <w:sz w:val="23"/>
                <w:szCs w:val="23"/>
              </w:rPr>
              <w:t>, pirkimo Nr. 3</w:t>
            </w:r>
            <w:r>
              <w:rPr>
                <w:sz w:val="23"/>
                <w:szCs w:val="23"/>
              </w:rPr>
              <w:t>58694</w:t>
            </w:r>
            <w:r w:rsidRPr="00D30FEE">
              <w:rPr>
                <w:bCs/>
                <w:sz w:val="23"/>
                <w:szCs w:val="23"/>
              </w:rPr>
              <w:t>) (toliau – Pirkimas)</w:t>
            </w:r>
          </w:p>
          <w:p w14:paraId="611DFE3C" w14:textId="48A5F6E4" w:rsidR="0088148E" w:rsidRPr="001372F6" w:rsidRDefault="001B5351" w:rsidP="00EE1E2A">
            <w:pPr>
              <w:jc w:val="both"/>
              <w:rPr>
                <w:sz w:val="24"/>
                <w:szCs w:val="24"/>
              </w:rPr>
            </w:pPr>
            <w:r>
              <w:rPr>
                <w:sz w:val="24"/>
              </w:rPr>
              <w:t>2018-02-14 Preliminariosios sutarties Nr. DS-63 pagrindu (toliau – Preliminarioji sutartis) 2018-05-22 sudaryta Pagrindinė „Projekto „Obelių miesto gyvenamosios vietovės atnaujinimas“ rangos darbų pirkimo sutartis Nr. DS-320 (toliau – Pagrindinė sutartis)</w:t>
            </w:r>
          </w:p>
        </w:tc>
      </w:tr>
      <w:tr w:rsidR="00CB04A1" w:rsidRPr="001372F6" w14:paraId="011000EE" w14:textId="77777777" w:rsidTr="001372F6">
        <w:tc>
          <w:tcPr>
            <w:tcW w:w="4503" w:type="dxa"/>
            <w:shd w:val="clear" w:color="auto" w:fill="auto"/>
            <w:vAlign w:val="center"/>
          </w:tcPr>
          <w:p w14:paraId="187537DA" w14:textId="77777777" w:rsidR="0088148E" w:rsidRPr="001372F6" w:rsidRDefault="001372F6" w:rsidP="001372F6">
            <w:pPr>
              <w:jc w:val="both"/>
              <w:rPr>
                <w:rFonts w:eastAsia="Calibri"/>
                <w:sz w:val="24"/>
                <w:szCs w:val="24"/>
              </w:rPr>
            </w:pPr>
            <w:r w:rsidRPr="001372F6">
              <w:rPr>
                <w:color w:val="000000"/>
                <w:sz w:val="24"/>
                <w:szCs w:val="24"/>
              </w:rPr>
              <w:t>Pirkimo vykdymo/sutarties sudarymo teisinis pagrindas</w:t>
            </w:r>
          </w:p>
        </w:tc>
        <w:tc>
          <w:tcPr>
            <w:tcW w:w="5244" w:type="dxa"/>
            <w:shd w:val="clear" w:color="auto" w:fill="auto"/>
            <w:vAlign w:val="center"/>
          </w:tcPr>
          <w:p w14:paraId="63EC734B" w14:textId="6864C295" w:rsidR="0088148E" w:rsidRPr="001372F6" w:rsidRDefault="001372F6" w:rsidP="0088148E">
            <w:pPr>
              <w:jc w:val="both"/>
              <w:rPr>
                <w:rFonts w:eastAsia="Calibri"/>
                <w:sz w:val="24"/>
                <w:szCs w:val="24"/>
              </w:rPr>
            </w:pPr>
            <w:r w:rsidRPr="001372F6">
              <w:rPr>
                <w:rFonts w:eastAsia="Calibri"/>
                <w:sz w:val="24"/>
                <w:szCs w:val="24"/>
              </w:rPr>
              <w:t>Viešųjų pirkimų įstatymas (aktuali redakcija nuo 201</w:t>
            </w:r>
            <w:r w:rsidR="00E53E2E">
              <w:rPr>
                <w:rFonts w:eastAsia="Calibri"/>
                <w:sz w:val="24"/>
                <w:szCs w:val="24"/>
              </w:rPr>
              <w:t>8</w:t>
            </w:r>
            <w:r w:rsidRPr="001372F6">
              <w:rPr>
                <w:rFonts w:eastAsia="Calibri"/>
                <w:sz w:val="24"/>
                <w:szCs w:val="24"/>
              </w:rPr>
              <w:t>-0</w:t>
            </w:r>
            <w:r w:rsidR="00E53E2E">
              <w:rPr>
                <w:rFonts w:eastAsia="Calibri"/>
                <w:sz w:val="24"/>
                <w:szCs w:val="24"/>
              </w:rPr>
              <w:t>1</w:t>
            </w:r>
            <w:r w:rsidRPr="001372F6">
              <w:rPr>
                <w:rFonts w:eastAsia="Calibri"/>
                <w:sz w:val="24"/>
                <w:szCs w:val="24"/>
              </w:rPr>
              <w:t>-01) (toliau – Įstatymas)</w:t>
            </w:r>
          </w:p>
        </w:tc>
      </w:tr>
      <w:tr w:rsidR="001372F6" w:rsidRPr="001372F6" w14:paraId="52BD7BC8" w14:textId="77777777" w:rsidTr="001372F6">
        <w:tc>
          <w:tcPr>
            <w:tcW w:w="4503" w:type="dxa"/>
            <w:shd w:val="clear" w:color="auto" w:fill="auto"/>
            <w:vAlign w:val="center"/>
          </w:tcPr>
          <w:p w14:paraId="5E006787" w14:textId="77777777" w:rsidR="001372F6" w:rsidRPr="001372F6" w:rsidRDefault="001372F6" w:rsidP="001372F6">
            <w:pPr>
              <w:jc w:val="both"/>
              <w:rPr>
                <w:color w:val="000000"/>
                <w:sz w:val="24"/>
                <w:szCs w:val="24"/>
              </w:rPr>
            </w:pPr>
            <w:r w:rsidRPr="001372F6">
              <w:rPr>
                <w:color w:val="000000"/>
                <w:sz w:val="24"/>
                <w:szCs w:val="24"/>
              </w:rPr>
              <w:t>Pirkimo būdas</w:t>
            </w:r>
          </w:p>
        </w:tc>
        <w:tc>
          <w:tcPr>
            <w:tcW w:w="5244" w:type="dxa"/>
            <w:shd w:val="clear" w:color="auto" w:fill="auto"/>
            <w:vAlign w:val="center"/>
          </w:tcPr>
          <w:p w14:paraId="5090814E" w14:textId="77777777" w:rsidR="001372F6" w:rsidRPr="001372F6" w:rsidRDefault="001372F6" w:rsidP="0088148E">
            <w:pPr>
              <w:jc w:val="both"/>
              <w:rPr>
                <w:rFonts w:eastAsia="Calibri"/>
                <w:sz w:val="24"/>
                <w:szCs w:val="24"/>
              </w:rPr>
            </w:pPr>
            <w:r w:rsidRPr="001372F6">
              <w:rPr>
                <w:sz w:val="24"/>
                <w:szCs w:val="24"/>
              </w:rPr>
              <w:t>Atviras konkursas</w:t>
            </w:r>
          </w:p>
        </w:tc>
      </w:tr>
      <w:tr w:rsidR="00CB04A1" w:rsidRPr="001372F6" w14:paraId="1D8C8F3E" w14:textId="77777777" w:rsidTr="001372F6">
        <w:tc>
          <w:tcPr>
            <w:tcW w:w="4503" w:type="dxa"/>
            <w:shd w:val="clear" w:color="auto" w:fill="auto"/>
            <w:vAlign w:val="center"/>
          </w:tcPr>
          <w:p w14:paraId="4A427774" w14:textId="77777777" w:rsidR="0088148E" w:rsidRPr="001372F6" w:rsidRDefault="001372F6" w:rsidP="001372F6">
            <w:pPr>
              <w:jc w:val="both"/>
              <w:rPr>
                <w:rFonts w:eastAsia="Calibri"/>
                <w:sz w:val="24"/>
                <w:szCs w:val="24"/>
              </w:rPr>
            </w:pPr>
            <w:r w:rsidRPr="001372F6">
              <w:rPr>
                <w:color w:val="000000"/>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3976312D" w:rsidR="002E32C2" w:rsidRPr="00001CD7" w:rsidRDefault="009F4FBD" w:rsidP="001B5351">
            <w:pPr>
              <w:jc w:val="both"/>
              <w:rPr>
                <w:rFonts w:eastAsia="Calibri"/>
                <w:sz w:val="24"/>
                <w:szCs w:val="24"/>
              </w:rPr>
            </w:pPr>
            <w:r>
              <w:rPr>
                <w:sz w:val="24"/>
              </w:rPr>
              <w:t>Preliminariosios sutarties pagrindu sudarytos Pagrindinės sutarties vertė - 410 315,87 Eur be PVM</w:t>
            </w:r>
          </w:p>
        </w:tc>
      </w:tr>
      <w:tr w:rsidR="001372F6" w:rsidRPr="001372F6" w14:paraId="40188002" w14:textId="77777777" w:rsidTr="001372F6">
        <w:tc>
          <w:tcPr>
            <w:tcW w:w="4503" w:type="dxa"/>
            <w:shd w:val="clear" w:color="auto" w:fill="auto"/>
            <w:vAlign w:val="center"/>
          </w:tcPr>
          <w:p w14:paraId="345FFFFC" w14:textId="77777777" w:rsidR="001372F6" w:rsidRPr="001372F6" w:rsidRDefault="001372F6" w:rsidP="001372F6">
            <w:pPr>
              <w:jc w:val="both"/>
              <w:rPr>
                <w:color w:val="000000"/>
                <w:sz w:val="24"/>
                <w:szCs w:val="24"/>
              </w:rPr>
            </w:pPr>
            <w:r w:rsidRPr="001372F6">
              <w:rPr>
                <w:color w:val="000000"/>
                <w:sz w:val="24"/>
                <w:szCs w:val="24"/>
              </w:rPr>
              <w:t>Tiekėjas / teikėjas / rangovas / koncesininkas, juridinio asmens kodas (su kuriuo sudaryta sutartis)</w:t>
            </w:r>
          </w:p>
        </w:tc>
        <w:tc>
          <w:tcPr>
            <w:tcW w:w="5244" w:type="dxa"/>
            <w:shd w:val="clear" w:color="auto" w:fill="auto"/>
            <w:vAlign w:val="center"/>
          </w:tcPr>
          <w:p w14:paraId="61EC44CE" w14:textId="23B5A9D0" w:rsidR="001C0E68" w:rsidRPr="001372F6" w:rsidRDefault="009F4FBD" w:rsidP="001372F6">
            <w:pPr>
              <w:jc w:val="both"/>
              <w:rPr>
                <w:rFonts w:eastAsia="Calibri"/>
                <w:sz w:val="24"/>
                <w:szCs w:val="24"/>
              </w:rPr>
            </w:pPr>
            <w:r>
              <w:rPr>
                <w:sz w:val="24"/>
                <w:szCs w:val="24"/>
              </w:rPr>
              <w:t xml:space="preserve">UAB „Virtualūs namai“ </w:t>
            </w:r>
            <w:r w:rsidR="00E53E2E">
              <w:rPr>
                <w:sz w:val="24"/>
                <w:szCs w:val="24"/>
              </w:rPr>
              <w:t xml:space="preserve"> (toliau – Rangovas) </w:t>
            </w:r>
            <w:r>
              <w:rPr>
                <w:sz w:val="24"/>
                <w:szCs w:val="24"/>
              </w:rPr>
              <w:t>įmonės kodas 302416648, A Mickevičiaus g. 31-3, Kaunas</w:t>
            </w:r>
          </w:p>
        </w:tc>
      </w:tr>
      <w:tr w:rsidR="001372F6" w:rsidRPr="001372F6" w14:paraId="2D0E574B" w14:textId="77777777" w:rsidTr="001372F6">
        <w:tc>
          <w:tcPr>
            <w:tcW w:w="4503" w:type="dxa"/>
            <w:shd w:val="clear" w:color="auto" w:fill="auto"/>
            <w:vAlign w:val="center"/>
          </w:tcPr>
          <w:p w14:paraId="06F39928" w14:textId="77777777" w:rsidR="001372F6" w:rsidRPr="001372F6" w:rsidRDefault="001372F6" w:rsidP="001372F6">
            <w:pPr>
              <w:jc w:val="both"/>
              <w:rPr>
                <w:color w:val="000000"/>
                <w:sz w:val="24"/>
                <w:szCs w:val="24"/>
              </w:rPr>
            </w:pPr>
            <w:r w:rsidRPr="001372F6">
              <w:rPr>
                <w:color w:val="000000"/>
                <w:sz w:val="24"/>
                <w:szCs w:val="24"/>
              </w:rPr>
              <w:t>Pirkimo/sutarties vertinimo apimtys/etapas</w:t>
            </w:r>
          </w:p>
        </w:tc>
        <w:tc>
          <w:tcPr>
            <w:tcW w:w="5244" w:type="dxa"/>
            <w:shd w:val="clear" w:color="auto" w:fill="auto"/>
            <w:vAlign w:val="center"/>
          </w:tcPr>
          <w:p w14:paraId="2FC78BC1" w14:textId="61CE0D00" w:rsidR="009F4FBD" w:rsidRDefault="009F4FBD" w:rsidP="001372F6">
            <w:pPr>
              <w:jc w:val="both"/>
              <w:rPr>
                <w:rFonts w:eastAsia="Calibri"/>
                <w:sz w:val="24"/>
                <w:szCs w:val="24"/>
              </w:rPr>
            </w:pPr>
            <w:r>
              <w:rPr>
                <w:sz w:val="24"/>
                <w:szCs w:val="24"/>
              </w:rPr>
              <w:t>Dalinis Preliminariosios sutarties pagrindu sudarytos Pagrindinės sutarties vertinima</w:t>
            </w:r>
            <w:r w:rsidRPr="00C77C45">
              <w:rPr>
                <w:sz w:val="24"/>
                <w:szCs w:val="24"/>
              </w:rPr>
              <w:t>s</w:t>
            </w:r>
            <w:r>
              <w:rPr>
                <w:sz w:val="24"/>
                <w:szCs w:val="24"/>
              </w:rPr>
              <w:t xml:space="preserve"> dėl sąlygų keitimo </w:t>
            </w:r>
            <w:r>
              <w:rPr>
                <w:sz w:val="24"/>
                <w:szCs w:val="24"/>
              </w:rPr>
              <w:lastRenderedPageBreak/>
              <w:t>sudarant Pagrindinę sutartį / Pagrindinė sutartis vykdoma</w:t>
            </w:r>
          </w:p>
          <w:p w14:paraId="32D96500" w14:textId="77777777" w:rsidR="009F4FBD" w:rsidRDefault="009F4FBD" w:rsidP="001372F6">
            <w:pPr>
              <w:jc w:val="both"/>
              <w:rPr>
                <w:rFonts w:eastAsia="Calibri"/>
                <w:sz w:val="24"/>
                <w:szCs w:val="24"/>
              </w:rPr>
            </w:pPr>
          </w:p>
          <w:p w14:paraId="4A47517F" w14:textId="1B1DCD40" w:rsidR="001372F6" w:rsidRPr="001372F6" w:rsidRDefault="001372F6" w:rsidP="001372F6">
            <w:pPr>
              <w:jc w:val="both"/>
              <w:rPr>
                <w:rFonts w:eastAsia="Calibri"/>
                <w:sz w:val="24"/>
                <w:szCs w:val="24"/>
              </w:rPr>
            </w:pPr>
          </w:p>
        </w:tc>
      </w:tr>
      <w:tr w:rsidR="001372F6" w:rsidRPr="001372F6" w14:paraId="234CDCFE" w14:textId="77777777" w:rsidTr="001372F6">
        <w:tc>
          <w:tcPr>
            <w:tcW w:w="4503" w:type="dxa"/>
            <w:shd w:val="clear" w:color="auto" w:fill="auto"/>
            <w:vAlign w:val="center"/>
          </w:tcPr>
          <w:p w14:paraId="1A37B024" w14:textId="77777777" w:rsidR="001372F6" w:rsidRPr="001372F6" w:rsidRDefault="001372F6" w:rsidP="001372F6">
            <w:pPr>
              <w:jc w:val="both"/>
              <w:rPr>
                <w:rFonts w:eastAsia="Calibri"/>
                <w:sz w:val="24"/>
                <w:szCs w:val="24"/>
              </w:rPr>
            </w:pPr>
            <w:r w:rsidRPr="001372F6">
              <w:rPr>
                <w:color w:val="000000"/>
                <w:sz w:val="24"/>
                <w:szCs w:val="24"/>
              </w:rPr>
              <w:lastRenderedPageBreak/>
              <w:t>Pirkimas finansuojamas ES lėšomis, projekto pavadinimas, Įgyvendinančioji institucija</w:t>
            </w:r>
          </w:p>
        </w:tc>
        <w:tc>
          <w:tcPr>
            <w:tcW w:w="5244" w:type="dxa"/>
            <w:shd w:val="clear" w:color="auto" w:fill="auto"/>
            <w:vAlign w:val="center"/>
          </w:tcPr>
          <w:p w14:paraId="656D0B06" w14:textId="65E5FF91" w:rsidR="001372F6" w:rsidRPr="001372F6" w:rsidRDefault="009F4FBD" w:rsidP="00EE1E2A">
            <w:pPr>
              <w:jc w:val="both"/>
              <w:rPr>
                <w:rFonts w:eastAsia="Calibri"/>
                <w:sz w:val="24"/>
                <w:szCs w:val="24"/>
              </w:rPr>
            </w:pPr>
            <w:r>
              <w:rPr>
                <w:sz w:val="24"/>
                <w:szCs w:val="24"/>
              </w:rPr>
              <w:t>Pirkimas finansuojamas savivaldybės ir Europos Sąjungos lėšomis. Projektas „Obelių miesto gyvenamosios vietovės atnaujinimas“, Nr. 08.2.1-CPVA-R-908-51-0009.</w:t>
            </w:r>
            <w:r w:rsidR="003C4D34">
              <w:rPr>
                <w:sz w:val="24"/>
                <w:szCs w:val="24"/>
              </w:rPr>
              <w:t xml:space="preserve"> </w:t>
            </w:r>
            <w:r>
              <w:rPr>
                <w:sz w:val="24"/>
                <w:szCs w:val="24"/>
              </w:rPr>
              <w:t xml:space="preserve">Įgyvendinančioji </w:t>
            </w:r>
            <w:r w:rsidR="003C4D34">
              <w:rPr>
                <w:sz w:val="24"/>
                <w:szCs w:val="24"/>
              </w:rPr>
              <w:t xml:space="preserve">  </w:t>
            </w:r>
            <w:r>
              <w:rPr>
                <w:sz w:val="24"/>
                <w:szCs w:val="24"/>
              </w:rPr>
              <w:t>institucija – VšĮ Centrinė projektų valdymo agentūra</w:t>
            </w:r>
          </w:p>
        </w:tc>
      </w:tr>
      <w:tr w:rsidR="001372F6" w:rsidRPr="001372F6" w14:paraId="50452FCE" w14:textId="77777777" w:rsidTr="001372F6">
        <w:tc>
          <w:tcPr>
            <w:tcW w:w="4503" w:type="dxa"/>
            <w:shd w:val="clear" w:color="auto" w:fill="auto"/>
            <w:vAlign w:val="center"/>
          </w:tcPr>
          <w:p w14:paraId="56C6C0C2" w14:textId="77777777" w:rsidR="001372F6" w:rsidRPr="001372F6" w:rsidRDefault="001372F6" w:rsidP="001372F6">
            <w:pPr>
              <w:jc w:val="both"/>
              <w:rPr>
                <w:color w:val="000000"/>
                <w:sz w:val="24"/>
                <w:szCs w:val="24"/>
              </w:rPr>
            </w:pPr>
            <w:r w:rsidRPr="001372F6">
              <w:rPr>
                <w:color w:val="000000"/>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1372F6" w:rsidRDefault="001372F6" w:rsidP="001372F6">
            <w:pPr>
              <w:jc w:val="both"/>
              <w:rPr>
                <w:rFonts w:eastAsia="Calibri"/>
                <w:sz w:val="24"/>
                <w:szCs w:val="24"/>
              </w:rPr>
            </w:pPr>
            <w:r w:rsidRPr="001372F6">
              <w:rPr>
                <w:rFonts w:eastAsia="Calibri"/>
                <w:sz w:val="24"/>
                <w:szCs w:val="24"/>
              </w:rPr>
              <w:t>-</w:t>
            </w:r>
          </w:p>
        </w:tc>
      </w:tr>
    </w:tbl>
    <w:p w14:paraId="0947C862" w14:textId="77777777" w:rsidR="0088148E" w:rsidRPr="001372F6" w:rsidRDefault="0088148E" w:rsidP="0088148E">
      <w:pPr>
        <w:jc w:val="center"/>
        <w:rPr>
          <w:rFonts w:eastAsia="Calibri"/>
          <w:sz w:val="24"/>
          <w:szCs w:val="24"/>
        </w:rPr>
      </w:pPr>
    </w:p>
    <w:p w14:paraId="3B21BB61" w14:textId="77777777" w:rsidR="0088148E" w:rsidRPr="001372F6" w:rsidRDefault="001372F6" w:rsidP="0088148E">
      <w:pPr>
        <w:jc w:val="center"/>
        <w:rPr>
          <w:b/>
          <w:bCs/>
          <w:color w:val="000000"/>
          <w:sz w:val="24"/>
          <w:szCs w:val="24"/>
        </w:rPr>
      </w:pPr>
      <w:r w:rsidRPr="001372F6">
        <w:rPr>
          <w:b/>
          <w:bCs/>
          <w:color w:val="000000"/>
          <w:sz w:val="24"/>
          <w:szCs w:val="24"/>
        </w:rPr>
        <w:t>II dalis. Vertinimo apimtyje nustatyti pažeidimai</w:t>
      </w:r>
    </w:p>
    <w:p w14:paraId="181E420C" w14:textId="6E1A9C0C" w:rsidR="001372F6"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1873E3" w:rsidRPr="001372F6" w14:paraId="53956A99" w14:textId="77777777" w:rsidTr="001873E3">
        <w:tc>
          <w:tcPr>
            <w:tcW w:w="704" w:type="dxa"/>
            <w:shd w:val="clear" w:color="auto" w:fill="auto"/>
            <w:vAlign w:val="center"/>
          </w:tcPr>
          <w:p w14:paraId="5BD8769D" w14:textId="77777777" w:rsidR="001873E3" w:rsidRPr="001372F6" w:rsidRDefault="001873E3" w:rsidP="001873E3">
            <w:pPr>
              <w:numPr>
                <w:ilvl w:val="0"/>
                <w:numId w:val="20"/>
              </w:numPr>
              <w:spacing w:after="160" w:line="259" w:lineRule="auto"/>
              <w:ind w:left="0" w:right="172" w:firstLine="0"/>
              <w:contextualSpacing/>
              <w:rPr>
                <w:rFonts w:eastAsia="Calibri"/>
                <w:sz w:val="24"/>
                <w:szCs w:val="24"/>
              </w:rPr>
            </w:pPr>
          </w:p>
        </w:tc>
        <w:tc>
          <w:tcPr>
            <w:tcW w:w="9214" w:type="dxa"/>
            <w:shd w:val="clear" w:color="auto" w:fill="auto"/>
            <w:vAlign w:val="center"/>
          </w:tcPr>
          <w:p w14:paraId="359450B3" w14:textId="77777777" w:rsidR="001873E3" w:rsidRDefault="001873E3" w:rsidP="001873E3">
            <w:pPr>
              <w:rPr>
                <w:rFonts w:eastAsia="Calibri"/>
                <w:bCs/>
                <w:sz w:val="24"/>
                <w:szCs w:val="24"/>
              </w:rPr>
            </w:pPr>
            <w:r>
              <w:rPr>
                <w:rFonts w:eastAsia="Calibri"/>
                <w:bCs/>
                <w:sz w:val="24"/>
                <w:szCs w:val="24"/>
              </w:rPr>
              <w:t>Įstatymo 17 straipsnio 1 dalis</w:t>
            </w:r>
            <w:r>
              <w:rPr>
                <w:rStyle w:val="FootnoteReference"/>
                <w:rFonts w:eastAsia="Calibri"/>
                <w:bCs/>
                <w:sz w:val="24"/>
                <w:szCs w:val="24"/>
              </w:rPr>
              <w:footnoteReference w:id="1"/>
            </w:r>
            <w:r>
              <w:rPr>
                <w:rFonts w:eastAsia="Calibri"/>
                <w:bCs/>
                <w:sz w:val="24"/>
                <w:szCs w:val="24"/>
              </w:rPr>
              <w:t xml:space="preserve">, </w:t>
            </w:r>
          </w:p>
          <w:p w14:paraId="1A4B3DFA" w14:textId="73699C0B" w:rsidR="001873E3" w:rsidRPr="00904C3C" w:rsidRDefault="001873E3" w:rsidP="001873E3">
            <w:pPr>
              <w:rPr>
                <w:rFonts w:eastAsia="Arial Unicode MS"/>
                <w:sz w:val="24"/>
                <w:szCs w:val="24"/>
                <w:bdr w:val="nil"/>
                <w:lang w:eastAsia="lt-LT"/>
              </w:rPr>
            </w:pPr>
            <w:r>
              <w:rPr>
                <w:rFonts w:eastAsia="Calibri"/>
                <w:bCs/>
                <w:sz w:val="24"/>
                <w:szCs w:val="24"/>
              </w:rPr>
              <w:t>Įstatymo 17 straipsnio 2 dalis</w:t>
            </w:r>
            <w:r>
              <w:rPr>
                <w:rStyle w:val="FootnoteReference"/>
                <w:rFonts w:eastAsia="Calibri"/>
                <w:bCs/>
                <w:sz w:val="24"/>
                <w:szCs w:val="24"/>
              </w:rPr>
              <w:footnoteReference w:id="2"/>
            </w:r>
          </w:p>
        </w:tc>
      </w:tr>
      <w:tr w:rsidR="001873E3" w:rsidRPr="001372F6" w14:paraId="05C75AB5" w14:textId="77777777" w:rsidTr="001D1A58">
        <w:tc>
          <w:tcPr>
            <w:tcW w:w="9918" w:type="dxa"/>
            <w:gridSpan w:val="2"/>
            <w:shd w:val="clear" w:color="auto" w:fill="auto"/>
            <w:vAlign w:val="center"/>
          </w:tcPr>
          <w:p w14:paraId="74D160A7" w14:textId="7F9376A6" w:rsidR="001873E3" w:rsidRDefault="00EE1E2A" w:rsidP="001873E3">
            <w:pPr>
              <w:pStyle w:val="ListParagraph"/>
              <w:ind w:left="34"/>
              <w:jc w:val="both"/>
              <w:rPr>
                <w:rFonts w:eastAsia="Calibri"/>
                <w:bCs/>
                <w:sz w:val="24"/>
                <w:szCs w:val="24"/>
              </w:rPr>
            </w:pPr>
            <w:r>
              <w:rPr>
                <w:rFonts w:eastAsia="Calibri"/>
                <w:bCs/>
                <w:sz w:val="24"/>
                <w:szCs w:val="24"/>
              </w:rPr>
              <w:t xml:space="preserve">      </w:t>
            </w:r>
            <w:r w:rsidR="001873E3">
              <w:rPr>
                <w:rFonts w:eastAsia="Calibri"/>
                <w:bCs/>
                <w:sz w:val="24"/>
                <w:szCs w:val="24"/>
              </w:rPr>
              <w:t xml:space="preserve">Preliminariosios sutarties 3.4 punkte nustatyti pagrindiniai sutarties sąlygų duomenys (darbų atlikimo terminas, delspinigiai, sutarties kaina, atsiskaitymai po kiekvieno tarpinio mokėjimo, delspinigiai dėl vėluojančio mokėjimo ir kt.), tame tarpe ir tai, kad sutarties sąlygose bus taikomas išankstinis mokėjimas, tačiau grafoje „Duomenys ir sąlygos“ neįrašyta jokia išankstinio mokėjimo reikšmė, nei procentais, nei pinigine išraiška, tik procento simbolis be reikšmės, taip pat nurodyta sąlyga, dėl išankstinio mokėjimo termino ir kitų mokėjimų terminų, tačiau minėtoje grafoje nenurodytas dienų skaičius per kurį bus atliekami mokėjimai. Tuo tarpu Pagrindinės sutarties 3.4 punkte, grafoje „Duomenys ir sąlygos“ dėl išankstinio mokėjimo nustatyta -  100 000 Eur suma ir išankstinio mokėjimo terminas - 15 dienų bei kitų mokėjimų terminas - 30 dienų. </w:t>
            </w:r>
          </w:p>
          <w:p w14:paraId="45A92A44" w14:textId="429A8F03" w:rsidR="001873E3" w:rsidRPr="0099149E" w:rsidRDefault="00EE1E2A" w:rsidP="001873E3">
            <w:pPr>
              <w:pStyle w:val="ListParagraph"/>
              <w:ind w:left="34"/>
              <w:jc w:val="both"/>
              <w:rPr>
                <w:rFonts w:eastAsia="Arial Unicode MS"/>
                <w:sz w:val="24"/>
                <w:szCs w:val="24"/>
                <w:bdr w:val="nil"/>
                <w:lang w:eastAsia="lt-LT"/>
              </w:rPr>
            </w:pPr>
            <w:r>
              <w:rPr>
                <w:rFonts w:eastAsia="Calibri"/>
                <w:bCs/>
                <w:sz w:val="24"/>
                <w:szCs w:val="24"/>
              </w:rPr>
              <w:t xml:space="preserve">       </w:t>
            </w:r>
            <w:r w:rsidR="001873E3">
              <w:rPr>
                <w:rFonts w:eastAsia="Calibri"/>
                <w:bCs/>
                <w:sz w:val="24"/>
                <w:szCs w:val="24"/>
              </w:rPr>
              <w:t>Atsižvelgiant į nustatytą, konstatuotina, kad sutarties šalys, pasirašydamos Sutartį, faktiškai pakeitė Pagrindinės sutarties sąlygas, t. y. į Pagrindinę sutartį įrašė naujas sąlygas, kurių nebuvo Preliminariojoje sutartyje, šiuo atveju, įrašė konkrečią išankstinio mokėjimo sumą (100 000 Eur) ir  išankstinio mokėjimo terminą 15 dienų bei kitų mokėjimų terminą – 30 dienų, pakeitė esmines Pagrindinės sutarties nuostatas, ir tokiu būdu pasikeitė ekonominė Pagrindinės sutarties šalių pusiausvyra Rangovo naudai, taip kaip nebuvo numatyta Preliminariojoje sutartyje. Atkreiptinas dėmesys, kad toks pirkimo sutarties pakeitimas yra esminis, kaip apibrėžta Įstatymo 89 straipsnio 4 dalies 2 punkte</w:t>
            </w:r>
            <w:r w:rsidR="001873E3">
              <w:rPr>
                <w:rStyle w:val="FootnoteReference"/>
                <w:rFonts w:eastAsia="Calibri"/>
                <w:bCs/>
                <w:sz w:val="24"/>
                <w:szCs w:val="24"/>
              </w:rPr>
              <w:footnoteReference w:id="3"/>
            </w:r>
            <w:r w:rsidR="001873E3">
              <w:rPr>
                <w:rFonts w:eastAsia="Calibri"/>
                <w:bCs/>
                <w:sz w:val="24"/>
                <w:szCs w:val="24"/>
              </w:rPr>
              <w:t>, todėl šio pakeitimo Perkančioji organizacija atlikti negalėjo. Atlikusi esminį Pagrindinės sutarties pakeitimą Perkančioji organizacija pažeidė Įstatymo 17 straipsnio 1 dalyje įtvirtintą skaidrumo principą ir 2 dalyje įtvirtintą pirkimo tikslo (racionalaus lėšų naudojimo) siekimą.</w:t>
            </w:r>
          </w:p>
        </w:tc>
      </w:tr>
      <w:tr w:rsidR="001873E3" w:rsidRPr="00904C3C" w14:paraId="4618C135" w14:textId="77777777" w:rsidTr="001873E3">
        <w:tc>
          <w:tcPr>
            <w:tcW w:w="704" w:type="dxa"/>
            <w:shd w:val="clear" w:color="auto" w:fill="auto"/>
            <w:vAlign w:val="center"/>
          </w:tcPr>
          <w:p w14:paraId="2A63DA23" w14:textId="77777777" w:rsidR="001873E3" w:rsidRPr="001372F6" w:rsidRDefault="001873E3" w:rsidP="001873E3">
            <w:pPr>
              <w:numPr>
                <w:ilvl w:val="0"/>
                <w:numId w:val="20"/>
              </w:numPr>
              <w:spacing w:after="160" w:line="259" w:lineRule="auto"/>
              <w:ind w:left="0" w:right="172" w:firstLine="0"/>
              <w:contextualSpacing/>
              <w:rPr>
                <w:rFonts w:eastAsia="Calibri"/>
                <w:sz w:val="24"/>
                <w:szCs w:val="24"/>
              </w:rPr>
            </w:pPr>
          </w:p>
        </w:tc>
        <w:tc>
          <w:tcPr>
            <w:tcW w:w="9214" w:type="dxa"/>
            <w:shd w:val="clear" w:color="auto" w:fill="auto"/>
          </w:tcPr>
          <w:p w14:paraId="6F8EE4A1" w14:textId="5DF1B214" w:rsidR="001873E3" w:rsidRDefault="00C841BA" w:rsidP="001873E3">
            <w:pPr>
              <w:rPr>
                <w:rFonts w:eastAsia="Arial Unicode MS"/>
                <w:sz w:val="24"/>
                <w:szCs w:val="24"/>
                <w:bdr w:val="nil"/>
                <w:lang w:eastAsia="lt-LT"/>
              </w:rPr>
            </w:pPr>
            <w:r>
              <w:rPr>
                <w:rFonts w:eastAsia="Arial Unicode MS"/>
                <w:sz w:val="24"/>
                <w:szCs w:val="24"/>
                <w:bdr w:val="nil"/>
                <w:lang w:eastAsia="lt-LT"/>
              </w:rPr>
              <w:t>Įstatymo 17 straipsnio 1 dalis,</w:t>
            </w:r>
            <w:r>
              <w:rPr>
                <w:rStyle w:val="FootnoteReference"/>
                <w:rFonts w:eastAsia="Arial Unicode MS"/>
                <w:sz w:val="24"/>
                <w:szCs w:val="24"/>
                <w:bdr w:val="nil"/>
                <w:lang w:eastAsia="lt-LT"/>
              </w:rPr>
              <w:footnoteReference w:id="4"/>
            </w:r>
          </w:p>
          <w:p w14:paraId="53B4471B" w14:textId="16ADF9D7" w:rsidR="00C841BA" w:rsidRPr="00904C3C" w:rsidRDefault="00C841BA" w:rsidP="001873E3">
            <w:pPr>
              <w:rPr>
                <w:rFonts w:eastAsia="Arial Unicode MS"/>
                <w:sz w:val="24"/>
                <w:szCs w:val="24"/>
                <w:bdr w:val="nil"/>
                <w:lang w:eastAsia="lt-LT"/>
              </w:rPr>
            </w:pPr>
            <w:r>
              <w:rPr>
                <w:rFonts w:eastAsia="Arial Unicode MS"/>
                <w:sz w:val="24"/>
                <w:szCs w:val="24"/>
                <w:bdr w:val="nil"/>
                <w:lang w:eastAsia="lt-LT"/>
              </w:rPr>
              <w:t>Įstatymo 17 straipsnio 2 dalis</w:t>
            </w:r>
            <w:r>
              <w:rPr>
                <w:rStyle w:val="FootnoteReference"/>
                <w:rFonts w:eastAsia="Arial Unicode MS"/>
                <w:sz w:val="24"/>
                <w:szCs w:val="24"/>
                <w:bdr w:val="nil"/>
                <w:lang w:eastAsia="lt-LT"/>
              </w:rPr>
              <w:footnoteReference w:id="5"/>
            </w:r>
          </w:p>
        </w:tc>
      </w:tr>
      <w:tr w:rsidR="001873E3" w:rsidRPr="0099149E" w14:paraId="385D9BA8" w14:textId="77777777" w:rsidTr="001873E3">
        <w:tc>
          <w:tcPr>
            <w:tcW w:w="9918" w:type="dxa"/>
            <w:gridSpan w:val="2"/>
            <w:shd w:val="clear" w:color="auto" w:fill="auto"/>
            <w:vAlign w:val="center"/>
          </w:tcPr>
          <w:p w14:paraId="134761BD" w14:textId="4B4D9F31" w:rsidR="001873E3" w:rsidRDefault="00EE1E2A" w:rsidP="001873E3">
            <w:pPr>
              <w:widowControl w:val="0"/>
              <w:jc w:val="both"/>
              <w:outlineLvl w:val="0"/>
              <w:rPr>
                <w:sz w:val="24"/>
                <w:szCs w:val="24"/>
              </w:rPr>
            </w:pPr>
            <w:r>
              <w:rPr>
                <w:sz w:val="24"/>
                <w:szCs w:val="24"/>
              </w:rPr>
              <w:lastRenderedPageBreak/>
              <w:t xml:space="preserve">        </w:t>
            </w:r>
            <w:r w:rsidR="001873E3">
              <w:rPr>
                <w:sz w:val="24"/>
                <w:szCs w:val="24"/>
              </w:rPr>
              <w:t xml:space="preserve">Pagrindinės sutarties 8.7.1 punkte nustatyta, kad Perkančioji organizacija privalo mokėti rangovui „Išankstinio mokėjimo sumą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 </w:t>
            </w:r>
          </w:p>
          <w:p w14:paraId="347D3F3E" w14:textId="626CAD97" w:rsidR="001873E3" w:rsidRDefault="00EE1E2A" w:rsidP="001873E3">
            <w:pPr>
              <w:widowControl w:val="0"/>
              <w:tabs>
                <w:tab w:val="left" w:pos="567"/>
              </w:tabs>
              <w:jc w:val="both"/>
              <w:rPr>
                <w:sz w:val="24"/>
                <w:szCs w:val="24"/>
              </w:rPr>
            </w:pPr>
            <w:r>
              <w:rPr>
                <w:sz w:val="24"/>
                <w:szCs w:val="24"/>
              </w:rPr>
              <w:t xml:space="preserve">        </w:t>
            </w:r>
            <w:r w:rsidR="001873E3">
              <w:rPr>
                <w:sz w:val="24"/>
                <w:szCs w:val="24"/>
              </w:rPr>
              <w:t>Įvertinus Perkančiosios organizacijos pateiktus dokumentus</w:t>
            </w:r>
            <w:r w:rsidR="001873E3">
              <w:rPr>
                <w:rStyle w:val="FootnoteReference"/>
                <w:sz w:val="24"/>
                <w:szCs w:val="24"/>
              </w:rPr>
              <w:footnoteReference w:id="6"/>
            </w:r>
            <w:r w:rsidR="001873E3">
              <w:rPr>
                <w:sz w:val="24"/>
                <w:szCs w:val="24"/>
              </w:rPr>
              <w:t xml:space="preserve"> nustatyta, kad Perkančioji organizacija 2018-06-15 iš Rangovo, gavusi išankstinio mokėjimo sąskaitą</w:t>
            </w:r>
            <w:r w:rsidR="001873E3">
              <w:rPr>
                <w:rStyle w:val="FootnoteReference"/>
                <w:sz w:val="24"/>
                <w:szCs w:val="24"/>
              </w:rPr>
              <w:footnoteReference w:id="7"/>
            </w:r>
            <w:r w:rsidR="001873E3">
              <w:rPr>
                <w:sz w:val="24"/>
                <w:szCs w:val="24"/>
              </w:rPr>
              <w:t xml:space="preserve"> 100 000,00 Eur sumai, 2018-06-27 atliko lėšų pervedimą</w:t>
            </w:r>
            <w:r w:rsidR="001873E3">
              <w:rPr>
                <w:rStyle w:val="FootnoteReference"/>
                <w:sz w:val="24"/>
                <w:szCs w:val="24"/>
              </w:rPr>
              <w:footnoteReference w:id="8"/>
            </w:r>
            <w:r w:rsidR="001873E3">
              <w:rPr>
                <w:sz w:val="24"/>
                <w:szCs w:val="24"/>
              </w:rPr>
              <w:t xml:space="preserve"> į Rangovo sąskaitą. Pažymėtina, kad  Rangovas privalėjo pateikti išankstinio mokėjimo užtikrinimo dokumentą, kaip tai nustatyta Pagrindinės sutarties 8.7.1 punkte, tačiau jo nepateikė, </w:t>
            </w:r>
            <w:r w:rsidR="00E53E2E">
              <w:rPr>
                <w:sz w:val="24"/>
                <w:szCs w:val="24"/>
              </w:rPr>
              <w:t>o tik žadėjo pateikti po 2020</w:t>
            </w:r>
            <w:r w:rsidR="00015C1C">
              <w:rPr>
                <w:sz w:val="24"/>
                <w:szCs w:val="24"/>
              </w:rPr>
              <w:t xml:space="preserve"> </w:t>
            </w:r>
            <w:r w:rsidR="00E53E2E">
              <w:rPr>
                <w:sz w:val="24"/>
                <w:szCs w:val="24"/>
              </w:rPr>
              <w:t>m. sausio 1 d. bei nurodė, kad vykdo daug objektų, todėl limitai išnaudoti</w:t>
            </w:r>
            <w:r w:rsidR="00015C1C">
              <w:rPr>
                <w:rStyle w:val="FootnoteReference"/>
                <w:sz w:val="24"/>
                <w:szCs w:val="24"/>
              </w:rPr>
              <w:footnoteReference w:id="9"/>
            </w:r>
            <w:r w:rsidR="00015C1C">
              <w:rPr>
                <w:sz w:val="24"/>
                <w:szCs w:val="24"/>
              </w:rPr>
              <w:t>, t. y. išankstinio mokėjimo užtikrinimo dokumentas lig šiol dar nėra pateiktas</w:t>
            </w:r>
            <w:r w:rsidR="00AC1C2C">
              <w:rPr>
                <w:sz w:val="24"/>
                <w:szCs w:val="24"/>
              </w:rPr>
              <w:t>.</w:t>
            </w:r>
            <w:r w:rsidR="001873E3">
              <w:rPr>
                <w:sz w:val="24"/>
                <w:szCs w:val="24"/>
              </w:rPr>
              <w:t xml:space="preserve"> </w:t>
            </w:r>
          </w:p>
          <w:p w14:paraId="5645370C" w14:textId="329AC6C0" w:rsidR="001873E3" w:rsidRPr="006430AE" w:rsidRDefault="00EE1E2A" w:rsidP="00E53E2E">
            <w:pPr>
              <w:widowControl w:val="0"/>
              <w:tabs>
                <w:tab w:val="left" w:pos="567"/>
              </w:tabs>
              <w:jc w:val="both"/>
              <w:rPr>
                <w:rFonts w:eastAsia="Arial Unicode MS"/>
                <w:sz w:val="24"/>
                <w:szCs w:val="24"/>
                <w:bdr w:val="nil"/>
                <w:lang w:eastAsia="lt-LT"/>
              </w:rPr>
            </w:pPr>
            <w:r>
              <w:rPr>
                <w:sz w:val="24"/>
                <w:szCs w:val="24"/>
              </w:rPr>
              <w:t xml:space="preserve">        </w:t>
            </w:r>
            <w:r w:rsidR="001873E3" w:rsidRPr="003C356A">
              <w:rPr>
                <w:sz w:val="24"/>
                <w:szCs w:val="24"/>
              </w:rPr>
              <w:t xml:space="preserve">Atkreiptinas dėmesys, kad </w:t>
            </w:r>
            <w:r w:rsidR="001873E3">
              <w:rPr>
                <w:sz w:val="24"/>
                <w:szCs w:val="24"/>
              </w:rPr>
              <w:t>išankstinio apmokėjimo užtikrinimo dokumentu (banko garantija arba draudimo bendrovės laidavimo raštas) Rangovas užtikrina, kad panaudos pagal sutartį Perkančiosios organizacijos suteiktą avansą pagal paskirtį.</w:t>
            </w:r>
            <w:r w:rsidR="001873E3">
              <w:rPr>
                <w:spacing w:val="-2"/>
              </w:rPr>
              <w:t xml:space="preserve"> </w:t>
            </w:r>
            <w:r w:rsidR="001873E3" w:rsidRPr="003C356A">
              <w:rPr>
                <w:spacing w:val="-2"/>
                <w:sz w:val="24"/>
                <w:szCs w:val="24"/>
              </w:rPr>
              <w:t>Išankstinio mokėjimo užtikrinimas turi galioti iki tol, kol pateikiama paskutinė sąskaita, kurioje pilnai padengiamas išankstinis mokėjimas</w:t>
            </w:r>
            <w:r w:rsidR="001873E3">
              <w:rPr>
                <w:spacing w:val="-2"/>
                <w:sz w:val="24"/>
                <w:szCs w:val="24"/>
              </w:rPr>
              <w:t xml:space="preserve">, </w:t>
            </w:r>
            <w:r w:rsidR="001873E3">
              <w:rPr>
                <w:sz w:val="24"/>
                <w:szCs w:val="24"/>
              </w:rPr>
              <w:t xml:space="preserve"> kadangi jis garantuoja, kad Perkančiajai organizacijai bus atlyginti nuostoliai, atsiradę Rangovui pažeidus Pagrindinę sutartį, todėl Perkančioji organizacija turi pareigą užtikrinti tinkamą Pagrindinės sutarties vykdymo priežiūrą ir Pagrindinę sutartį vykdyti vadovaujantis jos nuostatomis. Įvertinus tai, kad vykdant Pagrindinę sutartį nebuvo vadovaujamasi Pagrindinės sutarties 8.7.1 punkto nuostatomis, o Perkančioji organizacija pervedė išankstinio mokėjimo sumą į Rangovo sąskaitą, Rangovui nepateikus, reikalaujamo   Pagrindinės sutarties 8.7.1 punkte išankstinio mokėjimo užtikrinimo dokumento, Tarnyba konstatuoja, kad Perkančioji organizacija faktiškai pakeitė Pagrindinės sutarties nuostatas tokiu būdu, kad ekonominė Pagrindinės sutarties pusiausvyra pasikeitė Rangovo naudai, taip kaip nebuvo aptarta pradinėje sutartyje. </w:t>
            </w:r>
            <w:r w:rsidR="001873E3">
              <w:rPr>
                <w:rFonts w:eastAsia="Calibri"/>
                <w:bCs/>
                <w:sz w:val="24"/>
                <w:szCs w:val="24"/>
              </w:rPr>
              <w:t>Atkreiptinas dėmesys, kad toks pirkimo sutarties pakeitimas yra esminis, kaip apibrėžta Įstatymo 89 straipsnio 4 dalies 2 punkte</w:t>
            </w:r>
            <w:r w:rsidR="001873E3">
              <w:rPr>
                <w:rStyle w:val="FootnoteReference"/>
                <w:rFonts w:eastAsia="Calibri"/>
                <w:bCs/>
                <w:sz w:val="24"/>
                <w:szCs w:val="24"/>
              </w:rPr>
              <w:footnoteReference w:id="10"/>
            </w:r>
            <w:r w:rsidR="001873E3">
              <w:rPr>
                <w:rFonts w:eastAsia="Calibri"/>
                <w:bCs/>
                <w:sz w:val="24"/>
                <w:szCs w:val="24"/>
              </w:rPr>
              <w:t xml:space="preserve">, todėl šio pakeitimo Perkančioji organizacija atlikti negalėjo. Atlikusi esminį Pagrindinės sutarties pakeitimą Perkančioji organizacija pažeidė Įstatymo 17 straipsnio 1 dalyje įtvirtintą skaidrumo principą ir 2 dalyje įtvirtintą pirkimo tikslo (racionalaus lėšų naudojimo) siekimą.  </w:t>
            </w:r>
          </w:p>
        </w:tc>
      </w:tr>
    </w:tbl>
    <w:p w14:paraId="57A32F8B" w14:textId="77777777" w:rsidR="00CE0F07" w:rsidRPr="001372F6" w:rsidRDefault="00CE0F07" w:rsidP="0088148E">
      <w:pPr>
        <w:jc w:val="center"/>
        <w:rPr>
          <w:rFonts w:eastAsia="Calibri"/>
          <w:b/>
          <w:sz w:val="24"/>
          <w:szCs w:val="24"/>
        </w:rPr>
      </w:pPr>
    </w:p>
    <w:p w14:paraId="1FFFED4F" w14:textId="77777777" w:rsidR="0088148E" w:rsidRPr="001372F6" w:rsidRDefault="001372F6" w:rsidP="00DB5DAD">
      <w:pPr>
        <w:jc w:val="center"/>
        <w:rPr>
          <w:b/>
          <w:bCs/>
          <w:color w:val="000000"/>
          <w:sz w:val="24"/>
          <w:szCs w:val="24"/>
        </w:rPr>
      </w:pPr>
      <w:r w:rsidRPr="001372F6">
        <w:rPr>
          <w:b/>
          <w:bCs/>
          <w:color w:val="000000"/>
          <w:sz w:val="24"/>
          <w:szCs w:val="24"/>
        </w:rPr>
        <w:t>III dalis. Kiti nustatyti pažeidimai</w:t>
      </w:r>
    </w:p>
    <w:p w14:paraId="383FC02C" w14:textId="77777777" w:rsidR="001372F6" w:rsidRPr="001372F6"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CB04A1" w:rsidRPr="001372F6" w14:paraId="3D5AD1F4" w14:textId="77777777" w:rsidTr="00EF7C5F">
        <w:tc>
          <w:tcPr>
            <w:tcW w:w="421" w:type="dxa"/>
            <w:shd w:val="clear" w:color="auto" w:fill="auto"/>
            <w:vAlign w:val="center"/>
          </w:tcPr>
          <w:p w14:paraId="00BC34F9" w14:textId="77777777" w:rsidR="0088148E" w:rsidRPr="001372F6"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5B47E282" w14:textId="76C77B3B" w:rsidR="00E53E2E" w:rsidRDefault="00E53E2E" w:rsidP="00E53E2E">
            <w:pPr>
              <w:rPr>
                <w:sz w:val="24"/>
                <w:szCs w:val="24"/>
              </w:rPr>
            </w:pPr>
            <w:r>
              <w:rPr>
                <w:sz w:val="24"/>
                <w:szCs w:val="24"/>
              </w:rPr>
              <w:t xml:space="preserve">Įstatymo </w:t>
            </w:r>
            <w:r>
              <w:rPr>
                <w:bCs/>
                <w:sz w:val="24"/>
                <w:szCs w:val="24"/>
              </w:rPr>
              <w:t>86 straipsnio 9 dalis</w:t>
            </w:r>
            <w:r>
              <w:rPr>
                <w:rStyle w:val="FootnoteReference"/>
                <w:bCs/>
                <w:sz w:val="24"/>
                <w:szCs w:val="24"/>
              </w:rPr>
              <w:footnoteReference w:id="11"/>
            </w:r>
            <w:r>
              <w:rPr>
                <w:bCs/>
                <w:sz w:val="24"/>
                <w:szCs w:val="24"/>
              </w:rPr>
              <w:t>,</w:t>
            </w:r>
            <w:r w:rsidRPr="00A2702D">
              <w:rPr>
                <w:sz w:val="24"/>
                <w:szCs w:val="24"/>
              </w:rPr>
              <w:t xml:space="preserve"> </w:t>
            </w:r>
          </w:p>
          <w:p w14:paraId="4F48F7E4" w14:textId="6FC98AF0" w:rsidR="0088148E" w:rsidRPr="001372F6" w:rsidRDefault="00E53E2E" w:rsidP="00E53E2E">
            <w:pPr>
              <w:tabs>
                <w:tab w:val="left" w:pos="993"/>
              </w:tabs>
              <w:jc w:val="both"/>
              <w:rPr>
                <w:bCs/>
                <w:sz w:val="24"/>
                <w:szCs w:val="24"/>
              </w:rPr>
            </w:pPr>
            <w:r w:rsidRPr="00A2702D">
              <w:rPr>
                <w:sz w:val="24"/>
                <w:szCs w:val="24"/>
              </w:rPr>
              <w:lastRenderedPageBreak/>
              <w:t>Įstatymo 17 straipsnio 1 dal</w:t>
            </w:r>
            <w:r>
              <w:rPr>
                <w:sz w:val="24"/>
                <w:szCs w:val="24"/>
              </w:rPr>
              <w:t>is</w:t>
            </w:r>
            <w:r>
              <w:rPr>
                <w:rStyle w:val="FootnoteReference"/>
                <w:sz w:val="24"/>
                <w:szCs w:val="24"/>
              </w:rPr>
              <w:footnoteReference w:id="12"/>
            </w:r>
          </w:p>
        </w:tc>
      </w:tr>
      <w:tr w:rsidR="00CB04A1" w:rsidRPr="001372F6" w14:paraId="760002AB" w14:textId="77777777" w:rsidTr="00EF7C5F">
        <w:tc>
          <w:tcPr>
            <w:tcW w:w="9744" w:type="dxa"/>
            <w:gridSpan w:val="2"/>
            <w:shd w:val="clear" w:color="auto" w:fill="auto"/>
            <w:vAlign w:val="center"/>
          </w:tcPr>
          <w:p w14:paraId="7FE703AE" w14:textId="77777777" w:rsidR="00E53E2E" w:rsidRDefault="00E53E2E" w:rsidP="00E53E2E">
            <w:pPr>
              <w:pStyle w:val="ListParagraph"/>
              <w:tabs>
                <w:tab w:val="left" w:pos="851"/>
              </w:tabs>
              <w:ind w:left="0" w:firstLine="284"/>
              <w:jc w:val="both"/>
              <w:rPr>
                <w:sz w:val="24"/>
                <w:szCs w:val="24"/>
              </w:rPr>
            </w:pPr>
            <w:r>
              <w:rPr>
                <w:rFonts w:eastAsia="Calibri"/>
                <w:bCs/>
                <w:sz w:val="24"/>
                <w:szCs w:val="24"/>
              </w:rPr>
              <w:lastRenderedPageBreak/>
              <w:t xml:space="preserve">Įstatymo 86 straipsnio 9 dalyje nurodyta, kad Perkančioji organizacija </w:t>
            </w:r>
            <w:r>
              <w:rPr>
                <w:bCs/>
                <w:sz w:val="24"/>
                <w:szCs w:val="24"/>
              </w:rPr>
              <w:t xml:space="preserve">privalo </w:t>
            </w:r>
            <w:r w:rsidRPr="00AC2A64">
              <w:rPr>
                <w:sz w:val="24"/>
                <w:szCs w:val="24"/>
              </w:rPr>
              <w:t xml:space="preserve">paskelbti </w:t>
            </w:r>
            <w:r>
              <w:rPr>
                <w:sz w:val="24"/>
                <w:szCs w:val="24"/>
              </w:rPr>
              <w:t xml:space="preserve">Centrinėje viešųjų pirkimų informacinėje sistemoje (toliau – CVP IS) </w:t>
            </w:r>
            <w:r w:rsidRPr="00AC2A64">
              <w:rPr>
                <w:sz w:val="24"/>
                <w:szCs w:val="24"/>
              </w:rPr>
              <w:t>laimėjusio dalyvio pasiūlymą</w:t>
            </w:r>
            <w:r>
              <w:rPr>
                <w:sz w:val="24"/>
                <w:szCs w:val="24"/>
              </w:rPr>
              <w:t xml:space="preserve"> ir </w:t>
            </w:r>
            <w:r w:rsidRPr="00AC2A64">
              <w:rPr>
                <w:sz w:val="24"/>
                <w:szCs w:val="24"/>
              </w:rPr>
              <w:t xml:space="preserve">sudarytą pirkimo sutartį, </w:t>
            </w:r>
            <w:r>
              <w:rPr>
                <w:sz w:val="24"/>
                <w:szCs w:val="24"/>
              </w:rPr>
              <w:t xml:space="preserve">jei pasiūlymai pateikiami raštu ir sutartis sudaroma raštu bei numatytos išimtys, kuomet šis reikalavimas yra netaikomas. </w:t>
            </w:r>
          </w:p>
          <w:p w14:paraId="603540B3" w14:textId="6E254F32" w:rsidR="00E53E2E" w:rsidRPr="001372F6" w:rsidRDefault="00015C1C" w:rsidP="00015C1C">
            <w:pPr>
              <w:tabs>
                <w:tab w:val="left" w:pos="993"/>
              </w:tabs>
              <w:jc w:val="both"/>
              <w:rPr>
                <w:sz w:val="24"/>
                <w:szCs w:val="24"/>
              </w:rPr>
            </w:pPr>
            <w:r>
              <w:rPr>
                <w:rFonts w:eastAsia="Calibri"/>
                <w:bCs/>
                <w:sz w:val="24"/>
                <w:szCs w:val="24"/>
              </w:rPr>
              <w:t xml:space="preserve">    </w:t>
            </w:r>
            <w:r w:rsidR="00E53E2E">
              <w:rPr>
                <w:rFonts w:eastAsia="Calibri"/>
                <w:bCs/>
                <w:sz w:val="24"/>
                <w:szCs w:val="24"/>
              </w:rPr>
              <w:t xml:space="preserve"> Nustatyta, kad,  atlikusi Pirkimą, Perkančioji organizacija su trimis rangovais (UAB „Virtualūs namai“, UAB „SMD“, UAB „</w:t>
            </w:r>
            <w:proofErr w:type="spellStart"/>
            <w:r w:rsidR="00E53E2E">
              <w:rPr>
                <w:rFonts w:eastAsia="Calibri"/>
                <w:bCs/>
                <w:sz w:val="24"/>
                <w:szCs w:val="24"/>
              </w:rPr>
              <w:t>Orestinos</w:t>
            </w:r>
            <w:proofErr w:type="spellEnd"/>
            <w:r w:rsidR="00E53E2E">
              <w:rPr>
                <w:rFonts w:eastAsia="Calibri"/>
                <w:bCs/>
                <w:sz w:val="24"/>
                <w:szCs w:val="24"/>
              </w:rPr>
              <w:t xml:space="preserve"> montažas“) 2018-02-14 sudarė preliminariąsias  sutartis, kurias  paviešino CVP IS, tačiau Preliminariosios sutarties pagrindu 2018-05-22, pasirašiusi Pagrindinę sutartį su UAB „Virtualūs namai“ jos nepaviešino.</w:t>
            </w:r>
            <w:r w:rsidR="00E53E2E" w:rsidRPr="007F236F">
              <w:rPr>
                <w:sz w:val="24"/>
                <w:szCs w:val="24"/>
              </w:rPr>
              <w:t xml:space="preserve"> Tarnyba konstatuoja, kad </w:t>
            </w:r>
            <w:r w:rsidR="00E53E2E">
              <w:rPr>
                <w:sz w:val="24"/>
                <w:szCs w:val="24"/>
              </w:rPr>
              <w:t>Perkančioji organizacija</w:t>
            </w:r>
            <w:r w:rsidR="00E53E2E" w:rsidRPr="007F236F">
              <w:rPr>
                <w:sz w:val="24"/>
                <w:szCs w:val="24"/>
              </w:rPr>
              <w:t xml:space="preserve">, </w:t>
            </w:r>
            <w:r w:rsidR="00E53E2E" w:rsidRPr="00A2702D">
              <w:rPr>
                <w:sz w:val="24"/>
                <w:szCs w:val="24"/>
              </w:rPr>
              <w:t>ne</w:t>
            </w:r>
            <w:r w:rsidR="00E53E2E" w:rsidRPr="007F236F">
              <w:rPr>
                <w:sz w:val="24"/>
                <w:szCs w:val="24"/>
              </w:rPr>
              <w:t>paskelb</w:t>
            </w:r>
            <w:r w:rsidR="00E53E2E" w:rsidRPr="00A2702D">
              <w:rPr>
                <w:sz w:val="24"/>
                <w:szCs w:val="24"/>
              </w:rPr>
              <w:t>usi</w:t>
            </w:r>
            <w:r w:rsidR="00E53E2E">
              <w:rPr>
                <w:sz w:val="24"/>
                <w:szCs w:val="24"/>
              </w:rPr>
              <w:t xml:space="preserve"> Pagrindinės sutarties ir</w:t>
            </w:r>
            <w:r w:rsidR="00E53E2E">
              <w:rPr>
                <w:bCs/>
                <w:sz w:val="24"/>
                <w:szCs w:val="24"/>
              </w:rPr>
              <w:t xml:space="preserve"> </w:t>
            </w:r>
            <w:r w:rsidR="00E53E2E">
              <w:rPr>
                <w:sz w:val="24"/>
                <w:szCs w:val="24"/>
              </w:rPr>
              <w:t xml:space="preserve">laimėjusio dalyvio pasiūlymo, </w:t>
            </w:r>
            <w:r w:rsidR="00E53E2E" w:rsidRPr="00A2702D">
              <w:rPr>
                <w:sz w:val="24"/>
                <w:szCs w:val="24"/>
              </w:rPr>
              <w:t xml:space="preserve">pažeidė Įstatymo 86 straipsnio 9 dalies </w:t>
            </w:r>
            <w:r w:rsidR="00E53E2E">
              <w:rPr>
                <w:sz w:val="24"/>
                <w:szCs w:val="24"/>
              </w:rPr>
              <w:t>reikalavimus</w:t>
            </w:r>
            <w:r w:rsidR="00E53E2E" w:rsidRPr="00A2702D">
              <w:rPr>
                <w:sz w:val="24"/>
                <w:szCs w:val="24"/>
              </w:rPr>
              <w:t xml:space="preserve"> ir Įstatymo 17 straipsnio 1 dalyje įtvirtintą skaidrumo principą</w:t>
            </w:r>
            <w:r w:rsidR="00E53E2E">
              <w:rPr>
                <w:bCs/>
                <w:sz w:val="24"/>
                <w:szCs w:val="24"/>
              </w:rPr>
              <w:t>.</w:t>
            </w:r>
          </w:p>
        </w:tc>
      </w:tr>
    </w:tbl>
    <w:p w14:paraId="79734CAF" w14:textId="77777777" w:rsidR="00745833" w:rsidRPr="001372F6" w:rsidRDefault="00745833" w:rsidP="0088148E">
      <w:pPr>
        <w:jc w:val="center"/>
        <w:rPr>
          <w:rFonts w:eastAsia="Calibri"/>
          <w:b/>
          <w:sz w:val="24"/>
          <w:szCs w:val="24"/>
        </w:rPr>
      </w:pPr>
    </w:p>
    <w:p w14:paraId="5751CB6F" w14:textId="057A01F5" w:rsidR="0088148E" w:rsidRPr="001372F6" w:rsidRDefault="001372F6" w:rsidP="00DB5DAD">
      <w:pPr>
        <w:tabs>
          <w:tab w:val="left" w:pos="993"/>
        </w:tabs>
        <w:jc w:val="center"/>
        <w:rPr>
          <w:b/>
          <w:bCs/>
          <w:color w:val="000000"/>
          <w:sz w:val="24"/>
          <w:szCs w:val="24"/>
        </w:rPr>
      </w:pPr>
      <w:r w:rsidRPr="001372F6">
        <w:rPr>
          <w:b/>
          <w:bCs/>
          <w:color w:val="000000"/>
          <w:sz w:val="24"/>
          <w:szCs w:val="24"/>
        </w:rPr>
        <w:t>IV dalis. Sprendimas</w:t>
      </w:r>
    </w:p>
    <w:p w14:paraId="77F656E2" w14:textId="77777777" w:rsidR="001372F6"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14:paraId="19F3F149" w14:textId="77777777" w:rsidTr="00BB78DE">
        <w:tc>
          <w:tcPr>
            <w:tcW w:w="9629" w:type="dxa"/>
          </w:tcPr>
          <w:p w14:paraId="7FC6DFEA" w14:textId="1F1197A1" w:rsidR="00AD4767" w:rsidRDefault="000D4D60" w:rsidP="00AD4767">
            <w:pPr>
              <w:jc w:val="both"/>
              <w:rPr>
                <w:rFonts w:eastAsia="Calibri"/>
                <w:sz w:val="24"/>
                <w:szCs w:val="24"/>
              </w:rPr>
            </w:pPr>
            <w:r>
              <w:rPr>
                <w:rFonts w:eastAsia="Calibri"/>
                <w:bCs/>
                <w:sz w:val="24"/>
                <w:szCs w:val="24"/>
              </w:rPr>
              <w:t xml:space="preserve">  </w:t>
            </w:r>
            <w:r w:rsidR="00AD4767">
              <w:rPr>
                <w:rFonts w:eastAsia="Calibri"/>
                <w:sz w:val="24"/>
                <w:szCs w:val="24"/>
              </w:rPr>
              <w:t xml:space="preserve">   Atsižvelgiant į vertinimo išvados II</w:t>
            </w:r>
            <w:r w:rsidR="00015C1C">
              <w:rPr>
                <w:rFonts w:eastAsia="Calibri"/>
                <w:sz w:val="24"/>
                <w:szCs w:val="24"/>
              </w:rPr>
              <w:t>I</w:t>
            </w:r>
            <w:r w:rsidR="00AD4767">
              <w:rPr>
                <w:rFonts w:eastAsia="Calibri"/>
                <w:sz w:val="24"/>
                <w:szCs w:val="24"/>
              </w:rPr>
              <w:t xml:space="preserve"> dalies 1 punkte nustatytą pažeidimą, Tarnyba </w:t>
            </w:r>
            <w:r w:rsidR="00AD4767">
              <w:rPr>
                <w:rFonts w:eastAsia="Calibri"/>
                <w:b/>
                <w:sz w:val="24"/>
                <w:szCs w:val="24"/>
              </w:rPr>
              <w:t>įpareigoja</w:t>
            </w:r>
            <w:r w:rsidR="00AD4767">
              <w:rPr>
                <w:rFonts w:eastAsia="Calibri"/>
                <w:sz w:val="24"/>
                <w:szCs w:val="24"/>
              </w:rPr>
              <w:t xml:space="preserve"> Rokiškio rajono savivaldybės administraciją nedelsiant CVP IS paviešinti </w:t>
            </w:r>
            <w:r w:rsidR="00AD4767" w:rsidRPr="00EA54BD">
              <w:rPr>
                <w:rFonts w:eastAsia="Calibri"/>
                <w:bCs/>
                <w:sz w:val="24"/>
                <w:szCs w:val="24"/>
              </w:rPr>
              <w:t xml:space="preserve"> laimėjusi</w:t>
            </w:r>
            <w:r w:rsidR="00AD4767">
              <w:rPr>
                <w:rFonts w:eastAsia="Calibri"/>
                <w:bCs/>
                <w:sz w:val="24"/>
                <w:szCs w:val="24"/>
              </w:rPr>
              <w:t>o</w:t>
            </w:r>
            <w:r w:rsidR="00AD4767" w:rsidRPr="00EA54BD">
              <w:rPr>
                <w:rFonts w:eastAsia="Calibri"/>
                <w:bCs/>
                <w:sz w:val="24"/>
                <w:szCs w:val="24"/>
              </w:rPr>
              <w:t xml:space="preserve"> dalyvi</w:t>
            </w:r>
            <w:r w:rsidR="00AD4767">
              <w:rPr>
                <w:rFonts w:eastAsia="Calibri"/>
                <w:bCs/>
                <w:sz w:val="24"/>
                <w:szCs w:val="24"/>
              </w:rPr>
              <w:t>o</w:t>
            </w:r>
            <w:r w:rsidR="00AD4767" w:rsidRPr="00EA54BD">
              <w:rPr>
                <w:rFonts w:eastAsia="Calibri"/>
                <w:bCs/>
                <w:sz w:val="24"/>
                <w:szCs w:val="24"/>
              </w:rPr>
              <w:t xml:space="preserve"> pasiūlym</w:t>
            </w:r>
            <w:r w:rsidR="00AD4767">
              <w:rPr>
                <w:rFonts w:eastAsia="Calibri"/>
                <w:bCs/>
                <w:sz w:val="24"/>
                <w:szCs w:val="24"/>
              </w:rPr>
              <w:t>ą</w:t>
            </w:r>
            <w:r w:rsidR="00AD4767" w:rsidRPr="00EA54BD">
              <w:rPr>
                <w:rFonts w:eastAsia="Calibri"/>
                <w:bCs/>
                <w:sz w:val="24"/>
                <w:szCs w:val="24"/>
              </w:rPr>
              <w:t xml:space="preserve"> ir sudaryt</w:t>
            </w:r>
            <w:r w:rsidR="00AD4767">
              <w:rPr>
                <w:rFonts w:eastAsia="Calibri"/>
                <w:bCs/>
                <w:sz w:val="24"/>
                <w:szCs w:val="24"/>
              </w:rPr>
              <w:t>ą</w:t>
            </w:r>
            <w:r w:rsidR="00AD4767" w:rsidRPr="00EA54BD">
              <w:rPr>
                <w:rFonts w:eastAsia="Calibri"/>
                <w:bCs/>
                <w:sz w:val="24"/>
                <w:szCs w:val="24"/>
              </w:rPr>
              <w:t xml:space="preserve"> </w:t>
            </w:r>
            <w:r w:rsidR="00AD4767">
              <w:rPr>
                <w:rFonts w:eastAsia="Calibri"/>
                <w:bCs/>
                <w:sz w:val="24"/>
                <w:szCs w:val="24"/>
              </w:rPr>
              <w:t xml:space="preserve">Pagrindinę </w:t>
            </w:r>
            <w:r w:rsidR="00AD4767" w:rsidRPr="00EA54BD">
              <w:rPr>
                <w:rFonts w:eastAsia="Calibri"/>
                <w:bCs/>
                <w:sz w:val="24"/>
                <w:szCs w:val="24"/>
              </w:rPr>
              <w:t>sutart</w:t>
            </w:r>
            <w:r w:rsidR="00AD4767">
              <w:rPr>
                <w:rFonts w:eastAsia="Calibri"/>
                <w:bCs/>
                <w:sz w:val="24"/>
                <w:szCs w:val="24"/>
              </w:rPr>
              <w:t xml:space="preserve">į </w:t>
            </w:r>
            <w:r w:rsidR="00AD4767">
              <w:rPr>
                <w:rFonts w:eastAsia="Calibri"/>
                <w:sz w:val="24"/>
                <w:szCs w:val="24"/>
              </w:rPr>
              <w:t xml:space="preserve"> ir apie atliktus veiksmus raštu informuoti Tarnybą.</w:t>
            </w:r>
          </w:p>
          <w:p w14:paraId="2EE9CD00" w14:textId="387E2A32" w:rsidR="00E534FF" w:rsidRPr="00E534FF" w:rsidRDefault="00B61362" w:rsidP="00E534FF">
            <w:pPr>
              <w:jc w:val="both"/>
              <w:rPr>
                <w:sz w:val="24"/>
                <w:szCs w:val="24"/>
              </w:rPr>
            </w:pPr>
            <w:r>
              <w:rPr>
                <w:rFonts w:eastAsia="Calibri"/>
                <w:sz w:val="24"/>
                <w:szCs w:val="24"/>
              </w:rPr>
              <w:t xml:space="preserve">    </w:t>
            </w:r>
            <w:r w:rsidR="00AD4767">
              <w:rPr>
                <w:rFonts w:eastAsia="Calibri"/>
                <w:sz w:val="24"/>
                <w:szCs w:val="24"/>
              </w:rPr>
              <w:t xml:space="preserve"> Atsižvelgiant į vertinimo išvado</w:t>
            </w:r>
            <w:r w:rsidR="00015C1C">
              <w:rPr>
                <w:rFonts w:eastAsia="Calibri"/>
                <w:sz w:val="24"/>
                <w:szCs w:val="24"/>
              </w:rPr>
              <w:t>s II dalyje</w:t>
            </w:r>
            <w:r w:rsidR="00AD4767">
              <w:rPr>
                <w:rFonts w:eastAsia="Calibri"/>
                <w:sz w:val="24"/>
                <w:szCs w:val="24"/>
              </w:rPr>
              <w:t xml:space="preserve"> nustatytus pažeidimus, Tarnyba rekomenduoja Rokiškio rajono savivaldybės administracijai nutraukti </w:t>
            </w:r>
            <w:r w:rsidR="0009142E">
              <w:rPr>
                <w:rFonts w:eastAsia="Calibri"/>
                <w:sz w:val="24"/>
                <w:szCs w:val="24"/>
              </w:rPr>
              <w:t xml:space="preserve">Preliminariąją ir </w:t>
            </w:r>
            <w:r w:rsidR="00AD4767">
              <w:rPr>
                <w:rFonts w:eastAsia="Calibri"/>
                <w:sz w:val="24"/>
                <w:szCs w:val="24"/>
              </w:rPr>
              <w:t>Pagrindinę sutart</w:t>
            </w:r>
            <w:r w:rsidR="007B3CC5">
              <w:rPr>
                <w:rFonts w:eastAsia="Calibri"/>
                <w:sz w:val="24"/>
                <w:szCs w:val="24"/>
              </w:rPr>
              <w:t>is</w:t>
            </w:r>
            <w:r w:rsidR="00466C24">
              <w:rPr>
                <w:rFonts w:eastAsia="Calibri"/>
                <w:sz w:val="24"/>
                <w:szCs w:val="24"/>
              </w:rPr>
              <w:t xml:space="preserve"> (toliau – Sutartys) </w:t>
            </w:r>
            <w:r w:rsidR="00AD4767">
              <w:rPr>
                <w:rFonts w:eastAsia="Calibri"/>
                <w:sz w:val="24"/>
                <w:szCs w:val="24"/>
              </w:rPr>
              <w:t xml:space="preserve"> ir </w:t>
            </w:r>
            <w:r w:rsidR="00AD4767" w:rsidRPr="00E534FF">
              <w:rPr>
                <w:rFonts w:eastAsia="Calibri"/>
                <w:sz w:val="24"/>
                <w:szCs w:val="24"/>
              </w:rPr>
              <w:t>organizuoti naujo pirkimo procedūras</w:t>
            </w:r>
            <w:r w:rsidR="00BE6817" w:rsidRPr="00E534FF">
              <w:rPr>
                <w:rFonts w:eastAsia="Calibri"/>
                <w:sz w:val="24"/>
                <w:szCs w:val="24"/>
              </w:rPr>
              <w:t>.</w:t>
            </w:r>
            <w:r w:rsidR="00466C24">
              <w:rPr>
                <w:rFonts w:eastAsia="Calibri"/>
                <w:sz w:val="24"/>
                <w:szCs w:val="24"/>
              </w:rPr>
              <w:t xml:space="preserve"> P</w:t>
            </w:r>
            <w:r w:rsidR="00BE6817" w:rsidRPr="00E534FF">
              <w:rPr>
                <w:rFonts w:eastAsia="Calibri"/>
                <w:bCs/>
                <w:sz w:val="24"/>
                <w:szCs w:val="24"/>
              </w:rPr>
              <w:t xml:space="preserve">ažymėtina, kad prieš </w:t>
            </w:r>
            <w:r w:rsidR="00466C24">
              <w:rPr>
                <w:rFonts w:eastAsia="Calibri"/>
                <w:bCs/>
                <w:sz w:val="24"/>
                <w:szCs w:val="24"/>
              </w:rPr>
              <w:t>priimdama sprendimą nutraukti Sutartis</w:t>
            </w:r>
            <w:r w:rsidR="00BE6817" w:rsidRPr="00E534FF">
              <w:rPr>
                <w:rFonts w:eastAsia="Calibri"/>
                <w:bCs/>
                <w:sz w:val="24"/>
                <w:szCs w:val="24"/>
              </w:rPr>
              <w:t>, Perkančioji organizacija</w:t>
            </w:r>
            <w:r w:rsidR="00466C24">
              <w:rPr>
                <w:rFonts w:eastAsia="Calibri"/>
                <w:bCs/>
                <w:sz w:val="24"/>
                <w:szCs w:val="24"/>
              </w:rPr>
              <w:t xml:space="preserve"> turi į</w:t>
            </w:r>
            <w:r w:rsidR="00466C24">
              <w:rPr>
                <w:sz w:val="24"/>
                <w:szCs w:val="24"/>
              </w:rPr>
              <w:t xml:space="preserve">sivertinti visas aplinkybes, susijusias su Sutarčių nutraukimo pasekmėmis, </w:t>
            </w:r>
            <w:r w:rsidR="00E534FF" w:rsidRPr="00E534FF">
              <w:rPr>
                <w:sz w:val="24"/>
                <w:szCs w:val="24"/>
              </w:rPr>
              <w:t>siek</w:t>
            </w:r>
            <w:r w:rsidR="00466C24">
              <w:rPr>
                <w:sz w:val="24"/>
                <w:szCs w:val="24"/>
              </w:rPr>
              <w:t xml:space="preserve">iant </w:t>
            </w:r>
            <w:r w:rsidR="00E534FF" w:rsidRPr="00E534FF">
              <w:rPr>
                <w:sz w:val="24"/>
                <w:szCs w:val="24"/>
              </w:rPr>
              <w:t>racional</w:t>
            </w:r>
            <w:r w:rsidR="00466C24">
              <w:rPr>
                <w:sz w:val="24"/>
                <w:szCs w:val="24"/>
              </w:rPr>
              <w:t xml:space="preserve">aus lėšų </w:t>
            </w:r>
            <w:r w:rsidR="00E534FF" w:rsidRPr="00E534FF">
              <w:rPr>
                <w:sz w:val="24"/>
                <w:szCs w:val="24"/>
              </w:rPr>
              <w:t xml:space="preserve"> naudo</w:t>
            </w:r>
            <w:r w:rsidR="00466C24">
              <w:rPr>
                <w:sz w:val="24"/>
                <w:szCs w:val="24"/>
              </w:rPr>
              <w:t>jimo. Jei Perkančioji organizacija</w:t>
            </w:r>
            <w:r w:rsidR="00000C97">
              <w:rPr>
                <w:sz w:val="24"/>
                <w:szCs w:val="24"/>
              </w:rPr>
              <w:t>,</w:t>
            </w:r>
            <w:r w:rsidR="00466C24">
              <w:rPr>
                <w:sz w:val="24"/>
                <w:szCs w:val="24"/>
              </w:rPr>
              <w:t xml:space="preserve"> vis dėlto</w:t>
            </w:r>
            <w:r w:rsidR="00000C97">
              <w:rPr>
                <w:sz w:val="24"/>
                <w:szCs w:val="24"/>
              </w:rPr>
              <w:t>,</w:t>
            </w:r>
            <w:r w:rsidR="00466C24">
              <w:rPr>
                <w:sz w:val="24"/>
                <w:szCs w:val="24"/>
              </w:rPr>
              <w:t xml:space="preserve"> priimtų sprendimą nevykdyti Tarnybos rekomendacijos, ji</w:t>
            </w:r>
            <w:r w:rsidR="00E534FF" w:rsidRPr="00E534FF">
              <w:rPr>
                <w:sz w:val="24"/>
                <w:szCs w:val="24"/>
              </w:rPr>
              <w:t xml:space="preserve"> privalo </w:t>
            </w:r>
            <w:r w:rsidR="00AC6FA7">
              <w:rPr>
                <w:sz w:val="24"/>
                <w:szCs w:val="24"/>
              </w:rPr>
              <w:t>nedelsiant išsi</w:t>
            </w:r>
            <w:r w:rsidR="00E534FF" w:rsidRPr="00E534FF">
              <w:rPr>
                <w:sz w:val="24"/>
                <w:szCs w:val="24"/>
              </w:rPr>
              <w:t xml:space="preserve">reikalauti iš </w:t>
            </w:r>
            <w:r w:rsidR="00E534FF">
              <w:rPr>
                <w:sz w:val="24"/>
                <w:szCs w:val="24"/>
              </w:rPr>
              <w:t>R</w:t>
            </w:r>
            <w:r w:rsidR="00E534FF" w:rsidRPr="00E534FF">
              <w:rPr>
                <w:sz w:val="24"/>
                <w:szCs w:val="24"/>
              </w:rPr>
              <w:t>angovo</w:t>
            </w:r>
            <w:r w:rsidR="00B75B59">
              <w:rPr>
                <w:sz w:val="24"/>
                <w:szCs w:val="24"/>
              </w:rPr>
              <w:t xml:space="preserve"> pateikti</w:t>
            </w:r>
            <w:bookmarkStart w:id="3" w:name="_GoBack"/>
            <w:bookmarkEnd w:id="3"/>
            <w:r w:rsidR="00E534FF" w:rsidRPr="00E534FF">
              <w:rPr>
                <w:sz w:val="24"/>
                <w:szCs w:val="24"/>
              </w:rPr>
              <w:t xml:space="preserve"> išankstinio mokėjimo užtikrinimo dokumentą </w:t>
            </w:r>
            <w:r w:rsidR="001E2AA6">
              <w:rPr>
                <w:sz w:val="24"/>
                <w:szCs w:val="24"/>
              </w:rPr>
              <w:t xml:space="preserve"> ir tinkamai vykdyti Pagrindinės sutarties įsipareigojimus</w:t>
            </w:r>
            <w:r w:rsidR="00E534FF" w:rsidRPr="00E534FF">
              <w:rPr>
                <w:sz w:val="24"/>
                <w:szCs w:val="24"/>
              </w:rPr>
              <w:t xml:space="preserve">, kaip numatyta </w:t>
            </w:r>
            <w:r w:rsidR="001E2AA6">
              <w:rPr>
                <w:sz w:val="24"/>
                <w:szCs w:val="24"/>
              </w:rPr>
              <w:t xml:space="preserve">šios </w:t>
            </w:r>
            <w:r w:rsidR="00E534FF" w:rsidRPr="00E534FF">
              <w:rPr>
                <w:sz w:val="24"/>
                <w:szCs w:val="24"/>
              </w:rPr>
              <w:t>sutarties 8.7.1 punkte</w:t>
            </w:r>
            <w:r w:rsidR="00466C24">
              <w:rPr>
                <w:rStyle w:val="FootnoteReference"/>
                <w:sz w:val="24"/>
                <w:szCs w:val="24"/>
              </w:rPr>
              <w:footnoteReference w:id="13"/>
            </w:r>
            <w:r w:rsidR="00E534FF" w:rsidRPr="00E534FF">
              <w:rPr>
                <w:sz w:val="24"/>
                <w:szCs w:val="24"/>
              </w:rPr>
              <w:t xml:space="preserve">. </w:t>
            </w:r>
          </w:p>
          <w:p w14:paraId="26FB54CB" w14:textId="79CED761" w:rsidR="00AD4767" w:rsidRDefault="00AD4767" w:rsidP="00AD4767">
            <w:pPr>
              <w:jc w:val="both"/>
              <w:rPr>
                <w:rFonts w:eastAsia="Calibri"/>
                <w:sz w:val="24"/>
                <w:szCs w:val="24"/>
              </w:rPr>
            </w:pPr>
            <w:r>
              <w:rPr>
                <w:rFonts w:eastAsia="Calibri"/>
                <w:sz w:val="24"/>
                <w:szCs w:val="24"/>
              </w:rPr>
              <w:t xml:space="preserve">   </w:t>
            </w:r>
            <w:r w:rsidR="00C018B5">
              <w:rPr>
                <w:rFonts w:eastAsia="Calibri"/>
                <w:sz w:val="24"/>
                <w:szCs w:val="24"/>
              </w:rPr>
              <w:t xml:space="preserve"> </w:t>
            </w:r>
            <w:r>
              <w:rPr>
                <w:rFonts w:eastAsia="Calibri"/>
                <w:sz w:val="24"/>
                <w:szCs w:val="24"/>
              </w:rPr>
              <w:t xml:space="preserve"> Tarnyba prašo ne vėliau kaip per 10 dienų nuo šios vertinimo išvados gavimo dienos raštu informuoti apie priimtą sprendimą dėl Tarnybos rekomendacijos.</w:t>
            </w:r>
          </w:p>
          <w:p w14:paraId="0C75B02A" w14:textId="0E73D139" w:rsidR="009976FC" w:rsidRDefault="00AD4767" w:rsidP="00AD4767">
            <w:pPr>
              <w:tabs>
                <w:tab w:val="left" w:pos="993"/>
              </w:tabs>
              <w:jc w:val="both"/>
              <w:rPr>
                <w:rFonts w:eastAsia="Calibri"/>
                <w:bCs/>
                <w:sz w:val="24"/>
                <w:szCs w:val="24"/>
              </w:rPr>
            </w:pPr>
            <w:r>
              <w:rPr>
                <w:rFonts w:eastAsia="Calibri"/>
                <w:sz w:val="24"/>
                <w:szCs w:val="24"/>
              </w:rPr>
              <w:t xml:space="preserve">    </w:t>
            </w:r>
            <w:r w:rsidR="00C018B5">
              <w:rPr>
                <w:rFonts w:eastAsia="Calibri"/>
                <w:sz w:val="24"/>
                <w:szCs w:val="24"/>
              </w:rPr>
              <w:t xml:space="preserve"> </w:t>
            </w:r>
            <w:r>
              <w:rPr>
                <w:rFonts w:eastAsia="Calibri"/>
                <w:sz w:val="24"/>
                <w:szCs w:val="24"/>
              </w:rPr>
              <w:t>Vadovaujantis Lietuvos Respublikos administracinių bylų teisenos įstatymo 5 ir 17 straipsniais, nesutikę su vertinimo išvada, galite ją apskųsti teismui šio įstatymo nustatyta tvarka.</w:t>
            </w:r>
            <w:r w:rsidR="000D4D60">
              <w:rPr>
                <w:rFonts w:eastAsia="Calibri"/>
                <w:bCs/>
                <w:sz w:val="24"/>
                <w:szCs w:val="24"/>
              </w:rPr>
              <w:t xml:space="preserve"> </w:t>
            </w:r>
          </w:p>
        </w:tc>
      </w:tr>
    </w:tbl>
    <w:p w14:paraId="5112D876" w14:textId="77777777" w:rsidR="00CC0DE3" w:rsidRDefault="00CC0DE3" w:rsidP="00CC0DE3">
      <w:pPr>
        <w:tabs>
          <w:tab w:val="left" w:pos="993"/>
        </w:tabs>
        <w:ind w:firstLine="709"/>
        <w:jc w:val="center"/>
        <w:rPr>
          <w:rFonts w:eastAsia="Calibri"/>
          <w:bCs/>
          <w:sz w:val="24"/>
          <w:szCs w:val="24"/>
        </w:rPr>
      </w:pPr>
    </w:p>
    <w:p w14:paraId="4CA3D319" w14:textId="77777777" w:rsidR="00CC0DE3" w:rsidRPr="001372F6" w:rsidRDefault="00CC0DE3" w:rsidP="00CC0DE3">
      <w:pPr>
        <w:tabs>
          <w:tab w:val="left" w:pos="993"/>
        </w:tabs>
        <w:ind w:firstLine="709"/>
        <w:jc w:val="center"/>
        <w:rPr>
          <w:rFonts w:eastAsia="Calibri"/>
          <w:bCs/>
          <w:sz w:val="24"/>
          <w:szCs w:val="24"/>
        </w:rPr>
      </w:pPr>
    </w:p>
    <w:p w14:paraId="43E64B89" w14:textId="77777777" w:rsidR="00CC0DE3" w:rsidRDefault="00CC0DE3" w:rsidP="00CC0DE3">
      <w:pPr>
        <w:tabs>
          <w:tab w:val="left" w:pos="-142"/>
          <w:tab w:val="left" w:pos="284"/>
        </w:tabs>
        <w:jc w:val="center"/>
        <w:rPr>
          <w:b/>
          <w:bCs/>
          <w:color w:val="000000"/>
          <w:sz w:val="24"/>
          <w:szCs w:val="24"/>
        </w:rPr>
      </w:pPr>
      <w:r w:rsidRPr="00BB78DE">
        <w:rPr>
          <w:b/>
          <w:bCs/>
          <w:color w:val="000000"/>
          <w:sz w:val="24"/>
          <w:szCs w:val="24"/>
        </w:rPr>
        <w:t>Pastabos</w:t>
      </w:r>
    </w:p>
    <w:p w14:paraId="74EC9E5C" w14:textId="77777777" w:rsidR="00CC0DE3" w:rsidRDefault="00CC0DE3" w:rsidP="00CC0DE3">
      <w:pPr>
        <w:tabs>
          <w:tab w:val="left" w:pos="-142"/>
          <w:tab w:val="left" w:pos="284"/>
        </w:tabs>
        <w:jc w:val="center"/>
        <w:rPr>
          <w:b/>
          <w:bCs/>
          <w:color w:val="000000"/>
          <w:sz w:val="24"/>
          <w:szCs w:val="24"/>
        </w:rPr>
      </w:pPr>
    </w:p>
    <w:tbl>
      <w:tblPr>
        <w:tblStyle w:val="TableGrid"/>
        <w:tblW w:w="0" w:type="auto"/>
        <w:tblLook w:val="04A0" w:firstRow="1" w:lastRow="0" w:firstColumn="1" w:lastColumn="0" w:noHBand="0" w:noVBand="1"/>
      </w:tblPr>
      <w:tblGrid>
        <w:gridCol w:w="9629"/>
      </w:tblGrid>
      <w:tr w:rsidR="00CC0DE3" w14:paraId="49E8D890" w14:textId="77777777" w:rsidTr="001873E3">
        <w:tc>
          <w:tcPr>
            <w:tcW w:w="9629" w:type="dxa"/>
          </w:tcPr>
          <w:p w14:paraId="4A556AA3" w14:textId="57A82C9A" w:rsidR="00CC0DE3" w:rsidRPr="00A95564" w:rsidRDefault="00CC0DE3" w:rsidP="001873E3">
            <w:pPr>
              <w:pStyle w:val="ListParagraph"/>
              <w:tabs>
                <w:tab w:val="left" w:pos="0"/>
                <w:tab w:val="left" w:pos="1156"/>
              </w:tabs>
              <w:ind w:left="0" w:firstLine="873"/>
              <w:jc w:val="both"/>
              <w:rPr>
                <w:rFonts w:eastAsia="Calibri"/>
                <w:bCs/>
                <w:sz w:val="24"/>
                <w:szCs w:val="24"/>
              </w:rPr>
            </w:pPr>
          </w:p>
        </w:tc>
      </w:tr>
    </w:tbl>
    <w:p w14:paraId="04C8F4FE" w14:textId="77777777" w:rsidR="00CC0DE3" w:rsidRDefault="00CC0DE3" w:rsidP="00CC0DE3">
      <w:pPr>
        <w:tabs>
          <w:tab w:val="left" w:pos="-142"/>
          <w:tab w:val="left" w:pos="284"/>
        </w:tabs>
        <w:jc w:val="center"/>
        <w:rPr>
          <w:rFonts w:eastAsia="Calibri"/>
          <w:bCs/>
          <w:sz w:val="24"/>
          <w:szCs w:val="24"/>
        </w:rPr>
      </w:pPr>
    </w:p>
    <w:p w14:paraId="7DB87898" w14:textId="77777777" w:rsidR="00CC0DE3" w:rsidRPr="00BB78DE" w:rsidRDefault="00CC0DE3"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1372F6" w14:paraId="0C5A2025" w14:textId="77777777" w:rsidTr="001873E3">
        <w:tc>
          <w:tcPr>
            <w:tcW w:w="4824" w:type="dxa"/>
            <w:shd w:val="clear" w:color="auto" w:fill="auto"/>
          </w:tcPr>
          <w:p w14:paraId="28F76AA9" w14:textId="77777777" w:rsidR="00CC0DE3" w:rsidRPr="001372F6" w:rsidRDefault="00CC0DE3" w:rsidP="001873E3">
            <w:pPr>
              <w:rPr>
                <w:rFonts w:eastAsia="Calibri"/>
                <w:b/>
                <w:sz w:val="24"/>
                <w:szCs w:val="24"/>
              </w:rPr>
            </w:pPr>
            <w:r w:rsidRPr="001372F6">
              <w:rPr>
                <w:rFonts w:eastAsia="Calibri"/>
                <w:sz w:val="24"/>
                <w:szCs w:val="24"/>
              </w:rPr>
              <w:t>Direktorė</w:t>
            </w:r>
          </w:p>
        </w:tc>
        <w:tc>
          <w:tcPr>
            <w:tcW w:w="4815" w:type="dxa"/>
            <w:shd w:val="clear" w:color="auto" w:fill="auto"/>
          </w:tcPr>
          <w:p w14:paraId="36C3B095" w14:textId="77777777" w:rsidR="00CC0DE3" w:rsidRPr="001372F6" w:rsidRDefault="00CC0DE3" w:rsidP="001873E3">
            <w:pPr>
              <w:spacing w:line="360" w:lineRule="auto"/>
              <w:jc w:val="right"/>
              <w:rPr>
                <w:rFonts w:eastAsia="Calibri"/>
                <w:b/>
                <w:sz w:val="24"/>
                <w:szCs w:val="24"/>
              </w:rPr>
            </w:pPr>
            <w:r w:rsidRPr="001372F6">
              <w:rPr>
                <w:rFonts w:eastAsia="Calibri"/>
                <w:sz w:val="24"/>
                <w:szCs w:val="24"/>
              </w:rPr>
              <w:t>Diana Vilytė</w:t>
            </w:r>
          </w:p>
        </w:tc>
      </w:tr>
    </w:tbl>
    <w:p w14:paraId="4FEBC03D" w14:textId="4ED76A75" w:rsidR="001121F0" w:rsidRDefault="001121F0" w:rsidP="007D3CE1">
      <w:pPr>
        <w:shd w:val="clear" w:color="auto" w:fill="FFFFFF"/>
        <w:tabs>
          <w:tab w:val="left" w:pos="900"/>
        </w:tabs>
        <w:rPr>
          <w:sz w:val="24"/>
          <w:szCs w:val="24"/>
        </w:rPr>
      </w:pPr>
    </w:p>
    <w:p w14:paraId="391BE3AC" w14:textId="7DFA0244" w:rsidR="00DC6EE2" w:rsidRDefault="00DC6EE2" w:rsidP="007D3CE1">
      <w:pPr>
        <w:shd w:val="clear" w:color="auto" w:fill="FFFFFF"/>
        <w:tabs>
          <w:tab w:val="left" w:pos="900"/>
        </w:tabs>
        <w:rPr>
          <w:sz w:val="24"/>
          <w:szCs w:val="24"/>
        </w:rPr>
      </w:pPr>
    </w:p>
    <w:p w14:paraId="6F9BBF21" w14:textId="3B9885A0" w:rsidR="00CE1ECD" w:rsidRDefault="00CE1ECD" w:rsidP="007D3CE1">
      <w:pPr>
        <w:shd w:val="clear" w:color="auto" w:fill="FFFFFF"/>
        <w:tabs>
          <w:tab w:val="left" w:pos="900"/>
        </w:tabs>
        <w:rPr>
          <w:sz w:val="24"/>
          <w:szCs w:val="24"/>
        </w:rPr>
      </w:pPr>
    </w:p>
    <w:p w14:paraId="654B2D47" w14:textId="1014FB0D" w:rsidR="00015C1C" w:rsidRDefault="00015C1C" w:rsidP="007D3CE1">
      <w:pPr>
        <w:shd w:val="clear" w:color="auto" w:fill="FFFFFF"/>
        <w:tabs>
          <w:tab w:val="left" w:pos="900"/>
        </w:tabs>
        <w:rPr>
          <w:sz w:val="24"/>
          <w:szCs w:val="24"/>
        </w:rPr>
      </w:pPr>
    </w:p>
    <w:p w14:paraId="0FEFD7AD" w14:textId="7F31B2EE" w:rsidR="00015C1C" w:rsidRDefault="00015C1C" w:rsidP="007D3CE1">
      <w:pPr>
        <w:shd w:val="clear" w:color="auto" w:fill="FFFFFF"/>
        <w:tabs>
          <w:tab w:val="left" w:pos="900"/>
        </w:tabs>
        <w:rPr>
          <w:sz w:val="24"/>
          <w:szCs w:val="24"/>
        </w:rPr>
      </w:pPr>
    </w:p>
    <w:p w14:paraId="30AA3F4F" w14:textId="0E4B9471" w:rsidR="00015C1C" w:rsidRDefault="00015C1C" w:rsidP="007D3CE1">
      <w:pPr>
        <w:shd w:val="clear" w:color="auto" w:fill="FFFFFF"/>
        <w:tabs>
          <w:tab w:val="left" w:pos="900"/>
        </w:tabs>
        <w:rPr>
          <w:sz w:val="24"/>
          <w:szCs w:val="24"/>
        </w:rPr>
      </w:pPr>
    </w:p>
    <w:p w14:paraId="048A6542" w14:textId="4C5B3CEA" w:rsidR="00015C1C" w:rsidRDefault="00015C1C" w:rsidP="007D3CE1">
      <w:pPr>
        <w:shd w:val="clear" w:color="auto" w:fill="FFFFFF"/>
        <w:tabs>
          <w:tab w:val="left" w:pos="900"/>
        </w:tabs>
        <w:rPr>
          <w:sz w:val="24"/>
          <w:szCs w:val="24"/>
        </w:rPr>
      </w:pPr>
    </w:p>
    <w:p w14:paraId="5F78942D" w14:textId="77777777" w:rsidR="00015C1C" w:rsidRDefault="00015C1C" w:rsidP="007D3CE1">
      <w:pPr>
        <w:shd w:val="clear" w:color="auto" w:fill="FFFFFF"/>
        <w:tabs>
          <w:tab w:val="left" w:pos="900"/>
        </w:tabs>
        <w:rPr>
          <w:sz w:val="24"/>
          <w:szCs w:val="24"/>
        </w:rPr>
      </w:pPr>
    </w:p>
    <w:p w14:paraId="75290786" w14:textId="77777777" w:rsidR="00DC6EE2" w:rsidRDefault="00DC6EE2" w:rsidP="007D3CE1">
      <w:pPr>
        <w:shd w:val="clear" w:color="auto" w:fill="FFFFFF"/>
        <w:tabs>
          <w:tab w:val="left" w:pos="900"/>
        </w:tabs>
        <w:rPr>
          <w:sz w:val="24"/>
          <w:szCs w:val="24"/>
        </w:rPr>
      </w:pPr>
    </w:p>
    <w:p w14:paraId="223ABD2D" w14:textId="2DC7ABD7" w:rsidR="001121F0" w:rsidRDefault="001B5351" w:rsidP="007D3CE1">
      <w:pPr>
        <w:shd w:val="clear" w:color="auto" w:fill="FFFFFF"/>
        <w:tabs>
          <w:tab w:val="left" w:pos="900"/>
        </w:tabs>
        <w:rPr>
          <w:sz w:val="24"/>
          <w:szCs w:val="24"/>
        </w:rPr>
      </w:pPr>
      <w:r>
        <w:rPr>
          <w:sz w:val="24"/>
          <w:szCs w:val="24"/>
        </w:rPr>
        <w:t>L.</w:t>
      </w:r>
      <w:r w:rsidRPr="00527085">
        <w:rPr>
          <w:sz w:val="24"/>
          <w:szCs w:val="24"/>
        </w:rPr>
        <w:t xml:space="preserve"> Tautvaišienė, tel. (8 5) 219 7036, faks. (8 5) 213 6213, el. p. Laimute.Tautvaisiene@vpt.lt</w:t>
      </w:r>
      <w:r>
        <w:rPr>
          <w:rFonts w:eastAsia="Calibri"/>
          <w:bCs/>
          <w:sz w:val="24"/>
          <w:szCs w:val="24"/>
        </w:rPr>
        <w:tab/>
      </w:r>
    </w:p>
    <w:sectPr w:rsidR="001121F0" w:rsidSect="002E5609">
      <w:headerReference w:type="even" r:id="rId11"/>
      <w:headerReference w:type="default" r:id="rId12"/>
      <w:footerReference w:type="default" r:id="rId13"/>
      <w:headerReference w:type="first" r:id="rId14"/>
      <w:footerReference w:type="first" r:id="rId15"/>
      <w:pgSz w:w="11907" w:h="16840" w:code="9"/>
      <w:pgMar w:top="709"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74B7D" w14:textId="77777777" w:rsidR="00B43869" w:rsidRDefault="00B43869">
      <w:r>
        <w:separator/>
      </w:r>
    </w:p>
  </w:endnote>
  <w:endnote w:type="continuationSeparator" w:id="0">
    <w:p w14:paraId="54906276" w14:textId="77777777" w:rsidR="00B43869" w:rsidRDefault="00B4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E28E" w14:textId="77777777" w:rsidR="001B5351" w:rsidRDefault="001B5351">
    <w:pPr>
      <w:pStyle w:val="Footer"/>
    </w:pPr>
  </w:p>
  <w:p w14:paraId="1B99118B" w14:textId="77777777" w:rsidR="001B5351" w:rsidRDefault="001B5351">
    <w:pPr>
      <w:pStyle w:val="Footer"/>
    </w:pPr>
  </w:p>
  <w:p w14:paraId="5A42BE90" w14:textId="77777777" w:rsidR="001B5351" w:rsidRDefault="001B5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6B61" w14:textId="77777777" w:rsidR="001B5351" w:rsidRPr="00BB2F72" w:rsidRDefault="001B5351" w:rsidP="00D04BBF">
    <w:pPr>
      <w:pBdr>
        <w:top w:val="single" w:sz="4" w:space="1" w:color="auto"/>
      </w:pBdr>
      <w:rPr>
        <w:sz w:val="18"/>
      </w:rPr>
    </w:pPr>
    <w:r>
      <w:rPr>
        <w:sz w:val="18"/>
      </w:rPr>
      <w:t>Biudžetinė įstaiga</w:t>
    </w:r>
    <w:r>
      <w:rPr>
        <w:sz w:val="18"/>
      </w:rPr>
      <w:tab/>
    </w:r>
    <w:r>
      <w:rPr>
        <w:sz w:val="18"/>
      </w:rPr>
      <w:tab/>
    </w:r>
    <w:r>
      <w:rPr>
        <w:sz w:val="18"/>
      </w:rPr>
      <w:tab/>
    </w:r>
    <w:r>
      <w:rPr>
        <w:sz w:val="18"/>
      </w:rPr>
      <w:tab/>
      <w:t>Tel.  (8 5) 219 7001</w:t>
    </w:r>
    <w:r>
      <w:rPr>
        <w:sz w:val="18"/>
      </w:rPr>
      <w:tab/>
    </w:r>
    <w:r>
      <w:rPr>
        <w:sz w:val="18"/>
      </w:rPr>
      <w:tab/>
    </w:r>
    <w:r>
      <w:rPr>
        <w:sz w:val="18"/>
      </w:rPr>
      <w:tab/>
    </w:r>
    <w:r>
      <w:rPr>
        <w:sz w:val="18"/>
      </w:rPr>
      <w:tab/>
    </w:r>
    <w:r w:rsidRPr="00E9516F">
      <w:rPr>
        <w:sz w:val="18"/>
      </w:rPr>
      <w:t>Duomenys kaupiami ir saugomi</w:t>
    </w:r>
    <w:r w:rsidRPr="00BB2F72">
      <w:rPr>
        <w:sz w:val="18"/>
      </w:rPr>
      <w:t> </w:t>
    </w:r>
  </w:p>
  <w:p w14:paraId="3240666B" w14:textId="3E03FF1A" w:rsidR="001B5351" w:rsidRPr="00BB2F72" w:rsidRDefault="001B5351" w:rsidP="00D04BBF">
    <w:pPr>
      <w:pBdr>
        <w:top w:val="single" w:sz="4" w:space="1" w:color="auto"/>
      </w:pBdr>
      <w:jc w:val="both"/>
      <w:rPr>
        <w:sz w:val="18"/>
      </w:rPr>
    </w:pPr>
    <w:r>
      <w:rPr>
        <w:sz w:val="18"/>
      </w:rPr>
      <w:t>Kareivių g. 1, LT-08</w:t>
    </w:r>
    <w:r w:rsidR="00F27B99">
      <w:rPr>
        <w:sz w:val="18"/>
      </w:rPr>
      <w:t>351</w:t>
    </w:r>
    <w:r>
      <w:rPr>
        <w:sz w:val="18"/>
      </w:rPr>
      <w:t xml:space="preserve"> Vilnius</w:t>
    </w:r>
    <w:r>
      <w:rPr>
        <w:sz w:val="18"/>
      </w:rPr>
      <w:tab/>
    </w:r>
    <w:r>
      <w:rPr>
        <w:sz w:val="18"/>
      </w:rPr>
      <w:tab/>
      <w:t>Faks. (8 5) 213 6213</w:t>
    </w:r>
    <w:r>
      <w:rPr>
        <w:sz w:val="18"/>
      </w:rPr>
      <w:tab/>
    </w:r>
    <w:r>
      <w:rPr>
        <w:sz w:val="18"/>
      </w:rPr>
      <w:tab/>
    </w:r>
    <w:r>
      <w:rPr>
        <w:sz w:val="18"/>
      </w:rPr>
      <w:tab/>
    </w:r>
    <w:r w:rsidRPr="00BB2F72">
      <w:rPr>
        <w:sz w:val="18"/>
      </w:rPr>
      <w:t xml:space="preserve">Juridinių asmenų registre </w:t>
    </w:r>
  </w:p>
  <w:p w14:paraId="6BA5EC36" w14:textId="77777777" w:rsidR="001B5351" w:rsidRPr="00BB2F72" w:rsidRDefault="001B5351" w:rsidP="00D04BBF">
    <w:pPr>
      <w:pBdr>
        <w:top w:val="single" w:sz="4" w:space="1" w:color="auto"/>
      </w:pBdr>
      <w:jc w:val="both"/>
      <w:rPr>
        <w:sz w:val="18"/>
      </w:rPr>
    </w:pPr>
    <w:r w:rsidRPr="00016D30">
      <w:rPr>
        <w:sz w:val="18"/>
      </w:rPr>
      <w:t>http://www.vpt.lt</w:t>
    </w:r>
    <w:r>
      <w:rPr>
        <w:sz w:val="18"/>
      </w:rPr>
      <w:tab/>
    </w:r>
    <w:r>
      <w:rPr>
        <w:sz w:val="18"/>
      </w:rPr>
      <w:tab/>
    </w:r>
    <w:r>
      <w:rPr>
        <w:sz w:val="18"/>
      </w:rPr>
      <w:tab/>
    </w:r>
    <w:r>
      <w:rPr>
        <w:sz w:val="18"/>
      </w:rPr>
      <w:tab/>
    </w:r>
    <w:proofErr w:type="spellStart"/>
    <w:r>
      <w:rPr>
        <w:sz w:val="18"/>
      </w:rPr>
      <w:t>El.p</w:t>
    </w:r>
    <w:proofErr w:type="spellEnd"/>
    <w:r>
      <w:rPr>
        <w:sz w:val="18"/>
      </w:rPr>
      <w:t xml:space="preserve">. </w:t>
    </w:r>
    <w:proofErr w:type="spellStart"/>
    <w:r w:rsidRPr="00016D30">
      <w:rPr>
        <w:sz w:val="18"/>
      </w:rPr>
      <w:t>info@vpt.lt</w:t>
    </w:r>
    <w:proofErr w:type="spellEnd"/>
    <w:r w:rsidRPr="00BB2F72">
      <w:rPr>
        <w:sz w:val="18"/>
      </w:rPr>
      <w:t xml:space="preserve"> </w:t>
    </w:r>
    <w:r>
      <w:rPr>
        <w:sz w:val="18"/>
      </w:rPr>
      <w:tab/>
    </w:r>
    <w:r>
      <w:rPr>
        <w:sz w:val="18"/>
      </w:rPr>
      <w:tab/>
    </w:r>
    <w:r>
      <w:rPr>
        <w:sz w:val="18"/>
      </w:rPr>
      <w:tab/>
    </w:r>
    <w:r>
      <w:rPr>
        <w:sz w:val="18"/>
      </w:rPr>
      <w:tab/>
      <w:t>Kodas 188656261</w:t>
    </w:r>
  </w:p>
  <w:p w14:paraId="5763CF8C" w14:textId="77777777" w:rsidR="001B5351" w:rsidRPr="008F10BE" w:rsidRDefault="001B5351"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CF31" w14:textId="77777777" w:rsidR="00B43869" w:rsidRDefault="00B43869">
      <w:r>
        <w:separator/>
      </w:r>
    </w:p>
  </w:footnote>
  <w:footnote w:type="continuationSeparator" w:id="0">
    <w:p w14:paraId="56FB281F" w14:textId="77777777" w:rsidR="00B43869" w:rsidRDefault="00B43869">
      <w:r>
        <w:continuationSeparator/>
      </w:r>
    </w:p>
  </w:footnote>
  <w:footnote w:id="1">
    <w:p w14:paraId="74E0186C" w14:textId="77777777" w:rsidR="001B5351" w:rsidRDefault="001B5351" w:rsidP="00EE1E2A">
      <w:pPr>
        <w:pStyle w:val="FootnoteText"/>
        <w:ind w:right="-284"/>
        <w:jc w:val="both"/>
      </w:pPr>
      <w:r>
        <w:rPr>
          <w:rStyle w:val="FootnoteReference"/>
        </w:rPr>
        <w:footnoteRef/>
      </w:r>
      <w:r>
        <w:t xml:space="preserve"> </w:t>
      </w:r>
      <w:bookmarkStart w:id="2" w:name="_Hlk20829529"/>
      <w:r w:rsidRPr="00495C44">
        <w:t>„Perkančioji organizacija užtikrina, kad vykdant pirkimą būtų laikomasi lygiateisiškumo, nediskriminavimo, abipusio pripažinimo, proporcingumo, skaidrumo principų.“</w:t>
      </w:r>
      <w:r>
        <w:t>;</w:t>
      </w:r>
    </w:p>
    <w:bookmarkEnd w:id="2"/>
  </w:footnote>
  <w:footnote w:id="2">
    <w:p w14:paraId="5415D23B" w14:textId="77777777" w:rsidR="001B5351" w:rsidRDefault="001B5351" w:rsidP="00EE1E2A">
      <w:pPr>
        <w:pStyle w:val="FootnoteText"/>
        <w:ind w:right="-284"/>
        <w:jc w:val="both"/>
      </w:pPr>
      <w:r>
        <w:rPr>
          <w:rStyle w:val="FootnoteReference"/>
        </w:rPr>
        <w:footnoteRef/>
      </w:r>
      <w:r>
        <w:t xml:space="preserve"> „Perkančioji organizacija turi siekti, kad:</w:t>
      </w:r>
    </w:p>
    <w:p w14:paraId="642F09F5" w14:textId="77777777" w:rsidR="001B5351" w:rsidRDefault="001B5351" w:rsidP="00EE1E2A">
      <w:pPr>
        <w:pStyle w:val="FootnoteText"/>
        <w:ind w:right="-284"/>
        <w:jc w:val="both"/>
      </w:pPr>
      <w:r>
        <w:t>1)Prekėms, paslaugos ar darbams įsigyti skirtos lėšos būtų naudojamos racionaliai“;</w:t>
      </w:r>
    </w:p>
  </w:footnote>
  <w:footnote w:id="3">
    <w:p w14:paraId="06BFA670" w14:textId="1485A769" w:rsidR="001B5351" w:rsidRDefault="001B5351" w:rsidP="00C841BA">
      <w:pPr>
        <w:pStyle w:val="FootnoteText"/>
        <w:ind w:right="-284"/>
        <w:jc w:val="both"/>
      </w:pPr>
      <w:r>
        <w:rPr>
          <w:rStyle w:val="FootnoteReference"/>
        </w:rPr>
        <w:footnoteRef/>
      </w:r>
      <w:r>
        <w:t xml:space="preserve"> „4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 &lt;...&gt;</w:t>
      </w:r>
    </w:p>
    <w:p w14:paraId="0160D03D" w14:textId="5BB5A6EB" w:rsidR="001B5351" w:rsidRDefault="001B5351" w:rsidP="00C841BA">
      <w:pPr>
        <w:pStyle w:val="FootnoteText"/>
        <w:ind w:right="-284"/>
        <w:jc w:val="both"/>
      </w:pPr>
      <w:r>
        <w:t>2)dėl pakeitimo ekonominė pirkimo sutarties ar preliminariosios sutarties pusiausvyra pasikeičia tiekėjo, su kuriuo sudaryta ši sutartis, naud</w:t>
      </w:r>
      <w:r w:rsidR="00EE1E2A">
        <w:t>ai</w:t>
      </w:r>
      <w:r>
        <w:t>, taip kaip nebuvo aptarta pradinėje sutartyje &lt;...&gt;“;</w:t>
      </w:r>
    </w:p>
  </w:footnote>
  <w:footnote w:id="4">
    <w:p w14:paraId="1C498B80" w14:textId="1A56BB15" w:rsidR="00C841BA" w:rsidRDefault="00C841BA" w:rsidP="00C841BA">
      <w:pPr>
        <w:pStyle w:val="FootnoteText"/>
        <w:ind w:right="-284"/>
        <w:jc w:val="both"/>
      </w:pPr>
      <w:r>
        <w:rPr>
          <w:rStyle w:val="FootnoteReference"/>
        </w:rPr>
        <w:footnoteRef/>
      </w:r>
      <w:r>
        <w:t xml:space="preserve"> </w:t>
      </w:r>
      <w:r w:rsidRPr="00495C44">
        <w:t>„Perkančioji organizacija užtikrina, kad vykdant pirkimą būtų laikomasi lygiateisiškumo, nediskriminavimo, abipusio pripažinimo, proporcingumo, skaidrumo principų.“</w:t>
      </w:r>
      <w:r>
        <w:t>;</w:t>
      </w:r>
    </w:p>
  </w:footnote>
  <w:footnote w:id="5">
    <w:p w14:paraId="2984B180" w14:textId="77777777" w:rsidR="00C841BA" w:rsidRDefault="00C841BA" w:rsidP="00C841BA">
      <w:pPr>
        <w:pStyle w:val="FootnoteText"/>
        <w:ind w:right="-284"/>
        <w:jc w:val="both"/>
      </w:pPr>
      <w:r>
        <w:rPr>
          <w:rStyle w:val="FootnoteReference"/>
        </w:rPr>
        <w:footnoteRef/>
      </w:r>
      <w:r>
        <w:t xml:space="preserve"> „Perkančioji organizacija turi siekti, kad:</w:t>
      </w:r>
    </w:p>
    <w:p w14:paraId="2B566E12" w14:textId="5128718F" w:rsidR="00C841BA" w:rsidRDefault="00C841BA" w:rsidP="00C841BA">
      <w:pPr>
        <w:pStyle w:val="FootnoteText"/>
        <w:ind w:right="-284"/>
        <w:jc w:val="both"/>
      </w:pPr>
      <w:r>
        <w:t>1)Prekėms, paslaugos ar darbams įsigyti skirtos lėšos būtų naudojamos racionaliai“;</w:t>
      </w:r>
    </w:p>
  </w:footnote>
  <w:footnote w:id="6">
    <w:p w14:paraId="42A53946" w14:textId="77777777" w:rsidR="001B5351" w:rsidRDefault="001B5351" w:rsidP="00C841BA">
      <w:pPr>
        <w:pStyle w:val="FootnoteText"/>
        <w:ind w:right="-284"/>
        <w:jc w:val="both"/>
      </w:pPr>
      <w:r>
        <w:rPr>
          <w:rStyle w:val="FootnoteReference"/>
        </w:rPr>
        <w:footnoteRef/>
      </w:r>
      <w:r>
        <w:t xml:space="preserve"> Perkančiosios organizacijos 2019-09-24 raštas Nr. SD-5.45-3304 „Dėl informacijos ir dokumentų pateikimo“ ir 2019-09-26 el. paštu teikta informacija;</w:t>
      </w:r>
    </w:p>
  </w:footnote>
  <w:footnote w:id="7">
    <w:p w14:paraId="5792FEA1" w14:textId="77777777" w:rsidR="001B5351" w:rsidRDefault="001B5351" w:rsidP="00C841BA">
      <w:pPr>
        <w:pStyle w:val="FootnoteText"/>
        <w:ind w:right="-284"/>
        <w:jc w:val="both"/>
      </w:pPr>
      <w:r>
        <w:rPr>
          <w:rStyle w:val="FootnoteReference"/>
        </w:rPr>
        <w:footnoteRef/>
      </w:r>
      <w:r>
        <w:t xml:space="preserve"> 2018-06-15 išankstinio mokėjimo sąskaita – faktūra  Nr. 1806/01, (100 000,00 Eur sumai);</w:t>
      </w:r>
    </w:p>
  </w:footnote>
  <w:footnote w:id="8">
    <w:p w14:paraId="3D3F5C47" w14:textId="77777777" w:rsidR="001B5351" w:rsidRDefault="001B5351" w:rsidP="00C841BA">
      <w:pPr>
        <w:pStyle w:val="FootnoteText"/>
        <w:ind w:right="-284"/>
        <w:jc w:val="both"/>
      </w:pPr>
      <w:r>
        <w:rPr>
          <w:rStyle w:val="FootnoteReference"/>
        </w:rPr>
        <w:footnoteRef/>
      </w:r>
      <w:r>
        <w:t xml:space="preserve"> 2018-06-27 Lėšų pervedimo nurodymas Nr. 1;</w:t>
      </w:r>
    </w:p>
  </w:footnote>
  <w:footnote w:id="9">
    <w:p w14:paraId="40A75FED" w14:textId="4FF6595A" w:rsidR="00015C1C" w:rsidRDefault="00015C1C" w:rsidP="00015C1C">
      <w:pPr>
        <w:pStyle w:val="FootnoteText"/>
        <w:ind w:right="-284"/>
        <w:jc w:val="both"/>
      </w:pPr>
      <w:r>
        <w:rPr>
          <w:rStyle w:val="FootnoteReference"/>
        </w:rPr>
        <w:footnoteRef/>
      </w:r>
      <w:r>
        <w:t xml:space="preserve"> Perkančiosios organizacijos 2019-09-24 raštas Nr. SD-5.45-3304 „Dėl informacijos ir dokumentų pateikimo“ ir 2019-09-26 el. paštu teikta informacija;</w:t>
      </w:r>
    </w:p>
  </w:footnote>
  <w:footnote w:id="10">
    <w:p w14:paraId="6E405C0B" w14:textId="438A55DC" w:rsidR="001B5351" w:rsidRDefault="001B5351" w:rsidP="001873E3">
      <w:pPr>
        <w:pStyle w:val="FootnoteText"/>
        <w:jc w:val="both"/>
      </w:pPr>
      <w:r>
        <w:rPr>
          <w:rStyle w:val="FootnoteReference"/>
        </w:rPr>
        <w:footnoteRef/>
      </w:r>
      <w:r>
        <w:t xml:space="preserve"> „4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 &lt;...&gt;</w:t>
      </w:r>
    </w:p>
    <w:p w14:paraId="3617F8E0" w14:textId="6F7675E7" w:rsidR="001B5351" w:rsidRDefault="001B5351" w:rsidP="001873E3">
      <w:pPr>
        <w:pStyle w:val="FootnoteText"/>
        <w:jc w:val="both"/>
      </w:pPr>
      <w:r>
        <w:t>2)dėl pakeitimo ekonominė pirkimo sutarties ar preliminariosios sutarties pusiausvyra pasikeičia tiekėjo, su kuriuo sudaryta ši sutartis, naud</w:t>
      </w:r>
      <w:r w:rsidR="003C4D34">
        <w:t>ai</w:t>
      </w:r>
      <w:r>
        <w:t>, taip kaip nebuvo aptarta pradinėje sutartyje &lt;...&gt;“;</w:t>
      </w:r>
    </w:p>
  </w:footnote>
  <w:footnote w:id="11">
    <w:p w14:paraId="21E400BE" w14:textId="77777777" w:rsidR="00E53E2E" w:rsidRPr="002E1E42" w:rsidRDefault="00E53E2E" w:rsidP="00E53E2E">
      <w:pPr>
        <w:pStyle w:val="FootnoteText"/>
        <w:ind w:right="-284"/>
        <w:jc w:val="both"/>
      </w:pPr>
      <w:r w:rsidRPr="00BE134F">
        <w:rPr>
          <w:rStyle w:val="FootnoteReference"/>
        </w:rPr>
        <w:footnoteRef/>
      </w:r>
      <w:r w:rsidRPr="00BE134F">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sidRPr="00BE134F">
        <w:rPr>
          <w:b/>
          <w:bCs/>
        </w:rPr>
        <w:t xml:space="preserve"> </w:t>
      </w:r>
      <w:r w:rsidRPr="00BE134F">
        <w:t xml:space="preserve">kurie atlikti neskelbiamų derybų </w:t>
      </w:r>
      <w:r w:rsidRPr="003E0CF5">
        <w:t xml:space="preserve">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dalyvio pasiūlymo, pirkimo sutarties ar preliminariosios sutarties dalims, kai nėra techninių galimybių tokiu būdu paskelbti </w:t>
      </w:r>
      <w:r w:rsidRPr="002E1E42">
        <w:t>informacijos. Tokiu atveju perkančioji organizacija turi sudaryti galimybę susipažinti su nepaskelbtomis laimėjusio dalyvio pasiūlymo, pirkimo sutarties ar preliminariosios sutarties dalimis.</w:t>
      </w:r>
      <w:r w:rsidRPr="002E1E42">
        <w:rPr>
          <w:color w:val="000000"/>
        </w:rPr>
        <w:t>“;</w:t>
      </w:r>
    </w:p>
  </w:footnote>
  <w:footnote w:id="12">
    <w:p w14:paraId="42FD2DB3" w14:textId="77777777" w:rsidR="00E53E2E" w:rsidRPr="002E1E42" w:rsidRDefault="00E53E2E" w:rsidP="00E62924">
      <w:pPr>
        <w:pStyle w:val="FootnoteText"/>
        <w:jc w:val="both"/>
      </w:pPr>
      <w:r>
        <w:rPr>
          <w:rStyle w:val="FootnoteReference"/>
        </w:rPr>
        <w:footnoteRef/>
      </w:r>
      <w:r>
        <w:t xml:space="preserve"> </w:t>
      </w:r>
      <w:r w:rsidRPr="00495C44">
        <w:t>„Perkančioji organizacija užtikrina, kad vykdant pirkimą būtų laikomasi lygiateisiškumo, nediskriminavimo, abipusio pripažinimo, proporcingumo, skaidrumo principų.“</w:t>
      </w:r>
      <w:r>
        <w:t>;</w:t>
      </w:r>
    </w:p>
  </w:footnote>
  <w:footnote w:id="13">
    <w:p w14:paraId="433F115D" w14:textId="0D23AA9B" w:rsidR="00466C24" w:rsidRDefault="00466C24" w:rsidP="00E62924">
      <w:pPr>
        <w:pStyle w:val="FootnoteText"/>
        <w:jc w:val="both"/>
      </w:pPr>
      <w:r>
        <w:rPr>
          <w:rStyle w:val="FootnoteReference"/>
        </w:rPr>
        <w:footnoteRef/>
      </w:r>
      <w:r>
        <w:t xml:space="preserve"> Perkančioji organizacija privalo mokėti Rangovui „Išankstinio mokėjimo sumą per 3.4 papunktyje nurodytą dienų skaičių po išankstinio mokėjimo užtikrinimo banko garantijos arba draudimo bendrovės laidavimo rašto ir išankstinio mokėjimo sąskaitos</w:t>
      </w:r>
      <w:r w:rsidR="00E62924">
        <w:t xml:space="preserve"> gavimo dienos. </w:t>
      </w:r>
      <w:r w:rsidR="00E62924" w:rsidRPr="00E62924">
        <w:rPr>
          <w:b/>
          <w:bCs/>
        </w:rPr>
        <w:t>Jeigu Rangovas nepateikia išankstinio mokėjimo užtikrinimo, tai išankstinis mokėjimas Rangovui neatliekamas</w:t>
      </w:r>
      <w:r w:rsidR="00E629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5510" w14:textId="77777777" w:rsidR="001B5351" w:rsidRDefault="001B53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6C157D" w14:textId="77777777" w:rsidR="001B5351" w:rsidRDefault="001B5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D94A" w14:textId="77777777" w:rsidR="001B5351" w:rsidRDefault="001B53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06A8A7" w14:textId="77777777" w:rsidR="001B5351" w:rsidRDefault="001B5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20AE" w14:textId="77777777" w:rsidR="001B5351" w:rsidRPr="00ED37D5" w:rsidRDefault="001B5351" w:rsidP="008261DB">
    <w:pPr>
      <w:shd w:val="clear" w:color="auto" w:fill="FFFFFF"/>
      <w:jc w:val="right"/>
      <w:rPr>
        <w:b/>
        <w:bCs/>
        <w:sz w:val="24"/>
        <w:szCs w:val="24"/>
        <w:lang w:eastAsia="lt-LT"/>
      </w:rPr>
    </w:pPr>
    <w:r w:rsidRPr="00ED37D5">
      <w:rPr>
        <w:b/>
        <w:bCs/>
        <w:sz w:val="24"/>
        <w:szCs w:val="24"/>
        <w:lang w:eastAsia="lt-LT"/>
      </w:rPr>
      <w:t>Originalas nebus siunčiamas</w:t>
    </w:r>
  </w:p>
  <w:p w14:paraId="60C02F9D" w14:textId="77777777" w:rsidR="001B5351" w:rsidRDefault="001B5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9"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9"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30"/>
  </w:num>
  <w:num w:numId="3">
    <w:abstractNumId w:val="16"/>
  </w:num>
  <w:num w:numId="4">
    <w:abstractNumId w:val="18"/>
  </w:num>
  <w:num w:numId="5">
    <w:abstractNumId w:val="10"/>
  </w:num>
  <w:num w:numId="6">
    <w:abstractNumId w:val="8"/>
  </w:num>
  <w:num w:numId="7">
    <w:abstractNumId w:val="17"/>
  </w:num>
  <w:num w:numId="8">
    <w:abstractNumId w:val="27"/>
  </w:num>
  <w:num w:numId="9">
    <w:abstractNumId w:val="20"/>
  </w:num>
  <w:num w:numId="10">
    <w:abstractNumId w:val="32"/>
  </w:num>
  <w:num w:numId="11">
    <w:abstractNumId w:val="12"/>
  </w:num>
  <w:num w:numId="12">
    <w:abstractNumId w:val="23"/>
  </w:num>
  <w:num w:numId="13">
    <w:abstractNumId w:val="15"/>
  </w:num>
  <w:num w:numId="14">
    <w:abstractNumId w:val="3"/>
  </w:num>
  <w:num w:numId="15">
    <w:abstractNumId w:val="31"/>
  </w:num>
  <w:num w:numId="16">
    <w:abstractNumId w:val="4"/>
  </w:num>
  <w:num w:numId="17">
    <w:abstractNumId w:val="22"/>
  </w:num>
  <w:num w:numId="18">
    <w:abstractNumId w:val="26"/>
  </w:num>
  <w:num w:numId="19">
    <w:abstractNumId w:val="1"/>
  </w:num>
  <w:num w:numId="20">
    <w:abstractNumId w:val="0"/>
  </w:num>
  <w:num w:numId="21">
    <w:abstractNumId w:val="5"/>
  </w:num>
  <w:num w:numId="22">
    <w:abstractNumId w:val="21"/>
  </w:num>
  <w:num w:numId="23">
    <w:abstractNumId w:val="28"/>
  </w:num>
  <w:num w:numId="24">
    <w:abstractNumId w:val="19"/>
  </w:num>
  <w:num w:numId="25">
    <w:abstractNumId w:val="14"/>
  </w:num>
  <w:num w:numId="26">
    <w:abstractNumId w:val="7"/>
  </w:num>
  <w:num w:numId="27">
    <w:abstractNumId w:val="29"/>
  </w:num>
  <w:num w:numId="28">
    <w:abstractNumId w:val="2"/>
  </w:num>
  <w:num w:numId="29">
    <w:abstractNumId w:val="24"/>
  </w:num>
  <w:num w:numId="30">
    <w:abstractNumId w:val="25"/>
  </w:num>
  <w:num w:numId="31">
    <w:abstractNumId w:val="13"/>
  </w:num>
  <w:num w:numId="32">
    <w:abstractNumId w:val="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C97"/>
    <w:rsid w:val="00001CD7"/>
    <w:rsid w:val="00005217"/>
    <w:rsid w:val="00005373"/>
    <w:rsid w:val="00007341"/>
    <w:rsid w:val="00007372"/>
    <w:rsid w:val="00007F4B"/>
    <w:rsid w:val="00010D1A"/>
    <w:rsid w:val="00012A03"/>
    <w:rsid w:val="00012ADC"/>
    <w:rsid w:val="00012CF3"/>
    <w:rsid w:val="00013971"/>
    <w:rsid w:val="00013F24"/>
    <w:rsid w:val="00015C1C"/>
    <w:rsid w:val="00016D30"/>
    <w:rsid w:val="00021053"/>
    <w:rsid w:val="000220AE"/>
    <w:rsid w:val="00023B43"/>
    <w:rsid w:val="000268FD"/>
    <w:rsid w:val="00032628"/>
    <w:rsid w:val="000327A3"/>
    <w:rsid w:val="00033A32"/>
    <w:rsid w:val="00033CC7"/>
    <w:rsid w:val="000345D5"/>
    <w:rsid w:val="00035EB7"/>
    <w:rsid w:val="00036B71"/>
    <w:rsid w:val="000377FD"/>
    <w:rsid w:val="000428AB"/>
    <w:rsid w:val="00043152"/>
    <w:rsid w:val="00044AFE"/>
    <w:rsid w:val="00045B87"/>
    <w:rsid w:val="000506A7"/>
    <w:rsid w:val="00052C07"/>
    <w:rsid w:val="00056901"/>
    <w:rsid w:val="00057B99"/>
    <w:rsid w:val="00063476"/>
    <w:rsid w:val="0006683B"/>
    <w:rsid w:val="0006795B"/>
    <w:rsid w:val="00071704"/>
    <w:rsid w:val="000717C1"/>
    <w:rsid w:val="00071A23"/>
    <w:rsid w:val="00072251"/>
    <w:rsid w:val="00077E4B"/>
    <w:rsid w:val="0008142D"/>
    <w:rsid w:val="00083B0D"/>
    <w:rsid w:val="00085B4B"/>
    <w:rsid w:val="0008682A"/>
    <w:rsid w:val="00087CE3"/>
    <w:rsid w:val="0009142E"/>
    <w:rsid w:val="00092283"/>
    <w:rsid w:val="0009375D"/>
    <w:rsid w:val="000974BF"/>
    <w:rsid w:val="00097A68"/>
    <w:rsid w:val="00097D69"/>
    <w:rsid w:val="00097F19"/>
    <w:rsid w:val="000A1C7A"/>
    <w:rsid w:val="000A449F"/>
    <w:rsid w:val="000A4E9C"/>
    <w:rsid w:val="000A5052"/>
    <w:rsid w:val="000A5F61"/>
    <w:rsid w:val="000A6E1F"/>
    <w:rsid w:val="000A6F88"/>
    <w:rsid w:val="000B16A4"/>
    <w:rsid w:val="000B1B1C"/>
    <w:rsid w:val="000B32CC"/>
    <w:rsid w:val="000B60BF"/>
    <w:rsid w:val="000B6318"/>
    <w:rsid w:val="000B6B7A"/>
    <w:rsid w:val="000B711A"/>
    <w:rsid w:val="000C1BAD"/>
    <w:rsid w:val="000C1BD8"/>
    <w:rsid w:val="000C2281"/>
    <w:rsid w:val="000C7CB3"/>
    <w:rsid w:val="000D13FD"/>
    <w:rsid w:val="000D197A"/>
    <w:rsid w:val="000D1F86"/>
    <w:rsid w:val="000D4D51"/>
    <w:rsid w:val="000D4D60"/>
    <w:rsid w:val="000E0F48"/>
    <w:rsid w:val="000E1D07"/>
    <w:rsid w:val="000E5635"/>
    <w:rsid w:val="000E5D45"/>
    <w:rsid w:val="000F015C"/>
    <w:rsid w:val="000F0DE8"/>
    <w:rsid w:val="000F219F"/>
    <w:rsid w:val="000F259D"/>
    <w:rsid w:val="000F3561"/>
    <w:rsid w:val="000F3A51"/>
    <w:rsid w:val="00102C4C"/>
    <w:rsid w:val="00103DFB"/>
    <w:rsid w:val="001051BE"/>
    <w:rsid w:val="00105D65"/>
    <w:rsid w:val="00106187"/>
    <w:rsid w:val="00106596"/>
    <w:rsid w:val="001101B1"/>
    <w:rsid w:val="0011054C"/>
    <w:rsid w:val="001121F0"/>
    <w:rsid w:val="00117AAD"/>
    <w:rsid w:val="001205AB"/>
    <w:rsid w:val="00124DA9"/>
    <w:rsid w:val="0012712B"/>
    <w:rsid w:val="001316D9"/>
    <w:rsid w:val="00131A20"/>
    <w:rsid w:val="001327F9"/>
    <w:rsid w:val="00133213"/>
    <w:rsid w:val="00134361"/>
    <w:rsid w:val="0013568D"/>
    <w:rsid w:val="00136B1F"/>
    <w:rsid w:val="001372F6"/>
    <w:rsid w:val="001410F6"/>
    <w:rsid w:val="001530D4"/>
    <w:rsid w:val="00153D28"/>
    <w:rsid w:val="00166628"/>
    <w:rsid w:val="001672D8"/>
    <w:rsid w:val="0017077F"/>
    <w:rsid w:val="001709FB"/>
    <w:rsid w:val="00170BAD"/>
    <w:rsid w:val="00174911"/>
    <w:rsid w:val="00175CAB"/>
    <w:rsid w:val="00180706"/>
    <w:rsid w:val="001873E3"/>
    <w:rsid w:val="0018757F"/>
    <w:rsid w:val="001877DE"/>
    <w:rsid w:val="00187DE1"/>
    <w:rsid w:val="001914E0"/>
    <w:rsid w:val="00193F9C"/>
    <w:rsid w:val="001941B6"/>
    <w:rsid w:val="0019468A"/>
    <w:rsid w:val="001947C6"/>
    <w:rsid w:val="001962D7"/>
    <w:rsid w:val="001963D5"/>
    <w:rsid w:val="001A02BA"/>
    <w:rsid w:val="001A10C8"/>
    <w:rsid w:val="001A1436"/>
    <w:rsid w:val="001A2A3C"/>
    <w:rsid w:val="001A334E"/>
    <w:rsid w:val="001A368C"/>
    <w:rsid w:val="001A39E9"/>
    <w:rsid w:val="001A47DB"/>
    <w:rsid w:val="001A6C51"/>
    <w:rsid w:val="001B2D97"/>
    <w:rsid w:val="001B5351"/>
    <w:rsid w:val="001B762A"/>
    <w:rsid w:val="001C0E68"/>
    <w:rsid w:val="001C3E95"/>
    <w:rsid w:val="001C573C"/>
    <w:rsid w:val="001C64A9"/>
    <w:rsid w:val="001D1A58"/>
    <w:rsid w:val="001D5209"/>
    <w:rsid w:val="001E268A"/>
    <w:rsid w:val="001E2AA6"/>
    <w:rsid w:val="001E4D19"/>
    <w:rsid w:val="001E68BC"/>
    <w:rsid w:val="001F259A"/>
    <w:rsid w:val="001F556E"/>
    <w:rsid w:val="002011C3"/>
    <w:rsid w:val="0020247F"/>
    <w:rsid w:val="00203BCD"/>
    <w:rsid w:val="00207281"/>
    <w:rsid w:val="002116D9"/>
    <w:rsid w:val="00211E03"/>
    <w:rsid w:val="0021425C"/>
    <w:rsid w:val="00214683"/>
    <w:rsid w:val="002155E2"/>
    <w:rsid w:val="00221C4F"/>
    <w:rsid w:val="00223E47"/>
    <w:rsid w:val="002249A5"/>
    <w:rsid w:val="00225780"/>
    <w:rsid w:val="00227FCF"/>
    <w:rsid w:val="00234FC6"/>
    <w:rsid w:val="00235BB1"/>
    <w:rsid w:val="00236A08"/>
    <w:rsid w:val="00244987"/>
    <w:rsid w:val="0024531A"/>
    <w:rsid w:val="002465D8"/>
    <w:rsid w:val="00246C3A"/>
    <w:rsid w:val="00250E6A"/>
    <w:rsid w:val="002563D1"/>
    <w:rsid w:val="002569E9"/>
    <w:rsid w:val="00256CEF"/>
    <w:rsid w:val="002571B3"/>
    <w:rsid w:val="00264928"/>
    <w:rsid w:val="0026782E"/>
    <w:rsid w:val="002732E5"/>
    <w:rsid w:val="00276A4A"/>
    <w:rsid w:val="00277E2C"/>
    <w:rsid w:val="00282A9C"/>
    <w:rsid w:val="00282B7A"/>
    <w:rsid w:val="0028515F"/>
    <w:rsid w:val="002859C8"/>
    <w:rsid w:val="00287365"/>
    <w:rsid w:val="002878B6"/>
    <w:rsid w:val="002907DA"/>
    <w:rsid w:val="002909AD"/>
    <w:rsid w:val="00297410"/>
    <w:rsid w:val="002A06B0"/>
    <w:rsid w:val="002A7275"/>
    <w:rsid w:val="002B0D9C"/>
    <w:rsid w:val="002B40F8"/>
    <w:rsid w:val="002B52E1"/>
    <w:rsid w:val="002B5FFD"/>
    <w:rsid w:val="002B6A22"/>
    <w:rsid w:val="002B7015"/>
    <w:rsid w:val="002B79CB"/>
    <w:rsid w:val="002C0DB2"/>
    <w:rsid w:val="002C4A68"/>
    <w:rsid w:val="002C74EF"/>
    <w:rsid w:val="002D13A4"/>
    <w:rsid w:val="002D1F71"/>
    <w:rsid w:val="002D2221"/>
    <w:rsid w:val="002D3208"/>
    <w:rsid w:val="002D3BBF"/>
    <w:rsid w:val="002D4DE4"/>
    <w:rsid w:val="002D5292"/>
    <w:rsid w:val="002D58B0"/>
    <w:rsid w:val="002D5B3F"/>
    <w:rsid w:val="002D5B86"/>
    <w:rsid w:val="002D7F15"/>
    <w:rsid w:val="002E32C2"/>
    <w:rsid w:val="002E54F7"/>
    <w:rsid w:val="002E5609"/>
    <w:rsid w:val="002E679F"/>
    <w:rsid w:val="002F15FC"/>
    <w:rsid w:val="002F2837"/>
    <w:rsid w:val="002F2B58"/>
    <w:rsid w:val="002F566D"/>
    <w:rsid w:val="002F60E8"/>
    <w:rsid w:val="002F6A88"/>
    <w:rsid w:val="00300CAD"/>
    <w:rsid w:val="003139E3"/>
    <w:rsid w:val="00313FC6"/>
    <w:rsid w:val="003146FA"/>
    <w:rsid w:val="00320F80"/>
    <w:rsid w:val="00322CD2"/>
    <w:rsid w:val="00323923"/>
    <w:rsid w:val="003271F3"/>
    <w:rsid w:val="00327D59"/>
    <w:rsid w:val="003307EB"/>
    <w:rsid w:val="00331EAE"/>
    <w:rsid w:val="00334538"/>
    <w:rsid w:val="003406A1"/>
    <w:rsid w:val="00340786"/>
    <w:rsid w:val="0034536A"/>
    <w:rsid w:val="003507C5"/>
    <w:rsid w:val="00350917"/>
    <w:rsid w:val="00351E8D"/>
    <w:rsid w:val="0035223A"/>
    <w:rsid w:val="0035640A"/>
    <w:rsid w:val="003569E3"/>
    <w:rsid w:val="00356A47"/>
    <w:rsid w:val="00356FF2"/>
    <w:rsid w:val="00357A1F"/>
    <w:rsid w:val="0036036D"/>
    <w:rsid w:val="00362EE0"/>
    <w:rsid w:val="00363575"/>
    <w:rsid w:val="00363EB6"/>
    <w:rsid w:val="00364784"/>
    <w:rsid w:val="00366A1E"/>
    <w:rsid w:val="00375B2A"/>
    <w:rsid w:val="00380CE0"/>
    <w:rsid w:val="00383E99"/>
    <w:rsid w:val="00384211"/>
    <w:rsid w:val="00387160"/>
    <w:rsid w:val="003934C7"/>
    <w:rsid w:val="00394BAF"/>
    <w:rsid w:val="00395519"/>
    <w:rsid w:val="00396975"/>
    <w:rsid w:val="00396B0F"/>
    <w:rsid w:val="003A2C4D"/>
    <w:rsid w:val="003A4571"/>
    <w:rsid w:val="003B006E"/>
    <w:rsid w:val="003B1CB8"/>
    <w:rsid w:val="003B3873"/>
    <w:rsid w:val="003B61F5"/>
    <w:rsid w:val="003B6F14"/>
    <w:rsid w:val="003B7012"/>
    <w:rsid w:val="003C1BA7"/>
    <w:rsid w:val="003C4D34"/>
    <w:rsid w:val="003C4F5A"/>
    <w:rsid w:val="003C51B8"/>
    <w:rsid w:val="003C5758"/>
    <w:rsid w:val="003D2CC2"/>
    <w:rsid w:val="003D3D13"/>
    <w:rsid w:val="003D4521"/>
    <w:rsid w:val="003D5878"/>
    <w:rsid w:val="003E3A97"/>
    <w:rsid w:val="003F2AFD"/>
    <w:rsid w:val="003F5351"/>
    <w:rsid w:val="003F6798"/>
    <w:rsid w:val="003F7ECB"/>
    <w:rsid w:val="00400419"/>
    <w:rsid w:val="00403221"/>
    <w:rsid w:val="00405FAE"/>
    <w:rsid w:val="00406205"/>
    <w:rsid w:val="00407574"/>
    <w:rsid w:val="00412169"/>
    <w:rsid w:val="00413ACA"/>
    <w:rsid w:val="0041421A"/>
    <w:rsid w:val="00414FBC"/>
    <w:rsid w:val="00415487"/>
    <w:rsid w:val="00420432"/>
    <w:rsid w:val="004268B9"/>
    <w:rsid w:val="00427805"/>
    <w:rsid w:val="004306E5"/>
    <w:rsid w:val="00431390"/>
    <w:rsid w:val="004334D2"/>
    <w:rsid w:val="00433CCA"/>
    <w:rsid w:val="00435799"/>
    <w:rsid w:val="0043638A"/>
    <w:rsid w:val="004402E2"/>
    <w:rsid w:val="004434D2"/>
    <w:rsid w:val="0044729E"/>
    <w:rsid w:val="0045154A"/>
    <w:rsid w:val="00454D65"/>
    <w:rsid w:val="004567A8"/>
    <w:rsid w:val="00456F48"/>
    <w:rsid w:val="00462A10"/>
    <w:rsid w:val="00462D1D"/>
    <w:rsid w:val="00464840"/>
    <w:rsid w:val="0046534A"/>
    <w:rsid w:val="004653D9"/>
    <w:rsid w:val="00466C24"/>
    <w:rsid w:val="0047218D"/>
    <w:rsid w:val="004726CF"/>
    <w:rsid w:val="00473CCE"/>
    <w:rsid w:val="00474221"/>
    <w:rsid w:val="00475E85"/>
    <w:rsid w:val="004807C7"/>
    <w:rsid w:val="0048148B"/>
    <w:rsid w:val="00483F3B"/>
    <w:rsid w:val="00491154"/>
    <w:rsid w:val="00491F07"/>
    <w:rsid w:val="00492768"/>
    <w:rsid w:val="00492AB9"/>
    <w:rsid w:val="00493E4F"/>
    <w:rsid w:val="0049525F"/>
    <w:rsid w:val="004A2BDD"/>
    <w:rsid w:val="004A32E9"/>
    <w:rsid w:val="004A37DB"/>
    <w:rsid w:val="004A66B1"/>
    <w:rsid w:val="004A6E8F"/>
    <w:rsid w:val="004A78DE"/>
    <w:rsid w:val="004B33AE"/>
    <w:rsid w:val="004B5CFF"/>
    <w:rsid w:val="004B6E7E"/>
    <w:rsid w:val="004C39B1"/>
    <w:rsid w:val="004C44D9"/>
    <w:rsid w:val="004C4A54"/>
    <w:rsid w:val="004C52D6"/>
    <w:rsid w:val="004D03A6"/>
    <w:rsid w:val="004D1BAD"/>
    <w:rsid w:val="004D2891"/>
    <w:rsid w:val="004D30E1"/>
    <w:rsid w:val="004D4209"/>
    <w:rsid w:val="004D45A5"/>
    <w:rsid w:val="004D46F3"/>
    <w:rsid w:val="004D50DD"/>
    <w:rsid w:val="004D6A5A"/>
    <w:rsid w:val="004F2642"/>
    <w:rsid w:val="004F2FEC"/>
    <w:rsid w:val="004F6AA8"/>
    <w:rsid w:val="004F6B07"/>
    <w:rsid w:val="004F733B"/>
    <w:rsid w:val="004F7B84"/>
    <w:rsid w:val="00500817"/>
    <w:rsid w:val="00503E26"/>
    <w:rsid w:val="005052B8"/>
    <w:rsid w:val="00510C55"/>
    <w:rsid w:val="00510D7D"/>
    <w:rsid w:val="00510EE1"/>
    <w:rsid w:val="00513E90"/>
    <w:rsid w:val="0051460F"/>
    <w:rsid w:val="00514B13"/>
    <w:rsid w:val="00516788"/>
    <w:rsid w:val="00516EE9"/>
    <w:rsid w:val="005201E3"/>
    <w:rsid w:val="00525099"/>
    <w:rsid w:val="00530242"/>
    <w:rsid w:val="00530D55"/>
    <w:rsid w:val="00532610"/>
    <w:rsid w:val="00533305"/>
    <w:rsid w:val="00534328"/>
    <w:rsid w:val="00534396"/>
    <w:rsid w:val="005402A5"/>
    <w:rsid w:val="00540AEF"/>
    <w:rsid w:val="005428DC"/>
    <w:rsid w:val="00542FAC"/>
    <w:rsid w:val="005439EA"/>
    <w:rsid w:val="00544EF6"/>
    <w:rsid w:val="00553AD4"/>
    <w:rsid w:val="00554E90"/>
    <w:rsid w:val="00557C7F"/>
    <w:rsid w:val="005637FB"/>
    <w:rsid w:val="0056775B"/>
    <w:rsid w:val="005700DD"/>
    <w:rsid w:val="005712D5"/>
    <w:rsid w:val="005762AE"/>
    <w:rsid w:val="00577552"/>
    <w:rsid w:val="005811EC"/>
    <w:rsid w:val="00582109"/>
    <w:rsid w:val="00582F9E"/>
    <w:rsid w:val="005832AB"/>
    <w:rsid w:val="005843DA"/>
    <w:rsid w:val="00586530"/>
    <w:rsid w:val="0058691E"/>
    <w:rsid w:val="005872B5"/>
    <w:rsid w:val="0059114D"/>
    <w:rsid w:val="00592B6F"/>
    <w:rsid w:val="00597D0F"/>
    <w:rsid w:val="005A003E"/>
    <w:rsid w:val="005A0D98"/>
    <w:rsid w:val="005A1BA4"/>
    <w:rsid w:val="005A1DFA"/>
    <w:rsid w:val="005A227A"/>
    <w:rsid w:val="005A3C6F"/>
    <w:rsid w:val="005A3EC7"/>
    <w:rsid w:val="005A4BD8"/>
    <w:rsid w:val="005A6EB9"/>
    <w:rsid w:val="005B005A"/>
    <w:rsid w:val="005B0F81"/>
    <w:rsid w:val="005B6914"/>
    <w:rsid w:val="005B6FCB"/>
    <w:rsid w:val="005C07E0"/>
    <w:rsid w:val="005C31BC"/>
    <w:rsid w:val="005C4585"/>
    <w:rsid w:val="005C4889"/>
    <w:rsid w:val="005C48D1"/>
    <w:rsid w:val="005C4A0B"/>
    <w:rsid w:val="005C4D45"/>
    <w:rsid w:val="005C5B8C"/>
    <w:rsid w:val="005D12DA"/>
    <w:rsid w:val="005D3300"/>
    <w:rsid w:val="005D439B"/>
    <w:rsid w:val="005D551A"/>
    <w:rsid w:val="005E3DC9"/>
    <w:rsid w:val="005E61D1"/>
    <w:rsid w:val="005E6625"/>
    <w:rsid w:val="005E7486"/>
    <w:rsid w:val="005F1A12"/>
    <w:rsid w:val="005F3063"/>
    <w:rsid w:val="005F3602"/>
    <w:rsid w:val="005F580D"/>
    <w:rsid w:val="005F5F70"/>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7673"/>
    <w:rsid w:val="00617AEB"/>
    <w:rsid w:val="00620667"/>
    <w:rsid w:val="006216A1"/>
    <w:rsid w:val="0062252F"/>
    <w:rsid w:val="006268B1"/>
    <w:rsid w:val="00626943"/>
    <w:rsid w:val="0063136A"/>
    <w:rsid w:val="0063180B"/>
    <w:rsid w:val="00632FCE"/>
    <w:rsid w:val="00633E2F"/>
    <w:rsid w:val="006358E2"/>
    <w:rsid w:val="00636C2D"/>
    <w:rsid w:val="006416BA"/>
    <w:rsid w:val="006416BB"/>
    <w:rsid w:val="00641790"/>
    <w:rsid w:val="00641920"/>
    <w:rsid w:val="00641957"/>
    <w:rsid w:val="006430AE"/>
    <w:rsid w:val="0064425A"/>
    <w:rsid w:val="00650A6B"/>
    <w:rsid w:val="00653884"/>
    <w:rsid w:val="00654627"/>
    <w:rsid w:val="00654BAE"/>
    <w:rsid w:val="00656597"/>
    <w:rsid w:val="006565B3"/>
    <w:rsid w:val="006579F4"/>
    <w:rsid w:val="00657DCF"/>
    <w:rsid w:val="006608AC"/>
    <w:rsid w:val="00661BA7"/>
    <w:rsid w:val="00663222"/>
    <w:rsid w:val="00664877"/>
    <w:rsid w:val="00665CE3"/>
    <w:rsid w:val="00671986"/>
    <w:rsid w:val="00671DCE"/>
    <w:rsid w:val="00674770"/>
    <w:rsid w:val="006763BA"/>
    <w:rsid w:val="00681EFE"/>
    <w:rsid w:val="00681F41"/>
    <w:rsid w:val="00684E34"/>
    <w:rsid w:val="00686630"/>
    <w:rsid w:val="00691084"/>
    <w:rsid w:val="0069169D"/>
    <w:rsid w:val="00691ADF"/>
    <w:rsid w:val="00692322"/>
    <w:rsid w:val="00692F8F"/>
    <w:rsid w:val="006935D2"/>
    <w:rsid w:val="00693D78"/>
    <w:rsid w:val="00693F43"/>
    <w:rsid w:val="00694EC5"/>
    <w:rsid w:val="0069667B"/>
    <w:rsid w:val="006A189E"/>
    <w:rsid w:val="006A409D"/>
    <w:rsid w:val="006A58F0"/>
    <w:rsid w:val="006A702C"/>
    <w:rsid w:val="006B0107"/>
    <w:rsid w:val="006B412C"/>
    <w:rsid w:val="006B4A70"/>
    <w:rsid w:val="006B5CBC"/>
    <w:rsid w:val="006B7199"/>
    <w:rsid w:val="006B7885"/>
    <w:rsid w:val="006C0CCC"/>
    <w:rsid w:val="006C69AD"/>
    <w:rsid w:val="006C6FDB"/>
    <w:rsid w:val="006D0A91"/>
    <w:rsid w:val="006D38C3"/>
    <w:rsid w:val="006D44EB"/>
    <w:rsid w:val="006D6071"/>
    <w:rsid w:val="006D6F78"/>
    <w:rsid w:val="006E2104"/>
    <w:rsid w:val="006E299F"/>
    <w:rsid w:val="006E49E8"/>
    <w:rsid w:val="006F40CE"/>
    <w:rsid w:val="00700508"/>
    <w:rsid w:val="00700704"/>
    <w:rsid w:val="00702AA0"/>
    <w:rsid w:val="00702DFF"/>
    <w:rsid w:val="007039AE"/>
    <w:rsid w:val="007064C6"/>
    <w:rsid w:val="00707161"/>
    <w:rsid w:val="00710079"/>
    <w:rsid w:val="0071138D"/>
    <w:rsid w:val="0071380F"/>
    <w:rsid w:val="007139FB"/>
    <w:rsid w:val="007140A0"/>
    <w:rsid w:val="007142D2"/>
    <w:rsid w:val="00714423"/>
    <w:rsid w:val="00716B28"/>
    <w:rsid w:val="0072074D"/>
    <w:rsid w:val="00722DC6"/>
    <w:rsid w:val="007241FC"/>
    <w:rsid w:val="007265B1"/>
    <w:rsid w:val="00726B5A"/>
    <w:rsid w:val="00727CA6"/>
    <w:rsid w:val="00733D75"/>
    <w:rsid w:val="0073429E"/>
    <w:rsid w:val="00736888"/>
    <w:rsid w:val="00736AF1"/>
    <w:rsid w:val="00737302"/>
    <w:rsid w:val="00740CF7"/>
    <w:rsid w:val="00744E44"/>
    <w:rsid w:val="00745833"/>
    <w:rsid w:val="0075061D"/>
    <w:rsid w:val="00760663"/>
    <w:rsid w:val="00760CBC"/>
    <w:rsid w:val="007633B4"/>
    <w:rsid w:val="007659C1"/>
    <w:rsid w:val="00765ED2"/>
    <w:rsid w:val="00767CFC"/>
    <w:rsid w:val="00775ABC"/>
    <w:rsid w:val="007766BF"/>
    <w:rsid w:val="0078058C"/>
    <w:rsid w:val="00780851"/>
    <w:rsid w:val="00782C55"/>
    <w:rsid w:val="00783586"/>
    <w:rsid w:val="007876D0"/>
    <w:rsid w:val="00791B4C"/>
    <w:rsid w:val="00792F77"/>
    <w:rsid w:val="00793418"/>
    <w:rsid w:val="00793677"/>
    <w:rsid w:val="00794894"/>
    <w:rsid w:val="00794BA9"/>
    <w:rsid w:val="00795BE1"/>
    <w:rsid w:val="007965D6"/>
    <w:rsid w:val="007A0C80"/>
    <w:rsid w:val="007A2A61"/>
    <w:rsid w:val="007A3192"/>
    <w:rsid w:val="007A3CE6"/>
    <w:rsid w:val="007A7FEC"/>
    <w:rsid w:val="007B3CC5"/>
    <w:rsid w:val="007B3FCC"/>
    <w:rsid w:val="007B4494"/>
    <w:rsid w:val="007B5C2E"/>
    <w:rsid w:val="007B7485"/>
    <w:rsid w:val="007C3867"/>
    <w:rsid w:val="007C3C86"/>
    <w:rsid w:val="007C65DC"/>
    <w:rsid w:val="007C762B"/>
    <w:rsid w:val="007D0FBD"/>
    <w:rsid w:val="007D3CE1"/>
    <w:rsid w:val="007D4ED7"/>
    <w:rsid w:val="007D5459"/>
    <w:rsid w:val="007E2416"/>
    <w:rsid w:val="007E3EAF"/>
    <w:rsid w:val="007E3EF6"/>
    <w:rsid w:val="007E52CB"/>
    <w:rsid w:val="007E5ED3"/>
    <w:rsid w:val="007E66B0"/>
    <w:rsid w:val="007E7008"/>
    <w:rsid w:val="007F39CC"/>
    <w:rsid w:val="007F62F4"/>
    <w:rsid w:val="00801D0A"/>
    <w:rsid w:val="00802CE4"/>
    <w:rsid w:val="00804212"/>
    <w:rsid w:val="00806986"/>
    <w:rsid w:val="00807FF4"/>
    <w:rsid w:val="00810277"/>
    <w:rsid w:val="00810BEB"/>
    <w:rsid w:val="00811271"/>
    <w:rsid w:val="008119D9"/>
    <w:rsid w:val="00811B4A"/>
    <w:rsid w:val="00812456"/>
    <w:rsid w:val="008124CA"/>
    <w:rsid w:val="00813E6B"/>
    <w:rsid w:val="00814D7C"/>
    <w:rsid w:val="008175E3"/>
    <w:rsid w:val="00825F68"/>
    <w:rsid w:val="008261DB"/>
    <w:rsid w:val="00831E70"/>
    <w:rsid w:val="00832837"/>
    <w:rsid w:val="00832DBE"/>
    <w:rsid w:val="00835A10"/>
    <w:rsid w:val="008360FC"/>
    <w:rsid w:val="0083695F"/>
    <w:rsid w:val="00836AAA"/>
    <w:rsid w:val="00840688"/>
    <w:rsid w:val="00843987"/>
    <w:rsid w:val="00844076"/>
    <w:rsid w:val="00845929"/>
    <w:rsid w:val="008465EF"/>
    <w:rsid w:val="00846E64"/>
    <w:rsid w:val="008474D5"/>
    <w:rsid w:val="008477DD"/>
    <w:rsid w:val="00853C52"/>
    <w:rsid w:val="00854F66"/>
    <w:rsid w:val="008602CD"/>
    <w:rsid w:val="008615D8"/>
    <w:rsid w:val="00861C52"/>
    <w:rsid w:val="008631DC"/>
    <w:rsid w:val="00863D04"/>
    <w:rsid w:val="00864E0F"/>
    <w:rsid w:val="00871268"/>
    <w:rsid w:val="00871BCC"/>
    <w:rsid w:val="00872E10"/>
    <w:rsid w:val="00876C09"/>
    <w:rsid w:val="00877384"/>
    <w:rsid w:val="00877740"/>
    <w:rsid w:val="0088148E"/>
    <w:rsid w:val="00884124"/>
    <w:rsid w:val="00884E99"/>
    <w:rsid w:val="0089022E"/>
    <w:rsid w:val="00897B60"/>
    <w:rsid w:val="008A03FE"/>
    <w:rsid w:val="008A0A57"/>
    <w:rsid w:val="008A163E"/>
    <w:rsid w:val="008A1FF0"/>
    <w:rsid w:val="008A3AD7"/>
    <w:rsid w:val="008A5A7B"/>
    <w:rsid w:val="008A6637"/>
    <w:rsid w:val="008B223F"/>
    <w:rsid w:val="008B369B"/>
    <w:rsid w:val="008B4AF6"/>
    <w:rsid w:val="008B52F3"/>
    <w:rsid w:val="008C06E5"/>
    <w:rsid w:val="008C08DC"/>
    <w:rsid w:val="008C2F12"/>
    <w:rsid w:val="008C451E"/>
    <w:rsid w:val="008C5084"/>
    <w:rsid w:val="008D131F"/>
    <w:rsid w:val="008D2EF0"/>
    <w:rsid w:val="008D4D41"/>
    <w:rsid w:val="008E620F"/>
    <w:rsid w:val="008E6CDE"/>
    <w:rsid w:val="008E6EDF"/>
    <w:rsid w:val="008E7100"/>
    <w:rsid w:val="008E7D4C"/>
    <w:rsid w:val="008F10BE"/>
    <w:rsid w:val="008F2919"/>
    <w:rsid w:val="008F68FF"/>
    <w:rsid w:val="00900135"/>
    <w:rsid w:val="009012E7"/>
    <w:rsid w:val="00904185"/>
    <w:rsid w:val="00904C3C"/>
    <w:rsid w:val="00904F5C"/>
    <w:rsid w:val="00907C82"/>
    <w:rsid w:val="00911CFD"/>
    <w:rsid w:val="009138BE"/>
    <w:rsid w:val="00924869"/>
    <w:rsid w:val="00925BF7"/>
    <w:rsid w:val="009310AB"/>
    <w:rsid w:val="00933A96"/>
    <w:rsid w:val="009405EC"/>
    <w:rsid w:val="00943B44"/>
    <w:rsid w:val="00943DBD"/>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4056"/>
    <w:rsid w:val="009647F1"/>
    <w:rsid w:val="0096502D"/>
    <w:rsid w:val="009704A9"/>
    <w:rsid w:val="00970AF5"/>
    <w:rsid w:val="00971142"/>
    <w:rsid w:val="0097361A"/>
    <w:rsid w:val="00974B9C"/>
    <w:rsid w:val="00980F37"/>
    <w:rsid w:val="00982FC0"/>
    <w:rsid w:val="009831BF"/>
    <w:rsid w:val="0098570E"/>
    <w:rsid w:val="00987111"/>
    <w:rsid w:val="0098735F"/>
    <w:rsid w:val="00987795"/>
    <w:rsid w:val="00987F7F"/>
    <w:rsid w:val="00990937"/>
    <w:rsid w:val="0099149E"/>
    <w:rsid w:val="0099157D"/>
    <w:rsid w:val="009925E2"/>
    <w:rsid w:val="0099427E"/>
    <w:rsid w:val="00995603"/>
    <w:rsid w:val="00995D7D"/>
    <w:rsid w:val="009976FC"/>
    <w:rsid w:val="009A3AC4"/>
    <w:rsid w:val="009A707A"/>
    <w:rsid w:val="009A7CC2"/>
    <w:rsid w:val="009A7F65"/>
    <w:rsid w:val="009B0E76"/>
    <w:rsid w:val="009B4276"/>
    <w:rsid w:val="009B5B29"/>
    <w:rsid w:val="009B709B"/>
    <w:rsid w:val="009C0CF4"/>
    <w:rsid w:val="009C217A"/>
    <w:rsid w:val="009C7B40"/>
    <w:rsid w:val="009D19FF"/>
    <w:rsid w:val="009D3EC8"/>
    <w:rsid w:val="009D6393"/>
    <w:rsid w:val="009D74F5"/>
    <w:rsid w:val="009E2D7F"/>
    <w:rsid w:val="009E58BC"/>
    <w:rsid w:val="009F13E9"/>
    <w:rsid w:val="009F1576"/>
    <w:rsid w:val="009F4FBD"/>
    <w:rsid w:val="009F55F5"/>
    <w:rsid w:val="009F6CB9"/>
    <w:rsid w:val="00A06D15"/>
    <w:rsid w:val="00A07134"/>
    <w:rsid w:val="00A0798D"/>
    <w:rsid w:val="00A07FB5"/>
    <w:rsid w:val="00A10430"/>
    <w:rsid w:val="00A15C5B"/>
    <w:rsid w:val="00A15ECC"/>
    <w:rsid w:val="00A20561"/>
    <w:rsid w:val="00A21935"/>
    <w:rsid w:val="00A22C6E"/>
    <w:rsid w:val="00A24D9A"/>
    <w:rsid w:val="00A25084"/>
    <w:rsid w:val="00A26587"/>
    <w:rsid w:val="00A26FAE"/>
    <w:rsid w:val="00A3153C"/>
    <w:rsid w:val="00A34F04"/>
    <w:rsid w:val="00A35130"/>
    <w:rsid w:val="00A4030A"/>
    <w:rsid w:val="00A40D3E"/>
    <w:rsid w:val="00A41860"/>
    <w:rsid w:val="00A41F79"/>
    <w:rsid w:val="00A42D4F"/>
    <w:rsid w:val="00A43254"/>
    <w:rsid w:val="00A43FB2"/>
    <w:rsid w:val="00A4740E"/>
    <w:rsid w:val="00A47FE2"/>
    <w:rsid w:val="00A57EF6"/>
    <w:rsid w:val="00A6106B"/>
    <w:rsid w:val="00A630A8"/>
    <w:rsid w:val="00A6359B"/>
    <w:rsid w:val="00A65C13"/>
    <w:rsid w:val="00A65F3B"/>
    <w:rsid w:val="00A67074"/>
    <w:rsid w:val="00A72210"/>
    <w:rsid w:val="00A73A36"/>
    <w:rsid w:val="00A74A8A"/>
    <w:rsid w:val="00A74C7C"/>
    <w:rsid w:val="00A75D37"/>
    <w:rsid w:val="00A76D45"/>
    <w:rsid w:val="00A77BDD"/>
    <w:rsid w:val="00A826E3"/>
    <w:rsid w:val="00A82D4A"/>
    <w:rsid w:val="00A836B0"/>
    <w:rsid w:val="00A85D78"/>
    <w:rsid w:val="00A87E2F"/>
    <w:rsid w:val="00A95564"/>
    <w:rsid w:val="00AA292D"/>
    <w:rsid w:val="00AA29ED"/>
    <w:rsid w:val="00AA2AEA"/>
    <w:rsid w:val="00AA3802"/>
    <w:rsid w:val="00AA415D"/>
    <w:rsid w:val="00AA61A7"/>
    <w:rsid w:val="00AA65D4"/>
    <w:rsid w:val="00AA6776"/>
    <w:rsid w:val="00AA6E20"/>
    <w:rsid w:val="00AB10E9"/>
    <w:rsid w:val="00AB25FD"/>
    <w:rsid w:val="00AB3B99"/>
    <w:rsid w:val="00AB46D2"/>
    <w:rsid w:val="00AB5CD0"/>
    <w:rsid w:val="00AB7516"/>
    <w:rsid w:val="00AC14C2"/>
    <w:rsid w:val="00AC1C2C"/>
    <w:rsid w:val="00AC24AE"/>
    <w:rsid w:val="00AC3287"/>
    <w:rsid w:val="00AC487A"/>
    <w:rsid w:val="00AC6FA7"/>
    <w:rsid w:val="00AC720E"/>
    <w:rsid w:val="00AD337D"/>
    <w:rsid w:val="00AD4220"/>
    <w:rsid w:val="00AD4767"/>
    <w:rsid w:val="00AD4FCC"/>
    <w:rsid w:val="00AD6B9F"/>
    <w:rsid w:val="00AE1A79"/>
    <w:rsid w:val="00AE3C6F"/>
    <w:rsid w:val="00AE56B4"/>
    <w:rsid w:val="00AF052B"/>
    <w:rsid w:val="00AF2D97"/>
    <w:rsid w:val="00AF33E3"/>
    <w:rsid w:val="00AF3FBD"/>
    <w:rsid w:val="00AF77D9"/>
    <w:rsid w:val="00B04893"/>
    <w:rsid w:val="00B07F71"/>
    <w:rsid w:val="00B11281"/>
    <w:rsid w:val="00B1182C"/>
    <w:rsid w:val="00B13D09"/>
    <w:rsid w:val="00B20D4B"/>
    <w:rsid w:val="00B22FD5"/>
    <w:rsid w:val="00B23540"/>
    <w:rsid w:val="00B23C74"/>
    <w:rsid w:val="00B24847"/>
    <w:rsid w:val="00B24DEE"/>
    <w:rsid w:val="00B32EA2"/>
    <w:rsid w:val="00B33E49"/>
    <w:rsid w:val="00B34117"/>
    <w:rsid w:val="00B36738"/>
    <w:rsid w:val="00B36D2A"/>
    <w:rsid w:val="00B36DDA"/>
    <w:rsid w:val="00B43869"/>
    <w:rsid w:val="00B44671"/>
    <w:rsid w:val="00B44718"/>
    <w:rsid w:val="00B50955"/>
    <w:rsid w:val="00B50E45"/>
    <w:rsid w:val="00B51499"/>
    <w:rsid w:val="00B514B6"/>
    <w:rsid w:val="00B51F15"/>
    <w:rsid w:val="00B53DC4"/>
    <w:rsid w:val="00B550EB"/>
    <w:rsid w:val="00B55C56"/>
    <w:rsid w:val="00B55CDA"/>
    <w:rsid w:val="00B61362"/>
    <w:rsid w:val="00B61E88"/>
    <w:rsid w:val="00B62719"/>
    <w:rsid w:val="00B62E10"/>
    <w:rsid w:val="00B62F9D"/>
    <w:rsid w:val="00B64871"/>
    <w:rsid w:val="00B658A1"/>
    <w:rsid w:val="00B67ACC"/>
    <w:rsid w:val="00B67F07"/>
    <w:rsid w:val="00B734E3"/>
    <w:rsid w:val="00B74DBA"/>
    <w:rsid w:val="00B75B59"/>
    <w:rsid w:val="00B75CE1"/>
    <w:rsid w:val="00B77328"/>
    <w:rsid w:val="00B83750"/>
    <w:rsid w:val="00B85F0B"/>
    <w:rsid w:val="00B8717A"/>
    <w:rsid w:val="00B92AEE"/>
    <w:rsid w:val="00B97470"/>
    <w:rsid w:val="00BA0805"/>
    <w:rsid w:val="00BA13EE"/>
    <w:rsid w:val="00BA4F02"/>
    <w:rsid w:val="00BA51B7"/>
    <w:rsid w:val="00BB0636"/>
    <w:rsid w:val="00BB1BBF"/>
    <w:rsid w:val="00BB3371"/>
    <w:rsid w:val="00BB5017"/>
    <w:rsid w:val="00BB6D51"/>
    <w:rsid w:val="00BB78DE"/>
    <w:rsid w:val="00BC08AC"/>
    <w:rsid w:val="00BC1974"/>
    <w:rsid w:val="00BC1A23"/>
    <w:rsid w:val="00BC2A65"/>
    <w:rsid w:val="00BC3A49"/>
    <w:rsid w:val="00BC3D29"/>
    <w:rsid w:val="00BC61D9"/>
    <w:rsid w:val="00BC6417"/>
    <w:rsid w:val="00BC7D78"/>
    <w:rsid w:val="00BD3B68"/>
    <w:rsid w:val="00BD5DBD"/>
    <w:rsid w:val="00BD7C29"/>
    <w:rsid w:val="00BE1D7A"/>
    <w:rsid w:val="00BE3491"/>
    <w:rsid w:val="00BE4D85"/>
    <w:rsid w:val="00BE5F43"/>
    <w:rsid w:val="00BE6817"/>
    <w:rsid w:val="00BF12F2"/>
    <w:rsid w:val="00BF30D4"/>
    <w:rsid w:val="00BF54DA"/>
    <w:rsid w:val="00BF5913"/>
    <w:rsid w:val="00BF5F5B"/>
    <w:rsid w:val="00BF6DED"/>
    <w:rsid w:val="00C00D92"/>
    <w:rsid w:val="00C018B5"/>
    <w:rsid w:val="00C0375B"/>
    <w:rsid w:val="00C038F7"/>
    <w:rsid w:val="00C04AB2"/>
    <w:rsid w:val="00C108DE"/>
    <w:rsid w:val="00C11535"/>
    <w:rsid w:val="00C116F5"/>
    <w:rsid w:val="00C142E3"/>
    <w:rsid w:val="00C15B2C"/>
    <w:rsid w:val="00C17B58"/>
    <w:rsid w:val="00C21C19"/>
    <w:rsid w:val="00C249AF"/>
    <w:rsid w:val="00C267ED"/>
    <w:rsid w:val="00C26A44"/>
    <w:rsid w:val="00C3102D"/>
    <w:rsid w:val="00C347DD"/>
    <w:rsid w:val="00C43BF9"/>
    <w:rsid w:val="00C442AA"/>
    <w:rsid w:val="00C44DBA"/>
    <w:rsid w:val="00C45B3F"/>
    <w:rsid w:val="00C47080"/>
    <w:rsid w:val="00C50FCB"/>
    <w:rsid w:val="00C55F76"/>
    <w:rsid w:val="00C560B7"/>
    <w:rsid w:val="00C63366"/>
    <w:rsid w:val="00C65396"/>
    <w:rsid w:val="00C66CE8"/>
    <w:rsid w:val="00C67194"/>
    <w:rsid w:val="00C71B4A"/>
    <w:rsid w:val="00C7210E"/>
    <w:rsid w:val="00C73BDB"/>
    <w:rsid w:val="00C753E5"/>
    <w:rsid w:val="00C76A98"/>
    <w:rsid w:val="00C8216A"/>
    <w:rsid w:val="00C841BA"/>
    <w:rsid w:val="00C84AC3"/>
    <w:rsid w:val="00C90612"/>
    <w:rsid w:val="00C90FD8"/>
    <w:rsid w:val="00C9438A"/>
    <w:rsid w:val="00C95B7C"/>
    <w:rsid w:val="00C96BFF"/>
    <w:rsid w:val="00C96CAB"/>
    <w:rsid w:val="00CA09B7"/>
    <w:rsid w:val="00CA181A"/>
    <w:rsid w:val="00CA2CC5"/>
    <w:rsid w:val="00CA465B"/>
    <w:rsid w:val="00CB04A1"/>
    <w:rsid w:val="00CB433A"/>
    <w:rsid w:val="00CB5DB3"/>
    <w:rsid w:val="00CB639A"/>
    <w:rsid w:val="00CB7232"/>
    <w:rsid w:val="00CC0DE3"/>
    <w:rsid w:val="00CC1551"/>
    <w:rsid w:val="00CC538E"/>
    <w:rsid w:val="00CC5CDB"/>
    <w:rsid w:val="00CC6BE9"/>
    <w:rsid w:val="00CC7C26"/>
    <w:rsid w:val="00CD0D68"/>
    <w:rsid w:val="00CD3767"/>
    <w:rsid w:val="00CD6608"/>
    <w:rsid w:val="00CD7B69"/>
    <w:rsid w:val="00CE09C2"/>
    <w:rsid w:val="00CE0F07"/>
    <w:rsid w:val="00CE1ECD"/>
    <w:rsid w:val="00CE2D44"/>
    <w:rsid w:val="00CE6C99"/>
    <w:rsid w:val="00CF04CE"/>
    <w:rsid w:val="00CF4493"/>
    <w:rsid w:val="00CF5680"/>
    <w:rsid w:val="00CF6ED4"/>
    <w:rsid w:val="00CF79A8"/>
    <w:rsid w:val="00D021FE"/>
    <w:rsid w:val="00D04BBF"/>
    <w:rsid w:val="00D0552A"/>
    <w:rsid w:val="00D10D48"/>
    <w:rsid w:val="00D11A4A"/>
    <w:rsid w:val="00D13962"/>
    <w:rsid w:val="00D16D01"/>
    <w:rsid w:val="00D215F6"/>
    <w:rsid w:val="00D22153"/>
    <w:rsid w:val="00D26C7E"/>
    <w:rsid w:val="00D303F1"/>
    <w:rsid w:val="00D30739"/>
    <w:rsid w:val="00D31828"/>
    <w:rsid w:val="00D337AF"/>
    <w:rsid w:val="00D352A1"/>
    <w:rsid w:val="00D373C3"/>
    <w:rsid w:val="00D37AE0"/>
    <w:rsid w:val="00D37CA9"/>
    <w:rsid w:val="00D405C3"/>
    <w:rsid w:val="00D40D40"/>
    <w:rsid w:val="00D5057E"/>
    <w:rsid w:val="00D52499"/>
    <w:rsid w:val="00D556C1"/>
    <w:rsid w:val="00D57EA6"/>
    <w:rsid w:val="00D62AC2"/>
    <w:rsid w:val="00D63143"/>
    <w:rsid w:val="00D643CA"/>
    <w:rsid w:val="00D64EDC"/>
    <w:rsid w:val="00D70550"/>
    <w:rsid w:val="00D73CF3"/>
    <w:rsid w:val="00D74661"/>
    <w:rsid w:val="00D757E5"/>
    <w:rsid w:val="00D82108"/>
    <w:rsid w:val="00D838EB"/>
    <w:rsid w:val="00D858A1"/>
    <w:rsid w:val="00D87661"/>
    <w:rsid w:val="00D8772B"/>
    <w:rsid w:val="00D87EE8"/>
    <w:rsid w:val="00D902D4"/>
    <w:rsid w:val="00D9168B"/>
    <w:rsid w:val="00D917BE"/>
    <w:rsid w:val="00D93ED9"/>
    <w:rsid w:val="00D944B0"/>
    <w:rsid w:val="00D96926"/>
    <w:rsid w:val="00DA2620"/>
    <w:rsid w:val="00DA60C1"/>
    <w:rsid w:val="00DB16CE"/>
    <w:rsid w:val="00DB2912"/>
    <w:rsid w:val="00DB2F39"/>
    <w:rsid w:val="00DB377D"/>
    <w:rsid w:val="00DB3D63"/>
    <w:rsid w:val="00DB5DAD"/>
    <w:rsid w:val="00DB7B07"/>
    <w:rsid w:val="00DC1BB9"/>
    <w:rsid w:val="00DC1F20"/>
    <w:rsid w:val="00DC3BE2"/>
    <w:rsid w:val="00DC5D24"/>
    <w:rsid w:val="00DC6CB9"/>
    <w:rsid w:val="00DC6EE2"/>
    <w:rsid w:val="00DD083B"/>
    <w:rsid w:val="00DD0FE2"/>
    <w:rsid w:val="00DD26EA"/>
    <w:rsid w:val="00DD2C9A"/>
    <w:rsid w:val="00DD40D8"/>
    <w:rsid w:val="00DD453A"/>
    <w:rsid w:val="00DD69D8"/>
    <w:rsid w:val="00DD7006"/>
    <w:rsid w:val="00DD75A6"/>
    <w:rsid w:val="00DE22FF"/>
    <w:rsid w:val="00DE23F7"/>
    <w:rsid w:val="00DE5B11"/>
    <w:rsid w:val="00DE7300"/>
    <w:rsid w:val="00DE7BB2"/>
    <w:rsid w:val="00DF184E"/>
    <w:rsid w:val="00DF26B5"/>
    <w:rsid w:val="00DF2C6A"/>
    <w:rsid w:val="00E00CCF"/>
    <w:rsid w:val="00E01234"/>
    <w:rsid w:val="00E01475"/>
    <w:rsid w:val="00E02E4F"/>
    <w:rsid w:val="00E03CAA"/>
    <w:rsid w:val="00E05C3E"/>
    <w:rsid w:val="00E0756A"/>
    <w:rsid w:val="00E1020E"/>
    <w:rsid w:val="00E10488"/>
    <w:rsid w:val="00E117ED"/>
    <w:rsid w:val="00E11AC6"/>
    <w:rsid w:val="00E11CC2"/>
    <w:rsid w:val="00E13347"/>
    <w:rsid w:val="00E133DA"/>
    <w:rsid w:val="00E1387D"/>
    <w:rsid w:val="00E1506E"/>
    <w:rsid w:val="00E172DA"/>
    <w:rsid w:val="00E1788F"/>
    <w:rsid w:val="00E200F6"/>
    <w:rsid w:val="00E20602"/>
    <w:rsid w:val="00E2063E"/>
    <w:rsid w:val="00E237EC"/>
    <w:rsid w:val="00E244C5"/>
    <w:rsid w:val="00E27F60"/>
    <w:rsid w:val="00E27FC5"/>
    <w:rsid w:val="00E3200B"/>
    <w:rsid w:val="00E34C4E"/>
    <w:rsid w:val="00E409F7"/>
    <w:rsid w:val="00E44382"/>
    <w:rsid w:val="00E47785"/>
    <w:rsid w:val="00E50AEE"/>
    <w:rsid w:val="00E51308"/>
    <w:rsid w:val="00E52781"/>
    <w:rsid w:val="00E52ECE"/>
    <w:rsid w:val="00E531D9"/>
    <w:rsid w:val="00E534FF"/>
    <w:rsid w:val="00E53E2E"/>
    <w:rsid w:val="00E57CC2"/>
    <w:rsid w:val="00E57E4F"/>
    <w:rsid w:val="00E62924"/>
    <w:rsid w:val="00E633A3"/>
    <w:rsid w:val="00E66560"/>
    <w:rsid w:val="00E67ED1"/>
    <w:rsid w:val="00E72211"/>
    <w:rsid w:val="00E744C4"/>
    <w:rsid w:val="00E7655B"/>
    <w:rsid w:val="00E80884"/>
    <w:rsid w:val="00E8168A"/>
    <w:rsid w:val="00E82EBB"/>
    <w:rsid w:val="00E839A5"/>
    <w:rsid w:val="00E8449C"/>
    <w:rsid w:val="00E912C2"/>
    <w:rsid w:val="00E921DD"/>
    <w:rsid w:val="00E93062"/>
    <w:rsid w:val="00E940A7"/>
    <w:rsid w:val="00EA2A99"/>
    <w:rsid w:val="00EA465B"/>
    <w:rsid w:val="00EA54BD"/>
    <w:rsid w:val="00EA6BCB"/>
    <w:rsid w:val="00EB1856"/>
    <w:rsid w:val="00EB1882"/>
    <w:rsid w:val="00EB3B6A"/>
    <w:rsid w:val="00EB3BA0"/>
    <w:rsid w:val="00EB58A9"/>
    <w:rsid w:val="00EB7DCC"/>
    <w:rsid w:val="00EC01B4"/>
    <w:rsid w:val="00EC1185"/>
    <w:rsid w:val="00EC3B31"/>
    <w:rsid w:val="00EC7D09"/>
    <w:rsid w:val="00ED3CEF"/>
    <w:rsid w:val="00EE0064"/>
    <w:rsid w:val="00EE1B05"/>
    <w:rsid w:val="00EE1E2A"/>
    <w:rsid w:val="00EE277F"/>
    <w:rsid w:val="00EE378D"/>
    <w:rsid w:val="00EE3893"/>
    <w:rsid w:val="00EE6BF4"/>
    <w:rsid w:val="00EF22DE"/>
    <w:rsid w:val="00EF34FA"/>
    <w:rsid w:val="00EF7C0B"/>
    <w:rsid w:val="00EF7C5F"/>
    <w:rsid w:val="00F060A9"/>
    <w:rsid w:val="00F06805"/>
    <w:rsid w:val="00F13539"/>
    <w:rsid w:val="00F139D9"/>
    <w:rsid w:val="00F13C77"/>
    <w:rsid w:val="00F14722"/>
    <w:rsid w:val="00F164F3"/>
    <w:rsid w:val="00F170B2"/>
    <w:rsid w:val="00F17B34"/>
    <w:rsid w:val="00F21E4E"/>
    <w:rsid w:val="00F2281E"/>
    <w:rsid w:val="00F22D2D"/>
    <w:rsid w:val="00F244B9"/>
    <w:rsid w:val="00F27753"/>
    <w:rsid w:val="00F27B99"/>
    <w:rsid w:val="00F300A9"/>
    <w:rsid w:val="00F32428"/>
    <w:rsid w:val="00F327BB"/>
    <w:rsid w:val="00F338E4"/>
    <w:rsid w:val="00F34035"/>
    <w:rsid w:val="00F40A0B"/>
    <w:rsid w:val="00F41175"/>
    <w:rsid w:val="00F431FD"/>
    <w:rsid w:val="00F46126"/>
    <w:rsid w:val="00F51022"/>
    <w:rsid w:val="00F5710E"/>
    <w:rsid w:val="00F57F18"/>
    <w:rsid w:val="00F606BC"/>
    <w:rsid w:val="00F645AD"/>
    <w:rsid w:val="00F722F1"/>
    <w:rsid w:val="00F72A76"/>
    <w:rsid w:val="00F73391"/>
    <w:rsid w:val="00F75C32"/>
    <w:rsid w:val="00F75CB5"/>
    <w:rsid w:val="00F75D57"/>
    <w:rsid w:val="00F771B3"/>
    <w:rsid w:val="00F822F1"/>
    <w:rsid w:val="00F828EA"/>
    <w:rsid w:val="00F85784"/>
    <w:rsid w:val="00F90553"/>
    <w:rsid w:val="00F90D16"/>
    <w:rsid w:val="00F91A5F"/>
    <w:rsid w:val="00F93201"/>
    <w:rsid w:val="00F94496"/>
    <w:rsid w:val="00F948CD"/>
    <w:rsid w:val="00F96315"/>
    <w:rsid w:val="00FA0294"/>
    <w:rsid w:val="00FA0C34"/>
    <w:rsid w:val="00FA3073"/>
    <w:rsid w:val="00FA3CC2"/>
    <w:rsid w:val="00FA444A"/>
    <w:rsid w:val="00FA73F1"/>
    <w:rsid w:val="00FA76E1"/>
    <w:rsid w:val="00FB200E"/>
    <w:rsid w:val="00FB5AAB"/>
    <w:rsid w:val="00FB7CBA"/>
    <w:rsid w:val="00FC6632"/>
    <w:rsid w:val="00FD049D"/>
    <w:rsid w:val="00FD445A"/>
    <w:rsid w:val="00FE485F"/>
    <w:rsid w:val="00FE72D9"/>
    <w:rsid w:val="00FF013B"/>
    <w:rsid w:val="00FF0706"/>
    <w:rsid w:val="00FF0E24"/>
    <w:rsid w:val="00FF2051"/>
    <w:rsid w:val="00FF2D0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styleId="UnresolvedMention">
    <w:name w:val="Unresolved Mention"/>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List Paragraph Red Char"/>
    <w:link w:val="ListParagraph"/>
    <w:uiPriority w:val="34"/>
    <w:locked/>
    <w:rsid w:val="001873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089930589">
      <w:bodyDiv w:val="1"/>
      <w:marLeft w:val="0"/>
      <w:marRight w:val="0"/>
      <w:marTop w:val="0"/>
      <w:marBottom w:val="0"/>
      <w:divBdr>
        <w:top w:val="none" w:sz="0" w:space="0" w:color="auto"/>
        <w:left w:val="none" w:sz="0" w:space="0" w:color="auto"/>
        <w:bottom w:val="none" w:sz="0" w:space="0" w:color="auto"/>
        <w:right w:val="none" w:sz="0" w:space="0" w:color="auto"/>
      </w:divBdr>
    </w:div>
    <w:div w:id="115638340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1297366">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v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B5F28-7752-40FC-BA51-5AF1EAEF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244</TotalTime>
  <Pages>4</Pages>
  <Words>6370</Words>
  <Characters>3631</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Laimutė Tautvaišienė</cp:lastModifiedBy>
  <cp:revision>32</cp:revision>
  <cp:lastPrinted>2019-10-09T07:20:00Z</cp:lastPrinted>
  <dcterms:created xsi:type="dcterms:W3CDTF">2019-10-01T10:04:00Z</dcterms:created>
  <dcterms:modified xsi:type="dcterms:W3CDTF">2019-10-09T07:28:00Z</dcterms:modified>
</cp:coreProperties>
</file>