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MON_1051956295"/>
    <w:bookmarkEnd w:id="0"/>
    <w:bookmarkStart w:id="1" w:name="_MON_1301915618"/>
    <w:bookmarkEnd w:id="1"/>
    <w:p w14:paraId="78F35B6A" w14:textId="77777777" w:rsidR="00907C82" w:rsidRPr="001372F6" w:rsidRDefault="00364784" w:rsidP="00907C82">
      <w:pPr>
        <w:jc w:val="center"/>
        <w:rPr>
          <w:rFonts w:ascii="CG Times" w:hAnsi="CG Times"/>
          <w:sz w:val="24"/>
          <w:szCs w:val="24"/>
        </w:rPr>
      </w:pPr>
      <w:r w:rsidRPr="001372F6">
        <w:rPr>
          <w:rFonts w:ascii="CG Times" w:hAnsi="CG Times"/>
          <w:sz w:val="24"/>
          <w:szCs w:val="24"/>
        </w:rPr>
        <w:object w:dxaOrig="871" w:dyaOrig="886" w14:anchorId="19332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8" o:title=""/>
          </v:shape>
          <o:OLEObject Type="Embed" ProgID="Word.Picture.8" ShapeID="_x0000_i1025" DrawAspect="Content" ObjectID="_1632890980" r:id="rId9"/>
        </w:object>
      </w:r>
    </w:p>
    <w:p w14:paraId="2B06DE61" w14:textId="77777777" w:rsidR="00CD0D68" w:rsidRPr="001372F6" w:rsidRDefault="00CD0D68" w:rsidP="00907C82">
      <w:pPr>
        <w:jc w:val="center"/>
        <w:rPr>
          <w:sz w:val="24"/>
          <w:szCs w:val="24"/>
        </w:rPr>
      </w:pPr>
    </w:p>
    <w:p w14:paraId="418E063B" w14:textId="1F5226C5" w:rsidR="00351E8D" w:rsidRDefault="00351E8D" w:rsidP="009310AB">
      <w:pPr>
        <w:pStyle w:val="Heading1"/>
        <w:tabs>
          <w:tab w:val="left" w:pos="900"/>
        </w:tabs>
        <w:jc w:val="center"/>
        <w:rPr>
          <w:sz w:val="24"/>
          <w:szCs w:val="24"/>
        </w:rPr>
      </w:pPr>
      <w:r w:rsidRPr="001372F6">
        <w:rPr>
          <w:sz w:val="24"/>
          <w:szCs w:val="24"/>
        </w:rPr>
        <w:t>VIEŠŲJŲ PIRKIMŲ TARNYBA</w:t>
      </w:r>
    </w:p>
    <w:p w14:paraId="2DA62025" w14:textId="592BF758" w:rsidR="00F059C5" w:rsidRDefault="00F059C5" w:rsidP="00F059C5"/>
    <w:p w14:paraId="0091DADB" w14:textId="77777777" w:rsidR="00F75CB5" w:rsidRPr="001372F6" w:rsidRDefault="00F75CB5" w:rsidP="00A77BDD">
      <w:pPr>
        <w:tabs>
          <w:tab w:val="left" w:pos="900"/>
        </w:tabs>
        <w:rPr>
          <w:bCs/>
          <w:sz w:val="24"/>
          <w:szCs w:val="24"/>
        </w:rPr>
      </w:pPr>
    </w:p>
    <w:tbl>
      <w:tblPr>
        <w:tblW w:w="9634" w:type="dxa"/>
        <w:tblLayout w:type="fixed"/>
        <w:tblLook w:val="0000" w:firstRow="0" w:lastRow="0" w:firstColumn="0" w:lastColumn="0" w:noHBand="0" w:noVBand="0"/>
      </w:tblPr>
      <w:tblGrid>
        <w:gridCol w:w="1560"/>
        <w:gridCol w:w="567"/>
        <w:gridCol w:w="2267"/>
        <w:gridCol w:w="846"/>
        <w:gridCol w:w="1560"/>
        <w:gridCol w:w="1564"/>
        <w:gridCol w:w="1270"/>
      </w:tblGrid>
      <w:tr w:rsidR="00CB04A1" w:rsidRPr="001372F6" w14:paraId="33E27AB9" w14:textId="77777777" w:rsidTr="006D1C2C">
        <w:trPr>
          <w:cantSplit/>
        </w:trPr>
        <w:tc>
          <w:tcPr>
            <w:tcW w:w="5240" w:type="dxa"/>
            <w:gridSpan w:val="4"/>
          </w:tcPr>
          <w:p w14:paraId="2AB1CCE4" w14:textId="443BCBCD" w:rsidR="000046E2" w:rsidRDefault="001E7376" w:rsidP="00E124BD">
            <w:pPr>
              <w:rPr>
                <w:sz w:val="24"/>
                <w:szCs w:val="24"/>
              </w:rPr>
            </w:pPr>
            <w:r>
              <w:rPr>
                <w:sz w:val="24"/>
                <w:szCs w:val="24"/>
              </w:rPr>
              <w:t>Lietuvos Respublikos u</w:t>
            </w:r>
            <w:r w:rsidR="003E03E4" w:rsidRPr="00E124BD">
              <w:rPr>
                <w:sz w:val="24"/>
                <w:szCs w:val="24"/>
              </w:rPr>
              <w:t>žsienio reikalų ministerij</w:t>
            </w:r>
            <w:r w:rsidR="003E03E4">
              <w:rPr>
                <w:sz w:val="24"/>
                <w:szCs w:val="24"/>
              </w:rPr>
              <w:t>ai</w:t>
            </w:r>
          </w:p>
          <w:p w14:paraId="1F8845A9" w14:textId="244DC764" w:rsidR="003E03E4" w:rsidRDefault="003E03E4" w:rsidP="00E124BD">
            <w:pPr>
              <w:rPr>
                <w:sz w:val="24"/>
                <w:szCs w:val="24"/>
              </w:rPr>
            </w:pPr>
            <w:r w:rsidRPr="003E03E4">
              <w:rPr>
                <w:sz w:val="24"/>
                <w:szCs w:val="24"/>
              </w:rPr>
              <w:t>J.</w:t>
            </w:r>
            <w:r>
              <w:rPr>
                <w:sz w:val="24"/>
                <w:szCs w:val="24"/>
              </w:rPr>
              <w:t xml:space="preserve"> </w:t>
            </w:r>
            <w:r w:rsidRPr="003E03E4">
              <w:rPr>
                <w:sz w:val="24"/>
                <w:szCs w:val="24"/>
              </w:rPr>
              <w:t>Tumo-Vaižganto g. 2, LT-01511 Vilnius</w:t>
            </w:r>
          </w:p>
          <w:p w14:paraId="4116D748" w14:textId="02E0E19D" w:rsidR="003E03E4" w:rsidRDefault="003E03E4" w:rsidP="00E124BD">
            <w:pPr>
              <w:rPr>
                <w:sz w:val="24"/>
                <w:szCs w:val="24"/>
              </w:rPr>
            </w:pPr>
            <w:r>
              <w:rPr>
                <w:sz w:val="24"/>
                <w:szCs w:val="24"/>
              </w:rPr>
              <w:t xml:space="preserve">El. p.: </w:t>
            </w:r>
            <w:hyperlink r:id="rId10" w:history="1">
              <w:r w:rsidRPr="00780C58">
                <w:rPr>
                  <w:rStyle w:val="Hyperlink"/>
                  <w:sz w:val="24"/>
                  <w:szCs w:val="24"/>
                </w:rPr>
                <w:t>urm@urm.lt</w:t>
              </w:r>
            </w:hyperlink>
            <w:r>
              <w:rPr>
                <w:sz w:val="24"/>
                <w:szCs w:val="24"/>
              </w:rPr>
              <w:t xml:space="preserve"> </w:t>
            </w:r>
          </w:p>
          <w:p w14:paraId="6F2E1E26" w14:textId="77777777" w:rsidR="000046E2" w:rsidRDefault="000046E2" w:rsidP="00E124BD">
            <w:pPr>
              <w:rPr>
                <w:sz w:val="24"/>
                <w:szCs w:val="24"/>
              </w:rPr>
            </w:pPr>
          </w:p>
          <w:p w14:paraId="61C2435E" w14:textId="020E06F9" w:rsidR="00E124BD" w:rsidRDefault="00E124BD" w:rsidP="00E124BD">
            <w:pPr>
              <w:rPr>
                <w:sz w:val="24"/>
                <w:szCs w:val="24"/>
              </w:rPr>
            </w:pPr>
            <w:r>
              <w:rPr>
                <w:sz w:val="24"/>
                <w:szCs w:val="24"/>
              </w:rPr>
              <w:t>Europos socialinio fondo agentūrai</w:t>
            </w:r>
          </w:p>
          <w:p w14:paraId="749F670E" w14:textId="77777777" w:rsidR="00E124BD" w:rsidRDefault="00E124BD" w:rsidP="00E124BD">
            <w:pPr>
              <w:rPr>
                <w:sz w:val="24"/>
                <w:szCs w:val="24"/>
              </w:rPr>
            </w:pPr>
            <w:r>
              <w:rPr>
                <w:sz w:val="24"/>
                <w:szCs w:val="24"/>
              </w:rPr>
              <w:t>Gynėjų g. 16, LT-01109 Vilnius</w:t>
            </w:r>
          </w:p>
          <w:p w14:paraId="5EA9CA29" w14:textId="39640F36" w:rsidR="00CE1ECD" w:rsidRPr="000D13FD" w:rsidRDefault="003E03E4" w:rsidP="00E124BD">
            <w:pPr>
              <w:rPr>
                <w:sz w:val="24"/>
                <w:szCs w:val="24"/>
              </w:rPr>
            </w:pPr>
            <w:r>
              <w:rPr>
                <w:sz w:val="24"/>
                <w:szCs w:val="24"/>
              </w:rPr>
              <w:t xml:space="preserve">El. p.: </w:t>
            </w:r>
            <w:hyperlink r:id="rId11" w:history="1">
              <w:r w:rsidR="00E124BD">
                <w:rPr>
                  <w:rStyle w:val="Hyperlink"/>
                  <w:sz w:val="24"/>
                  <w:szCs w:val="24"/>
                </w:rPr>
                <w:t>info@esf.lt</w:t>
              </w:r>
            </w:hyperlink>
          </w:p>
        </w:tc>
        <w:tc>
          <w:tcPr>
            <w:tcW w:w="1560" w:type="dxa"/>
          </w:tcPr>
          <w:p w14:paraId="32BD6F7F" w14:textId="567534D1" w:rsidR="001C573C" w:rsidRPr="001372F6" w:rsidRDefault="001C573C" w:rsidP="00234236">
            <w:pPr>
              <w:rPr>
                <w:sz w:val="24"/>
                <w:szCs w:val="24"/>
              </w:rPr>
            </w:pPr>
            <w:r w:rsidRPr="001372F6">
              <w:rPr>
                <w:sz w:val="24"/>
                <w:szCs w:val="24"/>
              </w:rPr>
              <w:t>201</w:t>
            </w:r>
            <w:r w:rsidR="00016D30" w:rsidRPr="001372F6">
              <w:rPr>
                <w:sz w:val="24"/>
                <w:szCs w:val="24"/>
              </w:rPr>
              <w:t>9</w:t>
            </w:r>
            <w:r w:rsidRPr="001372F6">
              <w:rPr>
                <w:sz w:val="24"/>
                <w:szCs w:val="24"/>
              </w:rPr>
              <w:t>-</w:t>
            </w:r>
            <w:r w:rsidR="00E124BD">
              <w:rPr>
                <w:sz w:val="24"/>
                <w:szCs w:val="24"/>
              </w:rPr>
              <w:t>10-</w:t>
            </w:r>
            <w:r w:rsidR="00E847E4">
              <w:rPr>
                <w:sz w:val="24"/>
                <w:szCs w:val="24"/>
              </w:rPr>
              <w:t>16</w:t>
            </w:r>
          </w:p>
          <w:p w14:paraId="286B247E" w14:textId="0E111233" w:rsidR="001C573C" w:rsidRPr="001372F6" w:rsidRDefault="001C573C" w:rsidP="00234236">
            <w:pPr>
              <w:rPr>
                <w:sz w:val="24"/>
                <w:szCs w:val="24"/>
              </w:rPr>
            </w:pPr>
            <w:r w:rsidRPr="001372F6">
              <w:rPr>
                <w:sz w:val="24"/>
                <w:szCs w:val="24"/>
              </w:rPr>
              <w:t xml:space="preserve"> </w:t>
            </w:r>
          </w:p>
          <w:p w14:paraId="3163C8F2" w14:textId="77777777" w:rsidR="001C573C" w:rsidRPr="001372F6" w:rsidRDefault="001C573C" w:rsidP="00961D2E">
            <w:pPr>
              <w:rPr>
                <w:sz w:val="24"/>
                <w:szCs w:val="24"/>
              </w:rPr>
            </w:pPr>
            <w:r w:rsidRPr="001372F6">
              <w:rPr>
                <w:sz w:val="24"/>
                <w:szCs w:val="24"/>
              </w:rPr>
              <w:t xml:space="preserve"> </w:t>
            </w:r>
          </w:p>
        </w:tc>
        <w:tc>
          <w:tcPr>
            <w:tcW w:w="1564" w:type="dxa"/>
            <w:shd w:val="clear" w:color="auto" w:fill="auto"/>
          </w:tcPr>
          <w:p w14:paraId="5C20B737" w14:textId="2B96E44E" w:rsidR="001C573C" w:rsidRPr="001372F6" w:rsidRDefault="001C573C" w:rsidP="00234236">
            <w:pPr>
              <w:ind w:left="-108" w:right="-108"/>
              <w:rPr>
                <w:sz w:val="24"/>
                <w:szCs w:val="24"/>
              </w:rPr>
            </w:pPr>
            <w:r w:rsidRPr="001372F6">
              <w:rPr>
                <w:sz w:val="24"/>
                <w:szCs w:val="24"/>
              </w:rPr>
              <w:t>Nr.</w:t>
            </w:r>
            <w:r w:rsidR="006D1C2C">
              <w:rPr>
                <w:sz w:val="24"/>
                <w:szCs w:val="24"/>
              </w:rPr>
              <w:t xml:space="preserve"> </w:t>
            </w:r>
            <w:r w:rsidR="00E847E4">
              <w:rPr>
                <w:sz w:val="24"/>
                <w:szCs w:val="24"/>
              </w:rPr>
              <w:t>4S-1159</w:t>
            </w:r>
            <w:bookmarkStart w:id="2" w:name="_GoBack"/>
            <w:bookmarkEnd w:id="2"/>
          </w:p>
          <w:p w14:paraId="6E21A7DF" w14:textId="340AF105" w:rsidR="001C573C" w:rsidRPr="001372F6" w:rsidRDefault="001C573C" w:rsidP="001C573C">
            <w:pPr>
              <w:ind w:left="-108" w:right="-108"/>
              <w:rPr>
                <w:sz w:val="24"/>
                <w:szCs w:val="24"/>
              </w:rPr>
            </w:pPr>
          </w:p>
          <w:p w14:paraId="1C320F9F" w14:textId="77777777" w:rsidR="00961D2E" w:rsidRPr="001372F6" w:rsidRDefault="00961D2E" w:rsidP="001C573C">
            <w:pPr>
              <w:ind w:left="-108" w:right="-108"/>
              <w:rPr>
                <w:sz w:val="24"/>
                <w:szCs w:val="24"/>
              </w:rPr>
            </w:pPr>
          </w:p>
        </w:tc>
        <w:tc>
          <w:tcPr>
            <w:tcW w:w="1270" w:type="dxa"/>
            <w:shd w:val="clear" w:color="auto" w:fill="auto"/>
          </w:tcPr>
          <w:p w14:paraId="478E191C" w14:textId="60BBEB72" w:rsidR="001C573C" w:rsidRPr="001372F6" w:rsidRDefault="00370536" w:rsidP="006D1C2C">
            <w:pPr>
              <w:rPr>
                <w:sz w:val="24"/>
                <w:szCs w:val="24"/>
              </w:rPr>
            </w:pPr>
            <w:r>
              <w:rPr>
                <w:sz w:val="24"/>
                <w:szCs w:val="24"/>
              </w:rPr>
              <w:t>(7.</w:t>
            </w:r>
            <w:r w:rsidR="00983160">
              <w:rPr>
                <w:sz w:val="24"/>
                <w:szCs w:val="24"/>
              </w:rPr>
              <w:t>29</w:t>
            </w:r>
            <w:r>
              <w:rPr>
                <w:sz w:val="24"/>
                <w:szCs w:val="24"/>
              </w:rPr>
              <w:t>)</w:t>
            </w:r>
          </w:p>
          <w:p w14:paraId="3166128D" w14:textId="77777777" w:rsidR="00961D2E" w:rsidRPr="001372F6" w:rsidRDefault="00961D2E" w:rsidP="00234236">
            <w:pPr>
              <w:rPr>
                <w:sz w:val="24"/>
                <w:szCs w:val="24"/>
              </w:rPr>
            </w:pPr>
          </w:p>
        </w:tc>
      </w:tr>
      <w:tr w:rsidR="00CB04A1" w:rsidRPr="001372F6" w14:paraId="371847FD" w14:textId="77777777" w:rsidTr="002E5609">
        <w:trPr>
          <w:gridAfter w:val="4"/>
          <w:wAfter w:w="5240" w:type="dxa"/>
          <w:cantSplit/>
          <w:trHeight w:val="80"/>
        </w:trPr>
        <w:tc>
          <w:tcPr>
            <w:tcW w:w="1560" w:type="dxa"/>
          </w:tcPr>
          <w:p w14:paraId="128ADA56" w14:textId="77777777" w:rsidR="000A5F61" w:rsidRPr="001372F6" w:rsidRDefault="000A5F61" w:rsidP="00234236">
            <w:pPr>
              <w:rPr>
                <w:sz w:val="24"/>
                <w:szCs w:val="24"/>
              </w:rPr>
            </w:pPr>
          </w:p>
        </w:tc>
        <w:tc>
          <w:tcPr>
            <w:tcW w:w="567" w:type="dxa"/>
          </w:tcPr>
          <w:p w14:paraId="73E6C186" w14:textId="77777777" w:rsidR="000A5F61" w:rsidRPr="001372F6" w:rsidRDefault="000A5F61" w:rsidP="00234236">
            <w:pPr>
              <w:ind w:left="-108" w:right="-108"/>
              <w:rPr>
                <w:sz w:val="24"/>
                <w:szCs w:val="24"/>
              </w:rPr>
            </w:pPr>
          </w:p>
        </w:tc>
        <w:tc>
          <w:tcPr>
            <w:tcW w:w="2267" w:type="dxa"/>
          </w:tcPr>
          <w:p w14:paraId="769B18EE" w14:textId="77777777" w:rsidR="000A5F61" w:rsidRPr="001372F6" w:rsidRDefault="000A5F61" w:rsidP="00234236">
            <w:pPr>
              <w:rPr>
                <w:sz w:val="24"/>
                <w:szCs w:val="24"/>
              </w:rPr>
            </w:pPr>
          </w:p>
        </w:tc>
      </w:tr>
    </w:tbl>
    <w:p w14:paraId="2DBF2525" w14:textId="12D9EABF" w:rsidR="0088148E" w:rsidRPr="001372F6" w:rsidRDefault="0088148E" w:rsidP="0088148E">
      <w:pPr>
        <w:jc w:val="center"/>
        <w:rPr>
          <w:rFonts w:eastAsia="Calibri"/>
          <w:b/>
          <w:bCs/>
          <w:sz w:val="24"/>
          <w:szCs w:val="24"/>
        </w:rPr>
      </w:pPr>
      <w:r w:rsidRPr="001372F6">
        <w:rPr>
          <w:rFonts w:eastAsia="Calibri"/>
          <w:b/>
          <w:bCs/>
          <w:sz w:val="24"/>
          <w:szCs w:val="24"/>
        </w:rPr>
        <w:t>VERTINIMO IŠVADA</w:t>
      </w:r>
    </w:p>
    <w:p w14:paraId="1900DAA1" w14:textId="77777777" w:rsidR="0088148E" w:rsidRPr="001372F6" w:rsidRDefault="0088148E" w:rsidP="0088148E">
      <w:pPr>
        <w:rPr>
          <w:rFonts w:eastAsia="Calibri"/>
          <w:sz w:val="24"/>
          <w:szCs w:val="24"/>
        </w:rPr>
      </w:pPr>
    </w:p>
    <w:p w14:paraId="50D01254" w14:textId="66D5F0F5" w:rsidR="0088148E" w:rsidRPr="001372F6" w:rsidRDefault="0088148E" w:rsidP="002909AD">
      <w:pPr>
        <w:ind w:firstLine="709"/>
        <w:jc w:val="both"/>
        <w:rPr>
          <w:rFonts w:eastAsia="Calibri"/>
          <w:bCs/>
          <w:sz w:val="24"/>
          <w:szCs w:val="24"/>
        </w:rPr>
      </w:pPr>
      <w:r w:rsidRPr="001372F6">
        <w:rPr>
          <w:rFonts w:eastAsia="Calibri"/>
          <w:bCs/>
          <w:sz w:val="24"/>
          <w:szCs w:val="24"/>
        </w:rPr>
        <w:t xml:space="preserve">Viešųjų pirkimų tarnyba (toliau – Tarnyba), </w:t>
      </w:r>
      <w:r w:rsidR="00E124BD">
        <w:rPr>
          <w:rFonts w:eastAsia="Calibri"/>
          <w:bCs/>
          <w:sz w:val="24"/>
          <w:szCs w:val="24"/>
        </w:rPr>
        <w:t xml:space="preserve">atsižvelgdama į </w:t>
      </w:r>
      <w:r w:rsidR="00E124BD">
        <w:rPr>
          <w:sz w:val="24"/>
          <w:szCs w:val="24"/>
        </w:rPr>
        <w:t>Europos socialinio fondo agentūros prašymą</w:t>
      </w:r>
      <w:r w:rsidR="00703F4E">
        <w:rPr>
          <w:sz w:val="24"/>
          <w:szCs w:val="24"/>
        </w:rPr>
        <w:t>,</w:t>
      </w:r>
      <w:r w:rsidR="00E124BD">
        <w:rPr>
          <w:sz w:val="24"/>
          <w:szCs w:val="24"/>
        </w:rPr>
        <w:t xml:space="preserve"> bei</w:t>
      </w:r>
      <w:r w:rsidR="00E124BD">
        <w:rPr>
          <w:rFonts w:eastAsia="Calibri"/>
          <w:bCs/>
          <w:sz w:val="24"/>
          <w:szCs w:val="24"/>
        </w:rPr>
        <w:t xml:space="preserve"> </w:t>
      </w:r>
      <w:r w:rsidRPr="001372F6">
        <w:rPr>
          <w:rFonts w:eastAsia="Calibri"/>
          <w:bCs/>
          <w:sz w:val="24"/>
          <w:szCs w:val="24"/>
        </w:rPr>
        <w:t xml:space="preserve">vadovaudamasi Lietuvos Respublikos viešųjų pirkimų įstatymo 95 straipsnio 1 dalies 2 punktu, </w:t>
      </w:r>
      <w:r w:rsidR="00E124BD" w:rsidRPr="00E124BD">
        <w:rPr>
          <w:rFonts w:eastAsia="Calibri"/>
          <w:bCs/>
          <w:sz w:val="24"/>
          <w:szCs w:val="24"/>
        </w:rPr>
        <w:t>atliko</w:t>
      </w:r>
      <w:r w:rsidRPr="00E124BD">
        <w:rPr>
          <w:rFonts w:eastAsia="Calibri"/>
          <w:bCs/>
          <w:sz w:val="24"/>
          <w:szCs w:val="24"/>
        </w:rPr>
        <w:t xml:space="preserve"> </w:t>
      </w:r>
      <w:r w:rsidR="00E124BD" w:rsidRPr="00E124BD">
        <w:rPr>
          <w:sz w:val="24"/>
          <w:szCs w:val="24"/>
        </w:rPr>
        <w:t xml:space="preserve">Užsienio reikalų ministerijos </w:t>
      </w:r>
      <w:r w:rsidR="002909AD" w:rsidRPr="00E124BD">
        <w:rPr>
          <w:rFonts w:eastAsia="Calibri"/>
          <w:bCs/>
          <w:sz w:val="24"/>
          <w:szCs w:val="24"/>
        </w:rPr>
        <w:t>(</w:t>
      </w:r>
      <w:r w:rsidR="002909AD" w:rsidRPr="001372F6">
        <w:rPr>
          <w:rFonts w:eastAsia="Calibri"/>
          <w:bCs/>
          <w:sz w:val="24"/>
          <w:szCs w:val="24"/>
        </w:rPr>
        <w:t>toliau – Perkančioji organizacija) vykdyt</w:t>
      </w:r>
      <w:r w:rsidR="00E124BD">
        <w:rPr>
          <w:rFonts w:eastAsia="Calibri"/>
          <w:bCs/>
          <w:sz w:val="24"/>
          <w:szCs w:val="24"/>
        </w:rPr>
        <w:t>o</w:t>
      </w:r>
      <w:r w:rsidR="002909AD" w:rsidRPr="001372F6">
        <w:rPr>
          <w:rFonts w:eastAsia="Calibri"/>
          <w:bCs/>
          <w:sz w:val="24"/>
          <w:szCs w:val="24"/>
        </w:rPr>
        <w:t xml:space="preserve"> vieš</w:t>
      </w:r>
      <w:r w:rsidR="00E124BD">
        <w:rPr>
          <w:rFonts w:eastAsia="Calibri"/>
          <w:bCs/>
          <w:sz w:val="24"/>
          <w:szCs w:val="24"/>
        </w:rPr>
        <w:t>ojo</w:t>
      </w:r>
      <w:r w:rsidR="002909AD" w:rsidRPr="001372F6">
        <w:rPr>
          <w:rFonts w:eastAsia="Calibri"/>
          <w:bCs/>
          <w:sz w:val="24"/>
          <w:szCs w:val="24"/>
        </w:rPr>
        <w:t xml:space="preserve"> pirkim</w:t>
      </w:r>
      <w:r w:rsidR="00E124BD">
        <w:rPr>
          <w:rFonts w:eastAsia="Calibri"/>
          <w:bCs/>
          <w:sz w:val="24"/>
          <w:szCs w:val="24"/>
        </w:rPr>
        <w:t>o dalinį vertinimą</w:t>
      </w:r>
      <w:r w:rsidR="002909AD" w:rsidRPr="001372F6">
        <w:rPr>
          <w:rFonts w:eastAsia="Calibri"/>
          <w:bCs/>
          <w:sz w:val="24"/>
          <w:szCs w:val="24"/>
        </w:rPr>
        <w:t>.</w:t>
      </w:r>
    </w:p>
    <w:p w14:paraId="595BF110" w14:textId="77777777" w:rsidR="0088148E" w:rsidRPr="001372F6" w:rsidRDefault="0088148E" w:rsidP="0088148E">
      <w:pPr>
        <w:rPr>
          <w:rFonts w:eastAsia="Calibri"/>
          <w:sz w:val="24"/>
          <w:szCs w:val="24"/>
        </w:rPr>
      </w:pPr>
    </w:p>
    <w:p w14:paraId="373BD6C5" w14:textId="77777777" w:rsidR="0088148E" w:rsidRPr="001372F6" w:rsidRDefault="0088148E" w:rsidP="0088148E">
      <w:pPr>
        <w:jc w:val="center"/>
        <w:rPr>
          <w:rFonts w:eastAsia="Calibri"/>
          <w:b/>
          <w:sz w:val="24"/>
          <w:szCs w:val="24"/>
        </w:rPr>
      </w:pPr>
      <w:r w:rsidRPr="001372F6">
        <w:rPr>
          <w:rFonts w:eastAsia="Calibri"/>
          <w:b/>
          <w:sz w:val="24"/>
          <w:szCs w:val="24"/>
        </w:rPr>
        <w:t>I dalis. Bendra informacija</w:t>
      </w:r>
    </w:p>
    <w:p w14:paraId="0DAB02E2" w14:textId="77777777" w:rsidR="0088148E" w:rsidRPr="001372F6" w:rsidRDefault="0088148E" w:rsidP="0088148E">
      <w:pPr>
        <w:ind w:firstLine="708"/>
        <w:jc w:val="center"/>
        <w:rPr>
          <w:rFonts w:eastAsia="Calibr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244"/>
      </w:tblGrid>
      <w:tr w:rsidR="00CB04A1" w:rsidRPr="001372F6" w14:paraId="56AF26ED" w14:textId="77777777" w:rsidTr="001372F6">
        <w:tc>
          <w:tcPr>
            <w:tcW w:w="4503" w:type="dxa"/>
            <w:shd w:val="clear" w:color="auto" w:fill="auto"/>
            <w:vAlign w:val="center"/>
          </w:tcPr>
          <w:p w14:paraId="749A5E3B" w14:textId="77777777" w:rsidR="0088148E" w:rsidRPr="001372F6" w:rsidRDefault="001372F6" w:rsidP="001372F6">
            <w:pPr>
              <w:jc w:val="both"/>
              <w:rPr>
                <w:rFonts w:eastAsia="Calibri"/>
                <w:sz w:val="24"/>
                <w:szCs w:val="24"/>
              </w:rPr>
            </w:pPr>
            <w:r w:rsidRPr="001372F6">
              <w:rPr>
                <w:color w:val="000000"/>
                <w:sz w:val="24"/>
                <w:szCs w:val="24"/>
              </w:rPr>
              <w:t>Pirkimo* pavadinimas, numeris (jeigu skelbtas), pirkimo paskelbimo (kvietimo pateikti paraišką/pasiūlymą) data/ sutarties pavadinimas, data, numeris</w:t>
            </w:r>
          </w:p>
        </w:tc>
        <w:tc>
          <w:tcPr>
            <w:tcW w:w="5244" w:type="dxa"/>
            <w:shd w:val="clear" w:color="auto" w:fill="auto"/>
            <w:vAlign w:val="center"/>
          </w:tcPr>
          <w:p w14:paraId="611DFE3C" w14:textId="67BBFA64" w:rsidR="0088148E" w:rsidRPr="00E124BD" w:rsidRDefault="00904F5C" w:rsidP="0088148E">
            <w:pPr>
              <w:jc w:val="both"/>
              <w:rPr>
                <w:sz w:val="24"/>
                <w:szCs w:val="24"/>
              </w:rPr>
            </w:pPr>
            <w:r w:rsidRPr="00E124BD">
              <w:rPr>
                <w:rFonts w:eastAsia="Calibri"/>
                <w:sz w:val="24"/>
                <w:szCs w:val="24"/>
              </w:rPr>
              <w:t>„</w:t>
            </w:r>
            <w:r w:rsidR="00E124BD" w:rsidRPr="00E124BD">
              <w:rPr>
                <w:sz w:val="24"/>
                <w:szCs w:val="24"/>
              </w:rPr>
              <w:t>Lietuvos narystės Europos Sąjungoje informacinės sistemos modernizavimo paslaugų viešasis pirkimas</w:t>
            </w:r>
            <w:r w:rsidRPr="00E124BD">
              <w:rPr>
                <w:rFonts w:eastAsia="Calibri"/>
                <w:sz w:val="24"/>
                <w:szCs w:val="24"/>
              </w:rPr>
              <w:t xml:space="preserve">“ (skelbtas </w:t>
            </w:r>
            <w:r w:rsidR="00E124BD" w:rsidRPr="00E124BD">
              <w:rPr>
                <w:sz w:val="24"/>
                <w:szCs w:val="24"/>
              </w:rPr>
              <w:t>2018-07-11</w:t>
            </w:r>
            <w:r w:rsidRPr="00E124BD">
              <w:rPr>
                <w:sz w:val="24"/>
                <w:szCs w:val="24"/>
              </w:rPr>
              <w:t xml:space="preserve"> </w:t>
            </w:r>
            <w:r w:rsidRPr="00E124BD">
              <w:rPr>
                <w:rFonts w:eastAsia="Calibri"/>
                <w:sz w:val="24"/>
                <w:szCs w:val="24"/>
              </w:rPr>
              <w:t xml:space="preserve">Centrinėje viešųjų pirkimų informacinėje sistemoje (toliau – CVP IS), pirkimo Nr. </w:t>
            </w:r>
            <w:r w:rsidR="00E124BD" w:rsidRPr="00E124BD">
              <w:rPr>
                <w:sz w:val="24"/>
                <w:szCs w:val="24"/>
              </w:rPr>
              <w:t>390918</w:t>
            </w:r>
            <w:r w:rsidRPr="00E124BD">
              <w:rPr>
                <w:rFonts w:eastAsia="Calibri"/>
                <w:sz w:val="24"/>
                <w:szCs w:val="24"/>
              </w:rPr>
              <w:t>; toliau – Pirkimas)</w:t>
            </w:r>
          </w:p>
        </w:tc>
      </w:tr>
      <w:tr w:rsidR="00CB04A1" w:rsidRPr="001372F6" w14:paraId="011000EE" w14:textId="77777777" w:rsidTr="001372F6">
        <w:tc>
          <w:tcPr>
            <w:tcW w:w="4503" w:type="dxa"/>
            <w:shd w:val="clear" w:color="auto" w:fill="auto"/>
            <w:vAlign w:val="center"/>
          </w:tcPr>
          <w:p w14:paraId="187537DA" w14:textId="77777777" w:rsidR="0088148E" w:rsidRPr="001372F6" w:rsidRDefault="001372F6" w:rsidP="001372F6">
            <w:pPr>
              <w:jc w:val="both"/>
              <w:rPr>
                <w:rFonts w:eastAsia="Calibri"/>
                <w:sz w:val="24"/>
                <w:szCs w:val="24"/>
              </w:rPr>
            </w:pPr>
            <w:r w:rsidRPr="001372F6">
              <w:rPr>
                <w:color w:val="000000"/>
                <w:sz w:val="24"/>
                <w:szCs w:val="24"/>
              </w:rPr>
              <w:t>Pirkimo vykdymo/sutarties sudarymo teisinis pagrindas</w:t>
            </w:r>
          </w:p>
        </w:tc>
        <w:tc>
          <w:tcPr>
            <w:tcW w:w="5244" w:type="dxa"/>
            <w:shd w:val="clear" w:color="auto" w:fill="auto"/>
            <w:vAlign w:val="center"/>
          </w:tcPr>
          <w:p w14:paraId="63EC734B" w14:textId="3999C583" w:rsidR="0088148E" w:rsidRPr="001372F6" w:rsidRDefault="001372F6" w:rsidP="0088148E">
            <w:pPr>
              <w:jc w:val="both"/>
              <w:rPr>
                <w:rFonts w:eastAsia="Calibri"/>
                <w:sz w:val="24"/>
                <w:szCs w:val="24"/>
              </w:rPr>
            </w:pPr>
            <w:r w:rsidRPr="001372F6">
              <w:rPr>
                <w:rFonts w:eastAsia="Calibri"/>
                <w:sz w:val="24"/>
                <w:szCs w:val="24"/>
              </w:rPr>
              <w:t>Viešųjų pirkimų įstatymas (aktuali redakcija nuo 201</w:t>
            </w:r>
            <w:r w:rsidR="00E57238">
              <w:rPr>
                <w:rFonts w:eastAsia="Calibri"/>
                <w:sz w:val="24"/>
                <w:szCs w:val="24"/>
              </w:rPr>
              <w:t>8</w:t>
            </w:r>
            <w:r w:rsidRPr="001372F6">
              <w:rPr>
                <w:rFonts w:eastAsia="Calibri"/>
                <w:sz w:val="24"/>
                <w:szCs w:val="24"/>
              </w:rPr>
              <w:t>-0</w:t>
            </w:r>
            <w:r w:rsidR="00E57238">
              <w:rPr>
                <w:rFonts w:eastAsia="Calibri"/>
                <w:sz w:val="24"/>
                <w:szCs w:val="24"/>
              </w:rPr>
              <w:t>1</w:t>
            </w:r>
            <w:r w:rsidRPr="001372F6">
              <w:rPr>
                <w:rFonts w:eastAsia="Calibri"/>
                <w:sz w:val="24"/>
                <w:szCs w:val="24"/>
              </w:rPr>
              <w:t>-01) (toliau – Įstatymas)</w:t>
            </w:r>
          </w:p>
        </w:tc>
      </w:tr>
      <w:tr w:rsidR="001372F6" w:rsidRPr="001372F6" w14:paraId="52BD7BC8" w14:textId="77777777" w:rsidTr="001372F6">
        <w:tc>
          <w:tcPr>
            <w:tcW w:w="4503" w:type="dxa"/>
            <w:shd w:val="clear" w:color="auto" w:fill="auto"/>
            <w:vAlign w:val="center"/>
          </w:tcPr>
          <w:p w14:paraId="5E006787" w14:textId="77777777" w:rsidR="001372F6" w:rsidRPr="001372F6" w:rsidRDefault="001372F6" w:rsidP="001372F6">
            <w:pPr>
              <w:jc w:val="both"/>
              <w:rPr>
                <w:color w:val="000000"/>
                <w:sz w:val="24"/>
                <w:szCs w:val="24"/>
              </w:rPr>
            </w:pPr>
            <w:r w:rsidRPr="001372F6">
              <w:rPr>
                <w:color w:val="000000"/>
                <w:sz w:val="24"/>
                <w:szCs w:val="24"/>
              </w:rPr>
              <w:t>Pirkimo būdas</w:t>
            </w:r>
          </w:p>
        </w:tc>
        <w:tc>
          <w:tcPr>
            <w:tcW w:w="5244" w:type="dxa"/>
            <w:shd w:val="clear" w:color="auto" w:fill="auto"/>
            <w:vAlign w:val="center"/>
          </w:tcPr>
          <w:p w14:paraId="5090814E" w14:textId="77777777" w:rsidR="001372F6" w:rsidRPr="001372F6" w:rsidRDefault="001372F6" w:rsidP="0088148E">
            <w:pPr>
              <w:jc w:val="both"/>
              <w:rPr>
                <w:rFonts w:eastAsia="Calibri"/>
                <w:sz w:val="24"/>
                <w:szCs w:val="24"/>
              </w:rPr>
            </w:pPr>
            <w:r w:rsidRPr="001372F6">
              <w:rPr>
                <w:sz w:val="24"/>
                <w:szCs w:val="24"/>
              </w:rPr>
              <w:t>Atviras konkursas</w:t>
            </w:r>
          </w:p>
        </w:tc>
      </w:tr>
      <w:tr w:rsidR="00CB04A1" w:rsidRPr="001372F6" w14:paraId="1D8C8F3E" w14:textId="77777777" w:rsidTr="001372F6">
        <w:tc>
          <w:tcPr>
            <w:tcW w:w="4503" w:type="dxa"/>
            <w:shd w:val="clear" w:color="auto" w:fill="auto"/>
            <w:vAlign w:val="center"/>
          </w:tcPr>
          <w:p w14:paraId="4A427774" w14:textId="77777777" w:rsidR="0088148E" w:rsidRPr="001372F6" w:rsidRDefault="001372F6" w:rsidP="001372F6">
            <w:pPr>
              <w:jc w:val="both"/>
              <w:rPr>
                <w:rFonts w:eastAsia="Calibri"/>
                <w:sz w:val="24"/>
                <w:szCs w:val="24"/>
              </w:rPr>
            </w:pPr>
            <w:r w:rsidRPr="001372F6">
              <w:rPr>
                <w:color w:val="000000"/>
                <w:sz w:val="24"/>
                <w:szCs w:val="24"/>
              </w:rPr>
              <w:t>Planuojama (nenurodoma, jeigu pirkimas vertinamas iki vokų su pasiūlymais atplėšimo procedūros), faktinė pirkimo/sutarties vertė Eur be PVM</w:t>
            </w:r>
          </w:p>
        </w:tc>
        <w:tc>
          <w:tcPr>
            <w:tcW w:w="5244" w:type="dxa"/>
            <w:shd w:val="clear" w:color="auto" w:fill="auto"/>
            <w:vAlign w:val="center"/>
          </w:tcPr>
          <w:p w14:paraId="72ED8823" w14:textId="35CACABB" w:rsidR="002E32C2" w:rsidRPr="00001CD7" w:rsidRDefault="00E57238" w:rsidP="00016D30">
            <w:pPr>
              <w:jc w:val="both"/>
              <w:rPr>
                <w:rFonts w:eastAsia="Calibri"/>
                <w:sz w:val="24"/>
                <w:szCs w:val="24"/>
              </w:rPr>
            </w:pPr>
            <w:r w:rsidRPr="00E57238">
              <w:rPr>
                <w:rFonts w:eastAsia="Calibri"/>
                <w:sz w:val="24"/>
                <w:szCs w:val="24"/>
              </w:rPr>
              <w:t>199</w:t>
            </w:r>
            <w:r>
              <w:rPr>
                <w:rFonts w:eastAsia="Calibri"/>
                <w:sz w:val="24"/>
                <w:szCs w:val="24"/>
              </w:rPr>
              <w:t xml:space="preserve"> </w:t>
            </w:r>
            <w:r w:rsidRPr="00E57238">
              <w:rPr>
                <w:rFonts w:eastAsia="Calibri"/>
                <w:sz w:val="24"/>
                <w:szCs w:val="24"/>
              </w:rPr>
              <w:t>408</w:t>
            </w:r>
            <w:r>
              <w:rPr>
                <w:rFonts w:eastAsia="Calibri"/>
                <w:sz w:val="24"/>
                <w:szCs w:val="24"/>
              </w:rPr>
              <w:t xml:space="preserve">,00 </w:t>
            </w:r>
            <w:r w:rsidR="001A3262">
              <w:rPr>
                <w:rFonts w:eastAsia="Calibri"/>
                <w:sz w:val="24"/>
                <w:szCs w:val="24"/>
              </w:rPr>
              <w:t xml:space="preserve">Eur </w:t>
            </w:r>
            <w:r w:rsidR="00E31CBD">
              <w:rPr>
                <w:rFonts w:eastAsia="Calibri"/>
                <w:sz w:val="24"/>
                <w:szCs w:val="24"/>
              </w:rPr>
              <w:t>be</w:t>
            </w:r>
            <w:r w:rsidR="001A3262">
              <w:rPr>
                <w:rFonts w:eastAsia="Calibri"/>
                <w:sz w:val="24"/>
                <w:szCs w:val="24"/>
              </w:rPr>
              <w:t xml:space="preserve"> PVM</w:t>
            </w:r>
          </w:p>
        </w:tc>
      </w:tr>
      <w:tr w:rsidR="001372F6" w:rsidRPr="001372F6" w14:paraId="40188002" w14:textId="77777777" w:rsidTr="001372F6">
        <w:tc>
          <w:tcPr>
            <w:tcW w:w="4503" w:type="dxa"/>
            <w:shd w:val="clear" w:color="auto" w:fill="auto"/>
            <w:vAlign w:val="center"/>
          </w:tcPr>
          <w:p w14:paraId="345FFFFC" w14:textId="77777777" w:rsidR="001372F6" w:rsidRPr="001372F6" w:rsidRDefault="001372F6" w:rsidP="001372F6">
            <w:pPr>
              <w:jc w:val="both"/>
              <w:rPr>
                <w:color w:val="000000"/>
                <w:sz w:val="24"/>
                <w:szCs w:val="24"/>
              </w:rPr>
            </w:pPr>
            <w:r w:rsidRPr="001372F6">
              <w:rPr>
                <w:color w:val="000000"/>
                <w:sz w:val="24"/>
                <w:szCs w:val="24"/>
              </w:rPr>
              <w:t>Tiekėjas / teikėjas / rangovas / koncesininkas, juridinio asmens kodas (su kuriuo sudaryta sutartis)</w:t>
            </w:r>
          </w:p>
        </w:tc>
        <w:tc>
          <w:tcPr>
            <w:tcW w:w="5244" w:type="dxa"/>
            <w:shd w:val="clear" w:color="auto" w:fill="auto"/>
            <w:vAlign w:val="center"/>
          </w:tcPr>
          <w:p w14:paraId="61EC44CE" w14:textId="6BC73781" w:rsidR="001C0E68" w:rsidRPr="001372F6" w:rsidRDefault="00BD4760" w:rsidP="001372F6">
            <w:pPr>
              <w:jc w:val="both"/>
              <w:rPr>
                <w:rFonts w:eastAsia="Calibri"/>
                <w:sz w:val="24"/>
                <w:szCs w:val="24"/>
              </w:rPr>
            </w:pPr>
            <w:r>
              <w:rPr>
                <w:rFonts w:eastAsia="Calibri"/>
                <w:sz w:val="24"/>
                <w:szCs w:val="24"/>
              </w:rPr>
              <w:t>UAB „</w:t>
            </w:r>
            <w:r w:rsidR="006E4D64">
              <w:rPr>
                <w:rFonts w:eastAsia="Calibri"/>
                <w:sz w:val="24"/>
                <w:szCs w:val="24"/>
              </w:rPr>
              <w:t>ATEA</w:t>
            </w:r>
            <w:r>
              <w:rPr>
                <w:rFonts w:eastAsia="Calibri"/>
                <w:sz w:val="24"/>
                <w:szCs w:val="24"/>
              </w:rPr>
              <w:t>“</w:t>
            </w:r>
            <w:r w:rsidR="005E6BB3">
              <w:rPr>
                <w:rFonts w:eastAsia="Calibri"/>
                <w:sz w:val="24"/>
                <w:szCs w:val="24"/>
              </w:rPr>
              <w:t>,</w:t>
            </w:r>
            <w:r w:rsidR="005E6BB3">
              <w:t xml:space="preserve"> </w:t>
            </w:r>
            <w:r w:rsidR="005E6BB3" w:rsidRPr="005E6BB3">
              <w:rPr>
                <w:rFonts w:eastAsia="Calibri"/>
                <w:sz w:val="24"/>
                <w:szCs w:val="24"/>
              </w:rPr>
              <w:t>122588443</w:t>
            </w:r>
          </w:p>
        </w:tc>
      </w:tr>
      <w:tr w:rsidR="001372F6" w:rsidRPr="001372F6" w14:paraId="2D0E574B" w14:textId="77777777" w:rsidTr="001372F6">
        <w:tc>
          <w:tcPr>
            <w:tcW w:w="4503" w:type="dxa"/>
            <w:shd w:val="clear" w:color="auto" w:fill="auto"/>
            <w:vAlign w:val="center"/>
          </w:tcPr>
          <w:p w14:paraId="06F39928" w14:textId="77777777" w:rsidR="001372F6" w:rsidRPr="001372F6" w:rsidRDefault="001372F6" w:rsidP="001372F6">
            <w:pPr>
              <w:jc w:val="both"/>
              <w:rPr>
                <w:color w:val="000000"/>
                <w:sz w:val="24"/>
                <w:szCs w:val="24"/>
              </w:rPr>
            </w:pPr>
            <w:r w:rsidRPr="001372F6">
              <w:rPr>
                <w:color w:val="000000"/>
                <w:sz w:val="24"/>
                <w:szCs w:val="24"/>
              </w:rPr>
              <w:t>Pirkimo/sutarties vertinimo apimtys/etapas</w:t>
            </w:r>
          </w:p>
        </w:tc>
        <w:tc>
          <w:tcPr>
            <w:tcW w:w="5244" w:type="dxa"/>
            <w:shd w:val="clear" w:color="auto" w:fill="auto"/>
            <w:vAlign w:val="center"/>
          </w:tcPr>
          <w:p w14:paraId="4A47517F" w14:textId="4013B2F7" w:rsidR="001372F6" w:rsidRPr="001372F6" w:rsidRDefault="00421265" w:rsidP="001372F6">
            <w:pPr>
              <w:jc w:val="both"/>
              <w:rPr>
                <w:rFonts w:eastAsia="Calibri"/>
                <w:sz w:val="24"/>
                <w:szCs w:val="24"/>
              </w:rPr>
            </w:pPr>
            <w:r>
              <w:rPr>
                <w:rFonts w:eastAsia="Calibri"/>
                <w:sz w:val="24"/>
                <w:szCs w:val="24"/>
              </w:rPr>
              <w:t xml:space="preserve">Dalinis pirkimo procedūrų vertinimas dėl </w:t>
            </w:r>
            <w:r w:rsidR="00E124BD">
              <w:rPr>
                <w:rFonts w:eastAsia="Calibri"/>
                <w:sz w:val="24"/>
                <w:szCs w:val="24"/>
              </w:rPr>
              <w:t>pirkimo objekto neskaidymo į dalis</w:t>
            </w:r>
            <w:r w:rsidR="00343D8F">
              <w:rPr>
                <w:rFonts w:eastAsia="Calibri"/>
                <w:sz w:val="24"/>
                <w:szCs w:val="24"/>
              </w:rPr>
              <w:t xml:space="preserve"> / po Sutarties sudarymo</w:t>
            </w:r>
          </w:p>
        </w:tc>
      </w:tr>
      <w:tr w:rsidR="001372F6" w:rsidRPr="001372F6" w14:paraId="234CDCFE" w14:textId="77777777" w:rsidTr="001372F6">
        <w:tc>
          <w:tcPr>
            <w:tcW w:w="4503" w:type="dxa"/>
            <w:shd w:val="clear" w:color="auto" w:fill="auto"/>
            <w:vAlign w:val="center"/>
          </w:tcPr>
          <w:p w14:paraId="1A37B024" w14:textId="77777777" w:rsidR="001372F6" w:rsidRPr="001372F6" w:rsidRDefault="001372F6" w:rsidP="001372F6">
            <w:pPr>
              <w:jc w:val="both"/>
              <w:rPr>
                <w:rFonts w:eastAsia="Calibri"/>
                <w:sz w:val="24"/>
                <w:szCs w:val="24"/>
              </w:rPr>
            </w:pPr>
            <w:r w:rsidRPr="001372F6">
              <w:rPr>
                <w:color w:val="000000"/>
                <w:sz w:val="24"/>
                <w:szCs w:val="24"/>
              </w:rPr>
              <w:t>Pirkimas finansuojamas ES lėšomis, projekto pavadinimas, Įgyvendinančioji institucija</w:t>
            </w:r>
          </w:p>
        </w:tc>
        <w:tc>
          <w:tcPr>
            <w:tcW w:w="5244" w:type="dxa"/>
            <w:shd w:val="clear" w:color="auto" w:fill="auto"/>
            <w:vAlign w:val="center"/>
          </w:tcPr>
          <w:p w14:paraId="656D0B06" w14:textId="6542B93B" w:rsidR="001372F6" w:rsidRPr="001372F6" w:rsidRDefault="006E4D64" w:rsidP="001372F6">
            <w:pPr>
              <w:jc w:val="both"/>
              <w:rPr>
                <w:rFonts w:eastAsia="Calibri"/>
                <w:sz w:val="24"/>
                <w:szCs w:val="24"/>
              </w:rPr>
            </w:pPr>
            <w:r>
              <w:rPr>
                <w:rFonts w:eastAsia="Calibri"/>
                <w:sz w:val="24"/>
                <w:szCs w:val="24"/>
              </w:rPr>
              <w:t xml:space="preserve">Taip, </w:t>
            </w:r>
            <w:r w:rsidRPr="006E4D64">
              <w:rPr>
                <w:rFonts w:eastAsia="Calibri"/>
                <w:sz w:val="24"/>
                <w:szCs w:val="24"/>
              </w:rPr>
              <w:t>2017 m. liepos 17 d. projekto Nr. 10.1.1-ESFA-V-912-01-0013 „Lietuvos Europos Sąjungos politikos veiksmingumo didinimas“ sutarties Nr. 10-174 lėšos</w:t>
            </w:r>
            <w:r>
              <w:rPr>
                <w:rFonts w:eastAsia="Calibri"/>
                <w:sz w:val="24"/>
                <w:szCs w:val="24"/>
              </w:rPr>
              <w:t>, ESFA</w:t>
            </w:r>
          </w:p>
        </w:tc>
      </w:tr>
      <w:tr w:rsidR="001372F6" w:rsidRPr="001372F6" w14:paraId="50452FCE" w14:textId="77777777" w:rsidTr="001372F6">
        <w:tc>
          <w:tcPr>
            <w:tcW w:w="4503" w:type="dxa"/>
            <w:shd w:val="clear" w:color="auto" w:fill="auto"/>
            <w:vAlign w:val="center"/>
          </w:tcPr>
          <w:p w14:paraId="56C6C0C2" w14:textId="77777777" w:rsidR="001372F6" w:rsidRPr="001372F6" w:rsidRDefault="001372F6" w:rsidP="001372F6">
            <w:pPr>
              <w:jc w:val="both"/>
              <w:rPr>
                <w:color w:val="000000"/>
                <w:sz w:val="24"/>
                <w:szCs w:val="24"/>
              </w:rPr>
            </w:pPr>
            <w:r w:rsidRPr="001372F6">
              <w:rPr>
                <w:color w:val="000000"/>
                <w:sz w:val="24"/>
                <w:szCs w:val="24"/>
              </w:rPr>
              <w:t>Jei dėl pirkimo/sutarties vyksta teismo procesas, nurodyti ieškinio (skundo) dalykus, bylos šalių pavadinimus, ar taikomos laikinosios apsaugos priemonės, teisminio nagrinėjimo stadija, pvz., apygardos, apeliacinis teismas</w:t>
            </w:r>
          </w:p>
        </w:tc>
        <w:tc>
          <w:tcPr>
            <w:tcW w:w="5244" w:type="dxa"/>
            <w:shd w:val="clear" w:color="auto" w:fill="auto"/>
            <w:vAlign w:val="center"/>
          </w:tcPr>
          <w:p w14:paraId="21DDAD11" w14:textId="77777777" w:rsidR="001372F6" w:rsidRPr="001372F6" w:rsidRDefault="001372F6" w:rsidP="001372F6">
            <w:pPr>
              <w:jc w:val="both"/>
              <w:rPr>
                <w:rFonts w:eastAsia="Calibri"/>
                <w:sz w:val="24"/>
                <w:szCs w:val="24"/>
              </w:rPr>
            </w:pPr>
            <w:r w:rsidRPr="001372F6">
              <w:rPr>
                <w:rFonts w:eastAsia="Calibri"/>
                <w:sz w:val="24"/>
                <w:szCs w:val="24"/>
              </w:rPr>
              <w:t>-</w:t>
            </w:r>
          </w:p>
        </w:tc>
      </w:tr>
    </w:tbl>
    <w:p w14:paraId="0947C862" w14:textId="77777777" w:rsidR="0088148E" w:rsidRPr="001372F6" w:rsidRDefault="0088148E" w:rsidP="0088148E">
      <w:pPr>
        <w:jc w:val="center"/>
        <w:rPr>
          <w:rFonts w:eastAsia="Calibri"/>
          <w:sz w:val="24"/>
          <w:szCs w:val="24"/>
        </w:rPr>
      </w:pPr>
    </w:p>
    <w:p w14:paraId="3B21BB61" w14:textId="77777777" w:rsidR="0088148E" w:rsidRPr="001372F6" w:rsidRDefault="001372F6" w:rsidP="0088148E">
      <w:pPr>
        <w:jc w:val="center"/>
        <w:rPr>
          <w:b/>
          <w:bCs/>
          <w:color w:val="000000"/>
          <w:sz w:val="24"/>
          <w:szCs w:val="24"/>
        </w:rPr>
      </w:pPr>
      <w:r w:rsidRPr="001372F6">
        <w:rPr>
          <w:b/>
          <w:bCs/>
          <w:color w:val="000000"/>
          <w:sz w:val="24"/>
          <w:szCs w:val="24"/>
        </w:rPr>
        <w:t>II dalis. Vertinimo apimtyje nustatyti pažeidimai</w:t>
      </w:r>
    </w:p>
    <w:p w14:paraId="181E420C" w14:textId="6E1A9C0C" w:rsidR="001372F6" w:rsidRDefault="001372F6" w:rsidP="0088148E">
      <w:pPr>
        <w:jc w:val="center"/>
        <w:rPr>
          <w:rFonts w:eastAsia="Calibri"/>
          <w:b/>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9214"/>
      </w:tblGrid>
      <w:tr w:rsidR="00CC6BE9" w:rsidRPr="00904C3C" w14:paraId="792AFE69" w14:textId="77777777" w:rsidTr="00CC6BE9">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C512FDB" w14:textId="77777777" w:rsidR="00CC6BE9" w:rsidRPr="001372F6" w:rsidRDefault="00CC6BE9" w:rsidP="008D3EBF">
            <w:pPr>
              <w:numPr>
                <w:ilvl w:val="0"/>
                <w:numId w:val="20"/>
              </w:numPr>
              <w:spacing w:after="160" w:line="259" w:lineRule="auto"/>
              <w:ind w:left="0" w:right="172" w:firstLine="0"/>
              <w:contextualSpacing/>
              <w:rPr>
                <w:rFonts w:eastAsia="Calibri"/>
                <w:sz w:val="24"/>
                <w:szCs w:val="24"/>
              </w:rPr>
            </w:pPr>
          </w:p>
        </w:tc>
        <w:tc>
          <w:tcPr>
            <w:tcW w:w="9214" w:type="dxa"/>
            <w:tcBorders>
              <w:top w:val="single" w:sz="4" w:space="0" w:color="auto"/>
              <w:left w:val="single" w:sz="4" w:space="0" w:color="auto"/>
              <w:bottom w:val="single" w:sz="4" w:space="0" w:color="auto"/>
              <w:right w:val="single" w:sz="4" w:space="0" w:color="auto"/>
            </w:tcBorders>
            <w:shd w:val="clear" w:color="auto" w:fill="auto"/>
          </w:tcPr>
          <w:p w14:paraId="1DFF588A" w14:textId="78F8B60B" w:rsidR="00CD2684" w:rsidRDefault="00CE76CB" w:rsidP="008D3EBF">
            <w:pPr>
              <w:rPr>
                <w:rFonts w:eastAsia="Arial Unicode MS"/>
                <w:sz w:val="24"/>
                <w:szCs w:val="24"/>
                <w:bdr w:val="nil"/>
                <w:lang w:eastAsia="lt-LT"/>
              </w:rPr>
            </w:pPr>
            <w:r>
              <w:rPr>
                <w:rFonts w:eastAsia="Arial Unicode MS"/>
                <w:sz w:val="24"/>
                <w:szCs w:val="24"/>
                <w:bdr w:val="nil"/>
                <w:lang w:eastAsia="lt-LT"/>
              </w:rPr>
              <w:t>Įstatymo 28 str. 2 d.</w:t>
            </w:r>
            <w:r w:rsidR="002D4753">
              <w:rPr>
                <w:rStyle w:val="FootnoteReference"/>
                <w:rFonts w:eastAsia="Arial Unicode MS"/>
                <w:sz w:val="24"/>
                <w:szCs w:val="24"/>
                <w:bdr w:val="nil"/>
                <w:lang w:eastAsia="lt-LT"/>
              </w:rPr>
              <w:footnoteReference w:id="1"/>
            </w:r>
            <w:r>
              <w:rPr>
                <w:rFonts w:eastAsia="Arial Unicode MS"/>
                <w:sz w:val="24"/>
                <w:szCs w:val="24"/>
                <w:bdr w:val="nil"/>
                <w:lang w:eastAsia="lt-LT"/>
              </w:rPr>
              <w:t>,</w:t>
            </w:r>
          </w:p>
          <w:p w14:paraId="2D0254DE" w14:textId="77777777" w:rsidR="00CE76CB" w:rsidRDefault="00CE76CB" w:rsidP="008D3EBF">
            <w:pPr>
              <w:rPr>
                <w:rFonts w:eastAsia="Arial Unicode MS"/>
                <w:sz w:val="24"/>
                <w:szCs w:val="24"/>
                <w:bdr w:val="nil"/>
                <w:lang w:eastAsia="lt-LT"/>
              </w:rPr>
            </w:pPr>
            <w:r>
              <w:rPr>
                <w:rFonts w:eastAsia="Arial Unicode MS"/>
                <w:sz w:val="24"/>
                <w:szCs w:val="24"/>
                <w:bdr w:val="nil"/>
                <w:lang w:eastAsia="lt-LT"/>
              </w:rPr>
              <w:t>Įstatymo 17 str. 1 d.</w:t>
            </w:r>
            <w:r w:rsidR="002D4753">
              <w:rPr>
                <w:rStyle w:val="FootnoteReference"/>
                <w:rFonts w:eastAsia="Arial Unicode MS"/>
                <w:sz w:val="24"/>
                <w:szCs w:val="24"/>
                <w:bdr w:val="nil"/>
                <w:lang w:eastAsia="lt-LT"/>
              </w:rPr>
              <w:footnoteReference w:id="2"/>
            </w:r>
            <w:r w:rsidR="00516F30">
              <w:rPr>
                <w:rFonts w:eastAsia="Arial Unicode MS"/>
                <w:sz w:val="24"/>
                <w:szCs w:val="24"/>
                <w:bdr w:val="nil"/>
                <w:lang w:eastAsia="lt-LT"/>
              </w:rPr>
              <w:t>,</w:t>
            </w:r>
          </w:p>
          <w:p w14:paraId="71A59AA7" w14:textId="021FB6DC" w:rsidR="00516F30" w:rsidRPr="00904C3C" w:rsidRDefault="00516F30" w:rsidP="008D3EBF">
            <w:pPr>
              <w:rPr>
                <w:rFonts w:eastAsia="Arial Unicode MS"/>
                <w:sz w:val="24"/>
                <w:szCs w:val="24"/>
                <w:bdr w:val="nil"/>
                <w:lang w:eastAsia="lt-LT"/>
              </w:rPr>
            </w:pPr>
            <w:r>
              <w:rPr>
                <w:iCs/>
                <w:sz w:val="24"/>
                <w:szCs w:val="24"/>
              </w:rPr>
              <w:t>Įstatymo 17 str. 3 d.</w:t>
            </w:r>
            <w:r>
              <w:rPr>
                <w:rStyle w:val="FootnoteReference"/>
                <w:iCs/>
                <w:sz w:val="24"/>
                <w:szCs w:val="24"/>
              </w:rPr>
              <w:footnoteReference w:id="3"/>
            </w:r>
          </w:p>
        </w:tc>
      </w:tr>
      <w:tr w:rsidR="00CC6BE9" w:rsidRPr="0099149E" w14:paraId="3C97C8B9" w14:textId="77777777" w:rsidTr="008D3EBF">
        <w:tc>
          <w:tcPr>
            <w:tcW w:w="9918" w:type="dxa"/>
            <w:gridSpan w:val="2"/>
            <w:shd w:val="clear" w:color="auto" w:fill="auto"/>
            <w:vAlign w:val="center"/>
          </w:tcPr>
          <w:p w14:paraId="5C5A6D0F" w14:textId="5405ACD4" w:rsidR="00CF07B7" w:rsidRDefault="00BC53ED" w:rsidP="00EB6ED8">
            <w:pPr>
              <w:tabs>
                <w:tab w:val="left" w:pos="22"/>
                <w:tab w:val="left" w:pos="1156"/>
              </w:tabs>
              <w:ind w:firstLine="873"/>
              <w:jc w:val="both"/>
              <w:rPr>
                <w:sz w:val="24"/>
                <w:szCs w:val="24"/>
              </w:rPr>
            </w:pPr>
            <w:r w:rsidRPr="001616C1">
              <w:rPr>
                <w:rFonts w:eastAsia="Arial Unicode MS"/>
                <w:sz w:val="24"/>
                <w:szCs w:val="24"/>
                <w:bdr w:val="nil"/>
                <w:lang w:eastAsia="lt-LT"/>
              </w:rPr>
              <w:t xml:space="preserve">Tarnyba 2019-09-05 gavo Europos socialinio fondo agentūros raštą Nr. ESFS14-2019-01986 (toliau – Raštas), kuriuo </w:t>
            </w:r>
            <w:r w:rsidR="001616C1" w:rsidRPr="001616C1">
              <w:rPr>
                <w:rFonts w:eastAsia="Arial Unicode MS"/>
                <w:sz w:val="24"/>
                <w:szCs w:val="24"/>
                <w:bdr w:val="nil"/>
                <w:lang w:eastAsia="lt-LT"/>
              </w:rPr>
              <w:t xml:space="preserve">prašo </w:t>
            </w:r>
            <w:r w:rsidR="001616C1" w:rsidRPr="001616C1">
              <w:rPr>
                <w:sz w:val="24"/>
                <w:szCs w:val="24"/>
              </w:rPr>
              <w:t>Tarnybos įvertinti Pirkimo procedūrų dokumentus bei pateikti išvadą, ar neišskaidžius Pirkimo objekto į dalis, buvo užtikrinta pakankama tiekėjų konkurencija rinkoje ir tinkamai įgyvendinti viešųjų pirkimų principai</w:t>
            </w:r>
            <w:r w:rsidR="001616C1">
              <w:rPr>
                <w:sz w:val="24"/>
                <w:szCs w:val="24"/>
              </w:rPr>
              <w:t>.</w:t>
            </w:r>
          </w:p>
          <w:p w14:paraId="6B73289C" w14:textId="76D7CAF9" w:rsidR="00E8691E" w:rsidRDefault="00E8691E" w:rsidP="00CF07B7">
            <w:pPr>
              <w:tabs>
                <w:tab w:val="left" w:pos="22"/>
                <w:tab w:val="left" w:pos="1156"/>
              </w:tabs>
              <w:ind w:firstLine="873"/>
              <w:jc w:val="both"/>
              <w:rPr>
                <w:sz w:val="24"/>
                <w:szCs w:val="24"/>
              </w:rPr>
            </w:pPr>
          </w:p>
          <w:p w14:paraId="1678380F" w14:textId="62153D9B" w:rsidR="00E8691E" w:rsidRPr="00890985" w:rsidRDefault="00E8691E" w:rsidP="00890985">
            <w:pPr>
              <w:pStyle w:val="ListParagraph"/>
              <w:numPr>
                <w:ilvl w:val="0"/>
                <w:numId w:val="36"/>
              </w:numPr>
              <w:tabs>
                <w:tab w:val="left" w:pos="22"/>
                <w:tab w:val="left" w:pos="1156"/>
              </w:tabs>
              <w:jc w:val="both"/>
              <w:rPr>
                <w:b/>
                <w:bCs/>
                <w:sz w:val="24"/>
                <w:szCs w:val="24"/>
              </w:rPr>
            </w:pPr>
            <w:r w:rsidRPr="00890985">
              <w:rPr>
                <w:b/>
                <w:bCs/>
                <w:sz w:val="24"/>
                <w:szCs w:val="24"/>
              </w:rPr>
              <w:t>Dėl techninių aspektų.</w:t>
            </w:r>
          </w:p>
          <w:p w14:paraId="1D5545C6" w14:textId="64451F60" w:rsidR="005A6127" w:rsidRDefault="005A6127" w:rsidP="00EB6ED8">
            <w:pPr>
              <w:tabs>
                <w:tab w:val="left" w:pos="22"/>
                <w:tab w:val="left" w:pos="1156"/>
              </w:tabs>
              <w:ind w:firstLine="873"/>
              <w:jc w:val="both"/>
              <w:rPr>
                <w:sz w:val="24"/>
                <w:szCs w:val="24"/>
              </w:rPr>
            </w:pPr>
            <w:r>
              <w:rPr>
                <w:sz w:val="24"/>
                <w:szCs w:val="24"/>
              </w:rPr>
              <w:t>Perkančioji organizacija</w:t>
            </w:r>
            <w:r>
              <w:rPr>
                <w:iCs/>
                <w:sz w:val="24"/>
                <w:szCs w:val="24"/>
              </w:rPr>
              <w:t xml:space="preserve"> p</w:t>
            </w:r>
            <w:r w:rsidRPr="00D11675">
              <w:rPr>
                <w:iCs/>
                <w:sz w:val="24"/>
                <w:szCs w:val="24"/>
              </w:rPr>
              <w:t xml:space="preserve">asirinkimą neskaidyti </w:t>
            </w:r>
            <w:r>
              <w:rPr>
                <w:iCs/>
                <w:sz w:val="24"/>
                <w:szCs w:val="24"/>
              </w:rPr>
              <w:t>Pirkimo</w:t>
            </w:r>
            <w:r w:rsidRPr="00D11675">
              <w:rPr>
                <w:iCs/>
                <w:sz w:val="24"/>
                <w:szCs w:val="24"/>
              </w:rPr>
              <w:t xml:space="preserve"> objekto </w:t>
            </w:r>
            <w:r>
              <w:rPr>
                <w:iCs/>
                <w:sz w:val="24"/>
                <w:szCs w:val="24"/>
              </w:rPr>
              <w:t xml:space="preserve">į </w:t>
            </w:r>
            <w:r w:rsidRPr="00D11675">
              <w:rPr>
                <w:iCs/>
                <w:sz w:val="24"/>
                <w:szCs w:val="24"/>
              </w:rPr>
              <w:t>dalis grind</w:t>
            </w:r>
            <w:r>
              <w:rPr>
                <w:iCs/>
                <w:sz w:val="24"/>
                <w:szCs w:val="24"/>
              </w:rPr>
              <w:t>ė</w:t>
            </w:r>
            <w:r w:rsidRPr="00D11675">
              <w:rPr>
                <w:iCs/>
                <w:sz w:val="24"/>
                <w:szCs w:val="24"/>
              </w:rPr>
              <w:t xml:space="preserve"> </w:t>
            </w:r>
            <w:r w:rsidR="00ED68F5">
              <w:rPr>
                <w:iCs/>
                <w:sz w:val="24"/>
                <w:szCs w:val="24"/>
              </w:rPr>
              <w:t>tuo, kad skaidymas būtų sudėtingas</w:t>
            </w:r>
            <w:r w:rsidRPr="00D11675">
              <w:rPr>
                <w:iCs/>
                <w:sz w:val="24"/>
                <w:szCs w:val="24"/>
              </w:rPr>
              <w:t xml:space="preserve"> </w:t>
            </w:r>
            <w:r w:rsidR="00ED68F5">
              <w:rPr>
                <w:iCs/>
                <w:sz w:val="24"/>
                <w:szCs w:val="24"/>
              </w:rPr>
              <w:t>technologiniu ir funkcionalumo aspektais.</w:t>
            </w:r>
          </w:p>
          <w:p w14:paraId="7812DBBF" w14:textId="4F929B35" w:rsidR="001616C1" w:rsidRPr="00A77B98" w:rsidRDefault="00CF07B7" w:rsidP="00EB6ED8">
            <w:pPr>
              <w:tabs>
                <w:tab w:val="left" w:pos="22"/>
                <w:tab w:val="left" w:pos="1156"/>
              </w:tabs>
              <w:ind w:firstLine="873"/>
              <w:jc w:val="both"/>
              <w:rPr>
                <w:sz w:val="24"/>
                <w:szCs w:val="24"/>
              </w:rPr>
            </w:pPr>
            <w:r>
              <w:rPr>
                <w:sz w:val="24"/>
                <w:szCs w:val="24"/>
              </w:rPr>
              <w:t>Išnagrinėjus Pirkimo dokumentus, darytina išvada</w:t>
            </w:r>
            <w:r w:rsidR="001616C1">
              <w:rPr>
                <w:sz w:val="24"/>
                <w:szCs w:val="24"/>
              </w:rPr>
              <w:t>,</w:t>
            </w:r>
            <w:r>
              <w:rPr>
                <w:sz w:val="24"/>
                <w:szCs w:val="24"/>
              </w:rPr>
              <w:t xml:space="preserve"> kad</w:t>
            </w:r>
            <w:r w:rsidR="001616C1">
              <w:rPr>
                <w:sz w:val="24"/>
                <w:szCs w:val="24"/>
              </w:rPr>
              <w:t xml:space="preserve"> Perkančioji organizacija Pirkimu siekia įsigyti </w:t>
            </w:r>
            <w:r w:rsidR="001616C1">
              <w:rPr>
                <w:iCs/>
                <w:sz w:val="24"/>
                <w:szCs w:val="24"/>
              </w:rPr>
              <w:t>keturis objektus</w:t>
            </w:r>
            <w:r w:rsidR="00A77B98">
              <w:rPr>
                <w:iCs/>
                <w:sz w:val="24"/>
                <w:szCs w:val="24"/>
              </w:rPr>
              <w:t xml:space="preserve"> (techninės specifikacijos 2.1 – 2.4 punktai)</w:t>
            </w:r>
            <w:r w:rsidR="001616C1">
              <w:rPr>
                <w:iCs/>
                <w:sz w:val="24"/>
                <w:szCs w:val="24"/>
              </w:rPr>
              <w:t>:</w:t>
            </w:r>
          </w:p>
          <w:p w14:paraId="06852FF1" w14:textId="77777777" w:rsidR="001616C1" w:rsidRPr="00A50091" w:rsidRDefault="001616C1" w:rsidP="00EB6ED8">
            <w:pPr>
              <w:pStyle w:val="ListParagraph"/>
              <w:numPr>
                <w:ilvl w:val="1"/>
                <w:numId w:val="35"/>
              </w:numPr>
              <w:tabs>
                <w:tab w:val="left" w:pos="22"/>
              </w:tabs>
              <w:ind w:left="0" w:firstLine="873"/>
              <w:contextualSpacing w:val="0"/>
              <w:jc w:val="both"/>
              <w:rPr>
                <w:iCs/>
                <w:sz w:val="24"/>
                <w:szCs w:val="24"/>
              </w:rPr>
            </w:pPr>
            <w:r w:rsidRPr="00A50091">
              <w:rPr>
                <w:iCs/>
                <w:sz w:val="24"/>
                <w:szCs w:val="24"/>
              </w:rPr>
              <w:t>Viešumui teikiamų duomenų svetainės sukūrimas.</w:t>
            </w:r>
          </w:p>
          <w:p w14:paraId="3E8CE646" w14:textId="77777777" w:rsidR="001616C1" w:rsidRDefault="001616C1" w:rsidP="00EB6ED8">
            <w:pPr>
              <w:pStyle w:val="ListParagraph"/>
              <w:numPr>
                <w:ilvl w:val="1"/>
                <w:numId w:val="35"/>
              </w:numPr>
              <w:tabs>
                <w:tab w:val="left" w:pos="22"/>
              </w:tabs>
              <w:ind w:left="0" w:firstLine="873"/>
              <w:contextualSpacing w:val="0"/>
              <w:jc w:val="both"/>
              <w:rPr>
                <w:iCs/>
                <w:sz w:val="24"/>
                <w:szCs w:val="24"/>
              </w:rPr>
            </w:pPr>
            <w:r w:rsidRPr="00A50091">
              <w:rPr>
                <w:iCs/>
                <w:sz w:val="24"/>
                <w:szCs w:val="24"/>
              </w:rPr>
              <w:t>Lietuvos Respublikos institucijų ES reikalų koordinatorių tinklo duomenų bazės sukūrimas.</w:t>
            </w:r>
          </w:p>
          <w:p w14:paraId="7661D313" w14:textId="77777777" w:rsidR="001616C1" w:rsidRDefault="001616C1" w:rsidP="00EB6ED8">
            <w:pPr>
              <w:pStyle w:val="ListParagraph"/>
              <w:numPr>
                <w:ilvl w:val="1"/>
                <w:numId w:val="35"/>
              </w:numPr>
              <w:tabs>
                <w:tab w:val="left" w:pos="22"/>
              </w:tabs>
              <w:ind w:left="0" w:firstLine="873"/>
              <w:contextualSpacing w:val="0"/>
              <w:jc w:val="both"/>
              <w:rPr>
                <w:iCs/>
                <w:sz w:val="24"/>
                <w:szCs w:val="24"/>
              </w:rPr>
            </w:pPr>
            <w:r w:rsidRPr="00A50091">
              <w:rPr>
                <w:iCs/>
                <w:sz w:val="24"/>
                <w:szCs w:val="24"/>
              </w:rPr>
              <w:t>Sąsajų su išorinėmis informacinėmis sistemomis ir registrais sukūrimas per Valstybės informacinių išteklių sąveikumo platformą.</w:t>
            </w:r>
          </w:p>
          <w:p w14:paraId="46B4772F" w14:textId="63260713" w:rsidR="001616C1" w:rsidRDefault="001616C1" w:rsidP="00EB6ED8">
            <w:pPr>
              <w:pStyle w:val="ListParagraph"/>
              <w:numPr>
                <w:ilvl w:val="1"/>
                <w:numId w:val="35"/>
              </w:numPr>
              <w:tabs>
                <w:tab w:val="left" w:pos="22"/>
              </w:tabs>
              <w:ind w:left="0" w:firstLine="873"/>
              <w:contextualSpacing w:val="0"/>
              <w:jc w:val="both"/>
              <w:rPr>
                <w:iCs/>
                <w:sz w:val="24"/>
                <w:szCs w:val="24"/>
              </w:rPr>
            </w:pPr>
            <w:r w:rsidRPr="001616C1">
              <w:rPr>
                <w:iCs/>
                <w:sz w:val="24"/>
                <w:szCs w:val="24"/>
              </w:rPr>
              <w:t>Naujų bendrųjų bei naudotojų administravimui skirtų funkcionalumų, LINESIS patrauklumo reikalavimų diegimas.</w:t>
            </w:r>
          </w:p>
          <w:p w14:paraId="63D6E085" w14:textId="01288538" w:rsidR="00720718" w:rsidRDefault="00CF07B7" w:rsidP="000B47DD">
            <w:pPr>
              <w:tabs>
                <w:tab w:val="left" w:pos="22"/>
              </w:tabs>
              <w:ind w:firstLine="873"/>
              <w:jc w:val="both"/>
              <w:rPr>
                <w:iCs/>
                <w:sz w:val="24"/>
                <w:szCs w:val="24"/>
              </w:rPr>
            </w:pPr>
            <w:r>
              <w:rPr>
                <w:iCs/>
                <w:sz w:val="24"/>
                <w:szCs w:val="24"/>
              </w:rPr>
              <w:t xml:space="preserve">Tarnybos </w:t>
            </w:r>
            <w:r w:rsidR="00EB6ED8">
              <w:rPr>
                <w:iCs/>
                <w:sz w:val="24"/>
                <w:szCs w:val="24"/>
              </w:rPr>
              <w:t xml:space="preserve">vertinimu, 2.1 ir 2.2 </w:t>
            </w:r>
            <w:r w:rsidR="00DF1E7B">
              <w:rPr>
                <w:iCs/>
                <w:sz w:val="24"/>
                <w:szCs w:val="24"/>
              </w:rPr>
              <w:t>punktuose nurodyti</w:t>
            </w:r>
            <w:r w:rsidR="00EB6ED8">
              <w:rPr>
                <w:iCs/>
                <w:sz w:val="24"/>
                <w:szCs w:val="24"/>
              </w:rPr>
              <w:t xml:space="preserve"> </w:t>
            </w:r>
            <w:r w:rsidR="00DF1E7B">
              <w:rPr>
                <w:iCs/>
                <w:sz w:val="24"/>
                <w:szCs w:val="24"/>
              </w:rPr>
              <w:t>objektai</w:t>
            </w:r>
            <w:r w:rsidR="00EB6ED8">
              <w:rPr>
                <w:iCs/>
                <w:sz w:val="24"/>
                <w:szCs w:val="24"/>
              </w:rPr>
              <w:t xml:space="preserve"> techniškai gali būti atskirti nuo</w:t>
            </w:r>
            <w:r w:rsidR="00DF1E7B">
              <w:rPr>
                <w:iCs/>
                <w:sz w:val="24"/>
                <w:szCs w:val="24"/>
              </w:rPr>
              <w:t xml:space="preserve"> nurodytų</w:t>
            </w:r>
            <w:r w:rsidR="00EB6ED8">
              <w:rPr>
                <w:iCs/>
                <w:sz w:val="24"/>
                <w:szCs w:val="24"/>
              </w:rPr>
              <w:t xml:space="preserve"> 2.3 ir 2.4 </w:t>
            </w:r>
            <w:r w:rsidR="00DF1E7B">
              <w:rPr>
                <w:iCs/>
                <w:sz w:val="24"/>
                <w:szCs w:val="24"/>
              </w:rPr>
              <w:t>punktuose</w:t>
            </w:r>
            <w:r w:rsidR="00EB6ED8">
              <w:rPr>
                <w:iCs/>
                <w:sz w:val="24"/>
                <w:szCs w:val="24"/>
              </w:rPr>
              <w:t xml:space="preserve">, o bendros sąsajos suderintos tarp atskirų tiekėjų. </w:t>
            </w:r>
            <w:r w:rsidR="000C4491">
              <w:rPr>
                <w:iCs/>
                <w:sz w:val="24"/>
                <w:szCs w:val="24"/>
              </w:rPr>
              <w:t>Atsižvelgiant į tai, kad</w:t>
            </w:r>
            <w:r w:rsidR="00EB6ED8">
              <w:rPr>
                <w:iCs/>
                <w:sz w:val="24"/>
                <w:szCs w:val="24"/>
              </w:rPr>
              <w:t xml:space="preserve"> 2.1 ir 2.2 </w:t>
            </w:r>
            <w:r w:rsidR="00DF1E7B">
              <w:rPr>
                <w:iCs/>
                <w:sz w:val="24"/>
                <w:szCs w:val="24"/>
              </w:rPr>
              <w:t xml:space="preserve">punktuose nurodyti </w:t>
            </w:r>
            <w:r w:rsidR="00EB6ED8">
              <w:rPr>
                <w:iCs/>
                <w:sz w:val="24"/>
                <w:szCs w:val="24"/>
              </w:rPr>
              <w:t>produktai duomenų tiesiogiai į LINESIS netalpina, duomenų ištraukimo susiderinimas tarp atskirų tiekėjų nėra sudėtingas</w:t>
            </w:r>
            <w:r w:rsidR="000B47DD">
              <w:rPr>
                <w:iCs/>
                <w:sz w:val="24"/>
                <w:szCs w:val="24"/>
              </w:rPr>
              <w:t xml:space="preserve">, todėl </w:t>
            </w:r>
            <w:r w:rsidR="00DF1E7B">
              <w:rPr>
                <w:iCs/>
                <w:sz w:val="24"/>
                <w:szCs w:val="24"/>
              </w:rPr>
              <w:t>Pirkimo skaidymo į dalis atveju net ir laimėjus skirtingiems tiekėjams atskirose Pirkimo dalyse, komunikacijos prasme programavimo komandos turės skirti tiek pat laiko. Tik vienu atveju (visas Pirkimo dalis laimėjus vienam tiekėjui) programavimo komandos bendradarbiautų vieno tiekėjo ribose (arba tiekėjų grupės), kitu atveju – atskirų tiekėjų programavimo komandos</w:t>
            </w:r>
            <w:r w:rsidR="00720718">
              <w:rPr>
                <w:iCs/>
                <w:sz w:val="24"/>
                <w:szCs w:val="24"/>
              </w:rPr>
              <w:t>,</w:t>
            </w:r>
            <w:r w:rsidR="00DF1E7B">
              <w:rPr>
                <w:iCs/>
                <w:sz w:val="24"/>
                <w:szCs w:val="24"/>
              </w:rPr>
              <w:t xml:space="preserve"> priklausomai nuo laimėtos Pirkimo dalies. </w:t>
            </w:r>
            <w:r>
              <w:rPr>
                <w:iCs/>
                <w:sz w:val="24"/>
                <w:szCs w:val="24"/>
              </w:rPr>
              <w:t>Dėl to darytina išvada, kad</w:t>
            </w:r>
            <w:r w:rsidR="00DF1E7B">
              <w:rPr>
                <w:iCs/>
                <w:sz w:val="24"/>
                <w:szCs w:val="24"/>
              </w:rPr>
              <w:t xml:space="preserve"> sąnaudų prasme abi situacijos yra vienodos.</w:t>
            </w:r>
            <w:r w:rsidR="00720718">
              <w:rPr>
                <w:iCs/>
                <w:sz w:val="24"/>
                <w:szCs w:val="24"/>
              </w:rPr>
              <w:t xml:space="preserve"> Kita vertus, akcentuotina, kad Perkančioji organizacija turėtų nustatyti tokias Pirkimo sutarties/sutarčių sąlygas, kad skirtingi tiekėjai</w:t>
            </w:r>
            <w:r w:rsidR="00520908">
              <w:rPr>
                <w:iCs/>
                <w:sz w:val="24"/>
                <w:szCs w:val="24"/>
              </w:rPr>
              <w:t>, teikdami paslaugas pagal atskiras Pirkimo dalis,</w:t>
            </w:r>
            <w:r w:rsidR="00720718">
              <w:rPr>
                <w:iCs/>
                <w:sz w:val="24"/>
                <w:szCs w:val="24"/>
              </w:rPr>
              <w:t xml:space="preserve"> būtų įpareigoti bendradarbiauti tarpusavyje </w:t>
            </w:r>
            <w:r w:rsidR="00520908">
              <w:rPr>
                <w:iCs/>
                <w:sz w:val="24"/>
                <w:szCs w:val="24"/>
              </w:rPr>
              <w:t>ir sąmoningai nesistengtų pakenkti pagal kitos Pirkimo dalies sutartį dirbančiam tiekėjui.</w:t>
            </w:r>
          </w:p>
          <w:p w14:paraId="3AF40C11" w14:textId="4C718C1C" w:rsidR="00E8691E" w:rsidRPr="00890985" w:rsidRDefault="00E8691E" w:rsidP="00890985">
            <w:pPr>
              <w:pStyle w:val="ListParagraph"/>
              <w:numPr>
                <w:ilvl w:val="0"/>
                <w:numId w:val="35"/>
              </w:numPr>
              <w:tabs>
                <w:tab w:val="left" w:pos="22"/>
              </w:tabs>
              <w:jc w:val="both"/>
              <w:rPr>
                <w:b/>
                <w:bCs/>
                <w:iCs/>
                <w:sz w:val="24"/>
                <w:szCs w:val="24"/>
              </w:rPr>
            </w:pPr>
            <w:r w:rsidRPr="00890985">
              <w:rPr>
                <w:b/>
                <w:bCs/>
                <w:iCs/>
                <w:sz w:val="24"/>
                <w:szCs w:val="24"/>
              </w:rPr>
              <w:t>Dėl nustatytų kvalifikacijos reikalavimų.</w:t>
            </w:r>
          </w:p>
          <w:p w14:paraId="7FB21F4C" w14:textId="2377587D" w:rsidR="00720718" w:rsidRDefault="00E8691E" w:rsidP="00EB6ED8">
            <w:pPr>
              <w:tabs>
                <w:tab w:val="left" w:pos="22"/>
              </w:tabs>
              <w:ind w:firstLine="873"/>
              <w:jc w:val="both"/>
              <w:rPr>
                <w:iCs/>
                <w:sz w:val="24"/>
                <w:szCs w:val="24"/>
              </w:rPr>
            </w:pPr>
            <w:r>
              <w:rPr>
                <w:iCs/>
                <w:sz w:val="24"/>
                <w:szCs w:val="24"/>
              </w:rPr>
              <w:t>P</w:t>
            </w:r>
            <w:r w:rsidR="00520908">
              <w:rPr>
                <w:iCs/>
                <w:sz w:val="24"/>
                <w:szCs w:val="24"/>
              </w:rPr>
              <w:t>ažymėtina, kad nustatyti kvalifikacijos reikalavimai yra labiau susieti su LINESIS sistema</w:t>
            </w:r>
            <w:r w:rsidR="00E62963">
              <w:rPr>
                <w:iCs/>
                <w:sz w:val="24"/>
                <w:szCs w:val="24"/>
              </w:rPr>
              <w:t xml:space="preserve">. Dėl to darytina išvada, kad </w:t>
            </w:r>
            <w:r w:rsidR="0035557A">
              <w:rPr>
                <w:iCs/>
                <w:sz w:val="24"/>
                <w:szCs w:val="24"/>
              </w:rPr>
              <w:t xml:space="preserve">neskaidant Pirkimo ir </w:t>
            </w:r>
            <w:r w:rsidR="00E62963">
              <w:rPr>
                <w:iCs/>
                <w:sz w:val="24"/>
                <w:szCs w:val="24"/>
              </w:rPr>
              <w:t>nustatant neproporcingus kvalifikacijos reikalavimus nepagrįstai ribojamos galimybės Pirkime dalyvauti tiems tiekėjams, kurie Pirkimo skaidymo į dalis atveju turėtų galimybę teikti pasiūlymus dėl interneto svetainės sukūrimo paslaugų.</w:t>
            </w:r>
          </w:p>
          <w:p w14:paraId="4381442B" w14:textId="1204D3A2" w:rsidR="00E8691E" w:rsidRPr="00890985" w:rsidRDefault="00E8691E" w:rsidP="00890985">
            <w:pPr>
              <w:pStyle w:val="ListParagraph"/>
              <w:numPr>
                <w:ilvl w:val="0"/>
                <w:numId w:val="35"/>
              </w:numPr>
              <w:tabs>
                <w:tab w:val="left" w:pos="22"/>
              </w:tabs>
              <w:jc w:val="both"/>
              <w:rPr>
                <w:b/>
                <w:bCs/>
                <w:iCs/>
                <w:sz w:val="24"/>
                <w:szCs w:val="24"/>
              </w:rPr>
            </w:pPr>
            <w:r w:rsidRPr="00890985">
              <w:rPr>
                <w:b/>
                <w:bCs/>
                <w:iCs/>
                <w:sz w:val="24"/>
                <w:szCs w:val="24"/>
              </w:rPr>
              <w:t>Dė</w:t>
            </w:r>
            <w:r w:rsidR="008D6B9C">
              <w:rPr>
                <w:b/>
                <w:bCs/>
                <w:iCs/>
                <w:sz w:val="24"/>
                <w:szCs w:val="24"/>
              </w:rPr>
              <w:t>l finansinių aspektų</w:t>
            </w:r>
            <w:r w:rsidR="00072775">
              <w:rPr>
                <w:b/>
                <w:bCs/>
                <w:iCs/>
                <w:sz w:val="24"/>
                <w:szCs w:val="24"/>
              </w:rPr>
              <w:t xml:space="preserve"> ir konkurencijos ribojimo</w:t>
            </w:r>
            <w:r w:rsidRPr="00890985">
              <w:rPr>
                <w:b/>
                <w:bCs/>
                <w:iCs/>
                <w:sz w:val="24"/>
                <w:szCs w:val="24"/>
              </w:rPr>
              <w:t>.</w:t>
            </w:r>
          </w:p>
          <w:p w14:paraId="3F086D31" w14:textId="06E92A45" w:rsidR="00E8691E" w:rsidRDefault="005A6127" w:rsidP="00EB6ED8">
            <w:pPr>
              <w:tabs>
                <w:tab w:val="left" w:pos="22"/>
              </w:tabs>
              <w:ind w:firstLine="873"/>
              <w:jc w:val="both"/>
              <w:rPr>
                <w:sz w:val="24"/>
                <w:szCs w:val="24"/>
              </w:rPr>
            </w:pPr>
            <w:r>
              <w:rPr>
                <w:iCs/>
                <w:sz w:val="24"/>
                <w:szCs w:val="24"/>
              </w:rPr>
              <w:t xml:space="preserve">Perkančioji organizacija taip pat nurodė, kad skaidant Pirkimą į dalis, ji patirtų papildomų išlaidų, susijusių su </w:t>
            </w:r>
            <w:r>
              <w:rPr>
                <w:sz w:val="24"/>
                <w:szCs w:val="24"/>
              </w:rPr>
              <w:t>„&lt;...&gt;</w:t>
            </w:r>
            <w:r w:rsidR="000C5B91">
              <w:rPr>
                <w:sz w:val="24"/>
                <w:szCs w:val="24"/>
              </w:rPr>
              <w:t xml:space="preserve"> </w:t>
            </w:r>
            <w:r>
              <w:rPr>
                <w:sz w:val="24"/>
                <w:szCs w:val="24"/>
              </w:rPr>
              <w:t>dviejų atskirų pirkimų vykdymu, dviejų skirtingų sutarčių administravimu</w:t>
            </w:r>
            <w:r w:rsidRPr="00D868FF">
              <w:rPr>
                <w:sz w:val="24"/>
                <w:szCs w:val="24"/>
              </w:rPr>
              <w:t>,</w:t>
            </w:r>
            <w:r>
              <w:rPr>
                <w:sz w:val="24"/>
                <w:szCs w:val="24"/>
              </w:rPr>
              <w:t xml:space="preserve"> turėtų būti organizuojami</w:t>
            </w:r>
            <w:r w:rsidRPr="00D868FF">
              <w:rPr>
                <w:sz w:val="24"/>
                <w:szCs w:val="24"/>
              </w:rPr>
              <w:t xml:space="preserve"> atskiri mokymai naudotojams</w:t>
            </w:r>
            <w:r>
              <w:rPr>
                <w:sz w:val="24"/>
                <w:szCs w:val="24"/>
              </w:rPr>
              <w:t>, posistemės negalėtų būti kuriamos ir modernizuojamos lygiagrečiai“.</w:t>
            </w:r>
          </w:p>
          <w:p w14:paraId="48C6CB0A" w14:textId="3CF68FAE" w:rsidR="00C208AA" w:rsidRDefault="000C5B91">
            <w:pPr>
              <w:tabs>
                <w:tab w:val="left" w:pos="22"/>
              </w:tabs>
              <w:ind w:firstLine="873"/>
              <w:jc w:val="both"/>
              <w:rPr>
                <w:iCs/>
                <w:sz w:val="24"/>
                <w:szCs w:val="24"/>
              </w:rPr>
            </w:pPr>
            <w:r>
              <w:rPr>
                <w:iCs/>
                <w:sz w:val="24"/>
                <w:szCs w:val="24"/>
              </w:rPr>
              <w:lastRenderedPageBreak/>
              <w:t xml:space="preserve">Kaip jau minėta prieš tai, Perkančioji organizacija skaidydama Pirkimą į dalis, papildomų sąnaudų nepatirtų, netgi atvirkščiai – būtent dėl Pirkimo neskaidymo į dalis Perkančioji organizacija negavo konkurencingų pasiūlymų. Tai patvirtina ir tas faktas, kad Pirkime pasiūlymą pateikė vienintelis tiekėjas. Tarnybos </w:t>
            </w:r>
            <w:r w:rsidR="00CF07B7">
              <w:rPr>
                <w:iCs/>
                <w:sz w:val="24"/>
                <w:szCs w:val="24"/>
              </w:rPr>
              <w:t>nuomone</w:t>
            </w:r>
            <w:r>
              <w:rPr>
                <w:iCs/>
                <w:sz w:val="24"/>
                <w:szCs w:val="24"/>
              </w:rPr>
              <w:t xml:space="preserve">, </w:t>
            </w:r>
            <w:r w:rsidRPr="00C208AA">
              <w:rPr>
                <w:iCs/>
                <w:sz w:val="24"/>
                <w:szCs w:val="24"/>
              </w:rPr>
              <w:t>n</w:t>
            </w:r>
            <w:r w:rsidRPr="00890985">
              <w:rPr>
                <w:iCs/>
                <w:sz w:val="24"/>
                <w:szCs w:val="24"/>
              </w:rPr>
              <w:t xml:space="preserve">eskaidant Pirkimo į dalis, pasiūlymą teikiantis tiekėjas </w:t>
            </w:r>
            <w:r w:rsidR="00487A5A">
              <w:rPr>
                <w:iCs/>
                <w:sz w:val="24"/>
                <w:szCs w:val="24"/>
              </w:rPr>
              <w:t>galimai žinojo</w:t>
            </w:r>
            <w:r w:rsidRPr="00890985">
              <w:rPr>
                <w:iCs/>
                <w:sz w:val="24"/>
                <w:szCs w:val="24"/>
              </w:rPr>
              <w:t xml:space="preserve">, kad konkurencijos nebus </w:t>
            </w:r>
            <w:r w:rsidRPr="00890985">
              <w:rPr>
                <w:sz w:val="24"/>
                <w:szCs w:val="24"/>
              </w:rPr>
              <w:t>(arba bus labai maža), todėl</w:t>
            </w:r>
            <w:r w:rsidR="00487A5A">
              <w:rPr>
                <w:sz w:val="24"/>
                <w:szCs w:val="24"/>
              </w:rPr>
              <w:t>, tikėtina,</w:t>
            </w:r>
            <w:r w:rsidR="00064D40">
              <w:rPr>
                <w:sz w:val="24"/>
                <w:szCs w:val="24"/>
              </w:rPr>
              <w:t xml:space="preserve"> </w:t>
            </w:r>
            <w:r w:rsidRPr="00890985">
              <w:rPr>
                <w:sz w:val="24"/>
                <w:szCs w:val="24"/>
              </w:rPr>
              <w:t xml:space="preserve">tikslingai </w:t>
            </w:r>
            <w:r w:rsidRPr="00890985">
              <w:rPr>
                <w:iCs/>
                <w:sz w:val="24"/>
                <w:szCs w:val="24"/>
              </w:rPr>
              <w:t>siūl</w:t>
            </w:r>
            <w:r w:rsidR="00487A5A">
              <w:rPr>
                <w:iCs/>
                <w:sz w:val="24"/>
                <w:szCs w:val="24"/>
              </w:rPr>
              <w:t>ė</w:t>
            </w:r>
            <w:r w:rsidRPr="00890985">
              <w:rPr>
                <w:iCs/>
                <w:sz w:val="24"/>
                <w:szCs w:val="24"/>
              </w:rPr>
              <w:t xml:space="preserve"> aukščiausią, sąnaudomis nepagrįstą, kainą</w:t>
            </w:r>
            <w:r w:rsidRPr="00C208AA">
              <w:rPr>
                <w:iCs/>
                <w:sz w:val="24"/>
                <w:szCs w:val="24"/>
              </w:rPr>
              <w:t>.</w:t>
            </w:r>
            <w:r w:rsidR="00C208AA">
              <w:rPr>
                <w:iCs/>
                <w:sz w:val="24"/>
                <w:szCs w:val="24"/>
              </w:rPr>
              <w:t xml:space="preserve"> Dėl to darytina išvada, kad</w:t>
            </w:r>
            <w:r w:rsidR="001A2B7E">
              <w:rPr>
                <w:iCs/>
                <w:sz w:val="24"/>
                <w:szCs w:val="24"/>
              </w:rPr>
              <w:t>,</w:t>
            </w:r>
            <w:r w:rsidR="00C208AA">
              <w:rPr>
                <w:iCs/>
                <w:sz w:val="24"/>
                <w:szCs w:val="24"/>
              </w:rPr>
              <w:t xml:space="preserve"> apribojusi tiekėjų konkurenciją</w:t>
            </w:r>
            <w:r w:rsidR="001A2B7E">
              <w:rPr>
                <w:iCs/>
                <w:sz w:val="24"/>
                <w:szCs w:val="24"/>
              </w:rPr>
              <w:t>,</w:t>
            </w:r>
            <w:r w:rsidR="00C208AA">
              <w:rPr>
                <w:iCs/>
                <w:sz w:val="24"/>
                <w:szCs w:val="24"/>
              </w:rPr>
              <w:t xml:space="preserve"> Perkančioji organizacija Pirkimui skirtas lėšas galimai panaudojo neracionaliai. </w:t>
            </w:r>
          </w:p>
          <w:p w14:paraId="2D48222E" w14:textId="532CA280" w:rsidR="00520908" w:rsidRDefault="00520908" w:rsidP="00EB6ED8">
            <w:pPr>
              <w:tabs>
                <w:tab w:val="left" w:pos="22"/>
              </w:tabs>
              <w:ind w:firstLine="873"/>
              <w:jc w:val="both"/>
              <w:rPr>
                <w:iCs/>
                <w:sz w:val="24"/>
                <w:szCs w:val="24"/>
              </w:rPr>
            </w:pPr>
            <w:r>
              <w:rPr>
                <w:iCs/>
                <w:sz w:val="24"/>
                <w:szCs w:val="24"/>
              </w:rPr>
              <w:t>Atsižvelgiant į aukščiau išdėstytą</w:t>
            </w:r>
            <w:r w:rsidR="00265354">
              <w:rPr>
                <w:iCs/>
                <w:sz w:val="24"/>
                <w:szCs w:val="24"/>
              </w:rPr>
              <w:t xml:space="preserve"> bei Rašte ir jo prieduose pateiktą informaciją</w:t>
            </w:r>
            <w:r>
              <w:rPr>
                <w:iCs/>
                <w:sz w:val="24"/>
                <w:szCs w:val="24"/>
              </w:rPr>
              <w:t>, Tarnyba konstatuoja, kad Perkančioji organizacija</w:t>
            </w:r>
            <w:r w:rsidR="00260B9E">
              <w:rPr>
                <w:iCs/>
                <w:sz w:val="24"/>
                <w:szCs w:val="24"/>
              </w:rPr>
              <w:t xml:space="preserve"> p</w:t>
            </w:r>
            <w:r w:rsidR="00D11675" w:rsidRPr="00D11675">
              <w:rPr>
                <w:iCs/>
                <w:sz w:val="24"/>
                <w:szCs w:val="24"/>
              </w:rPr>
              <w:t xml:space="preserve">asirinkimą neskaidyti </w:t>
            </w:r>
            <w:r w:rsidR="00D11675">
              <w:rPr>
                <w:iCs/>
                <w:sz w:val="24"/>
                <w:szCs w:val="24"/>
              </w:rPr>
              <w:t>Pirkimo</w:t>
            </w:r>
            <w:r w:rsidR="00D11675" w:rsidRPr="00D11675">
              <w:rPr>
                <w:iCs/>
                <w:sz w:val="24"/>
                <w:szCs w:val="24"/>
              </w:rPr>
              <w:t xml:space="preserve"> objekto </w:t>
            </w:r>
            <w:r w:rsidR="00D11675">
              <w:rPr>
                <w:iCs/>
                <w:sz w:val="24"/>
                <w:szCs w:val="24"/>
              </w:rPr>
              <w:t xml:space="preserve">į </w:t>
            </w:r>
            <w:r w:rsidR="00D11675" w:rsidRPr="00D11675">
              <w:rPr>
                <w:iCs/>
                <w:sz w:val="24"/>
                <w:szCs w:val="24"/>
              </w:rPr>
              <w:t>dalis iš esmė</w:t>
            </w:r>
            <w:r w:rsidR="00D11675">
              <w:rPr>
                <w:iCs/>
                <w:sz w:val="24"/>
                <w:szCs w:val="24"/>
              </w:rPr>
              <w:t>s</w:t>
            </w:r>
            <w:r w:rsidR="00D11675" w:rsidRPr="00D11675">
              <w:rPr>
                <w:iCs/>
                <w:sz w:val="24"/>
                <w:szCs w:val="24"/>
              </w:rPr>
              <w:t xml:space="preserve"> grind</w:t>
            </w:r>
            <w:r w:rsidR="00D11675">
              <w:rPr>
                <w:iCs/>
                <w:sz w:val="24"/>
                <w:szCs w:val="24"/>
              </w:rPr>
              <w:t>ė</w:t>
            </w:r>
            <w:r w:rsidR="00D11675" w:rsidRPr="00D11675">
              <w:rPr>
                <w:iCs/>
                <w:sz w:val="24"/>
                <w:szCs w:val="24"/>
              </w:rPr>
              <w:t xml:space="preserve"> tik sudėtingesniu sutarties techniniu vykdymu</w:t>
            </w:r>
            <w:r w:rsidR="00781570">
              <w:rPr>
                <w:iCs/>
                <w:sz w:val="24"/>
                <w:szCs w:val="24"/>
              </w:rPr>
              <w:t>,</w:t>
            </w:r>
            <w:r w:rsidR="00D11675" w:rsidRPr="00D11675">
              <w:rPr>
                <w:iCs/>
                <w:sz w:val="24"/>
                <w:szCs w:val="24"/>
              </w:rPr>
              <w:t xml:space="preserve"> kelių tiekėjų koordinavimu</w:t>
            </w:r>
            <w:r w:rsidR="00781570">
              <w:rPr>
                <w:iCs/>
                <w:sz w:val="24"/>
                <w:szCs w:val="24"/>
              </w:rPr>
              <w:t xml:space="preserve"> ir finansine, administracine našta</w:t>
            </w:r>
            <w:r w:rsidR="00D11675">
              <w:rPr>
                <w:iCs/>
                <w:sz w:val="24"/>
                <w:szCs w:val="24"/>
              </w:rPr>
              <w:t>, todėl</w:t>
            </w:r>
            <w:r>
              <w:rPr>
                <w:iCs/>
                <w:sz w:val="24"/>
                <w:szCs w:val="24"/>
              </w:rPr>
              <w:t xml:space="preserve"> </w:t>
            </w:r>
            <w:r w:rsidR="00511850">
              <w:rPr>
                <w:iCs/>
                <w:sz w:val="24"/>
                <w:szCs w:val="24"/>
              </w:rPr>
              <w:t xml:space="preserve">objektyviai nepagrindė Pirkimo objekto neskaidymo į dalis, kaip reikalaujama Įstatymo 28 str. 2 d., todėl </w:t>
            </w:r>
            <w:r>
              <w:rPr>
                <w:iCs/>
                <w:sz w:val="24"/>
                <w:szCs w:val="24"/>
              </w:rPr>
              <w:t>pažeidė Įstatymo 28 str. 1 d.</w:t>
            </w:r>
            <w:r w:rsidR="00511850">
              <w:rPr>
                <w:iCs/>
                <w:sz w:val="24"/>
                <w:szCs w:val="24"/>
              </w:rPr>
              <w:t>, tokiu būdu apribojo tiekėjų konkurenciją</w:t>
            </w:r>
            <w:r w:rsidR="000C4491">
              <w:rPr>
                <w:iCs/>
                <w:sz w:val="24"/>
                <w:szCs w:val="24"/>
              </w:rPr>
              <w:t>, pažeisdama Įstatymo 17 str. 3 d.,</w:t>
            </w:r>
            <w:r w:rsidR="002D4753">
              <w:rPr>
                <w:iCs/>
                <w:sz w:val="24"/>
                <w:szCs w:val="24"/>
              </w:rPr>
              <w:t xml:space="preserve"> </w:t>
            </w:r>
            <w:r w:rsidR="003D1ED0">
              <w:rPr>
                <w:iCs/>
                <w:sz w:val="24"/>
                <w:szCs w:val="24"/>
              </w:rPr>
              <w:t>ir</w:t>
            </w:r>
            <w:r w:rsidR="001E1DDC">
              <w:rPr>
                <w:iCs/>
                <w:sz w:val="24"/>
                <w:szCs w:val="24"/>
              </w:rPr>
              <w:t>,</w:t>
            </w:r>
            <w:r w:rsidR="003D1ED0">
              <w:rPr>
                <w:iCs/>
                <w:sz w:val="24"/>
                <w:szCs w:val="24"/>
              </w:rPr>
              <w:t xml:space="preserve"> galimai</w:t>
            </w:r>
            <w:r w:rsidR="001E1DDC">
              <w:rPr>
                <w:iCs/>
                <w:sz w:val="24"/>
                <w:szCs w:val="24"/>
              </w:rPr>
              <w:t>,</w:t>
            </w:r>
            <w:r w:rsidR="003D1ED0">
              <w:rPr>
                <w:iCs/>
                <w:sz w:val="24"/>
                <w:szCs w:val="24"/>
              </w:rPr>
              <w:t xml:space="preserve"> Pirkimui skirtas lėšas panaudojo neracionaliai</w:t>
            </w:r>
            <w:r w:rsidR="001E1DDC">
              <w:rPr>
                <w:iCs/>
                <w:sz w:val="24"/>
                <w:szCs w:val="24"/>
              </w:rPr>
              <w:t>, taip pat</w:t>
            </w:r>
            <w:r w:rsidR="00511850">
              <w:rPr>
                <w:iCs/>
                <w:sz w:val="24"/>
                <w:szCs w:val="24"/>
              </w:rPr>
              <w:t xml:space="preserve"> pažeidė Įstatymo</w:t>
            </w:r>
            <w:r>
              <w:rPr>
                <w:iCs/>
                <w:sz w:val="24"/>
                <w:szCs w:val="24"/>
              </w:rPr>
              <w:t xml:space="preserve"> 17 str. 1 d. įtvirtintą skaidrumo</w:t>
            </w:r>
            <w:r w:rsidR="00D12F62">
              <w:rPr>
                <w:iCs/>
                <w:sz w:val="24"/>
                <w:szCs w:val="24"/>
              </w:rPr>
              <w:t xml:space="preserve"> principą.</w:t>
            </w:r>
          </w:p>
          <w:p w14:paraId="1C0D12D2" w14:textId="3E788E08" w:rsidR="00BC53ED" w:rsidRPr="00780851" w:rsidRDefault="00BC53ED" w:rsidP="00703F4E">
            <w:pPr>
              <w:tabs>
                <w:tab w:val="left" w:pos="22"/>
                <w:tab w:val="left" w:pos="1156"/>
              </w:tabs>
              <w:jc w:val="both"/>
              <w:rPr>
                <w:rFonts w:eastAsia="Arial Unicode MS"/>
                <w:sz w:val="24"/>
                <w:szCs w:val="24"/>
                <w:bdr w:val="nil"/>
                <w:lang w:eastAsia="lt-LT"/>
              </w:rPr>
            </w:pPr>
          </w:p>
        </w:tc>
      </w:tr>
    </w:tbl>
    <w:p w14:paraId="57A32F8B" w14:textId="77777777" w:rsidR="00CE0F07" w:rsidRPr="001372F6" w:rsidRDefault="00CE0F07" w:rsidP="0088148E">
      <w:pPr>
        <w:jc w:val="center"/>
        <w:rPr>
          <w:rFonts w:eastAsia="Calibri"/>
          <w:b/>
          <w:sz w:val="24"/>
          <w:szCs w:val="24"/>
        </w:rPr>
      </w:pPr>
    </w:p>
    <w:p w14:paraId="1FFFED4F" w14:textId="77777777" w:rsidR="0088148E" w:rsidRPr="001372F6" w:rsidRDefault="001372F6" w:rsidP="00DB5DAD">
      <w:pPr>
        <w:jc w:val="center"/>
        <w:rPr>
          <w:b/>
          <w:bCs/>
          <w:color w:val="000000"/>
          <w:sz w:val="24"/>
          <w:szCs w:val="24"/>
        </w:rPr>
      </w:pPr>
      <w:r w:rsidRPr="001372F6">
        <w:rPr>
          <w:b/>
          <w:bCs/>
          <w:color w:val="000000"/>
          <w:sz w:val="24"/>
          <w:szCs w:val="24"/>
        </w:rPr>
        <w:t>III dalis. Kiti nustatyti pažeidimai</w:t>
      </w:r>
    </w:p>
    <w:p w14:paraId="383FC02C" w14:textId="77777777" w:rsidR="001372F6" w:rsidRPr="001372F6" w:rsidRDefault="001372F6" w:rsidP="0088148E">
      <w:pPr>
        <w:jc w:val="center"/>
        <w:rPr>
          <w:rFonts w:eastAsia="Calibri"/>
          <w:b/>
          <w:sz w:val="24"/>
          <w:szCs w:val="24"/>
        </w:rPr>
      </w:pPr>
    </w:p>
    <w:tbl>
      <w:tblPr>
        <w:tblW w:w="9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9323"/>
      </w:tblGrid>
      <w:tr w:rsidR="00CB04A1" w:rsidRPr="001372F6" w14:paraId="3D5AD1F4" w14:textId="77777777" w:rsidTr="00EF7C5F">
        <w:tc>
          <w:tcPr>
            <w:tcW w:w="421" w:type="dxa"/>
            <w:shd w:val="clear" w:color="auto" w:fill="auto"/>
            <w:vAlign w:val="center"/>
          </w:tcPr>
          <w:p w14:paraId="00BC34F9" w14:textId="77777777" w:rsidR="0088148E" w:rsidRPr="001372F6" w:rsidRDefault="0088148E" w:rsidP="00601D8F">
            <w:pPr>
              <w:numPr>
                <w:ilvl w:val="0"/>
                <w:numId w:val="19"/>
              </w:numPr>
              <w:tabs>
                <w:tab w:val="left" w:pos="0"/>
              </w:tabs>
              <w:spacing w:after="160" w:line="259" w:lineRule="auto"/>
              <w:ind w:left="0" w:right="172" w:firstLine="29"/>
              <w:contextualSpacing/>
              <w:jc w:val="center"/>
              <w:rPr>
                <w:rFonts w:eastAsia="Calibri"/>
                <w:sz w:val="24"/>
                <w:szCs w:val="24"/>
              </w:rPr>
            </w:pPr>
          </w:p>
        </w:tc>
        <w:tc>
          <w:tcPr>
            <w:tcW w:w="9323" w:type="dxa"/>
            <w:shd w:val="clear" w:color="auto" w:fill="auto"/>
          </w:tcPr>
          <w:p w14:paraId="4F48F7E4" w14:textId="69C19DF8" w:rsidR="0088148E" w:rsidRPr="001372F6" w:rsidRDefault="0088148E" w:rsidP="0088148E">
            <w:pPr>
              <w:tabs>
                <w:tab w:val="left" w:pos="993"/>
              </w:tabs>
              <w:jc w:val="both"/>
              <w:rPr>
                <w:bCs/>
                <w:sz w:val="24"/>
                <w:szCs w:val="24"/>
              </w:rPr>
            </w:pPr>
          </w:p>
        </w:tc>
      </w:tr>
      <w:tr w:rsidR="00CB04A1" w:rsidRPr="001372F6" w14:paraId="760002AB" w14:textId="77777777" w:rsidTr="00EF7C5F">
        <w:tc>
          <w:tcPr>
            <w:tcW w:w="9744" w:type="dxa"/>
            <w:gridSpan w:val="2"/>
            <w:shd w:val="clear" w:color="auto" w:fill="auto"/>
            <w:vAlign w:val="center"/>
          </w:tcPr>
          <w:p w14:paraId="603540B3" w14:textId="00342398" w:rsidR="002E480C" w:rsidRPr="001372F6" w:rsidRDefault="002E480C" w:rsidP="002E480C">
            <w:pPr>
              <w:tabs>
                <w:tab w:val="left" w:pos="993"/>
              </w:tabs>
              <w:ind w:firstLine="731"/>
              <w:jc w:val="both"/>
              <w:rPr>
                <w:sz w:val="24"/>
                <w:szCs w:val="24"/>
              </w:rPr>
            </w:pPr>
          </w:p>
        </w:tc>
      </w:tr>
    </w:tbl>
    <w:p w14:paraId="4050BCED" w14:textId="77777777" w:rsidR="00F62B6A" w:rsidRPr="001372F6" w:rsidRDefault="00F62B6A" w:rsidP="0088148E">
      <w:pPr>
        <w:jc w:val="center"/>
        <w:rPr>
          <w:rFonts w:eastAsia="Calibri"/>
          <w:b/>
          <w:sz w:val="24"/>
          <w:szCs w:val="24"/>
        </w:rPr>
      </w:pPr>
    </w:p>
    <w:p w14:paraId="5751CB6F" w14:textId="057A01F5" w:rsidR="0088148E" w:rsidRPr="001372F6" w:rsidRDefault="001372F6" w:rsidP="00DB5DAD">
      <w:pPr>
        <w:tabs>
          <w:tab w:val="left" w:pos="993"/>
        </w:tabs>
        <w:jc w:val="center"/>
        <w:rPr>
          <w:b/>
          <w:bCs/>
          <w:color w:val="000000"/>
          <w:sz w:val="24"/>
          <w:szCs w:val="24"/>
        </w:rPr>
      </w:pPr>
      <w:r w:rsidRPr="001372F6">
        <w:rPr>
          <w:b/>
          <w:bCs/>
          <w:color w:val="000000"/>
          <w:sz w:val="24"/>
          <w:szCs w:val="24"/>
        </w:rPr>
        <w:t>IV dalis. Sprendimas</w:t>
      </w:r>
    </w:p>
    <w:p w14:paraId="77F656E2" w14:textId="77777777" w:rsidR="001372F6" w:rsidRDefault="001372F6" w:rsidP="001372F6">
      <w:pPr>
        <w:tabs>
          <w:tab w:val="left" w:pos="993"/>
        </w:tabs>
        <w:ind w:firstLine="709"/>
        <w:jc w:val="center"/>
        <w:rPr>
          <w:rFonts w:eastAsia="Calibri"/>
          <w:bCs/>
          <w:sz w:val="24"/>
          <w:szCs w:val="24"/>
        </w:rPr>
      </w:pPr>
    </w:p>
    <w:tbl>
      <w:tblPr>
        <w:tblStyle w:val="TableGrid"/>
        <w:tblW w:w="0" w:type="auto"/>
        <w:tblLook w:val="04A0" w:firstRow="1" w:lastRow="0" w:firstColumn="1" w:lastColumn="0" w:noHBand="0" w:noVBand="1"/>
      </w:tblPr>
      <w:tblGrid>
        <w:gridCol w:w="9629"/>
      </w:tblGrid>
      <w:tr w:rsidR="00BB78DE" w14:paraId="19F3F149" w14:textId="77777777" w:rsidTr="00BB78DE">
        <w:tc>
          <w:tcPr>
            <w:tcW w:w="9629" w:type="dxa"/>
          </w:tcPr>
          <w:p w14:paraId="6C3379F0" w14:textId="5A51BA38" w:rsidR="000C4491" w:rsidRDefault="000C4491" w:rsidP="002D3BBF">
            <w:pPr>
              <w:tabs>
                <w:tab w:val="left" w:pos="-142"/>
                <w:tab w:val="left" w:pos="284"/>
              </w:tabs>
              <w:ind w:firstLine="873"/>
              <w:jc w:val="both"/>
              <w:rPr>
                <w:rFonts w:eastAsia="Calibri"/>
                <w:bCs/>
                <w:sz w:val="24"/>
                <w:szCs w:val="24"/>
              </w:rPr>
            </w:pPr>
            <w:r>
              <w:rPr>
                <w:rFonts w:eastAsia="Calibri"/>
                <w:bCs/>
                <w:sz w:val="24"/>
                <w:szCs w:val="24"/>
              </w:rPr>
              <w:t>Atsižvelgiant į išdėstytą, darytina išvada, kad Perkančioji organizacija privalėjo skaidyti Pirkimo objektą į dalis, o to nepadariusi, pažeidė Įstatymo 28 str. 2 d.</w:t>
            </w:r>
            <w:r w:rsidR="00387ED7">
              <w:rPr>
                <w:rFonts w:eastAsia="Calibri"/>
                <w:bCs/>
                <w:sz w:val="24"/>
                <w:szCs w:val="24"/>
              </w:rPr>
              <w:t>,</w:t>
            </w:r>
            <w:r>
              <w:rPr>
                <w:rFonts w:eastAsia="Calibri"/>
                <w:bCs/>
                <w:sz w:val="24"/>
                <w:szCs w:val="24"/>
              </w:rPr>
              <w:t xml:space="preserve"> 17 str. 1 </w:t>
            </w:r>
            <w:r w:rsidR="00387ED7">
              <w:rPr>
                <w:rFonts w:eastAsia="Calibri"/>
                <w:bCs/>
                <w:sz w:val="24"/>
                <w:szCs w:val="24"/>
              </w:rPr>
              <w:t>ir 3 d.</w:t>
            </w:r>
          </w:p>
          <w:p w14:paraId="7FAF8B08" w14:textId="5595BAFE" w:rsidR="006B5CBC" w:rsidRPr="0088148E" w:rsidRDefault="006B5CBC" w:rsidP="002D3BBF">
            <w:pPr>
              <w:tabs>
                <w:tab w:val="left" w:pos="-142"/>
                <w:tab w:val="left" w:pos="284"/>
              </w:tabs>
              <w:ind w:firstLine="873"/>
              <w:jc w:val="both"/>
              <w:rPr>
                <w:rFonts w:eastAsia="Calibri"/>
                <w:sz w:val="24"/>
                <w:szCs w:val="24"/>
              </w:rPr>
            </w:pPr>
            <w:r w:rsidRPr="00904C3C">
              <w:rPr>
                <w:rFonts w:eastAsia="Calibri"/>
                <w:bCs/>
                <w:sz w:val="24"/>
                <w:szCs w:val="24"/>
              </w:rPr>
              <w:t>Vadovaujantis Lietuvos Respublikos administracinių bylų teisenos įstatymo 5 ir 17 straipsniais, nesutikę su Tarnybos išvada, Jūs galite ją apskųsti teismui šio įstatymo nustatyta tvarka.</w:t>
            </w:r>
          </w:p>
          <w:p w14:paraId="0C75B02A" w14:textId="77777777" w:rsidR="009976FC" w:rsidRDefault="009976FC" w:rsidP="006B5CBC">
            <w:pPr>
              <w:tabs>
                <w:tab w:val="left" w:pos="993"/>
              </w:tabs>
              <w:jc w:val="both"/>
              <w:rPr>
                <w:rFonts w:eastAsia="Calibri"/>
                <w:bCs/>
                <w:sz w:val="24"/>
                <w:szCs w:val="24"/>
              </w:rPr>
            </w:pPr>
          </w:p>
        </w:tc>
      </w:tr>
    </w:tbl>
    <w:p w14:paraId="3E7C2F92" w14:textId="77777777" w:rsidR="00BB78DE" w:rsidRPr="001372F6" w:rsidRDefault="00BB78DE" w:rsidP="003B4E5E">
      <w:pPr>
        <w:tabs>
          <w:tab w:val="left" w:pos="993"/>
        </w:tabs>
        <w:jc w:val="center"/>
        <w:rPr>
          <w:rFonts w:eastAsia="Calibri"/>
          <w:bCs/>
          <w:sz w:val="24"/>
          <w:szCs w:val="24"/>
        </w:rPr>
      </w:pPr>
    </w:p>
    <w:p w14:paraId="3D39DAC4" w14:textId="77777777" w:rsidR="00BB78DE" w:rsidRDefault="00BB78DE" w:rsidP="00DB5DAD">
      <w:pPr>
        <w:tabs>
          <w:tab w:val="left" w:pos="-142"/>
          <w:tab w:val="left" w:pos="284"/>
        </w:tabs>
        <w:jc w:val="center"/>
        <w:rPr>
          <w:b/>
          <w:bCs/>
          <w:color w:val="000000"/>
          <w:sz w:val="24"/>
          <w:szCs w:val="24"/>
        </w:rPr>
      </w:pPr>
      <w:r w:rsidRPr="00BB78DE">
        <w:rPr>
          <w:b/>
          <w:bCs/>
          <w:color w:val="000000"/>
          <w:sz w:val="24"/>
          <w:szCs w:val="24"/>
        </w:rPr>
        <w:t>Pastabos</w:t>
      </w:r>
    </w:p>
    <w:p w14:paraId="6F8A6C2A" w14:textId="77777777" w:rsidR="00BB78DE" w:rsidRDefault="00BB78DE" w:rsidP="00BB78DE">
      <w:pPr>
        <w:tabs>
          <w:tab w:val="left" w:pos="-142"/>
          <w:tab w:val="left" w:pos="284"/>
        </w:tabs>
        <w:jc w:val="center"/>
        <w:rPr>
          <w:b/>
          <w:bCs/>
          <w:color w:val="000000"/>
          <w:sz w:val="24"/>
          <w:szCs w:val="24"/>
        </w:rPr>
      </w:pPr>
    </w:p>
    <w:tbl>
      <w:tblPr>
        <w:tblStyle w:val="TableGrid"/>
        <w:tblW w:w="0" w:type="auto"/>
        <w:tblLook w:val="04A0" w:firstRow="1" w:lastRow="0" w:firstColumn="1" w:lastColumn="0" w:noHBand="0" w:noVBand="1"/>
      </w:tblPr>
      <w:tblGrid>
        <w:gridCol w:w="9629"/>
      </w:tblGrid>
      <w:tr w:rsidR="00BB78DE" w14:paraId="21FA281B" w14:textId="77777777" w:rsidTr="00BB78DE">
        <w:tc>
          <w:tcPr>
            <w:tcW w:w="9629" w:type="dxa"/>
          </w:tcPr>
          <w:p w14:paraId="170E7DBB" w14:textId="3F81C42C" w:rsidR="006D428D" w:rsidRPr="00CE1ECD" w:rsidRDefault="006D428D" w:rsidP="007F4FCB">
            <w:pPr>
              <w:tabs>
                <w:tab w:val="left" w:pos="0"/>
                <w:tab w:val="left" w:pos="1156"/>
              </w:tabs>
              <w:ind w:left="22" w:firstLine="851"/>
              <w:jc w:val="both"/>
              <w:rPr>
                <w:rFonts w:eastAsia="Calibri"/>
                <w:bCs/>
                <w:sz w:val="24"/>
                <w:szCs w:val="24"/>
              </w:rPr>
            </w:pPr>
          </w:p>
        </w:tc>
      </w:tr>
    </w:tbl>
    <w:p w14:paraId="14E15DFE" w14:textId="1249049C" w:rsidR="00BB78DE" w:rsidRDefault="00BB78DE" w:rsidP="00BB78DE">
      <w:pPr>
        <w:tabs>
          <w:tab w:val="left" w:pos="-142"/>
          <w:tab w:val="left" w:pos="284"/>
        </w:tabs>
        <w:jc w:val="center"/>
        <w:rPr>
          <w:rFonts w:eastAsia="Calibri"/>
          <w:bCs/>
          <w:sz w:val="24"/>
          <w:szCs w:val="24"/>
        </w:rPr>
      </w:pPr>
    </w:p>
    <w:p w14:paraId="2C6B5E3C" w14:textId="77777777" w:rsidR="00CC0DE3" w:rsidRDefault="00CC0DE3" w:rsidP="00CC0DE3">
      <w:pPr>
        <w:tabs>
          <w:tab w:val="left" w:pos="-142"/>
          <w:tab w:val="left" w:pos="284"/>
        </w:tabs>
        <w:jc w:val="center"/>
        <w:rPr>
          <w:rFonts w:eastAsia="Calibri"/>
          <w:bCs/>
          <w:sz w:val="24"/>
          <w:szCs w:val="24"/>
        </w:rPr>
      </w:pPr>
    </w:p>
    <w:p w14:paraId="75133A82" w14:textId="77777777" w:rsidR="00CC0DE3" w:rsidRDefault="00CC0DE3" w:rsidP="00CC0DE3">
      <w:pPr>
        <w:tabs>
          <w:tab w:val="left" w:pos="-142"/>
          <w:tab w:val="left" w:pos="284"/>
        </w:tabs>
        <w:jc w:val="center"/>
        <w:rPr>
          <w:rFonts w:eastAsia="Calibri"/>
          <w:bCs/>
          <w:sz w:val="24"/>
          <w:szCs w:val="24"/>
        </w:rPr>
      </w:pPr>
    </w:p>
    <w:p w14:paraId="7DB87898" w14:textId="77777777" w:rsidR="00CC0DE3" w:rsidRPr="00BB78DE" w:rsidRDefault="00CC0DE3" w:rsidP="00CC0DE3">
      <w:pPr>
        <w:tabs>
          <w:tab w:val="left" w:pos="-142"/>
          <w:tab w:val="left" w:pos="284"/>
        </w:tabs>
        <w:jc w:val="center"/>
        <w:rPr>
          <w:rFonts w:eastAsia="Calibri"/>
          <w:bCs/>
          <w:sz w:val="24"/>
          <w:szCs w:val="24"/>
        </w:rPr>
      </w:pPr>
    </w:p>
    <w:tbl>
      <w:tblPr>
        <w:tblW w:w="0" w:type="auto"/>
        <w:tblLook w:val="04A0" w:firstRow="1" w:lastRow="0" w:firstColumn="1" w:lastColumn="0" w:noHBand="0" w:noVBand="1"/>
      </w:tblPr>
      <w:tblGrid>
        <w:gridCol w:w="4824"/>
        <w:gridCol w:w="4815"/>
      </w:tblGrid>
      <w:tr w:rsidR="00CC0DE3" w:rsidRPr="001372F6" w14:paraId="0C5A2025" w14:textId="77777777" w:rsidTr="00843154">
        <w:tc>
          <w:tcPr>
            <w:tcW w:w="4824" w:type="dxa"/>
            <w:shd w:val="clear" w:color="auto" w:fill="auto"/>
          </w:tcPr>
          <w:p w14:paraId="28F76AA9" w14:textId="77777777" w:rsidR="00CC0DE3" w:rsidRPr="001372F6" w:rsidRDefault="00CC0DE3" w:rsidP="00843154">
            <w:pPr>
              <w:rPr>
                <w:rFonts w:eastAsia="Calibri"/>
                <w:b/>
                <w:sz w:val="24"/>
                <w:szCs w:val="24"/>
              </w:rPr>
            </w:pPr>
            <w:r w:rsidRPr="001372F6">
              <w:rPr>
                <w:rFonts w:eastAsia="Calibri"/>
                <w:sz w:val="24"/>
                <w:szCs w:val="24"/>
              </w:rPr>
              <w:t>Direktorė</w:t>
            </w:r>
          </w:p>
        </w:tc>
        <w:tc>
          <w:tcPr>
            <w:tcW w:w="4815" w:type="dxa"/>
            <w:shd w:val="clear" w:color="auto" w:fill="auto"/>
          </w:tcPr>
          <w:p w14:paraId="36C3B095" w14:textId="77777777" w:rsidR="00CC0DE3" w:rsidRPr="001372F6" w:rsidRDefault="00CC0DE3" w:rsidP="00843154">
            <w:pPr>
              <w:spacing w:line="360" w:lineRule="auto"/>
              <w:jc w:val="right"/>
              <w:rPr>
                <w:rFonts w:eastAsia="Calibri"/>
                <w:b/>
                <w:sz w:val="24"/>
                <w:szCs w:val="24"/>
              </w:rPr>
            </w:pPr>
            <w:r w:rsidRPr="001372F6">
              <w:rPr>
                <w:rFonts w:eastAsia="Calibri"/>
                <w:sz w:val="24"/>
                <w:szCs w:val="24"/>
              </w:rPr>
              <w:t>Diana Vilytė</w:t>
            </w:r>
          </w:p>
        </w:tc>
      </w:tr>
    </w:tbl>
    <w:p w14:paraId="221BBCB9" w14:textId="48B8C37D" w:rsidR="00DB465B" w:rsidRDefault="00DB465B" w:rsidP="007D3CE1">
      <w:pPr>
        <w:shd w:val="clear" w:color="auto" w:fill="FFFFFF"/>
        <w:tabs>
          <w:tab w:val="left" w:pos="900"/>
        </w:tabs>
        <w:rPr>
          <w:sz w:val="24"/>
          <w:szCs w:val="24"/>
        </w:rPr>
      </w:pPr>
    </w:p>
    <w:p w14:paraId="644551FC" w14:textId="77777777" w:rsidR="00A52509" w:rsidRDefault="00A52509" w:rsidP="007D3CE1">
      <w:pPr>
        <w:shd w:val="clear" w:color="auto" w:fill="FFFFFF"/>
        <w:tabs>
          <w:tab w:val="left" w:pos="900"/>
        </w:tabs>
        <w:rPr>
          <w:sz w:val="24"/>
          <w:szCs w:val="24"/>
        </w:rPr>
      </w:pPr>
    </w:p>
    <w:p w14:paraId="652CEA01" w14:textId="071A23A9" w:rsidR="00F059C5" w:rsidRDefault="00F059C5" w:rsidP="007D3CE1">
      <w:pPr>
        <w:shd w:val="clear" w:color="auto" w:fill="FFFFFF"/>
        <w:tabs>
          <w:tab w:val="left" w:pos="900"/>
        </w:tabs>
        <w:rPr>
          <w:sz w:val="24"/>
          <w:szCs w:val="24"/>
        </w:rPr>
      </w:pPr>
    </w:p>
    <w:p w14:paraId="10D6CCC9" w14:textId="1B7AEBF3" w:rsidR="00F059C5" w:rsidRDefault="00F059C5" w:rsidP="007D3CE1">
      <w:pPr>
        <w:shd w:val="clear" w:color="auto" w:fill="FFFFFF"/>
        <w:tabs>
          <w:tab w:val="left" w:pos="900"/>
        </w:tabs>
        <w:rPr>
          <w:sz w:val="24"/>
          <w:szCs w:val="24"/>
        </w:rPr>
      </w:pPr>
    </w:p>
    <w:p w14:paraId="55BA9434" w14:textId="71D4814E" w:rsidR="00F059C5" w:rsidRDefault="00F059C5" w:rsidP="007D3CE1">
      <w:pPr>
        <w:shd w:val="clear" w:color="auto" w:fill="FFFFFF"/>
        <w:tabs>
          <w:tab w:val="left" w:pos="900"/>
        </w:tabs>
        <w:rPr>
          <w:sz w:val="24"/>
          <w:szCs w:val="24"/>
        </w:rPr>
      </w:pPr>
    </w:p>
    <w:p w14:paraId="00717531" w14:textId="1BA982FD" w:rsidR="00F059C5" w:rsidRDefault="00F059C5" w:rsidP="007D3CE1">
      <w:pPr>
        <w:shd w:val="clear" w:color="auto" w:fill="FFFFFF"/>
        <w:tabs>
          <w:tab w:val="left" w:pos="900"/>
        </w:tabs>
        <w:rPr>
          <w:sz w:val="24"/>
          <w:szCs w:val="24"/>
        </w:rPr>
      </w:pPr>
    </w:p>
    <w:p w14:paraId="5112E180" w14:textId="65CB52F0" w:rsidR="00F059C5" w:rsidRDefault="00F059C5" w:rsidP="007D3CE1">
      <w:pPr>
        <w:shd w:val="clear" w:color="auto" w:fill="FFFFFF"/>
        <w:tabs>
          <w:tab w:val="left" w:pos="900"/>
        </w:tabs>
        <w:rPr>
          <w:sz w:val="24"/>
          <w:szCs w:val="24"/>
        </w:rPr>
      </w:pPr>
    </w:p>
    <w:p w14:paraId="3B75DA68" w14:textId="3348A345" w:rsidR="00F059C5" w:rsidRDefault="00F059C5" w:rsidP="007D3CE1">
      <w:pPr>
        <w:shd w:val="clear" w:color="auto" w:fill="FFFFFF"/>
        <w:tabs>
          <w:tab w:val="left" w:pos="900"/>
        </w:tabs>
        <w:rPr>
          <w:sz w:val="24"/>
          <w:szCs w:val="24"/>
        </w:rPr>
      </w:pPr>
    </w:p>
    <w:p w14:paraId="04AC5F98" w14:textId="45815D1B" w:rsidR="00F059C5" w:rsidRDefault="00F059C5" w:rsidP="007D3CE1">
      <w:pPr>
        <w:shd w:val="clear" w:color="auto" w:fill="FFFFFF"/>
        <w:tabs>
          <w:tab w:val="left" w:pos="900"/>
        </w:tabs>
        <w:rPr>
          <w:sz w:val="24"/>
          <w:szCs w:val="24"/>
        </w:rPr>
      </w:pPr>
    </w:p>
    <w:p w14:paraId="0EDDA3DC" w14:textId="67E3FA99" w:rsidR="00E952DA" w:rsidRDefault="00E952DA" w:rsidP="007D3CE1">
      <w:pPr>
        <w:shd w:val="clear" w:color="auto" w:fill="FFFFFF"/>
        <w:tabs>
          <w:tab w:val="left" w:pos="900"/>
        </w:tabs>
        <w:rPr>
          <w:sz w:val="24"/>
          <w:szCs w:val="24"/>
        </w:rPr>
      </w:pPr>
    </w:p>
    <w:p w14:paraId="71DB8915" w14:textId="77777777" w:rsidR="00E952DA" w:rsidRDefault="00E952DA" w:rsidP="007D3CE1">
      <w:pPr>
        <w:shd w:val="clear" w:color="auto" w:fill="FFFFFF"/>
        <w:tabs>
          <w:tab w:val="left" w:pos="900"/>
        </w:tabs>
        <w:rPr>
          <w:sz w:val="24"/>
          <w:szCs w:val="24"/>
        </w:rPr>
      </w:pPr>
    </w:p>
    <w:p w14:paraId="0778802C" w14:textId="34D9BCA0" w:rsidR="00F059C5" w:rsidRDefault="00F059C5" w:rsidP="007D3CE1">
      <w:pPr>
        <w:shd w:val="clear" w:color="auto" w:fill="FFFFFF"/>
        <w:tabs>
          <w:tab w:val="left" w:pos="900"/>
        </w:tabs>
        <w:rPr>
          <w:sz w:val="24"/>
          <w:szCs w:val="24"/>
        </w:rPr>
      </w:pPr>
    </w:p>
    <w:p w14:paraId="20261926" w14:textId="709F842B" w:rsidR="00F059C5" w:rsidRDefault="00F059C5" w:rsidP="007D3CE1">
      <w:pPr>
        <w:shd w:val="clear" w:color="auto" w:fill="FFFFFF"/>
        <w:tabs>
          <w:tab w:val="left" w:pos="900"/>
        </w:tabs>
        <w:rPr>
          <w:sz w:val="24"/>
          <w:szCs w:val="24"/>
        </w:rPr>
      </w:pPr>
    </w:p>
    <w:p w14:paraId="329E5CC2" w14:textId="00595120" w:rsidR="00F059C5" w:rsidRDefault="00F059C5" w:rsidP="007D3CE1">
      <w:pPr>
        <w:shd w:val="clear" w:color="auto" w:fill="FFFFFF"/>
        <w:tabs>
          <w:tab w:val="left" w:pos="900"/>
        </w:tabs>
        <w:rPr>
          <w:sz w:val="24"/>
          <w:szCs w:val="24"/>
        </w:rPr>
      </w:pPr>
    </w:p>
    <w:p w14:paraId="42783918" w14:textId="77777777" w:rsidR="007D3CE1" w:rsidRPr="001372F6" w:rsidRDefault="007D3CE1" w:rsidP="007D3CE1">
      <w:pPr>
        <w:shd w:val="clear" w:color="auto" w:fill="FFFFFF"/>
        <w:tabs>
          <w:tab w:val="left" w:pos="900"/>
        </w:tabs>
        <w:rPr>
          <w:sz w:val="24"/>
          <w:szCs w:val="24"/>
        </w:rPr>
      </w:pPr>
      <w:r w:rsidRPr="001372F6">
        <w:rPr>
          <w:sz w:val="24"/>
          <w:szCs w:val="24"/>
        </w:rPr>
        <w:t>M. Knopkus, tel. (8 5) 219 7042 faks. (8 5) 213 6213, el. p. Mindaugas.Knopkus@vpt.lt</w:t>
      </w:r>
    </w:p>
    <w:sectPr w:rsidR="007D3CE1" w:rsidRPr="001372F6" w:rsidSect="002E5609">
      <w:headerReference w:type="even" r:id="rId12"/>
      <w:headerReference w:type="default" r:id="rId13"/>
      <w:footerReference w:type="default" r:id="rId14"/>
      <w:headerReference w:type="first" r:id="rId15"/>
      <w:footerReference w:type="first" r:id="rId16"/>
      <w:pgSz w:w="11907" w:h="16840" w:code="9"/>
      <w:pgMar w:top="709" w:right="567" w:bottom="1134" w:left="1701"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262F1A" w14:textId="77777777" w:rsidR="0052419F" w:rsidRDefault="0052419F">
      <w:r>
        <w:separator/>
      </w:r>
    </w:p>
  </w:endnote>
  <w:endnote w:type="continuationSeparator" w:id="0">
    <w:p w14:paraId="63F5A386" w14:textId="77777777" w:rsidR="0052419F" w:rsidRDefault="00524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BA"/>
    <w:family w:val="roman"/>
    <w:pitch w:val="variable"/>
    <w:sig w:usb0="00000007" w:usb1="00000000" w:usb2="00000000" w:usb3="00000000" w:csb0="00000093"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DE28E" w14:textId="77777777" w:rsidR="00C21C19" w:rsidRDefault="00C21C19">
    <w:pPr>
      <w:pStyle w:val="Footer"/>
    </w:pPr>
  </w:p>
  <w:p w14:paraId="1B99118B" w14:textId="77777777" w:rsidR="00C21C19" w:rsidRDefault="00C21C19">
    <w:pPr>
      <w:pStyle w:val="Footer"/>
    </w:pPr>
  </w:p>
  <w:p w14:paraId="5A42BE90" w14:textId="77777777" w:rsidR="00C21C19" w:rsidRDefault="00C21C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C6B61" w14:textId="77777777" w:rsidR="00D04BBF" w:rsidRPr="00BB2F72" w:rsidRDefault="00D04BBF" w:rsidP="00D04BBF">
    <w:pPr>
      <w:pBdr>
        <w:top w:val="single" w:sz="4" w:space="1" w:color="auto"/>
      </w:pBdr>
      <w:rPr>
        <w:sz w:val="18"/>
      </w:rPr>
    </w:pPr>
    <w:r>
      <w:rPr>
        <w:sz w:val="18"/>
      </w:rPr>
      <w:t>Biudžetinė įstaig</w:t>
    </w:r>
    <w:r w:rsidR="00016D30">
      <w:rPr>
        <w:sz w:val="18"/>
      </w:rPr>
      <w:t>a</w:t>
    </w:r>
    <w:r w:rsidR="00016D30">
      <w:rPr>
        <w:sz w:val="18"/>
      </w:rPr>
      <w:tab/>
    </w:r>
    <w:r w:rsidR="00016D30">
      <w:rPr>
        <w:sz w:val="18"/>
      </w:rPr>
      <w:tab/>
    </w:r>
    <w:r w:rsidR="00016D30">
      <w:rPr>
        <w:sz w:val="18"/>
      </w:rPr>
      <w:tab/>
    </w:r>
    <w:r w:rsidR="00016D30">
      <w:rPr>
        <w:sz w:val="18"/>
      </w:rPr>
      <w:tab/>
    </w:r>
    <w:r>
      <w:rPr>
        <w:sz w:val="18"/>
      </w:rPr>
      <w:t>Tel.  (8 5) 219 7001</w:t>
    </w:r>
    <w:r w:rsidR="00016D30">
      <w:rPr>
        <w:sz w:val="18"/>
      </w:rPr>
      <w:tab/>
    </w:r>
    <w:r w:rsidR="00016D30">
      <w:rPr>
        <w:sz w:val="18"/>
      </w:rPr>
      <w:tab/>
    </w:r>
    <w:r w:rsidR="00016D30">
      <w:rPr>
        <w:sz w:val="18"/>
      </w:rPr>
      <w:tab/>
    </w:r>
    <w:r w:rsidR="00016D30">
      <w:rPr>
        <w:sz w:val="18"/>
      </w:rPr>
      <w:tab/>
    </w:r>
    <w:r w:rsidRPr="00E9516F">
      <w:rPr>
        <w:sz w:val="18"/>
      </w:rPr>
      <w:t>Duomenys kaupiami ir saugomi</w:t>
    </w:r>
    <w:r w:rsidRPr="00BB2F72">
      <w:rPr>
        <w:sz w:val="18"/>
      </w:rPr>
      <w:t> </w:t>
    </w:r>
  </w:p>
  <w:p w14:paraId="3240666B" w14:textId="77777777" w:rsidR="00D04BBF" w:rsidRPr="00BB2F72" w:rsidRDefault="00D04BBF" w:rsidP="00D04BBF">
    <w:pPr>
      <w:pBdr>
        <w:top w:val="single" w:sz="4" w:space="1" w:color="auto"/>
      </w:pBdr>
      <w:jc w:val="both"/>
      <w:rPr>
        <w:sz w:val="18"/>
      </w:rPr>
    </w:pPr>
    <w:r>
      <w:rPr>
        <w:sz w:val="18"/>
      </w:rPr>
      <w:t>Kareivių g. 1, LT-08221 Vilnius</w:t>
    </w:r>
    <w:r w:rsidR="00016D30">
      <w:rPr>
        <w:sz w:val="18"/>
      </w:rPr>
      <w:tab/>
    </w:r>
    <w:r w:rsidR="00016D30">
      <w:rPr>
        <w:sz w:val="18"/>
      </w:rPr>
      <w:tab/>
    </w:r>
    <w:r>
      <w:rPr>
        <w:sz w:val="18"/>
      </w:rPr>
      <w:t>Faks. (8 5) 213 6213</w:t>
    </w:r>
    <w:r w:rsidR="00016D30">
      <w:rPr>
        <w:sz w:val="18"/>
      </w:rPr>
      <w:tab/>
    </w:r>
    <w:r w:rsidR="00016D30">
      <w:rPr>
        <w:sz w:val="18"/>
      </w:rPr>
      <w:tab/>
    </w:r>
    <w:r w:rsidR="00016D30">
      <w:rPr>
        <w:sz w:val="18"/>
      </w:rPr>
      <w:tab/>
    </w:r>
    <w:r w:rsidRPr="00BB2F72">
      <w:rPr>
        <w:sz w:val="18"/>
      </w:rPr>
      <w:t xml:space="preserve">Juridinių asmenų registre </w:t>
    </w:r>
  </w:p>
  <w:p w14:paraId="6BA5EC36" w14:textId="77777777" w:rsidR="00D04BBF" w:rsidRPr="00BB2F72" w:rsidRDefault="00016D30" w:rsidP="00D04BBF">
    <w:pPr>
      <w:pBdr>
        <w:top w:val="single" w:sz="4" w:space="1" w:color="auto"/>
      </w:pBdr>
      <w:jc w:val="both"/>
      <w:rPr>
        <w:sz w:val="18"/>
      </w:rPr>
    </w:pPr>
    <w:r w:rsidRPr="00016D30">
      <w:rPr>
        <w:sz w:val="18"/>
      </w:rPr>
      <w:t>http://www.vpt.lt</w:t>
    </w:r>
    <w:r>
      <w:rPr>
        <w:sz w:val="18"/>
      </w:rPr>
      <w:tab/>
    </w:r>
    <w:r>
      <w:rPr>
        <w:sz w:val="18"/>
      </w:rPr>
      <w:tab/>
    </w:r>
    <w:r>
      <w:rPr>
        <w:sz w:val="18"/>
      </w:rPr>
      <w:tab/>
    </w:r>
    <w:r>
      <w:rPr>
        <w:sz w:val="18"/>
      </w:rPr>
      <w:tab/>
    </w:r>
    <w:r w:rsidR="00D04BBF">
      <w:rPr>
        <w:sz w:val="18"/>
      </w:rPr>
      <w:t xml:space="preserve">El.p. </w:t>
    </w:r>
    <w:r w:rsidRPr="00016D30">
      <w:rPr>
        <w:sz w:val="18"/>
      </w:rPr>
      <w:t>info@vpt.lt</w:t>
    </w:r>
    <w:r w:rsidR="00D04BBF" w:rsidRPr="00BB2F72">
      <w:rPr>
        <w:sz w:val="18"/>
      </w:rPr>
      <w:t xml:space="preserve"> </w:t>
    </w:r>
    <w:r>
      <w:rPr>
        <w:sz w:val="18"/>
      </w:rPr>
      <w:tab/>
    </w:r>
    <w:r>
      <w:rPr>
        <w:sz w:val="18"/>
      </w:rPr>
      <w:tab/>
    </w:r>
    <w:r>
      <w:rPr>
        <w:sz w:val="18"/>
      </w:rPr>
      <w:tab/>
    </w:r>
    <w:r>
      <w:rPr>
        <w:sz w:val="18"/>
      </w:rPr>
      <w:tab/>
    </w:r>
    <w:r w:rsidR="00D04BBF">
      <w:rPr>
        <w:sz w:val="18"/>
      </w:rPr>
      <w:t>Kodas 188656261</w:t>
    </w:r>
  </w:p>
  <w:p w14:paraId="5763CF8C" w14:textId="77777777" w:rsidR="00C21C19" w:rsidRPr="008F10BE" w:rsidRDefault="00C21C19" w:rsidP="002257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E12CAD" w14:textId="77777777" w:rsidR="0052419F" w:rsidRDefault="0052419F">
      <w:r>
        <w:separator/>
      </w:r>
    </w:p>
  </w:footnote>
  <w:footnote w:type="continuationSeparator" w:id="0">
    <w:p w14:paraId="5F5BD1F2" w14:textId="77777777" w:rsidR="0052419F" w:rsidRDefault="0052419F">
      <w:r>
        <w:continuationSeparator/>
      </w:r>
    </w:p>
  </w:footnote>
  <w:footnote w:id="1">
    <w:p w14:paraId="786CC6F8" w14:textId="2DB0F0F5" w:rsidR="002D4753" w:rsidRDefault="002D4753" w:rsidP="002D4753">
      <w:pPr>
        <w:pStyle w:val="FootnoteText"/>
        <w:jc w:val="both"/>
      </w:pPr>
      <w:r>
        <w:rPr>
          <w:rStyle w:val="FootnoteReference"/>
        </w:rPr>
        <w:footnoteRef/>
      </w:r>
      <w:r>
        <w:t xml:space="preserve"> „</w:t>
      </w:r>
      <w:r w:rsidRPr="002D4753">
        <w:t>Tarptautinis pirkimas privalo būti, o supaprastintas ar šio įstatymo 2 priede nurodytų socialinių ir kitų specialiųjų paslaugų pirkimas gali būti atliekamas skaidant pirkimo objektą į dalis, kurių kiekvienai numatoma sudaryti atskirą pirkimo sutartį, ir apibrėžiant šių dalių apimtį ir dalyką. Pirkimo objektas skaidomas į dalis kiekybiniu, kokybiniu pagrindu ar pagal skirtingus jo įgyvendinimo etapus</w:t>
      </w:r>
      <w:r>
        <w:t>“.</w:t>
      </w:r>
    </w:p>
  </w:footnote>
  <w:footnote w:id="2">
    <w:p w14:paraId="6680349A" w14:textId="24FA7C78" w:rsidR="002D4753" w:rsidRDefault="002D4753">
      <w:pPr>
        <w:pStyle w:val="FootnoteText"/>
      </w:pPr>
      <w:r>
        <w:rPr>
          <w:rStyle w:val="FootnoteReference"/>
        </w:rPr>
        <w:footnoteRef/>
      </w:r>
      <w:r>
        <w:t xml:space="preserve"> „</w:t>
      </w:r>
      <w:r>
        <w:rPr>
          <w:color w:val="000000"/>
        </w:rPr>
        <w:t>Perkančioji organizacija užtikrina, kad vykdant pirkimą būtų laikomasi lygiateisiškumo, nediskriminavimo, abipusio pripažinimo, proporcingumo, skaidrumo principų</w:t>
      </w:r>
      <w:r>
        <w:t>“.</w:t>
      </w:r>
    </w:p>
  </w:footnote>
  <w:footnote w:id="3">
    <w:p w14:paraId="15B6D0D2" w14:textId="2AF59470" w:rsidR="00516F30" w:rsidRDefault="00516F30" w:rsidP="00516F30">
      <w:pPr>
        <w:pStyle w:val="FootnoteText"/>
        <w:jc w:val="both"/>
      </w:pPr>
      <w:r>
        <w:rPr>
          <w:rStyle w:val="FootnoteReference"/>
        </w:rPr>
        <w:footnoteRef/>
      </w:r>
      <w:r>
        <w:t xml:space="preserve"> „</w:t>
      </w:r>
      <w:r>
        <w:rPr>
          <w:color w:val="000000"/>
        </w:rPr>
        <w:t>Planuojant pirkimus ir jiems rengiantis negali būti siekiama išvengti šiame įstatyme nustatytos tvarkos taikymo ar dirbtinai sumažinti konkurenciją. Laikoma, kad konkurencija yra dirbtinai sumažinta, kai pirkimu nepagrįstai sudaromos palankesnės ar nepalankesnės sąlygos tam tikriems tiekėjams.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05510"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C21C19">
      <w:rPr>
        <w:rStyle w:val="PageNumber"/>
        <w:noProof/>
      </w:rPr>
      <w:t>1</w:t>
    </w:r>
    <w:r>
      <w:rPr>
        <w:rStyle w:val="PageNumber"/>
      </w:rPr>
      <w:fldChar w:fldCharType="end"/>
    </w:r>
  </w:p>
  <w:p w14:paraId="1B6C157D" w14:textId="77777777" w:rsidR="00C21C19" w:rsidRDefault="00C2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2D94A"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BF54DA">
      <w:rPr>
        <w:rStyle w:val="PageNumber"/>
        <w:noProof/>
      </w:rPr>
      <w:t>6</w:t>
    </w:r>
    <w:r>
      <w:rPr>
        <w:rStyle w:val="PageNumber"/>
      </w:rPr>
      <w:fldChar w:fldCharType="end"/>
    </w:r>
  </w:p>
  <w:p w14:paraId="2B06A8A7" w14:textId="77777777" w:rsidR="00C21C19" w:rsidRDefault="00C21C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120AE" w14:textId="77777777" w:rsidR="008261DB" w:rsidRPr="00ED37D5" w:rsidRDefault="008261DB" w:rsidP="008261DB">
    <w:pPr>
      <w:shd w:val="clear" w:color="auto" w:fill="FFFFFF"/>
      <w:jc w:val="right"/>
      <w:rPr>
        <w:b/>
        <w:bCs/>
        <w:sz w:val="24"/>
        <w:szCs w:val="24"/>
        <w:lang w:eastAsia="lt-LT"/>
      </w:rPr>
    </w:pPr>
    <w:r w:rsidRPr="00ED37D5">
      <w:rPr>
        <w:b/>
        <w:bCs/>
        <w:sz w:val="24"/>
        <w:szCs w:val="24"/>
        <w:lang w:eastAsia="lt-LT"/>
      </w:rPr>
      <w:t>Originalas nebus siunčiamas</w:t>
    </w:r>
  </w:p>
  <w:p w14:paraId="60C02F9D" w14:textId="77777777" w:rsidR="008261DB" w:rsidRDefault="008261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F32F6"/>
    <w:multiLevelType w:val="hybridMultilevel"/>
    <w:tmpl w:val="CF28E4DE"/>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1F07D29"/>
    <w:multiLevelType w:val="hybridMultilevel"/>
    <w:tmpl w:val="2772C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628DC"/>
    <w:multiLevelType w:val="hybridMultilevel"/>
    <w:tmpl w:val="3BA23D9C"/>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 w15:restartNumberingAfterBreak="0">
    <w:nsid w:val="09E8484B"/>
    <w:multiLevelType w:val="hybridMultilevel"/>
    <w:tmpl w:val="8834B26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F00952"/>
    <w:multiLevelType w:val="hybridMultilevel"/>
    <w:tmpl w:val="1840C7A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C03880"/>
    <w:multiLevelType w:val="hybridMultilevel"/>
    <w:tmpl w:val="60BCA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9D5BE9"/>
    <w:multiLevelType w:val="hybridMultilevel"/>
    <w:tmpl w:val="705A9156"/>
    <w:lvl w:ilvl="0" w:tplc="5ABC71B2">
      <w:start w:val="2"/>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0C70E2C"/>
    <w:multiLevelType w:val="hybridMultilevel"/>
    <w:tmpl w:val="FC12F9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664326"/>
    <w:multiLevelType w:val="multilevel"/>
    <w:tmpl w:val="0A604A14"/>
    <w:lvl w:ilvl="0">
      <w:start w:val="1"/>
      <w:numFmt w:val="decimal"/>
      <w:lvlText w:val="%1."/>
      <w:lvlJc w:val="left"/>
      <w:pPr>
        <w:ind w:left="4325" w:hanging="360"/>
      </w:pPr>
      <w:rPr>
        <w:rFonts w:hint="default"/>
      </w:rPr>
    </w:lvl>
    <w:lvl w:ilvl="1">
      <w:start w:val="1"/>
      <w:numFmt w:val="decimal"/>
      <w:isLgl/>
      <w:lvlText w:val="%1.%2."/>
      <w:lvlJc w:val="left"/>
      <w:pPr>
        <w:ind w:left="4865" w:hanging="540"/>
      </w:pPr>
      <w:rPr>
        <w:rFonts w:hint="default"/>
      </w:rPr>
    </w:lvl>
    <w:lvl w:ilvl="2">
      <w:start w:val="1"/>
      <w:numFmt w:val="decimal"/>
      <w:isLgl/>
      <w:lvlText w:val="%1.%2.%3."/>
      <w:lvlJc w:val="left"/>
      <w:pPr>
        <w:ind w:left="5405" w:hanging="720"/>
      </w:pPr>
      <w:rPr>
        <w:rFonts w:hint="default"/>
      </w:rPr>
    </w:lvl>
    <w:lvl w:ilvl="3">
      <w:start w:val="1"/>
      <w:numFmt w:val="decimal"/>
      <w:isLgl/>
      <w:lvlText w:val="%1.%2.%3.%4."/>
      <w:lvlJc w:val="left"/>
      <w:pPr>
        <w:ind w:left="5765" w:hanging="720"/>
      </w:pPr>
      <w:rPr>
        <w:rFonts w:hint="default"/>
      </w:rPr>
    </w:lvl>
    <w:lvl w:ilvl="4">
      <w:start w:val="1"/>
      <w:numFmt w:val="decimal"/>
      <w:isLgl/>
      <w:lvlText w:val="%1.%2.%3.%4.%5."/>
      <w:lvlJc w:val="left"/>
      <w:pPr>
        <w:ind w:left="6485" w:hanging="1080"/>
      </w:pPr>
      <w:rPr>
        <w:rFonts w:hint="default"/>
      </w:rPr>
    </w:lvl>
    <w:lvl w:ilvl="5">
      <w:start w:val="1"/>
      <w:numFmt w:val="decimal"/>
      <w:isLgl/>
      <w:lvlText w:val="%1.%2.%3.%4.%5.%6."/>
      <w:lvlJc w:val="left"/>
      <w:pPr>
        <w:ind w:left="6845" w:hanging="1080"/>
      </w:pPr>
      <w:rPr>
        <w:rFonts w:hint="default"/>
      </w:rPr>
    </w:lvl>
    <w:lvl w:ilvl="6">
      <w:start w:val="1"/>
      <w:numFmt w:val="decimal"/>
      <w:isLgl/>
      <w:lvlText w:val="%1.%2.%3.%4.%5.%6.%7."/>
      <w:lvlJc w:val="left"/>
      <w:pPr>
        <w:ind w:left="7565" w:hanging="1440"/>
      </w:pPr>
      <w:rPr>
        <w:rFonts w:hint="default"/>
      </w:rPr>
    </w:lvl>
    <w:lvl w:ilvl="7">
      <w:start w:val="1"/>
      <w:numFmt w:val="decimal"/>
      <w:isLgl/>
      <w:lvlText w:val="%1.%2.%3.%4.%5.%6.%7.%8."/>
      <w:lvlJc w:val="left"/>
      <w:pPr>
        <w:ind w:left="7925" w:hanging="1440"/>
      </w:pPr>
      <w:rPr>
        <w:rFonts w:hint="default"/>
      </w:rPr>
    </w:lvl>
    <w:lvl w:ilvl="8">
      <w:start w:val="1"/>
      <w:numFmt w:val="decimal"/>
      <w:isLgl/>
      <w:lvlText w:val="%1.%2.%3.%4.%5.%6.%7.%8.%9."/>
      <w:lvlJc w:val="left"/>
      <w:pPr>
        <w:ind w:left="8645" w:hanging="1800"/>
      </w:pPr>
      <w:rPr>
        <w:rFonts w:hint="default"/>
      </w:rPr>
    </w:lvl>
  </w:abstractNum>
  <w:abstractNum w:abstractNumId="9" w15:restartNumberingAfterBreak="0">
    <w:nsid w:val="33297137"/>
    <w:multiLevelType w:val="hybridMultilevel"/>
    <w:tmpl w:val="A3322AD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CD2B9A"/>
    <w:multiLevelType w:val="hybridMultilevel"/>
    <w:tmpl w:val="BF6043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71F5825"/>
    <w:multiLevelType w:val="hybridMultilevel"/>
    <w:tmpl w:val="749CEF96"/>
    <w:lvl w:ilvl="0" w:tplc="90EE9556">
      <w:start w:val="1"/>
      <w:numFmt w:val="decimal"/>
      <w:lvlText w:val="%1."/>
      <w:lvlJc w:val="left"/>
      <w:pPr>
        <w:ind w:left="382" w:hanging="360"/>
      </w:pPr>
      <w:rPr>
        <w:rFonts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12" w15:restartNumberingAfterBreak="0">
    <w:nsid w:val="40F000D9"/>
    <w:multiLevelType w:val="multilevel"/>
    <w:tmpl w:val="FD0EB7A8"/>
    <w:lvl w:ilvl="0">
      <w:start w:val="1"/>
      <w:numFmt w:val="decimal"/>
      <w:lvlText w:val="%1."/>
      <w:lvlJc w:val="left"/>
      <w:pPr>
        <w:ind w:left="720" w:hanging="360"/>
      </w:pPr>
      <w:rPr>
        <w:rFonts w:hint="default"/>
      </w:rPr>
    </w:lvl>
    <w:lvl w:ilvl="1">
      <w:start w:val="1"/>
      <w:numFmt w:val="decimal"/>
      <w:lvlText w:val="2.%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2A31978"/>
    <w:multiLevelType w:val="hybridMultilevel"/>
    <w:tmpl w:val="48B2249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A851E21"/>
    <w:multiLevelType w:val="hybridMultilevel"/>
    <w:tmpl w:val="CF28E4DE"/>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5" w15:restartNumberingAfterBreak="0">
    <w:nsid w:val="4B2B7E62"/>
    <w:multiLevelType w:val="hybridMultilevel"/>
    <w:tmpl w:val="86E2335E"/>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6" w15:restartNumberingAfterBreak="0">
    <w:nsid w:val="4ED170EC"/>
    <w:multiLevelType w:val="hybridMultilevel"/>
    <w:tmpl w:val="C3645FE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17C4ED7"/>
    <w:multiLevelType w:val="hybridMultilevel"/>
    <w:tmpl w:val="8318CFCA"/>
    <w:lvl w:ilvl="0" w:tplc="C70486D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57966F62"/>
    <w:multiLevelType w:val="hybridMultilevel"/>
    <w:tmpl w:val="C5FA93C8"/>
    <w:lvl w:ilvl="0" w:tplc="85162564">
      <w:start w:val="1"/>
      <w:numFmt w:val="upperRoman"/>
      <w:lvlText w:val="%1."/>
      <w:lvlJc w:val="left"/>
      <w:pPr>
        <w:tabs>
          <w:tab w:val="num" w:pos="1080"/>
        </w:tabs>
        <w:ind w:left="1080" w:hanging="720"/>
      </w:pPr>
      <w:rPr>
        <w:rFonts w:cs="Times New Roman" w:hint="default"/>
      </w:rPr>
    </w:lvl>
    <w:lvl w:ilvl="1" w:tplc="908CAF64">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9F37EDD"/>
    <w:multiLevelType w:val="hybridMultilevel"/>
    <w:tmpl w:val="4EF0B97A"/>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C5169BD"/>
    <w:multiLevelType w:val="multilevel"/>
    <w:tmpl w:val="34564650"/>
    <w:lvl w:ilvl="0">
      <w:start w:val="1"/>
      <w:numFmt w:val="decimal"/>
      <w:lvlText w:val="%1."/>
      <w:lvlJc w:val="left"/>
      <w:pPr>
        <w:ind w:left="1020" w:hanging="360"/>
      </w:pPr>
      <w:rPr>
        <w:rFonts w:hint="default"/>
      </w:rPr>
    </w:lvl>
    <w:lvl w:ilvl="1">
      <w:start w:val="1"/>
      <w:numFmt w:val="decimal"/>
      <w:isLgl/>
      <w:lvlText w:val="%1.%2."/>
      <w:lvlJc w:val="left"/>
      <w:pPr>
        <w:ind w:left="1380" w:hanging="360"/>
      </w:pPr>
      <w:rPr>
        <w:rFonts w:hint="default"/>
      </w:rPr>
    </w:lvl>
    <w:lvl w:ilvl="2">
      <w:start w:val="1"/>
      <w:numFmt w:val="decimal"/>
      <w:isLgl/>
      <w:lvlText w:val="%1.%2.%3."/>
      <w:lvlJc w:val="left"/>
      <w:pPr>
        <w:ind w:left="2100" w:hanging="720"/>
      </w:pPr>
      <w:rPr>
        <w:rFonts w:hint="default"/>
      </w:rPr>
    </w:lvl>
    <w:lvl w:ilvl="3">
      <w:start w:val="1"/>
      <w:numFmt w:val="decimal"/>
      <w:isLgl/>
      <w:lvlText w:val="%1.%2.%3.%4."/>
      <w:lvlJc w:val="left"/>
      <w:pPr>
        <w:ind w:left="2460" w:hanging="720"/>
      </w:pPr>
      <w:rPr>
        <w:rFonts w:hint="default"/>
      </w:rPr>
    </w:lvl>
    <w:lvl w:ilvl="4">
      <w:start w:val="1"/>
      <w:numFmt w:val="decimal"/>
      <w:isLgl/>
      <w:lvlText w:val="%1.%2.%3.%4.%5."/>
      <w:lvlJc w:val="left"/>
      <w:pPr>
        <w:ind w:left="318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260" w:hanging="1440"/>
      </w:pPr>
      <w:rPr>
        <w:rFonts w:hint="default"/>
      </w:rPr>
    </w:lvl>
    <w:lvl w:ilvl="7">
      <w:start w:val="1"/>
      <w:numFmt w:val="decimal"/>
      <w:isLgl/>
      <w:lvlText w:val="%1.%2.%3.%4.%5.%6.%7.%8."/>
      <w:lvlJc w:val="left"/>
      <w:pPr>
        <w:ind w:left="4620" w:hanging="1440"/>
      </w:pPr>
      <w:rPr>
        <w:rFonts w:hint="default"/>
      </w:rPr>
    </w:lvl>
    <w:lvl w:ilvl="8">
      <w:start w:val="1"/>
      <w:numFmt w:val="decimal"/>
      <w:isLgl/>
      <w:lvlText w:val="%1.%2.%3.%4.%5.%6.%7.%8.%9."/>
      <w:lvlJc w:val="left"/>
      <w:pPr>
        <w:ind w:left="5340" w:hanging="1800"/>
      </w:pPr>
      <w:rPr>
        <w:rFonts w:hint="default"/>
      </w:rPr>
    </w:lvl>
  </w:abstractNum>
  <w:abstractNum w:abstractNumId="21" w15:restartNumberingAfterBreak="0">
    <w:nsid w:val="5EB46CD0"/>
    <w:multiLevelType w:val="hybridMultilevel"/>
    <w:tmpl w:val="B4FA4B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C044E1"/>
    <w:multiLevelType w:val="hybridMultilevel"/>
    <w:tmpl w:val="61461BBC"/>
    <w:lvl w:ilvl="0" w:tplc="F4DC4144">
      <w:start w:val="3"/>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61CF17EF"/>
    <w:multiLevelType w:val="hybridMultilevel"/>
    <w:tmpl w:val="57B6599C"/>
    <w:lvl w:ilvl="0" w:tplc="4C84E3DE">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4" w15:restartNumberingAfterBreak="0">
    <w:nsid w:val="628A2113"/>
    <w:multiLevelType w:val="hybridMultilevel"/>
    <w:tmpl w:val="DD1C337E"/>
    <w:lvl w:ilvl="0" w:tplc="EA3C84C0">
      <w:start w:val="1"/>
      <w:numFmt w:val="decimal"/>
      <w:lvlText w:val="%1."/>
      <w:lvlJc w:val="left"/>
      <w:pPr>
        <w:ind w:left="1020" w:hanging="360"/>
      </w:pPr>
      <w:rPr>
        <w:rFonts w:hint="default"/>
        <w:color w:val="auto"/>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25" w15:restartNumberingAfterBreak="0">
    <w:nsid w:val="63E80776"/>
    <w:multiLevelType w:val="hybridMultilevel"/>
    <w:tmpl w:val="09E298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C5717C5"/>
    <w:multiLevelType w:val="hybridMultilevel"/>
    <w:tmpl w:val="0638CEA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EB42EF0"/>
    <w:multiLevelType w:val="hybridMultilevel"/>
    <w:tmpl w:val="7EF62DFA"/>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8" w15:restartNumberingAfterBreak="0">
    <w:nsid w:val="75AB013E"/>
    <w:multiLevelType w:val="hybridMultilevel"/>
    <w:tmpl w:val="2772C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A63FE2"/>
    <w:multiLevelType w:val="hybridMultilevel"/>
    <w:tmpl w:val="705266F0"/>
    <w:lvl w:ilvl="0" w:tplc="D4961A4E">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0" w15:restartNumberingAfterBreak="0">
    <w:nsid w:val="7963212A"/>
    <w:multiLevelType w:val="multilevel"/>
    <w:tmpl w:val="F4C26D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98F2E96"/>
    <w:multiLevelType w:val="hybridMultilevel"/>
    <w:tmpl w:val="367ED302"/>
    <w:lvl w:ilvl="0" w:tplc="8D6039A0">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2" w15:restartNumberingAfterBreak="0">
    <w:nsid w:val="7A1F3993"/>
    <w:multiLevelType w:val="hybridMultilevel"/>
    <w:tmpl w:val="3BA23D9C"/>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3" w15:restartNumberingAfterBreak="0">
    <w:nsid w:val="7A766277"/>
    <w:multiLevelType w:val="hybridMultilevel"/>
    <w:tmpl w:val="61F09BF0"/>
    <w:lvl w:ilvl="0" w:tplc="A17813B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15:restartNumberingAfterBreak="0">
    <w:nsid w:val="7DD9324B"/>
    <w:multiLevelType w:val="hybridMultilevel"/>
    <w:tmpl w:val="1D3E33F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EF02495"/>
    <w:multiLevelType w:val="hybridMultilevel"/>
    <w:tmpl w:val="731C6072"/>
    <w:lvl w:ilvl="0" w:tplc="B6F8B65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9"/>
  </w:num>
  <w:num w:numId="2">
    <w:abstractNumId w:val="33"/>
  </w:num>
  <w:num w:numId="3">
    <w:abstractNumId w:val="17"/>
  </w:num>
  <w:num w:numId="4">
    <w:abstractNumId w:val="20"/>
  </w:num>
  <w:num w:numId="5">
    <w:abstractNumId w:val="10"/>
  </w:num>
  <w:num w:numId="6">
    <w:abstractNumId w:val="8"/>
  </w:num>
  <w:num w:numId="7">
    <w:abstractNumId w:val="18"/>
  </w:num>
  <w:num w:numId="8">
    <w:abstractNumId w:val="30"/>
  </w:num>
  <w:num w:numId="9">
    <w:abstractNumId w:val="22"/>
  </w:num>
  <w:num w:numId="10">
    <w:abstractNumId w:val="35"/>
  </w:num>
  <w:num w:numId="11">
    <w:abstractNumId w:val="13"/>
  </w:num>
  <w:num w:numId="12">
    <w:abstractNumId w:val="26"/>
  </w:num>
  <w:num w:numId="13">
    <w:abstractNumId w:val="16"/>
  </w:num>
  <w:num w:numId="14">
    <w:abstractNumId w:val="3"/>
  </w:num>
  <w:num w:numId="15">
    <w:abstractNumId w:val="34"/>
  </w:num>
  <w:num w:numId="16">
    <w:abstractNumId w:val="4"/>
  </w:num>
  <w:num w:numId="17">
    <w:abstractNumId w:val="24"/>
  </w:num>
  <w:num w:numId="18">
    <w:abstractNumId w:val="29"/>
  </w:num>
  <w:num w:numId="19">
    <w:abstractNumId w:val="1"/>
  </w:num>
  <w:num w:numId="20">
    <w:abstractNumId w:val="0"/>
  </w:num>
  <w:num w:numId="21">
    <w:abstractNumId w:val="5"/>
  </w:num>
  <w:num w:numId="22">
    <w:abstractNumId w:val="23"/>
  </w:num>
  <w:num w:numId="23">
    <w:abstractNumId w:val="31"/>
  </w:num>
  <w:num w:numId="24">
    <w:abstractNumId w:val="21"/>
  </w:num>
  <w:num w:numId="25">
    <w:abstractNumId w:val="15"/>
  </w:num>
  <w:num w:numId="26">
    <w:abstractNumId w:val="7"/>
  </w:num>
  <w:num w:numId="27">
    <w:abstractNumId w:val="32"/>
  </w:num>
  <w:num w:numId="28">
    <w:abstractNumId w:val="2"/>
  </w:num>
  <w:num w:numId="29">
    <w:abstractNumId w:val="27"/>
  </w:num>
  <w:num w:numId="30">
    <w:abstractNumId w:val="28"/>
  </w:num>
  <w:num w:numId="31">
    <w:abstractNumId w:val="14"/>
  </w:num>
  <w:num w:numId="32">
    <w:abstractNumId w:val="6"/>
  </w:num>
  <w:num w:numId="33">
    <w:abstractNumId w:val="11"/>
  </w:num>
  <w:num w:numId="34">
    <w:abstractNumId w:val="19"/>
  </w:num>
  <w:num w:numId="35">
    <w:abstractNumId w:val="12"/>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77F"/>
    <w:rsid w:val="00001CD7"/>
    <w:rsid w:val="000046E2"/>
    <w:rsid w:val="00005217"/>
    <w:rsid w:val="00005373"/>
    <w:rsid w:val="00007341"/>
    <w:rsid w:val="00007372"/>
    <w:rsid w:val="00007F4B"/>
    <w:rsid w:val="00010D1A"/>
    <w:rsid w:val="00012A03"/>
    <w:rsid w:val="00012ADC"/>
    <w:rsid w:val="00012CF3"/>
    <w:rsid w:val="00013971"/>
    <w:rsid w:val="00013F24"/>
    <w:rsid w:val="00014FE0"/>
    <w:rsid w:val="00016D30"/>
    <w:rsid w:val="00021053"/>
    <w:rsid w:val="000220AE"/>
    <w:rsid w:val="00023B43"/>
    <w:rsid w:val="000268FD"/>
    <w:rsid w:val="00027BDD"/>
    <w:rsid w:val="000310F0"/>
    <w:rsid w:val="000315EE"/>
    <w:rsid w:val="00032628"/>
    <w:rsid w:val="000327A3"/>
    <w:rsid w:val="00033A32"/>
    <w:rsid w:val="00033CC7"/>
    <w:rsid w:val="00035EB7"/>
    <w:rsid w:val="00036B71"/>
    <w:rsid w:val="000377FD"/>
    <w:rsid w:val="000428AB"/>
    <w:rsid w:val="00043152"/>
    <w:rsid w:val="00044AFE"/>
    <w:rsid w:val="00045B87"/>
    <w:rsid w:val="000506A7"/>
    <w:rsid w:val="00052C07"/>
    <w:rsid w:val="00056901"/>
    <w:rsid w:val="00057B99"/>
    <w:rsid w:val="00063476"/>
    <w:rsid w:val="00064D40"/>
    <w:rsid w:val="0006683B"/>
    <w:rsid w:val="000669F0"/>
    <w:rsid w:val="0006795B"/>
    <w:rsid w:val="00071704"/>
    <w:rsid w:val="000717C1"/>
    <w:rsid w:val="00071A23"/>
    <w:rsid w:val="00072251"/>
    <w:rsid w:val="00072775"/>
    <w:rsid w:val="00077E4B"/>
    <w:rsid w:val="0008142D"/>
    <w:rsid w:val="00083B0D"/>
    <w:rsid w:val="00085B4B"/>
    <w:rsid w:val="0008682A"/>
    <w:rsid w:val="00087CE3"/>
    <w:rsid w:val="00092283"/>
    <w:rsid w:val="0009375D"/>
    <w:rsid w:val="000974BF"/>
    <w:rsid w:val="00097A68"/>
    <w:rsid w:val="00097D69"/>
    <w:rsid w:val="00097F19"/>
    <w:rsid w:val="000A1C7A"/>
    <w:rsid w:val="000A449F"/>
    <w:rsid w:val="000A4528"/>
    <w:rsid w:val="000A4E9C"/>
    <w:rsid w:val="000A5052"/>
    <w:rsid w:val="000A5F61"/>
    <w:rsid w:val="000A6E1F"/>
    <w:rsid w:val="000A6F88"/>
    <w:rsid w:val="000B16A4"/>
    <w:rsid w:val="000B1B1C"/>
    <w:rsid w:val="000B32CC"/>
    <w:rsid w:val="000B47DD"/>
    <w:rsid w:val="000B60BF"/>
    <w:rsid w:val="000B6318"/>
    <w:rsid w:val="000B6B7A"/>
    <w:rsid w:val="000B711A"/>
    <w:rsid w:val="000C1BAD"/>
    <w:rsid w:val="000C1BD8"/>
    <w:rsid w:val="000C2281"/>
    <w:rsid w:val="000C4491"/>
    <w:rsid w:val="000C5B91"/>
    <w:rsid w:val="000C72F3"/>
    <w:rsid w:val="000C7CB3"/>
    <w:rsid w:val="000D13FD"/>
    <w:rsid w:val="000D197A"/>
    <w:rsid w:val="000D1F86"/>
    <w:rsid w:val="000D4D51"/>
    <w:rsid w:val="000E0F48"/>
    <w:rsid w:val="000E1D07"/>
    <w:rsid w:val="000E4E09"/>
    <w:rsid w:val="000E5635"/>
    <w:rsid w:val="000E5D45"/>
    <w:rsid w:val="000F015C"/>
    <w:rsid w:val="000F0DE8"/>
    <w:rsid w:val="000F219F"/>
    <w:rsid w:val="000F259D"/>
    <w:rsid w:val="000F3561"/>
    <w:rsid w:val="000F3A51"/>
    <w:rsid w:val="00102C4C"/>
    <w:rsid w:val="00103DFB"/>
    <w:rsid w:val="001051BE"/>
    <w:rsid w:val="00105D65"/>
    <w:rsid w:val="00106187"/>
    <w:rsid w:val="00106596"/>
    <w:rsid w:val="001101B1"/>
    <w:rsid w:val="0011054C"/>
    <w:rsid w:val="001121F0"/>
    <w:rsid w:val="00117AAD"/>
    <w:rsid w:val="001205AB"/>
    <w:rsid w:val="00123351"/>
    <w:rsid w:val="00124DA9"/>
    <w:rsid w:val="0012712B"/>
    <w:rsid w:val="001316D9"/>
    <w:rsid w:val="00131A20"/>
    <w:rsid w:val="001327F9"/>
    <w:rsid w:val="00133213"/>
    <w:rsid w:val="00133344"/>
    <w:rsid w:val="00134361"/>
    <w:rsid w:val="0013568D"/>
    <w:rsid w:val="00136B1F"/>
    <w:rsid w:val="001372F6"/>
    <w:rsid w:val="001410F6"/>
    <w:rsid w:val="001530D4"/>
    <w:rsid w:val="00153D28"/>
    <w:rsid w:val="0016154B"/>
    <w:rsid w:val="001616C1"/>
    <w:rsid w:val="00166628"/>
    <w:rsid w:val="001672D8"/>
    <w:rsid w:val="0017077F"/>
    <w:rsid w:val="001709FB"/>
    <w:rsid w:val="00170BAD"/>
    <w:rsid w:val="00170F68"/>
    <w:rsid w:val="00174911"/>
    <w:rsid w:val="00175CAB"/>
    <w:rsid w:val="00176E36"/>
    <w:rsid w:val="00180706"/>
    <w:rsid w:val="0018757F"/>
    <w:rsid w:val="001877DE"/>
    <w:rsid w:val="00187DE1"/>
    <w:rsid w:val="001914E0"/>
    <w:rsid w:val="00193F9C"/>
    <w:rsid w:val="001941B6"/>
    <w:rsid w:val="0019468A"/>
    <w:rsid w:val="001947C6"/>
    <w:rsid w:val="001962D7"/>
    <w:rsid w:val="001963D5"/>
    <w:rsid w:val="001A02BA"/>
    <w:rsid w:val="001A0BE7"/>
    <w:rsid w:val="001A10C8"/>
    <w:rsid w:val="001A1436"/>
    <w:rsid w:val="001A2A3C"/>
    <w:rsid w:val="001A2B7E"/>
    <w:rsid w:val="001A3262"/>
    <w:rsid w:val="001A334E"/>
    <w:rsid w:val="001A368C"/>
    <w:rsid w:val="001A39E9"/>
    <w:rsid w:val="001A47DB"/>
    <w:rsid w:val="001A6C51"/>
    <w:rsid w:val="001B2D97"/>
    <w:rsid w:val="001B44AC"/>
    <w:rsid w:val="001B762A"/>
    <w:rsid w:val="001C0E68"/>
    <w:rsid w:val="001C3E95"/>
    <w:rsid w:val="001C573C"/>
    <w:rsid w:val="001C64A9"/>
    <w:rsid w:val="001D1A58"/>
    <w:rsid w:val="001D5209"/>
    <w:rsid w:val="001E0F20"/>
    <w:rsid w:val="001E1DDC"/>
    <w:rsid w:val="001E268A"/>
    <w:rsid w:val="001E4D19"/>
    <w:rsid w:val="001E68BC"/>
    <w:rsid w:val="001E7376"/>
    <w:rsid w:val="001F259A"/>
    <w:rsid w:val="001F556E"/>
    <w:rsid w:val="001F5E39"/>
    <w:rsid w:val="002011C3"/>
    <w:rsid w:val="0020247F"/>
    <w:rsid w:val="00203BCD"/>
    <w:rsid w:val="00207281"/>
    <w:rsid w:val="002116D9"/>
    <w:rsid w:val="00211E03"/>
    <w:rsid w:val="0021425C"/>
    <w:rsid w:val="00214683"/>
    <w:rsid w:val="002155E2"/>
    <w:rsid w:val="00221C4F"/>
    <w:rsid w:val="00223E47"/>
    <w:rsid w:val="002249A5"/>
    <w:rsid w:val="00225780"/>
    <w:rsid w:val="00227FCF"/>
    <w:rsid w:val="00234FC6"/>
    <w:rsid w:val="00235BB1"/>
    <w:rsid w:val="00236A08"/>
    <w:rsid w:val="00244987"/>
    <w:rsid w:val="0024531A"/>
    <w:rsid w:val="00245D0E"/>
    <w:rsid w:val="002465D8"/>
    <w:rsid w:val="002465EB"/>
    <w:rsid w:val="00246C3A"/>
    <w:rsid w:val="00250E6A"/>
    <w:rsid w:val="002563D1"/>
    <w:rsid w:val="002569E9"/>
    <w:rsid w:val="00256CEF"/>
    <w:rsid w:val="002571B3"/>
    <w:rsid w:val="00260B9E"/>
    <w:rsid w:val="00264928"/>
    <w:rsid w:val="00265354"/>
    <w:rsid w:val="0026782E"/>
    <w:rsid w:val="002732E5"/>
    <w:rsid w:val="00276A4A"/>
    <w:rsid w:val="00277E2C"/>
    <w:rsid w:val="00282A9C"/>
    <w:rsid w:val="00282B7A"/>
    <w:rsid w:val="0028515F"/>
    <w:rsid w:val="002859C8"/>
    <w:rsid w:val="00287365"/>
    <w:rsid w:val="002878B6"/>
    <w:rsid w:val="002907DA"/>
    <w:rsid w:val="002909AD"/>
    <w:rsid w:val="00297410"/>
    <w:rsid w:val="002A06B0"/>
    <w:rsid w:val="002A7275"/>
    <w:rsid w:val="002B0D9C"/>
    <w:rsid w:val="002B40F8"/>
    <w:rsid w:val="002B52E1"/>
    <w:rsid w:val="002B5FFD"/>
    <w:rsid w:val="002B6A22"/>
    <w:rsid w:val="002B7015"/>
    <w:rsid w:val="002B79CB"/>
    <w:rsid w:val="002C4A68"/>
    <w:rsid w:val="002C74EF"/>
    <w:rsid w:val="002D13A4"/>
    <w:rsid w:val="002D1F71"/>
    <w:rsid w:val="002D2221"/>
    <w:rsid w:val="002D3208"/>
    <w:rsid w:val="002D3BBF"/>
    <w:rsid w:val="002D4753"/>
    <w:rsid w:val="002D4DE4"/>
    <w:rsid w:val="002D5292"/>
    <w:rsid w:val="002D58B0"/>
    <w:rsid w:val="002D5B3F"/>
    <w:rsid w:val="002D5B86"/>
    <w:rsid w:val="002D7F15"/>
    <w:rsid w:val="002E32C2"/>
    <w:rsid w:val="002E480C"/>
    <w:rsid w:val="002E54F7"/>
    <w:rsid w:val="002E5609"/>
    <w:rsid w:val="002E679F"/>
    <w:rsid w:val="002F15FC"/>
    <w:rsid w:val="002F2837"/>
    <w:rsid w:val="002F2B58"/>
    <w:rsid w:val="002F566D"/>
    <w:rsid w:val="002F60E8"/>
    <w:rsid w:val="002F637B"/>
    <w:rsid w:val="002F6A88"/>
    <w:rsid w:val="00300CAD"/>
    <w:rsid w:val="0030473E"/>
    <w:rsid w:val="00306ED7"/>
    <w:rsid w:val="00310C15"/>
    <w:rsid w:val="003139E3"/>
    <w:rsid w:val="00313FC6"/>
    <w:rsid w:val="003146FA"/>
    <w:rsid w:val="00320F80"/>
    <w:rsid w:val="00322CD2"/>
    <w:rsid w:val="00323923"/>
    <w:rsid w:val="003271F3"/>
    <w:rsid w:val="00327D59"/>
    <w:rsid w:val="003307EB"/>
    <w:rsid w:val="00331EAE"/>
    <w:rsid w:val="00334538"/>
    <w:rsid w:val="003406A1"/>
    <w:rsid w:val="00340786"/>
    <w:rsid w:val="0034142C"/>
    <w:rsid w:val="00343D8F"/>
    <w:rsid w:val="0034536A"/>
    <w:rsid w:val="0035036E"/>
    <w:rsid w:val="003507C5"/>
    <w:rsid w:val="00350917"/>
    <w:rsid w:val="00351E8D"/>
    <w:rsid w:val="0035223A"/>
    <w:rsid w:val="0035557A"/>
    <w:rsid w:val="0035640A"/>
    <w:rsid w:val="003569E3"/>
    <w:rsid w:val="00356A47"/>
    <w:rsid w:val="00356FF2"/>
    <w:rsid w:val="00357A1F"/>
    <w:rsid w:val="0036036D"/>
    <w:rsid w:val="00362EE0"/>
    <w:rsid w:val="00363575"/>
    <w:rsid w:val="00363EB6"/>
    <w:rsid w:val="00364784"/>
    <w:rsid w:val="00366A1E"/>
    <w:rsid w:val="00370536"/>
    <w:rsid w:val="00375B2A"/>
    <w:rsid w:val="00380CE0"/>
    <w:rsid w:val="00383E99"/>
    <w:rsid w:val="00384211"/>
    <w:rsid w:val="00387160"/>
    <w:rsid w:val="00387ED7"/>
    <w:rsid w:val="003934C7"/>
    <w:rsid w:val="00394BAF"/>
    <w:rsid w:val="00395519"/>
    <w:rsid w:val="00396975"/>
    <w:rsid w:val="00396B0F"/>
    <w:rsid w:val="003A2C4D"/>
    <w:rsid w:val="003A4571"/>
    <w:rsid w:val="003A7A99"/>
    <w:rsid w:val="003B006E"/>
    <w:rsid w:val="003B1CB8"/>
    <w:rsid w:val="003B3873"/>
    <w:rsid w:val="003B4E5E"/>
    <w:rsid w:val="003B61F5"/>
    <w:rsid w:val="003B682D"/>
    <w:rsid w:val="003B6F14"/>
    <w:rsid w:val="003B7012"/>
    <w:rsid w:val="003C1BA7"/>
    <w:rsid w:val="003C4F5A"/>
    <w:rsid w:val="003C51B8"/>
    <w:rsid w:val="003C5758"/>
    <w:rsid w:val="003D1ED0"/>
    <w:rsid w:val="003D2CC2"/>
    <w:rsid w:val="003D3D13"/>
    <w:rsid w:val="003D4521"/>
    <w:rsid w:val="003D5878"/>
    <w:rsid w:val="003E03E4"/>
    <w:rsid w:val="003E18E5"/>
    <w:rsid w:val="003E3A97"/>
    <w:rsid w:val="003E4359"/>
    <w:rsid w:val="003F2AFD"/>
    <w:rsid w:val="003F5351"/>
    <w:rsid w:val="003F6798"/>
    <w:rsid w:val="003F7ECB"/>
    <w:rsid w:val="00400419"/>
    <w:rsid w:val="00403221"/>
    <w:rsid w:val="00405FAE"/>
    <w:rsid w:val="00406205"/>
    <w:rsid w:val="00407574"/>
    <w:rsid w:val="00412169"/>
    <w:rsid w:val="0041331C"/>
    <w:rsid w:val="00413ACA"/>
    <w:rsid w:val="0041421A"/>
    <w:rsid w:val="00414FBC"/>
    <w:rsid w:val="00415487"/>
    <w:rsid w:val="00420432"/>
    <w:rsid w:val="00421265"/>
    <w:rsid w:val="00424142"/>
    <w:rsid w:val="004268B9"/>
    <w:rsid w:val="00427805"/>
    <w:rsid w:val="004306E5"/>
    <w:rsid w:val="00431390"/>
    <w:rsid w:val="004334D2"/>
    <w:rsid w:val="00433CCA"/>
    <w:rsid w:val="00435799"/>
    <w:rsid w:val="0043638A"/>
    <w:rsid w:val="00436732"/>
    <w:rsid w:val="004434D2"/>
    <w:rsid w:val="0044729E"/>
    <w:rsid w:val="0045154A"/>
    <w:rsid w:val="00454D65"/>
    <w:rsid w:val="004567A8"/>
    <w:rsid w:val="00456F48"/>
    <w:rsid w:val="00462A10"/>
    <w:rsid w:val="00462D1D"/>
    <w:rsid w:val="00464840"/>
    <w:rsid w:val="0046534A"/>
    <w:rsid w:val="004653D9"/>
    <w:rsid w:val="00471459"/>
    <w:rsid w:val="0047218D"/>
    <w:rsid w:val="004726CF"/>
    <w:rsid w:val="00473CCE"/>
    <w:rsid w:val="00474221"/>
    <w:rsid w:val="00475E85"/>
    <w:rsid w:val="004807C7"/>
    <w:rsid w:val="0048148B"/>
    <w:rsid w:val="00483F3B"/>
    <w:rsid w:val="00487A5A"/>
    <w:rsid w:val="00491154"/>
    <w:rsid w:val="00491F07"/>
    <w:rsid w:val="00492768"/>
    <w:rsid w:val="00492AB9"/>
    <w:rsid w:val="00493E4F"/>
    <w:rsid w:val="0049525F"/>
    <w:rsid w:val="00495B5D"/>
    <w:rsid w:val="004A19F6"/>
    <w:rsid w:val="004A2BDD"/>
    <w:rsid w:val="004A32E9"/>
    <w:rsid w:val="004A37DB"/>
    <w:rsid w:val="004A6E8F"/>
    <w:rsid w:val="004A78DE"/>
    <w:rsid w:val="004B33AE"/>
    <w:rsid w:val="004B4602"/>
    <w:rsid w:val="004B5CFF"/>
    <w:rsid w:val="004B6E7E"/>
    <w:rsid w:val="004C1C26"/>
    <w:rsid w:val="004C39B1"/>
    <w:rsid w:val="004C44D9"/>
    <w:rsid w:val="004C4A54"/>
    <w:rsid w:val="004C52D6"/>
    <w:rsid w:val="004D03A6"/>
    <w:rsid w:val="004D1BAD"/>
    <w:rsid w:val="004D2891"/>
    <w:rsid w:val="004D30E1"/>
    <w:rsid w:val="004D45A5"/>
    <w:rsid w:val="004D46F3"/>
    <w:rsid w:val="004D50DD"/>
    <w:rsid w:val="004D6A5A"/>
    <w:rsid w:val="004E1FAC"/>
    <w:rsid w:val="004F1719"/>
    <w:rsid w:val="004F2642"/>
    <w:rsid w:val="004F2FEC"/>
    <w:rsid w:val="004F6AA8"/>
    <w:rsid w:val="004F6B07"/>
    <w:rsid w:val="004F733B"/>
    <w:rsid w:val="004F7B84"/>
    <w:rsid w:val="00500817"/>
    <w:rsid w:val="00503E26"/>
    <w:rsid w:val="005052B8"/>
    <w:rsid w:val="00510C55"/>
    <w:rsid w:val="00510D7D"/>
    <w:rsid w:val="00510EE1"/>
    <w:rsid w:val="00511850"/>
    <w:rsid w:val="00513E90"/>
    <w:rsid w:val="0051460F"/>
    <w:rsid w:val="00514B13"/>
    <w:rsid w:val="00516788"/>
    <w:rsid w:val="00516EE9"/>
    <w:rsid w:val="00516F30"/>
    <w:rsid w:val="005201E3"/>
    <w:rsid w:val="00520908"/>
    <w:rsid w:val="0052419F"/>
    <w:rsid w:val="00525099"/>
    <w:rsid w:val="00530242"/>
    <w:rsid w:val="00530D55"/>
    <w:rsid w:val="00532610"/>
    <w:rsid w:val="00533305"/>
    <w:rsid w:val="00534328"/>
    <w:rsid w:val="00534396"/>
    <w:rsid w:val="005402A5"/>
    <w:rsid w:val="00540AEF"/>
    <w:rsid w:val="005428DC"/>
    <w:rsid w:val="00542FAC"/>
    <w:rsid w:val="005439EA"/>
    <w:rsid w:val="00544EF6"/>
    <w:rsid w:val="00554E90"/>
    <w:rsid w:val="00557C7F"/>
    <w:rsid w:val="005637FB"/>
    <w:rsid w:val="0056775B"/>
    <w:rsid w:val="005700DD"/>
    <w:rsid w:val="005712D5"/>
    <w:rsid w:val="005762AE"/>
    <w:rsid w:val="00577552"/>
    <w:rsid w:val="005811EC"/>
    <w:rsid w:val="00582109"/>
    <w:rsid w:val="00582F9E"/>
    <w:rsid w:val="005832AB"/>
    <w:rsid w:val="005843DA"/>
    <w:rsid w:val="00585FBE"/>
    <w:rsid w:val="00586530"/>
    <w:rsid w:val="0058691E"/>
    <w:rsid w:val="005872B5"/>
    <w:rsid w:val="0059114D"/>
    <w:rsid w:val="00592B6F"/>
    <w:rsid w:val="005967AD"/>
    <w:rsid w:val="005972D8"/>
    <w:rsid w:val="00597D0F"/>
    <w:rsid w:val="005A003E"/>
    <w:rsid w:val="005A0D98"/>
    <w:rsid w:val="005A1BA4"/>
    <w:rsid w:val="005A1DFA"/>
    <w:rsid w:val="005A227A"/>
    <w:rsid w:val="005A3C6F"/>
    <w:rsid w:val="005A3EC7"/>
    <w:rsid w:val="005A5859"/>
    <w:rsid w:val="005A6127"/>
    <w:rsid w:val="005A6EB9"/>
    <w:rsid w:val="005B005A"/>
    <w:rsid w:val="005B0F81"/>
    <w:rsid w:val="005B6914"/>
    <w:rsid w:val="005B6FCB"/>
    <w:rsid w:val="005C07E0"/>
    <w:rsid w:val="005C2F90"/>
    <w:rsid w:val="005C31BC"/>
    <w:rsid w:val="005C4585"/>
    <w:rsid w:val="005C4889"/>
    <w:rsid w:val="005C48D1"/>
    <w:rsid w:val="005C4A0B"/>
    <w:rsid w:val="005C4D45"/>
    <w:rsid w:val="005C5B8C"/>
    <w:rsid w:val="005D0D46"/>
    <w:rsid w:val="005D12DA"/>
    <w:rsid w:val="005D3300"/>
    <w:rsid w:val="005D42B6"/>
    <w:rsid w:val="005D439B"/>
    <w:rsid w:val="005D551A"/>
    <w:rsid w:val="005E241B"/>
    <w:rsid w:val="005E310B"/>
    <w:rsid w:val="005E3DC9"/>
    <w:rsid w:val="005E61D1"/>
    <w:rsid w:val="005E6625"/>
    <w:rsid w:val="005E6BB3"/>
    <w:rsid w:val="005E7486"/>
    <w:rsid w:val="005F1A12"/>
    <w:rsid w:val="005F3063"/>
    <w:rsid w:val="005F3602"/>
    <w:rsid w:val="005F580D"/>
    <w:rsid w:val="005F5F70"/>
    <w:rsid w:val="00601032"/>
    <w:rsid w:val="00601D8F"/>
    <w:rsid w:val="006020F8"/>
    <w:rsid w:val="00603B52"/>
    <w:rsid w:val="00604645"/>
    <w:rsid w:val="006047AC"/>
    <w:rsid w:val="00604D11"/>
    <w:rsid w:val="00605035"/>
    <w:rsid w:val="0060688B"/>
    <w:rsid w:val="00606982"/>
    <w:rsid w:val="006102A4"/>
    <w:rsid w:val="00611DFA"/>
    <w:rsid w:val="006130F2"/>
    <w:rsid w:val="00613535"/>
    <w:rsid w:val="006148D4"/>
    <w:rsid w:val="00615EA7"/>
    <w:rsid w:val="006166C3"/>
    <w:rsid w:val="00617673"/>
    <w:rsid w:val="00617AEB"/>
    <w:rsid w:val="00620667"/>
    <w:rsid w:val="006216A1"/>
    <w:rsid w:val="006268B1"/>
    <w:rsid w:val="00626943"/>
    <w:rsid w:val="0063136A"/>
    <w:rsid w:val="0063180B"/>
    <w:rsid w:val="00632FCE"/>
    <w:rsid w:val="00633E2F"/>
    <w:rsid w:val="006358E2"/>
    <w:rsid w:val="00636878"/>
    <w:rsid w:val="00636C2D"/>
    <w:rsid w:val="006416BA"/>
    <w:rsid w:val="006416BB"/>
    <w:rsid w:val="00641790"/>
    <w:rsid w:val="00641920"/>
    <w:rsid w:val="00641957"/>
    <w:rsid w:val="006430AE"/>
    <w:rsid w:val="0064425A"/>
    <w:rsid w:val="0064431E"/>
    <w:rsid w:val="00646FF2"/>
    <w:rsid w:val="00650A6B"/>
    <w:rsid w:val="00653884"/>
    <w:rsid w:val="00654627"/>
    <w:rsid w:val="00654BAE"/>
    <w:rsid w:val="00656597"/>
    <w:rsid w:val="006565B3"/>
    <w:rsid w:val="006579F4"/>
    <w:rsid w:val="00657DCF"/>
    <w:rsid w:val="006608AC"/>
    <w:rsid w:val="00661BA7"/>
    <w:rsid w:val="00663222"/>
    <w:rsid w:val="00664877"/>
    <w:rsid w:val="00665CE3"/>
    <w:rsid w:val="00671DCE"/>
    <w:rsid w:val="00672F75"/>
    <w:rsid w:val="00674770"/>
    <w:rsid w:val="006763BA"/>
    <w:rsid w:val="00681EFE"/>
    <w:rsid w:val="00681F41"/>
    <w:rsid w:val="00684E34"/>
    <w:rsid w:val="00686630"/>
    <w:rsid w:val="00691084"/>
    <w:rsid w:val="00691633"/>
    <w:rsid w:val="0069169D"/>
    <w:rsid w:val="00691ADF"/>
    <w:rsid w:val="00692322"/>
    <w:rsid w:val="00692F8F"/>
    <w:rsid w:val="006935D2"/>
    <w:rsid w:val="00693D78"/>
    <w:rsid w:val="00693F43"/>
    <w:rsid w:val="0069420F"/>
    <w:rsid w:val="00694EC5"/>
    <w:rsid w:val="0069667B"/>
    <w:rsid w:val="006A189E"/>
    <w:rsid w:val="006A409D"/>
    <w:rsid w:val="006A58F0"/>
    <w:rsid w:val="006A702C"/>
    <w:rsid w:val="006B0107"/>
    <w:rsid w:val="006B412C"/>
    <w:rsid w:val="006B4A70"/>
    <w:rsid w:val="006B5CBC"/>
    <w:rsid w:val="006B7199"/>
    <w:rsid w:val="006B7885"/>
    <w:rsid w:val="006C0CCC"/>
    <w:rsid w:val="006C69AD"/>
    <w:rsid w:val="006C6FDB"/>
    <w:rsid w:val="006D0A91"/>
    <w:rsid w:val="006D1C2C"/>
    <w:rsid w:val="006D38C3"/>
    <w:rsid w:val="006D428D"/>
    <w:rsid w:val="006D44EB"/>
    <w:rsid w:val="006D6071"/>
    <w:rsid w:val="006D6F78"/>
    <w:rsid w:val="006E2104"/>
    <w:rsid w:val="006E299F"/>
    <w:rsid w:val="006E49E8"/>
    <w:rsid w:val="006E4D64"/>
    <w:rsid w:val="006F40CE"/>
    <w:rsid w:val="00700508"/>
    <w:rsid w:val="00700704"/>
    <w:rsid w:val="00702AA0"/>
    <w:rsid w:val="00702DFF"/>
    <w:rsid w:val="007039AE"/>
    <w:rsid w:val="00703F4E"/>
    <w:rsid w:val="007064C6"/>
    <w:rsid w:val="00707161"/>
    <w:rsid w:val="00710079"/>
    <w:rsid w:val="0071138D"/>
    <w:rsid w:val="0071380F"/>
    <w:rsid w:val="007139FB"/>
    <w:rsid w:val="007140A0"/>
    <w:rsid w:val="007142D2"/>
    <w:rsid w:val="00714423"/>
    <w:rsid w:val="00716B28"/>
    <w:rsid w:val="00720718"/>
    <w:rsid w:val="0072074D"/>
    <w:rsid w:val="00722DC6"/>
    <w:rsid w:val="007241FC"/>
    <w:rsid w:val="00725B83"/>
    <w:rsid w:val="007265B1"/>
    <w:rsid w:val="00726B5A"/>
    <w:rsid w:val="00727CA6"/>
    <w:rsid w:val="00733D75"/>
    <w:rsid w:val="0073429E"/>
    <w:rsid w:val="00736888"/>
    <w:rsid w:val="00736AF1"/>
    <w:rsid w:val="00737302"/>
    <w:rsid w:val="00740CF7"/>
    <w:rsid w:val="007445CB"/>
    <w:rsid w:val="00744E44"/>
    <w:rsid w:val="00745833"/>
    <w:rsid w:val="0075061D"/>
    <w:rsid w:val="00760663"/>
    <w:rsid w:val="00760CBC"/>
    <w:rsid w:val="007633B4"/>
    <w:rsid w:val="007659C1"/>
    <w:rsid w:val="00765ED2"/>
    <w:rsid w:val="00767CFC"/>
    <w:rsid w:val="00775ABC"/>
    <w:rsid w:val="007766BF"/>
    <w:rsid w:val="0078058C"/>
    <w:rsid w:val="00780851"/>
    <w:rsid w:val="00781570"/>
    <w:rsid w:val="00782C55"/>
    <w:rsid w:val="00783586"/>
    <w:rsid w:val="00784E23"/>
    <w:rsid w:val="007876D0"/>
    <w:rsid w:val="00791B4C"/>
    <w:rsid w:val="00792F77"/>
    <w:rsid w:val="00793418"/>
    <w:rsid w:val="00793677"/>
    <w:rsid w:val="00794894"/>
    <w:rsid w:val="00794BA9"/>
    <w:rsid w:val="00795BE1"/>
    <w:rsid w:val="007965D6"/>
    <w:rsid w:val="007A0C80"/>
    <w:rsid w:val="007A2A61"/>
    <w:rsid w:val="007A3192"/>
    <w:rsid w:val="007A3CE6"/>
    <w:rsid w:val="007A7FEC"/>
    <w:rsid w:val="007B3FCC"/>
    <w:rsid w:val="007B5C2E"/>
    <w:rsid w:val="007B7485"/>
    <w:rsid w:val="007C3867"/>
    <w:rsid w:val="007C3AAB"/>
    <w:rsid w:val="007C65DC"/>
    <w:rsid w:val="007C678A"/>
    <w:rsid w:val="007C762B"/>
    <w:rsid w:val="007D0FBD"/>
    <w:rsid w:val="007D3CE1"/>
    <w:rsid w:val="007D4ED7"/>
    <w:rsid w:val="007D5459"/>
    <w:rsid w:val="007E2416"/>
    <w:rsid w:val="007E3EAF"/>
    <w:rsid w:val="007E3EF6"/>
    <w:rsid w:val="007E52CB"/>
    <w:rsid w:val="007E5ED3"/>
    <w:rsid w:val="007E66B0"/>
    <w:rsid w:val="007E7008"/>
    <w:rsid w:val="007F33B1"/>
    <w:rsid w:val="007F39CC"/>
    <w:rsid w:val="007F4FCB"/>
    <w:rsid w:val="007F62F4"/>
    <w:rsid w:val="00801D0A"/>
    <w:rsid w:val="00802CE4"/>
    <w:rsid w:val="00804212"/>
    <w:rsid w:val="00806986"/>
    <w:rsid w:val="00807FF4"/>
    <w:rsid w:val="00810277"/>
    <w:rsid w:val="00810BEB"/>
    <w:rsid w:val="00811271"/>
    <w:rsid w:val="008119D9"/>
    <w:rsid w:val="00811B4A"/>
    <w:rsid w:val="00812456"/>
    <w:rsid w:val="008124CA"/>
    <w:rsid w:val="00813E6B"/>
    <w:rsid w:val="00814D7C"/>
    <w:rsid w:val="008175E3"/>
    <w:rsid w:val="00817A49"/>
    <w:rsid w:val="008241A3"/>
    <w:rsid w:val="00825F68"/>
    <w:rsid w:val="008261DB"/>
    <w:rsid w:val="00831E70"/>
    <w:rsid w:val="00832837"/>
    <w:rsid w:val="00832DBE"/>
    <w:rsid w:val="00835A10"/>
    <w:rsid w:val="008360FC"/>
    <w:rsid w:val="0083695F"/>
    <w:rsid w:val="00836AAA"/>
    <w:rsid w:val="00840688"/>
    <w:rsid w:val="00843987"/>
    <w:rsid w:val="00844076"/>
    <w:rsid w:val="00845929"/>
    <w:rsid w:val="008465EF"/>
    <w:rsid w:val="00846E64"/>
    <w:rsid w:val="008474D5"/>
    <w:rsid w:val="008477DD"/>
    <w:rsid w:val="00847AFE"/>
    <w:rsid w:val="00853C52"/>
    <w:rsid w:val="00854F66"/>
    <w:rsid w:val="008602CD"/>
    <w:rsid w:val="008615D8"/>
    <w:rsid w:val="00861C52"/>
    <w:rsid w:val="008631DC"/>
    <w:rsid w:val="00863D04"/>
    <w:rsid w:val="00864E0F"/>
    <w:rsid w:val="00871268"/>
    <w:rsid w:val="00871BCC"/>
    <w:rsid w:val="00872E10"/>
    <w:rsid w:val="00875F94"/>
    <w:rsid w:val="00877384"/>
    <w:rsid w:val="0087749B"/>
    <w:rsid w:val="00877740"/>
    <w:rsid w:val="0088148E"/>
    <w:rsid w:val="00884124"/>
    <w:rsid w:val="00884E99"/>
    <w:rsid w:val="0089022E"/>
    <w:rsid w:val="00890985"/>
    <w:rsid w:val="00897B60"/>
    <w:rsid w:val="008A03FE"/>
    <w:rsid w:val="008A0A57"/>
    <w:rsid w:val="008A163E"/>
    <w:rsid w:val="008A3AD7"/>
    <w:rsid w:val="008A5A7B"/>
    <w:rsid w:val="008A6637"/>
    <w:rsid w:val="008B223F"/>
    <w:rsid w:val="008B30BF"/>
    <w:rsid w:val="008B369B"/>
    <w:rsid w:val="008B4AF6"/>
    <w:rsid w:val="008B52F3"/>
    <w:rsid w:val="008C06E5"/>
    <w:rsid w:val="008C08DC"/>
    <w:rsid w:val="008C2F12"/>
    <w:rsid w:val="008C451E"/>
    <w:rsid w:val="008C5084"/>
    <w:rsid w:val="008D131F"/>
    <w:rsid w:val="008D2EF0"/>
    <w:rsid w:val="008D4D41"/>
    <w:rsid w:val="008D6B9C"/>
    <w:rsid w:val="008E620F"/>
    <w:rsid w:val="008E6CDE"/>
    <w:rsid w:val="008E6EDF"/>
    <w:rsid w:val="008E7100"/>
    <w:rsid w:val="008E7D4C"/>
    <w:rsid w:val="008F10BE"/>
    <w:rsid w:val="008F2919"/>
    <w:rsid w:val="008F68FF"/>
    <w:rsid w:val="00900135"/>
    <w:rsid w:val="009012E7"/>
    <w:rsid w:val="00903D62"/>
    <w:rsid w:val="00904185"/>
    <w:rsid w:val="00904C3C"/>
    <w:rsid w:val="00904F5C"/>
    <w:rsid w:val="009061B3"/>
    <w:rsid w:val="00907C82"/>
    <w:rsid w:val="00911CFD"/>
    <w:rsid w:val="009138BE"/>
    <w:rsid w:val="00924869"/>
    <w:rsid w:val="00925BF7"/>
    <w:rsid w:val="00927D90"/>
    <w:rsid w:val="009310AB"/>
    <w:rsid w:val="00933A96"/>
    <w:rsid w:val="009405EC"/>
    <w:rsid w:val="00943B44"/>
    <w:rsid w:val="00943DBD"/>
    <w:rsid w:val="00945641"/>
    <w:rsid w:val="00946648"/>
    <w:rsid w:val="00951BF7"/>
    <w:rsid w:val="00951DC3"/>
    <w:rsid w:val="00954760"/>
    <w:rsid w:val="00955370"/>
    <w:rsid w:val="00955DED"/>
    <w:rsid w:val="0095689C"/>
    <w:rsid w:val="00956B26"/>
    <w:rsid w:val="009607FC"/>
    <w:rsid w:val="0096113D"/>
    <w:rsid w:val="00961D2E"/>
    <w:rsid w:val="00962A1E"/>
    <w:rsid w:val="00963451"/>
    <w:rsid w:val="00964056"/>
    <w:rsid w:val="009647F1"/>
    <w:rsid w:val="0096502D"/>
    <w:rsid w:val="009704A9"/>
    <w:rsid w:val="00970AF5"/>
    <w:rsid w:val="00971142"/>
    <w:rsid w:val="0097361A"/>
    <w:rsid w:val="00974B9C"/>
    <w:rsid w:val="00980F37"/>
    <w:rsid w:val="00982FC0"/>
    <w:rsid w:val="00983160"/>
    <w:rsid w:val="009831BF"/>
    <w:rsid w:val="0098570E"/>
    <w:rsid w:val="00987111"/>
    <w:rsid w:val="0098735F"/>
    <w:rsid w:val="00987795"/>
    <w:rsid w:val="00987F7F"/>
    <w:rsid w:val="00990937"/>
    <w:rsid w:val="0099149E"/>
    <w:rsid w:val="0099157D"/>
    <w:rsid w:val="009925E2"/>
    <w:rsid w:val="0099427E"/>
    <w:rsid w:val="00995603"/>
    <w:rsid w:val="00995D7D"/>
    <w:rsid w:val="009976FC"/>
    <w:rsid w:val="009A3AC4"/>
    <w:rsid w:val="009A707A"/>
    <w:rsid w:val="009A7CC2"/>
    <w:rsid w:val="009A7F65"/>
    <w:rsid w:val="009B0E76"/>
    <w:rsid w:val="009B2513"/>
    <w:rsid w:val="009B3BBD"/>
    <w:rsid w:val="009B4276"/>
    <w:rsid w:val="009B5B29"/>
    <w:rsid w:val="009B709B"/>
    <w:rsid w:val="009C0CF4"/>
    <w:rsid w:val="009C217A"/>
    <w:rsid w:val="009C7B40"/>
    <w:rsid w:val="009D19FF"/>
    <w:rsid w:val="009D3EC8"/>
    <w:rsid w:val="009D74F5"/>
    <w:rsid w:val="009E2D7F"/>
    <w:rsid w:val="009E58BC"/>
    <w:rsid w:val="009E590A"/>
    <w:rsid w:val="009F13E9"/>
    <w:rsid w:val="009F1576"/>
    <w:rsid w:val="009F55F5"/>
    <w:rsid w:val="009F6CB9"/>
    <w:rsid w:val="00A06D15"/>
    <w:rsid w:val="00A07134"/>
    <w:rsid w:val="00A0798D"/>
    <w:rsid w:val="00A07FB5"/>
    <w:rsid w:val="00A10430"/>
    <w:rsid w:val="00A15C5B"/>
    <w:rsid w:val="00A15ECC"/>
    <w:rsid w:val="00A20561"/>
    <w:rsid w:val="00A21935"/>
    <w:rsid w:val="00A22C6E"/>
    <w:rsid w:val="00A24D9A"/>
    <w:rsid w:val="00A25084"/>
    <w:rsid w:val="00A26587"/>
    <w:rsid w:val="00A26FAE"/>
    <w:rsid w:val="00A3153C"/>
    <w:rsid w:val="00A34F04"/>
    <w:rsid w:val="00A4030A"/>
    <w:rsid w:val="00A40D3E"/>
    <w:rsid w:val="00A41860"/>
    <w:rsid w:val="00A41F79"/>
    <w:rsid w:val="00A42D4F"/>
    <w:rsid w:val="00A43254"/>
    <w:rsid w:val="00A43FB2"/>
    <w:rsid w:val="00A4740E"/>
    <w:rsid w:val="00A47FE2"/>
    <w:rsid w:val="00A52509"/>
    <w:rsid w:val="00A55244"/>
    <w:rsid w:val="00A566B8"/>
    <w:rsid w:val="00A57EF6"/>
    <w:rsid w:val="00A6106B"/>
    <w:rsid w:val="00A630A8"/>
    <w:rsid w:val="00A6359B"/>
    <w:rsid w:val="00A63F46"/>
    <w:rsid w:val="00A65C13"/>
    <w:rsid w:val="00A65F3B"/>
    <w:rsid w:val="00A67074"/>
    <w:rsid w:val="00A72210"/>
    <w:rsid w:val="00A73A36"/>
    <w:rsid w:val="00A74A8A"/>
    <w:rsid w:val="00A74C7C"/>
    <w:rsid w:val="00A75D37"/>
    <w:rsid w:val="00A76D45"/>
    <w:rsid w:val="00A77381"/>
    <w:rsid w:val="00A77B98"/>
    <w:rsid w:val="00A77BDD"/>
    <w:rsid w:val="00A826E3"/>
    <w:rsid w:val="00A82D4A"/>
    <w:rsid w:val="00A836B0"/>
    <w:rsid w:val="00A85D78"/>
    <w:rsid w:val="00A87E2F"/>
    <w:rsid w:val="00A95564"/>
    <w:rsid w:val="00AA292D"/>
    <w:rsid w:val="00AA29ED"/>
    <w:rsid w:val="00AA2AEA"/>
    <w:rsid w:val="00AA3802"/>
    <w:rsid w:val="00AA415D"/>
    <w:rsid w:val="00AA61A7"/>
    <w:rsid w:val="00AA65D4"/>
    <w:rsid w:val="00AA6776"/>
    <w:rsid w:val="00AA6E20"/>
    <w:rsid w:val="00AB10E9"/>
    <w:rsid w:val="00AB25FD"/>
    <w:rsid w:val="00AB3B99"/>
    <w:rsid w:val="00AB46D2"/>
    <w:rsid w:val="00AB5CD0"/>
    <w:rsid w:val="00AB7516"/>
    <w:rsid w:val="00AC14C2"/>
    <w:rsid w:val="00AC24AE"/>
    <w:rsid w:val="00AC3287"/>
    <w:rsid w:val="00AC487A"/>
    <w:rsid w:val="00AC720E"/>
    <w:rsid w:val="00AD337D"/>
    <w:rsid w:val="00AD4220"/>
    <w:rsid w:val="00AD4FCC"/>
    <w:rsid w:val="00AD6B9F"/>
    <w:rsid w:val="00AE1A79"/>
    <w:rsid w:val="00AE3C6F"/>
    <w:rsid w:val="00AE56B4"/>
    <w:rsid w:val="00AF052B"/>
    <w:rsid w:val="00AF2D97"/>
    <w:rsid w:val="00AF33E3"/>
    <w:rsid w:val="00AF3FBD"/>
    <w:rsid w:val="00AF77D9"/>
    <w:rsid w:val="00B04893"/>
    <w:rsid w:val="00B07F71"/>
    <w:rsid w:val="00B11281"/>
    <w:rsid w:val="00B1182C"/>
    <w:rsid w:val="00B13D09"/>
    <w:rsid w:val="00B20D4B"/>
    <w:rsid w:val="00B22FD5"/>
    <w:rsid w:val="00B23540"/>
    <w:rsid w:val="00B23C74"/>
    <w:rsid w:val="00B24847"/>
    <w:rsid w:val="00B24DEE"/>
    <w:rsid w:val="00B32EA2"/>
    <w:rsid w:val="00B33E49"/>
    <w:rsid w:val="00B34117"/>
    <w:rsid w:val="00B35286"/>
    <w:rsid w:val="00B36738"/>
    <w:rsid w:val="00B36D2A"/>
    <w:rsid w:val="00B36DDA"/>
    <w:rsid w:val="00B44671"/>
    <w:rsid w:val="00B44718"/>
    <w:rsid w:val="00B50955"/>
    <w:rsid w:val="00B50E45"/>
    <w:rsid w:val="00B51499"/>
    <w:rsid w:val="00B514B6"/>
    <w:rsid w:val="00B51F15"/>
    <w:rsid w:val="00B53DC4"/>
    <w:rsid w:val="00B550EB"/>
    <w:rsid w:val="00B55C56"/>
    <w:rsid w:val="00B55CDA"/>
    <w:rsid w:val="00B61E88"/>
    <w:rsid w:val="00B624D1"/>
    <w:rsid w:val="00B62719"/>
    <w:rsid w:val="00B62E10"/>
    <w:rsid w:val="00B62F9D"/>
    <w:rsid w:val="00B64871"/>
    <w:rsid w:val="00B658A1"/>
    <w:rsid w:val="00B67ACC"/>
    <w:rsid w:val="00B67F07"/>
    <w:rsid w:val="00B702FE"/>
    <w:rsid w:val="00B734E3"/>
    <w:rsid w:val="00B74DBA"/>
    <w:rsid w:val="00B75CE1"/>
    <w:rsid w:val="00B77328"/>
    <w:rsid w:val="00B82014"/>
    <w:rsid w:val="00B83750"/>
    <w:rsid w:val="00B85F0B"/>
    <w:rsid w:val="00B8717A"/>
    <w:rsid w:val="00B92AEE"/>
    <w:rsid w:val="00B95635"/>
    <w:rsid w:val="00B97470"/>
    <w:rsid w:val="00BA0805"/>
    <w:rsid w:val="00BA13EE"/>
    <w:rsid w:val="00BA4F02"/>
    <w:rsid w:val="00BA51B7"/>
    <w:rsid w:val="00BB0636"/>
    <w:rsid w:val="00BB1BBF"/>
    <w:rsid w:val="00BB3371"/>
    <w:rsid w:val="00BB5017"/>
    <w:rsid w:val="00BB6D51"/>
    <w:rsid w:val="00BB78DE"/>
    <w:rsid w:val="00BC08AC"/>
    <w:rsid w:val="00BC1974"/>
    <w:rsid w:val="00BC2A65"/>
    <w:rsid w:val="00BC3D29"/>
    <w:rsid w:val="00BC53ED"/>
    <w:rsid w:val="00BC61D9"/>
    <w:rsid w:val="00BC6417"/>
    <w:rsid w:val="00BC7D78"/>
    <w:rsid w:val="00BD3B68"/>
    <w:rsid w:val="00BD4760"/>
    <w:rsid w:val="00BD5DBD"/>
    <w:rsid w:val="00BD7C29"/>
    <w:rsid w:val="00BE1D7A"/>
    <w:rsid w:val="00BE3491"/>
    <w:rsid w:val="00BE4D85"/>
    <w:rsid w:val="00BE5F43"/>
    <w:rsid w:val="00BF12F2"/>
    <w:rsid w:val="00BF30D4"/>
    <w:rsid w:val="00BF54DA"/>
    <w:rsid w:val="00BF5913"/>
    <w:rsid w:val="00BF5F5B"/>
    <w:rsid w:val="00BF6DED"/>
    <w:rsid w:val="00C00D92"/>
    <w:rsid w:val="00C0375B"/>
    <w:rsid w:val="00C038F7"/>
    <w:rsid w:val="00C04AB2"/>
    <w:rsid w:val="00C108DE"/>
    <w:rsid w:val="00C11535"/>
    <w:rsid w:val="00C116F5"/>
    <w:rsid w:val="00C142E3"/>
    <w:rsid w:val="00C15B2C"/>
    <w:rsid w:val="00C17B58"/>
    <w:rsid w:val="00C208AA"/>
    <w:rsid w:val="00C21C19"/>
    <w:rsid w:val="00C249AF"/>
    <w:rsid w:val="00C267ED"/>
    <w:rsid w:val="00C26A44"/>
    <w:rsid w:val="00C3102D"/>
    <w:rsid w:val="00C345C8"/>
    <w:rsid w:val="00C347DD"/>
    <w:rsid w:val="00C43BF9"/>
    <w:rsid w:val="00C442AA"/>
    <w:rsid w:val="00C44DBA"/>
    <w:rsid w:val="00C45B3F"/>
    <w:rsid w:val="00C47080"/>
    <w:rsid w:val="00C50FCB"/>
    <w:rsid w:val="00C55B1E"/>
    <w:rsid w:val="00C55F76"/>
    <w:rsid w:val="00C63366"/>
    <w:rsid w:val="00C66CE8"/>
    <w:rsid w:val="00C67194"/>
    <w:rsid w:val="00C71B4A"/>
    <w:rsid w:val="00C7210E"/>
    <w:rsid w:val="00C73BDB"/>
    <w:rsid w:val="00C753E5"/>
    <w:rsid w:val="00C76A98"/>
    <w:rsid w:val="00C8216A"/>
    <w:rsid w:val="00C84AC3"/>
    <w:rsid w:val="00C90612"/>
    <w:rsid w:val="00C90FD8"/>
    <w:rsid w:val="00C914A1"/>
    <w:rsid w:val="00C9438A"/>
    <w:rsid w:val="00C95B7C"/>
    <w:rsid w:val="00C96BFF"/>
    <w:rsid w:val="00C96CAB"/>
    <w:rsid w:val="00CA09B7"/>
    <w:rsid w:val="00CA181A"/>
    <w:rsid w:val="00CA2CC5"/>
    <w:rsid w:val="00CA465B"/>
    <w:rsid w:val="00CB04A1"/>
    <w:rsid w:val="00CB433A"/>
    <w:rsid w:val="00CB5DB3"/>
    <w:rsid w:val="00CB639A"/>
    <w:rsid w:val="00CB7232"/>
    <w:rsid w:val="00CC0DE3"/>
    <w:rsid w:val="00CC1551"/>
    <w:rsid w:val="00CC538E"/>
    <w:rsid w:val="00CC5646"/>
    <w:rsid w:val="00CC5CDB"/>
    <w:rsid w:val="00CC6BE9"/>
    <w:rsid w:val="00CC7C26"/>
    <w:rsid w:val="00CD0D68"/>
    <w:rsid w:val="00CD2684"/>
    <w:rsid w:val="00CD3767"/>
    <w:rsid w:val="00CD6608"/>
    <w:rsid w:val="00CE09C2"/>
    <w:rsid w:val="00CE0F07"/>
    <w:rsid w:val="00CE1ECD"/>
    <w:rsid w:val="00CE2D44"/>
    <w:rsid w:val="00CE6C99"/>
    <w:rsid w:val="00CE76CB"/>
    <w:rsid w:val="00CF04CE"/>
    <w:rsid w:val="00CF07B7"/>
    <w:rsid w:val="00CF4493"/>
    <w:rsid w:val="00CF5680"/>
    <w:rsid w:val="00CF6ED4"/>
    <w:rsid w:val="00CF79A8"/>
    <w:rsid w:val="00D021FE"/>
    <w:rsid w:val="00D04BBF"/>
    <w:rsid w:val="00D0552A"/>
    <w:rsid w:val="00D10D48"/>
    <w:rsid w:val="00D11675"/>
    <w:rsid w:val="00D11A4A"/>
    <w:rsid w:val="00D12C80"/>
    <w:rsid w:val="00D12F62"/>
    <w:rsid w:val="00D13962"/>
    <w:rsid w:val="00D16D01"/>
    <w:rsid w:val="00D215F6"/>
    <w:rsid w:val="00D22153"/>
    <w:rsid w:val="00D26C7E"/>
    <w:rsid w:val="00D303F1"/>
    <w:rsid w:val="00D30739"/>
    <w:rsid w:val="00D31828"/>
    <w:rsid w:val="00D337AF"/>
    <w:rsid w:val="00D368FD"/>
    <w:rsid w:val="00D373C3"/>
    <w:rsid w:val="00D37AE0"/>
    <w:rsid w:val="00D37CA9"/>
    <w:rsid w:val="00D405C3"/>
    <w:rsid w:val="00D40D40"/>
    <w:rsid w:val="00D5057E"/>
    <w:rsid w:val="00D52DE2"/>
    <w:rsid w:val="00D53253"/>
    <w:rsid w:val="00D556C1"/>
    <w:rsid w:val="00D57EA6"/>
    <w:rsid w:val="00D62AC2"/>
    <w:rsid w:val="00D63143"/>
    <w:rsid w:val="00D643CA"/>
    <w:rsid w:val="00D64EDC"/>
    <w:rsid w:val="00D70550"/>
    <w:rsid w:val="00D73CF3"/>
    <w:rsid w:val="00D74661"/>
    <w:rsid w:val="00D757E5"/>
    <w:rsid w:val="00D82108"/>
    <w:rsid w:val="00D838EB"/>
    <w:rsid w:val="00D858A1"/>
    <w:rsid w:val="00D87661"/>
    <w:rsid w:val="00D8772B"/>
    <w:rsid w:val="00D87EE8"/>
    <w:rsid w:val="00D902D4"/>
    <w:rsid w:val="00D9168B"/>
    <w:rsid w:val="00D917BE"/>
    <w:rsid w:val="00D93ED9"/>
    <w:rsid w:val="00D944B0"/>
    <w:rsid w:val="00D96926"/>
    <w:rsid w:val="00DA60C1"/>
    <w:rsid w:val="00DB16CE"/>
    <w:rsid w:val="00DB2912"/>
    <w:rsid w:val="00DB2F39"/>
    <w:rsid w:val="00DB377D"/>
    <w:rsid w:val="00DB3D63"/>
    <w:rsid w:val="00DB465B"/>
    <w:rsid w:val="00DB5DAD"/>
    <w:rsid w:val="00DB6D9B"/>
    <w:rsid w:val="00DB7B07"/>
    <w:rsid w:val="00DC1BB9"/>
    <w:rsid w:val="00DC1F20"/>
    <w:rsid w:val="00DC3BE2"/>
    <w:rsid w:val="00DC5D24"/>
    <w:rsid w:val="00DC6CB9"/>
    <w:rsid w:val="00DC6EE2"/>
    <w:rsid w:val="00DD083B"/>
    <w:rsid w:val="00DD0FE2"/>
    <w:rsid w:val="00DD26EA"/>
    <w:rsid w:val="00DD2C9A"/>
    <w:rsid w:val="00DD40D8"/>
    <w:rsid w:val="00DD453A"/>
    <w:rsid w:val="00DD69D8"/>
    <w:rsid w:val="00DD7006"/>
    <w:rsid w:val="00DD75A6"/>
    <w:rsid w:val="00DE22FF"/>
    <w:rsid w:val="00DE23F7"/>
    <w:rsid w:val="00DE5B11"/>
    <w:rsid w:val="00DE7300"/>
    <w:rsid w:val="00DE7BB2"/>
    <w:rsid w:val="00DF184E"/>
    <w:rsid w:val="00DF1E7B"/>
    <w:rsid w:val="00DF26B5"/>
    <w:rsid w:val="00DF2C6A"/>
    <w:rsid w:val="00E00CCF"/>
    <w:rsid w:val="00E01234"/>
    <w:rsid w:val="00E01475"/>
    <w:rsid w:val="00E02102"/>
    <w:rsid w:val="00E02E4F"/>
    <w:rsid w:val="00E03CAA"/>
    <w:rsid w:val="00E05C3E"/>
    <w:rsid w:val="00E0756A"/>
    <w:rsid w:val="00E1020E"/>
    <w:rsid w:val="00E10488"/>
    <w:rsid w:val="00E109EA"/>
    <w:rsid w:val="00E117ED"/>
    <w:rsid w:val="00E11AC6"/>
    <w:rsid w:val="00E11CC2"/>
    <w:rsid w:val="00E124BD"/>
    <w:rsid w:val="00E13347"/>
    <w:rsid w:val="00E133DA"/>
    <w:rsid w:val="00E1387D"/>
    <w:rsid w:val="00E1506E"/>
    <w:rsid w:val="00E172DA"/>
    <w:rsid w:val="00E1788F"/>
    <w:rsid w:val="00E200F6"/>
    <w:rsid w:val="00E20602"/>
    <w:rsid w:val="00E2063E"/>
    <w:rsid w:val="00E21F92"/>
    <w:rsid w:val="00E244C5"/>
    <w:rsid w:val="00E27F60"/>
    <w:rsid w:val="00E27FC5"/>
    <w:rsid w:val="00E31CBD"/>
    <w:rsid w:val="00E3200B"/>
    <w:rsid w:val="00E33AA4"/>
    <w:rsid w:val="00E34C4E"/>
    <w:rsid w:val="00E34DE8"/>
    <w:rsid w:val="00E409F7"/>
    <w:rsid w:val="00E47785"/>
    <w:rsid w:val="00E50AEE"/>
    <w:rsid w:val="00E51308"/>
    <w:rsid w:val="00E52781"/>
    <w:rsid w:val="00E52ECE"/>
    <w:rsid w:val="00E531D9"/>
    <w:rsid w:val="00E57238"/>
    <w:rsid w:val="00E57CC2"/>
    <w:rsid w:val="00E57E4F"/>
    <w:rsid w:val="00E62963"/>
    <w:rsid w:val="00E633A3"/>
    <w:rsid w:val="00E67ED1"/>
    <w:rsid w:val="00E72211"/>
    <w:rsid w:val="00E744C4"/>
    <w:rsid w:val="00E7655B"/>
    <w:rsid w:val="00E80884"/>
    <w:rsid w:val="00E8168A"/>
    <w:rsid w:val="00E82EBB"/>
    <w:rsid w:val="00E839A5"/>
    <w:rsid w:val="00E8449C"/>
    <w:rsid w:val="00E847E4"/>
    <w:rsid w:val="00E8691E"/>
    <w:rsid w:val="00E912C2"/>
    <w:rsid w:val="00E921DD"/>
    <w:rsid w:val="00E93062"/>
    <w:rsid w:val="00E940A7"/>
    <w:rsid w:val="00E952DA"/>
    <w:rsid w:val="00EA2A99"/>
    <w:rsid w:val="00EA465B"/>
    <w:rsid w:val="00EA54BD"/>
    <w:rsid w:val="00EA6BCB"/>
    <w:rsid w:val="00EB1856"/>
    <w:rsid w:val="00EB1882"/>
    <w:rsid w:val="00EB23F4"/>
    <w:rsid w:val="00EB3B6A"/>
    <w:rsid w:val="00EB3BA0"/>
    <w:rsid w:val="00EB58A9"/>
    <w:rsid w:val="00EB6ED8"/>
    <w:rsid w:val="00EB6F63"/>
    <w:rsid w:val="00EB7DCC"/>
    <w:rsid w:val="00EC01B4"/>
    <w:rsid w:val="00EC1185"/>
    <w:rsid w:val="00EC3B31"/>
    <w:rsid w:val="00EC7D09"/>
    <w:rsid w:val="00ED3CEF"/>
    <w:rsid w:val="00ED68F5"/>
    <w:rsid w:val="00EE0064"/>
    <w:rsid w:val="00EE0B08"/>
    <w:rsid w:val="00EE1B05"/>
    <w:rsid w:val="00EE277F"/>
    <w:rsid w:val="00EE378D"/>
    <w:rsid w:val="00EE3893"/>
    <w:rsid w:val="00EE6BF4"/>
    <w:rsid w:val="00EF22DE"/>
    <w:rsid w:val="00EF34FA"/>
    <w:rsid w:val="00EF4994"/>
    <w:rsid w:val="00EF7C0B"/>
    <w:rsid w:val="00EF7C5F"/>
    <w:rsid w:val="00F059C5"/>
    <w:rsid w:val="00F060A9"/>
    <w:rsid w:val="00F06805"/>
    <w:rsid w:val="00F13539"/>
    <w:rsid w:val="00F139D9"/>
    <w:rsid w:val="00F13C77"/>
    <w:rsid w:val="00F14722"/>
    <w:rsid w:val="00F170B2"/>
    <w:rsid w:val="00F17B34"/>
    <w:rsid w:val="00F215B1"/>
    <w:rsid w:val="00F21E4E"/>
    <w:rsid w:val="00F2281E"/>
    <w:rsid w:val="00F22D2D"/>
    <w:rsid w:val="00F244B9"/>
    <w:rsid w:val="00F27753"/>
    <w:rsid w:val="00F300A9"/>
    <w:rsid w:val="00F32428"/>
    <w:rsid w:val="00F327BB"/>
    <w:rsid w:val="00F338E4"/>
    <w:rsid w:val="00F34035"/>
    <w:rsid w:val="00F35809"/>
    <w:rsid w:val="00F37CF5"/>
    <w:rsid w:val="00F40A0B"/>
    <w:rsid w:val="00F41175"/>
    <w:rsid w:val="00F431FD"/>
    <w:rsid w:val="00F46126"/>
    <w:rsid w:val="00F51022"/>
    <w:rsid w:val="00F5710E"/>
    <w:rsid w:val="00F57F18"/>
    <w:rsid w:val="00F606BC"/>
    <w:rsid w:val="00F61B3D"/>
    <w:rsid w:val="00F62B6A"/>
    <w:rsid w:val="00F636FE"/>
    <w:rsid w:val="00F645AD"/>
    <w:rsid w:val="00F722F1"/>
    <w:rsid w:val="00F72A76"/>
    <w:rsid w:val="00F73391"/>
    <w:rsid w:val="00F75C32"/>
    <w:rsid w:val="00F75CB5"/>
    <w:rsid w:val="00F75D57"/>
    <w:rsid w:val="00F771B3"/>
    <w:rsid w:val="00F822F1"/>
    <w:rsid w:val="00F828EA"/>
    <w:rsid w:val="00F85784"/>
    <w:rsid w:val="00F90553"/>
    <w:rsid w:val="00F90D16"/>
    <w:rsid w:val="00F91A5F"/>
    <w:rsid w:val="00F93201"/>
    <w:rsid w:val="00F94496"/>
    <w:rsid w:val="00F948CD"/>
    <w:rsid w:val="00F96315"/>
    <w:rsid w:val="00FA0294"/>
    <w:rsid w:val="00FA0C34"/>
    <w:rsid w:val="00FA3073"/>
    <w:rsid w:val="00FA3CC2"/>
    <w:rsid w:val="00FA444A"/>
    <w:rsid w:val="00FA73F1"/>
    <w:rsid w:val="00FA76E1"/>
    <w:rsid w:val="00FB200E"/>
    <w:rsid w:val="00FB5AAB"/>
    <w:rsid w:val="00FB7CBA"/>
    <w:rsid w:val="00FC2AFF"/>
    <w:rsid w:val="00FC6632"/>
    <w:rsid w:val="00FC66F1"/>
    <w:rsid w:val="00FC6ACB"/>
    <w:rsid w:val="00FD049D"/>
    <w:rsid w:val="00FD3E99"/>
    <w:rsid w:val="00FD445A"/>
    <w:rsid w:val="00FE485F"/>
    <w:rsid w:val="00FE72D9"/>
    <w:rsid w:val="00FF013B"/>
    <w:rsid w:val="00FF0706"/>
    <w:rsid w:val="00FF0E24"/>
    <w:rsid w:val="00FF2051"/>
    <w:rsid w:val="00FF2D05"/>
    <w:rsid w:val="00FF6085"/>
    <w:rsid w:val="00FF60FC"/>
    <w:rsid w:val="00FF76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8C64BC"/>
  <w15:docId w15:val="{E6AB9452-42D9-4EC8-B002-BB1483B1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51E8D"/>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paragraph" w:styleId="Heading9">
    <w:name w:val="heading 9"/>
    <w:basedOn w:val="Normal"/>
    <w:next w:val="Normal"/>
    <w:link w:val="Heading9Char"/>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basedOn w:val="Normal"/>
    <w:uiPriority w:val="34"/>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basedOn w:val="Normal"/>
    <w:link w:val="FootnoteTextChar"/>
    <w:uiPriority w:val="99"/>
    <w:semiHidden/>
    <w:unhideWhenUsed/>
    <w:rsid w:val="0088148E"/>
  </w:style>
  <w:style w:type="character" w:customStyle="1" w:styleId="FootnoteTextChar">
    <w:name w:val="Footnote Text Char"/>
    <w:basedOn w:val="DefaultParagraphFont"/>
    <w:link w:val="FootnoteText"/>
    <w:uiPriority w:val="99"/>
    <w:semiHidden/>
    <w:rsid w:val="0088148E"/>
    <w:rPr>
      <w:lang w:eastAsia="en-US"/>
    </w:rPr>
  </w:style>
  <w:style w:type="character" w:styleId="FootnoteReference">
    <w:name w:val="footnote reference"/>
    <w:uiPriority w:val="99"/>
    <w:unhideWhenUsed/>
    <w:rsid w:val="0088148E"/>
    <w:rPr>
      <w:vertAlign w:val="superscript"/>
    </w:rPr>
  </w:style>
  <w:style w:type="character" w:customStyle="1" w:styleId="UnresolvedMention1">
    <w:name w:val="Unresolved Mention1"/>
    <w:basedOn w:val="DefaultParagraphFont"/>
    <w:uiPriority w:val="99"/>
    <w:semiHidden/>
    <w:unhideWhenUsed/>
    <w:rsid w:val="00362EE0"/>
    <w:rPr>
      <w:color w:val="605E5C"/>
      <w:shd w:val="clear" w:color="auto" w:fill="E1DFDD"/>
    </w:rPr>
  </w:style>
  <w:style w:type="character" w:styleId="CommentReference">
    <w:name w:val="annotation reference"/>
    <w:basedOn w:val="DefaultParagraphFont"/>
    <w:semiHidden/>
    <w:unhideWhenUsed/>
    <w:rsid w:val="005C4889"/>
    <w:rPr>
      <w:sz w:val="16"/>
      <w:szCs w:val="16"/>
    </w:rPr>
  </w:style>
  <w:style w:type="paragraph" w:styleId="CommentText">
    <w:name w:val="annotation text"/>
    <w:basedOn w:val="Normal"/>
    <w:link w:val="CommentTextChar"/>
    <w:semiHidden/>
    <w:unhideWhenUsed/>
    <w:rsid w:val="005C4889"/>
  </w:style>
  <w:style w:type="character" w:customStyle="1" w:styleId="CommentTextChar">
    <w:name w:val="Comment Text Char"/>
    <w:basedOn w:val="DefaultParagraphFont"/>
    <w:link w:val="CommentText"/>
    <w:semiHidden/>
    <w:rsid w:val="005C4889"/>
    <w:rPr>
      <w:lang w:eastAsia="en-US"/>
    </w:rPr>
  </w:style>
  <w:style w:type="paragraph" w:styleId="CommentSubject">
    <w:name w:val="annotation subject"/>
    <w:basedOn w:val="CommentText"/>
    <w:next w:val="CommentText"/>
    <w:link w:val="CommentSubjectChar"/>
    <w:semiHidden/>
    <w:unhideWhenUsed/>
    <w:rsid w:val="005C4889"/>
    <w:rPr>
      <w:b/>
      <w:bCs/>
    </w:rPr>
  </w:style>
  <w:style w:type="character" w:customStyle="1" w:styleId="CommentSubjectChar">
    <w:name w:val="Comment Subject Char"/>
    <w:basedOn w:val="CommentTextChar"/>
    <w:link w:val="CommentSubject"/>
    <w:semiHidden/>
    <w:rsid w:val="005C4889"/>
    <w:rPr>
      <w:b/>
      <w:bCs/>
      <w:lang w:eastAsia="en-US"/>
    </w:rPr>
  </w:style>
  <w:style w:type="character" w:styleId="UnresolvedMention">
    <w:name w:val="Unresolved Mention"/>
    <w:basedOn w:val="DefaultParagraphFont"/>
    <w:uiPriority w:val="99"/>
    <w:semiHidden/>
    <w:unhideWhenUsed/>
    <w:rsid w:val="00C116F5"/>
    <w:rPr>
      <w:color w:val="605E5C"/>
      <w:shd w:val="clear" w:color="auto" w:fill="E1DFDD"/>
    </w:rPr>
  </w:style>
  <w:style w:type="character" w:customStyle="1" w:styleId="Heading9Char">
    <w:name w:val="Heading 9 Char"/>
    <w:basedOn w:val="DefaultParagraphFont"/>
    <w:link w:val="Heading9"/>
    <w:uiPriority w:val="9"/>
    <w:semiHidden/>
    <w:rsid w:val="006430AE"/>
    <w:rPr>
      <w:rFonts w:asciiTheme="majorHAnsi" w:eastAsiaTheme="majorEastAsia" w:hAnsiTheme="majorHAnsi" w:cstheme="majorBidi"/>
      <w:i/>
      <w:iCs/>
      <w:color w:val="272727" w:themeColor="text1" w:themeTint="D8"/>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2030791268">
          <w:marLeft w:val="0"/>
          <w:marRight w:val="0"/>
          <w:marTop w:val="0"/>
          <w:marBottom w:val="0"/>
          <w:divBdr>
            <w:top w:val="none" w:sz="0" w:space="0" w:color="auto"/>
            <w:left w:val="none" w:sz="0" w:space="0" w:color="auto"/>
            <w:bottom w:val="none" w:sz="0" w:space="0" w:color="auto"/>
            <w:right w:val="none" w:sz="0" w:space="0" w:color="auto"/>
          </w:divBdr>
        </w:div>
        <w:div w:id="533152529">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sChild>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esf.lt"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urm@urm.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132E6E-7AFE-4A00-92AA-69E53DAC1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7</TotalTime>
  <Pages>3</Pages>
  <Words>4598</Words>
  <Characters>2622</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Viešųjų pirkimų tarnyba</Company>
  <LinksUpToDate>false</LinksUpToDate>
  <CharactersWithSpaces>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Raimondas Valentinas</dc:creator>
  <cp:lastModifiedBy>Mindaugas Knopkus</cp:lastModifiedBy>
  <cp:revision>5</cp:revision>
  <cp:lastPrinted>2019-07-30T04:26:00Z</cp:lastPrinted>
  <dcterms:created xsi:type="dcterms:W3CDTF">2019-10-15T05:30:00Z</dcterms:created>
  <dcterms:modified xsi:type="dcterms:W3CDTF">2019-10-18T05:03:00Z</dcterms:modified>
</cp:coreProperties>
</file>