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14:paraId="0275DBF7" w14:textId="77777777" w:rsidR="00805FB6" w:rsidRPr="00E75B4A" w:rsidRDefault="00805FB6" w:rsidP="002438F5">
      <w:pPr>
        <w:jc w:val="center"/>
        <w:rPr>
          <w:rFonts w:ascii="CG Times" w:hAnsi="CG Times"/>
          <w:sz w:val="24"/>
          <w:szCs w:val="24"/>
        </w:rPr>
      </w:pPr>
      <w:r w:rsidRPr="00E75B4A">
        <w:rPr>
          <w:rFonts w:ascii="CG Times" w:hAnsi="CG Times"/>
          <w:sz w:val="24"/>
          <w:szCs w:val="24"/>
        </w:rPr>
        <w:object w:dxaOrig="871" w:dyaOrig="886" w14:anchorId="7BC29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11407739" r:id="rId9"/>
        </w:object>
      </w:r>
    </w:p>
    <w:p w14:paraId="7E8454E3" w14:textId="77777777" w:rsidR="00805FB6" w:rsidRPr="00E75B4A" w:rsidRDefault="00805FB6" w:rsidP="002438F5">
      <w:pPr>
        <w:jc w:val="center"/>
        <w:rPr>
          <w:sz w:val="24"/>
          <w:szCs w:val="24"/>
        </w:rPr>
      </w:pPr>
    </w:p>
    <w:p w14:paraId="35B99795" w14:textId="77777777" w:rsidR="00AA13F0" w:rsidRPr="00AA13F0" w:rsidRDefault="00AA13F0" w:rsidP="002438F5">
      <w:pPr>
        <w:pStyle w:val="Heading1"/>
        <w:tabs>
          <w:tab w:val="left" w:pos="900"/>
        </w:tabs>
        <w:jc w:val="center"/>
        <w:rPr>
          <w:sz w:val="24"/>
          <w:szCs w:val="24"/>
        </w:rPr>
      </w:pPr>
      <w:r w:rsidRPr="00AA13F0">
        <w:rPr>
          <w:sz w:val="24"/>
          <w:szCs w:val="24"/>
        </w:rPr>
        <w:t>VIEŠŲJŲ PIRKIMŲ TARNYBA</w:t>
      </w:r>
    </w:p>
    <w:p w14:paraId="2BF8F723" w14:textId="77777777" w:rsidR="00441571" w:rsidRDefault="00441571" w:rsidP="002438F5">
      <w:pPr>
        <w:tabs>
          <w:tab w:val="left" w:pos="900"/>
        </w:tabs>
        <w:rPr>
          <w:bCs/>
          <w:sz w:val="24"/>
          <w:szCs w:val="24"/>
        </w:rPr>
      </w:pPr>
    </w:p>
    <w:p w14:paraId="092DC28C" w14:textId="77777777" w:rsidR="002438F5" w:rsidRDefault="002438F5" w:rsidP="002438F5">
      <w:pPr>
        <w:tabs>
          <w:tab w:val="left" w:pos="900"/>
        </w:tabs>
        <w:rPr>
          <w:bCs/>
          <w:sz w:val="24"/>
          <w:szCs w:val="24"/>
        </w:rPr>
      </w:pPr>
    </w:p>
    <w:p w14:paraId="3B8D3D9E" w14:textId="77777777" w:rsidR="002438F5" w:rsidRPr="00E75B4A" w:rsidRDefault="002438F5" w:rsidP="002438F5">
      <w:pPr>
        <w:tabs>
          <w:tab w:val="left" w:pos="900"/>
        </w:tabs>
        <w:rPr>
          <w:bCs/>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2438F5" w:rsidRPr="002438F5" w14:paraId="0E224B91" w14:textId="77777777" w:rsidTr="002438F5">
        <w:trPr>
          <w:cantSplit/>
          <w:trHeight w:val="1170"/>
        </w:trPr>
        <w:tc>
          <w:tcPr>
            <w:tcW w:w="5564" w:type="dxa"/>
          </w:tcPr>
          <w:p w14:paraId="34819830" w14:textId="77777777" w:rsidR="002438F5" w:rsidRPr="002438F5" w:rsidRDefault="002438F5" w:rsidP="002438F5">
            <w:pPr>
              <w:rPr>
                <w:sz w:val="24"/>
                <w:szCs w:val="24"/>
              </w:rPr>
            </w:pPr>
            <w:r>
              <w:rPr>
                <w:sz w:val="24"/>
                <w:szCs w:val="24"/>
              </w:rPr>
              <w:t>Lošimų priežiūros tarnybai prie Lietuvos Respublikos finansų ministerijos</w:t>
            </w:r>
          </w:p>
          <w:p w14:paraId="6AB82F58" w14:textId="77777777" w:rsidR="002438F5" w:rsidRDefault="002438F5" w:rsidP="002438F5">
            <w:pPr>
              <w:rPr>
                <w:sz w:val="24"/>
                <w:szCs w:val="24"/>
              </w:rPr>
            </w:pPr>
          </w:p>
          <w:p w14:paraId="36FD2EDE" w14:textId="77777777" w:rsidR="002438F5" w:rsidRDefault="002438F5" w:rsidP="002438F5">
            <w:pPr>
              <w:rPr>
                <w:sz w:val="24"/>
                <w:szCs w:val="24"/>
              </w:rPr>
            </w:pPr>
            <w:r>
              <w:rPr>
                <w:sz w:val="24"/>
                <w:szCs w:val="24"/>
              </w:rPr>
              <w:t xml:space="preserve">Ukmergės </w:t>
            </w:r>
            <w:r w:rsidRPr="002438F5">
              <w:rPr>
                <w:sz w:val="24"/>
                <w:szCs w:val="24"/>
              </w:rPr>
              <w:t xml:space="preserve">g. </w:t>
            </w:r>
            <w:r>
              <w:rPr>
                <w:sz w:val="24"/>
                <w:szCs w:val="24"/>
              </w:rPr>
              <w:t>222</w:t>
            </w:r>
          </w:p>
          <w:p w14:paraId="29FBC3B5" w14:textId="77777777" w:rsidR="002438F5" w:rsidRPr="002438F5" w:rsidRDefault="002438F5" w:rsidP="002438F5">
            <w:pPr>
              <w:rPr>
                <w:sz w:val="24"/>
                <w:szCs w:val="24"/>
              </w:rPr>
            </w:pPr>
            <w:r>
              <w:rPr>
                <w:sz w:val="24"/>
                <w:szCs w:val="24"/>
              </w:rPr>
              <w:t>07157</w:t>
            </w:r>
            <w:r w:rsidRPr="002438F5">
              <w:rPr>
                <w:sz w:val="24"/>
                <w:szCs w:val="24"/>
              </w:rPr>
              <w:t xml:space="preserve"> </w:t>
            </w:r>
            <w:r>
              <w:rPr>
                <w:sz w:val="24"/>
                <w:szCs w:val="24"/>
              </w:rPr>
              <w:t>Vilnius</w:t>
            </w:r>
            <w:r w:rsidRPr="002438F5">
              <w:rPr>
                <w:sz w:val="24"/>
                <w:szCs w:val="24"/>
              </w:rPr>
              <w:t xml:space="preserve"> </w:t>
            </w:r>
          </w:p>
          <w:p w14:paraId="3A8FAE0D" w14:textId="77777777" w:rsidR="002438F5" w:rsidRPr="002438F5" w:rsidRDefault="002438F5" w:rsidP="002438F5">
            <w:pPr>
              <w:rPr>
                <w:sz w:val="24"/>
                <w:szCs w:val="24"/>
              </w:rPr>
            </w:pPr>
            <w:r w:rsidRPr="002438F5">
              <w:rPr>
                <w:sz w:val="24"/>
                <w:szCs w:val="24"/>
              </w:rPr>
              <w:t xml:space="preserve">Faks.: (8 </w:t>
            </w:r>
            <w:r>
              <w:rPr>
                <w:sz w:val="24"/>
                <w:szCs w:val="24"/>
              </w:rPr>
              <w:t>5</w:t>
            </w:r>
            <w:r w:rsidRPr="002438F5">
              <w:rPr>
                <w:sz w:val="24"/>
                <w:szCs w:val="24"/>
              </w:rPr>
              <w:t xml:space="preserve">) </w:t>
            </w:r>
            <w:r>
              <w:rPr>
                <w:sz w:val="24"/>
                <w:szCs w:val="24"/>
              </w:rPr>
              <w:t>233 6225</w:t>
            </w:r>
          </w:p>
          <w:p w14:paraId="35150483" w14:textId="77777777" w:rsidR="002438F5" w:rsidRPr="002438F5" w:rsidRDefault="002438F5" w:rsidP="002438F5">
            <w:pPr>
              <w:rPr>
                <w:sz w:val="24"/>
                <w:szCs w:val="24"/>
              </w:rPr>
            </w:pPr>
            <w:r w:rsidRPr="002438F5">
              <w:rPr>
                <w:sz w:val="24"/>
                <w:szCs w:val="24"/>
              </w:rPr>
              <w:t xml:space="preserve">El. p.: </w:t>
            </w:r>
            <w:hyperlink r:id="rId10" w:history="1">
              <w:r w:rsidRPr="002438F5">
                <w:rPr>
                  <w:rStyle w:val="Hyperlink"/>
                  <w:color w:val="auto"/>
                  <w:sz w:val="24"/>
                  <w:szCs w:val="24"/>
                </w:rPr>
                <w:t>info@</w:t>
              </w:r>
              <w:r w:rsidRPr="00404517">
                <w:rPr>
                  <w:rStyle w:val="Hyperlink"/>
                  <w:color w:val="auto"/>
                  <w:sz w:val="24"/>
                  <w:szCs w:val="24"/>
                </w:rPr>
                <w:t>lpt</w:t>
              </w:r>
              <w:r w:rsidRPr="002438F5">
                <w:rPr>
                  <w:rStyle w:val="Hyperlink"/>
                  <w:color w:val="auto"/>
                  <w:sz w:val="24"/>
                  <w:szCs w:val="24"/>
                </w:rPr>
                <w:t>.lt</w:t>
              </w:r>
            </w:hyperlink>
          </w:p>
        </w:tc>
        <w:tc>
          <w:tcPr>
            <w:tcW w:w="1826" w:type="dxa"/>
          </w:tcPr>
          <w:p w14:paraId="025ADCA0" w14:textId="77777777" w:rsidR="002438F5" w:rsidRPr="002438F5" w:rsidRDefault="002438F5" w:rsidP="002438F5">
            <w:pPr>
              <w:rPr>
                <w:sz w:val="24"/>
                <w:szCs w:val="24"/>
              </w:rPr>
            </w:pPr>
            <w:r w:rsidRPr="002438F5">
              <w:rPr>
                <w:sz w:val="24"/>
                <w:szCs w:val="24"/>
              </w:rPr>
              <w:t>201</w:t>
            </w:r>
            <w:r>
              <w:rPr>
                <w:sz w:val="24"/>
                <w:szCs w:val="24"/>
              </w:rPr>
              <w:t>9</w:t>
            </w:r>
            <w:r w:rsidRPr="002438F5">
              <w:rPr>
                <w:sz w:val="24"/>
                <w:szCs w:val="24"/>
              </w:rPr>
              <w:t>-0</w:t>
            </w:r>
            <w:r>
              <w:rPr>
                <w:sz w:val="24"/>
                <w:szCs w:val="24"/>
              </w:rPr>
              <w:t>2</w:t>
            </w:r>
            <w:r w:rsidRPr="002438F5">
              <w:rPr>
                <w:sz w:val="24"/>
                <w:szCs w:val="24"/>
              </w:rPr>
              <w:t>-</w:t>
            </w:r>
          </w:p>
          <w:p w14:paraId="72CEA117" w14:textId="77777777" w:rsidR="002438F5" w:rsidRPr="002438F5" w:rsidRDefault="002438F5" w:rsidP="002438F5">
            <w:pPr>
              <w:rPr>
                <w:sz w:val="24"/>
                <w:szCs w:val="24"/>
              </w:rPr>
            </w:pPr>
            <w:r w:rsidRPr="002438F5">
              <w:rPr>
                <w:sz w:val="24"/>
                <w:szCs w:val="24"/>
              </w:rPr>
              <w:t>Į 201</w:t>
            </w:r>
            <w:r>
              <w:rPr>
                <w:sz w:val="24"/>
                <w:szCs w:val="24"/>
              </w:rPr>
              <w:t>9</w:t>
            </w:r>
            <w:r w:rsidRPr="002438F5">
              <w:rPr>
                <w:sz w:val="24"/>
                <w:szCs w:val="24"/>
              </w:rPr>
              <w:t>-0</w:t>
            </w:r>
            <w:r>
              <w:rPr>
                <w:sz w:val="24"/>
                <w:szCs w:val="24"/>
              </w:rPr>
              <w:t>1</w:t>
            </w:r>
            <w:r w:rsidRPr="002438F5">
              <w:rPr>
                <w:sz w:val="24"/>
                <w:szCs w:val="24"/>
              </w:rPr>
              <w:t>-</w:t>
            </w:r>
            <w:r>
              <w:rPr>
                <w:sz w:val="24"/>
                <w:szCs w:val="24"/>
              </w:rPr>
              <w:t>18</w:t>
            </w:r>
          </w:p>
        </w:tc>
        <w:tc>
          <w:tcPr>
            <w:tcW w:w="708" w:type="dxa"/>
          </w:tcPr>
          <w:p w14:paraId="7C06EDAF" w14:textId="77777777" w:rsidR="002438F5" w:rsidRPr="002438F5" w:rsidRDefault="002438F5" w:rsidP="002438F5">
            <w:pPr>
              <w:tabs>
                <w:tab w:val="left" w:pos="900"/>
              </w:tabs>
              <w:jc w:val="center"/>
              <w:rPr>
                <w:sz w:val="24"/>
                <w:szCs w:val="24"/>
              </w:rPr>
            </w:pPr>
            <w:r w:rsidRPr="002438F5">
              <w:rPr>
                <w:sz w:val="24"/>
                <w:szCs w:val="24"/>
              </w:rPr>
              <w:t>Nr.</w:t>
            </w:r>
          </w:p>
          <w:p w14:paraId="30D94CEF" w14:textId="77777777" w:rsidR="002438F5" w:rsidRPr="002438F5" w:rsidRDefault="002438F5" w:rsidP="002438F5">
            <w:pPr>
              <w:tabs>
                <w:tab w:val="left" w:pos="900"/>
              </w:tabs>
              <w:jc w:val="center"/>
              <w:rPr>
                <w:sz w:val="24"/>
                <w:szCs w:val="24"/>
              </w:rPr>
            </w:pPr>
            <w:r w:rsidRPr="002438F5">
              <w:rPr>
                <w:sz w:val="24"/>
                <w:szCs w:val="24"/>
              </w:rPr>
              <w:t>Nr.</w:t>
            </w:r>
          </w:p>
        </w:tc>
        <w:tc>
          <w:tcPr>
            <w:tcW w:w="1483" w:type="dxa"/>
          </w:tcPr>
          <w:p w14:paraId="1B693821" w14:textId="77777777" w:rsidR="002438F5" w:rsidRPr="002438F5" w:rsidRDefault="002438F5" w:rsidP="002438F5">
            <w:pPr>
              <w:rPr>
                <w:sz w:val="24"/>
                <w:szCs w:val="24"/>
              </w:rPr>
            </w:pPr>
            <w:r w:rsidRPr="002438F5">
              <w:rPr>
                <w:sz w:val="24"/>
                <w:szCs w:val="24"/>
              </w:rPr>
              <w:t>4S-</w:t>
            </w:r>
          </w:p>
          <w:p w14:paraId="2E9B1285" w14:textId="77777777" w:rsidR="002438F5" w:rsidRPr="002438F5" w:rsidRDefault="002438F5" w:rsidP="002438F5">
            <w:pPr>
              <w:rPr>
                <w:sz w:val="24"/>
                <w:szCs w:val="24"/>
              </w:rPr>
            </w:pPr>
            <w:r>
              <w:rPr>
                <w:sz w:val="24"/>
                <w:szCs w:val="24"/>
              </w:rPr>
              <w:t>2-T-80</w:t>
            </w:r>
          </w:p>
        </w:tc>
      </w:tr>
    </w:tbl>
    <w:p w14:paraId="54B9A595" w14:textId="77777777" w:rsidR="002438F5" w:rsidRPr="002438F5" w:rsidRDefault="002438F5" w:rsidP="002438F5">
      <w:pPr>
        <w:jc w:val="center"/>
        <w:rPr>
          <w:rFonts w:eastAsia="Calibri"/>
          <w:bCs/>
          <w:sz w:val="24"/>
          <w:szCs w:val="24"/>
        </w:rPr>
      </w:pPr>
    </w:p>
    <w:p w14:paraId="71122FE6" w14:textId="77777777" w:rsidR="002438F5" w:rsidRPr="002438F5" w:rsidRDefault="002438F5" w:rsidP="002438F5">
      <w:pPr>
        <w:jc w:val="center"/>
        <w:rPr>
          <w:rFonts w:eastAsia="Calibri"/>
          <w:bCs/>
          <w:sz w:val="24"/>
          <w:szCs w:val="24"/>
        </w:rPr>
      </w:pPr>
    </w:p>
    <w:p w14:paraId="61C48489" w14:textId="77777777" w:rsidR="002438F5" w:rsidRPr="002438F5" w:rsidRDefault="002438F5" w:rsidP="002438F5">
      <w:pPr>
        <w:jc w:val="center"/>
        <w:rPr>
          <w:rFonts w:eastAsia="Calibri"/>
          <w:bCs/>
          <w:sz w:val="24"/>
          <w:szCs w:val="24"/>
        </w:rPr>
      </w:pPr>
    </w:p>
    <w:p w14:paraId="4B1D70E2" w14:textId="562854D4" w:rsidR="002438F5" w:rsidRDefault="002438F5" w:rsidP="002438F5">
      <w:pPr>
        <w:jc w:val="center"/>
        <w:rPr>
          <w:rFonts w:eastAsia="Calibri"/>
          <w:b/>
          <w:bCs/>
          <w:sz w:val="24"/>
          <w:szCs w:val="24"/>
        </w:rPr>
      </w:pPr>
      <w:r w:rsidRPr="002438F5">
        <w:rPr>
          <w:rFonts w:eastAsia="Calibri"/>
          <w:b/>
          <w:bCs/>
          <w:sz w:val="24"/>
          <w:szCs w:val="24"/>
        </w:rPr>
        <w:t>VERTINIMO IŠVADA</w:t>
      </w:r>
    </w:p>
    <w:p w14:paraId="43806445" w14:textId="77777777" w:rsidR="002438F5" w:rsidRPr="002438F5" w:rsidRDefault="002438F5" w:rsidP="002438F5">
      <w:pPr>
        <w:jc w:val="center"/>
        <w:rPr>
          <w:rFonts w:eastAsia="Calibri"/>
          <w:b/>
          <w:bCs/>
          <w:sz w:val="24"/>
          <w:szCs w:val="24"/>
        </w:rPr>
      </w:pPr>
    </w:p>
    <w:p w14:paraId="2F938090" w14:textId="1F0F2F02" w:rsidR="002438F5" w:rsidRPr="002438F5" w:rsidRDefault="002438F5" w:rsidP="002438F5">
      <w:pPr>
        <w:ind w:firstLine="851"/>
        <w:jc w:val="both"/>
        <w:rPr>
          <w:rFonts w:eastAsia="Calibri"/>
          <w:sz w:val="24"/>
          <w:szCs w:val="24"/>
        </w:rPr>
      </w:pPr>
      <w:r w:rsidRPr="002438F5">
        <w:rPr>
          <w:rFonts w:eastAsia="Calibri"/>
          <w:sz w:val="24"/>
          <w:szCs w:val="24"/>
        </w:rPr>
        <w:t xml:space="preserve">Viešųjų pirkimų tarnyba (toliau – Tarnyba), vadovaudamasi Lietuvos Respublikos viešųjų pirkimų įstatymo </w:t>
      </w:r>
      <w:r w:rsidRPr="002438F5">
        <w:rPr>
          <w:rFonts w:eastAsia="Calibri"/>
          <w:bCs/>
          <w:sz w:val="24"/>
          <w:szCs w:val="24"/>
        </w:rPr>
        <w:t>95 straipsnio 1 dalies 2 punktu</w:t>
      </w:r>
      <w:r w:rsidRPr="002438F5">
        <w:rPr>
          <w:rFonts w:eastAsia="Calibri"/>
          <w:sz w:val="24"/>
          <w:szCs w:val="24"/>
        </w:rPr>
        <w:t xml:space="preserve">, </w:t>
      </w:r>
      <w:r w:rsidRPr="002438F5">
        <w:rPr>
          <w:rFonts w:eastAsia="Calibri"/>
          <w:bCs/>
          <w:sz w:val="24"/>
          <w:szCs w:val="24"/>
        </w:rPr>
        <w:t>atliko</w:t>
      </w:r>
      <w:r w:rsidRPr="002438F5">
        <w:rPr>
          <w:rFonts w:eastAsia="Calibri"/>
          <w:sz w:val="24"/>
          <w:szCs w:val="24"/>
        </w:rPr>
        <w:t xml:space="preserve"> </w:t>
      </w:r>
      <w:r w:rsidR="000D62B7" w:rsidRPr="000D62B7">
        <w:rPr>
          <w:sz w:val="24"/>
          <w:szCs w:val="24"/>
        </w:rPr>
        <w:t>Lošimų priežiūros tarnyb</w:t>
      </w:r>
      <w:r w:rsidR="000D62B7">
        <w:rPr>
          <w:sz w:val="24"/>
          <w:szCs w:val="24"/>
        </w:rPr>
        <w:t>os</w:t>
      </w:r>
      <w:r w:rsidR="000D62B7" w:rsidRPr="000D62B7">
        <w:rPr>
          <w:sz w:val="24"/>
          <w:szCs w:val="24"/>
        </w:rPr>
        <w:t xml:space="preserve"> prie Lietuvos Respublikos finansų ministerijos </w:t>
      </w:r>
      <w:r w:rsidRPr="002438F5">
        <w:rPr>
          <w:rFonts w:eastAsia="Calibri"/>
          <w:sz w:val="24"/>
          <w:szCs w:val="24"/>
        </w:rPr>
        <w:t xml:space="preserve">(toliau – Perkančioji organizacija) vykdomo viešojo pirkimo </w:t>
      </w:r>
      <w:r w:rsidR="00014F6D">
        <w:rPr>
          <w:rFonts w:eastAsia="Calibri"/>
          <w:sz w:val="24"/>
          <w:szCs w:val="24"/>
        </w:rPr>
        <w:t xml:space="preserve">dalinį </w:t>
      </w:r>
      <w:r w:rsidRPr="002438F5">
        <w:rPr>
          <w:rFonts w:eastAsia="Calibri"/>
          <w:sz w:val="24"/>
          <w:szCs w:val="24"/>
        </w:rPr>
        <w:t>vertinimą</w:t>
      </w:r>
      <w:r w:rsidRPr="002438F5">
        <w:rPr>
          <w:rFonts w:eastAsia="Calibri"/>
          <w:bCs/>
          <w:sz w:val="24"/>
          <w:szCs w:val="24"/>
        </w:rPr>
        <w:t>.</w:t>
      </w:r>
      <w:r w:rsidRPr="002438F5">
        <w:rPr>
          <w:rFonts w:eastAsia="Calibri"/>
          <w:b/>
          <w:bCs/>
          <w:sz w:val="24"/>
          <w:szCs w:val="24"/>
        </w:rPr>
        <w:t xml:space="preserve"> </w:t>
      </w:r>
      <w:r w:rsidRPr="002438F5">
        <w:rPr>
          <w:rFonts w:eastAsia="Calibri"/>
          <w:sz w:val="24"/>
          <w:szCs w:val="24"/>
        </w:rPr>
        <w:t xml:space="preserve"> </w:t>
      </w:r>
    </w:p>
    <w:p w14:paraId="48B7D174" w14:textId="77777777" w:rsidR="002438F5" w:rsidRDefault="002438F5" w:rsidP="002438F5">
      <w:pPr>
        <w:jc w:val="center"/>
        <w:rPr>
          <w:rFonts w:eastAsia="Calibri"/>
          <w:b/>
          <w:bCs/>
          <w:sz w:val="24"/>
          <w:szCs w:val="24"/>
        </w:rPr>
      </w:pPr>
    </w:p>
    <w:p w14:paraId="4EEB315F" w14:textId="77777777" w:rsidR="002438F5" w:rsidRPr="002438F5" w:rsidRDefault="002438F5" w:rsidP="002438F5">
      <w:pPr>
        <w:jc w:val="center"/>
        <w:rPr>
          <w:rFonts w:eastAsia="Calibri"/>
          <w:b/>
          <w:bCs/>
          <w:sz w:val="24"/>
          <w:szCs w:val="24"/>
        </w:rPr>
      </w:pPr>
      <w:r w:rsidRPr="002438F5">
        <w:rPr>
          <w:rFonts w:eastAsia="Calibri"/>
          <w:b/>
          <w:bCs/>
          <w:sz w:val="24"/>
          <w:szCs w:val="24"/>
        </w:rPr>
        <w:t>I dalis. Bendra informacija</w:t>
      </w:r>
    </w:p>
    <w:p w14:paraId="2FD1E85F" w14:textId="77777777" w:rsidR="007939D1" w:rsidRPr="007939D1" w:rsidRDefault="007939D1" w:rsidP="002438F5">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7939D1" w:rsidRPr="007939D1" w14:paraId="370BF9F2" w14:textId="77777777" w:rsidTr="00064613">
        <w:tc>
          <w:tcPr>
            <w:tcW w:w="4503" w:type="dxa"/>
            <w:shd w:val="clear" w:color="auto" w:fill="auto"/>
            <w:vAlign w:val="center"/>
          </w:tcPr>
          <w:p w14:paraId="22CC5CB4" w14:textId="46328272" w:rsidR="007939D1" w:rsidRPr="007939D1" w:rsidRDefault="007939D1" w:rsidP="002438F5">
            <w:pPr>
              <w:rPr>
                <w:rFonts w:eastAsia="Calibri"/>
                <w:sz w:val="24"/>
                <w:szCs w:val="24"/>
              </w:rPr>
            </w:pPr>
            <w:r w:rsidRPr="007939D1">
              <w:rPr>
                <w:rFonts w:eastAsia="Calibri"/>
                <w:sz w:val="24"/>
                <w:szCs w:val="24"/>
              </w:rPr>
              <w:t xml:space="preserve">Pirkimo pavadinimas, numeris (jeigu skelbtas), pirkimo paskelbimo (kvietimo pateikti </w:t>
            </w:r>
            <w:r w:rsidR="00014F6D">
              <w:rPr>
                <w:rFonts w:eastAsia="Calibri"/>
                <w:sz w:val="24"/>
                <w:szCs w:val="24"/>
              </w:rPr>
              <w:t>paraišką/</w:t>
            </w:r>
            <w:r w:rsidRPr="007939D1">
              <w:rPr>
                <w:rFonts w:eastAsia="Calibri"/>
                <w:sz w:val="24"/>
                <w:szCs w:val="24"/>
              </w:rPr>
              <w:t>pasiūlymą) data</w:t>
            </w:r>
            <w:r w:rsidR="00014F6D">
              <w:rPr>
                <w:rFonts w:eastAsia="Calibri"/>
                <w:sz w:val="24"/>
                <w:szCs w:val="24"/>
              </w:rPr>
              <w:t>/sutarties pavadinimas, data, numeris</w:t>
            </w:r>
          </w:p>
        </w:tc>
        <w:tc>
          <w:tcPr>
            <w:tcW w:w="5244" w:type="dxa"/>
            <w:shd w:val="clear" w:color="auto" w:fill="auto"/>
            <w:vAlign w:val="center"/>
          </w:tcPr>
          <w:p w14:paraId="150D3737" w14:textId="77777777" w:rsidR="007939D1" w:rsidRPr="000E1FE2" w:rsidRDefault="000E1FE2" w:rsidP="002438F5">
            <w:pPr>
              <w:jc w:val="both"/>
              <w:rPr>
                <w:rFonts w:eastAsia="Calibri"/>
                <w:sz w:val="24"/>
                <w:szCs w:val="24"/>
              </w:rPr>
            </w:pPr>
            <w:r w:rsidRPr="000E1FE2">
              <w:rPr>
                <w:rFonts w:eastAsia="Calibri"/>
                <w:bCs/>
                <w:iCs/>
                <w:sz w:val="24"/>
                <w:szCs w:val="24"/>
              </w:rPr>
              <w:t>Lošimo automatų kontrolės informacinės sistemos kūrimo ir diegimo paslaugos</w:t>
            </w:r>
          </w:p>
        </w:tc>
      </w:tr>
      <w:tr w:rsidR="00014F6D" w:rsidRPr="007939D1" w14:paraId="6D70A8E2" w14:textId="77777777" w:rsidTr="00064613">
        <w:tc>
          <w:tcPr>
            <w:tcW w:w="4503" w:type="dxa"/>
            <w:shd w:val="clear" w:color="auto" w:fill="auto"/>
            <w:vAlign w:val="center"/>
          </w:tcPr>
          <w:p w14:paraId="3886EF22" w14:textId="1940D4A7" w:rsidR="00014F6D" w:rsidRPr="007939D1" w:rsidRDefault="00014F6D" w:rsidP="002438F5">
            <w:pPr>
              <w:rPr>
                <w:rFonts w:eastAsia="Calibri"/>
                <w:sz w:val="24"/>
                <w:szCs w:val="24"/>
              </w:rPr>
            </w:pPr>
            <w:r>
              <w:rPr>
                <w:rFonts w:eastAsia="Calibri"/>
                <w:sz w:val="24"/>
                <w:szCs w:val="24"/>
              </w:rPr>
              <w:t>Pirkimo vykdymo/sutarties sudarymo teisinis pagrindas</w:t>
            </w:r>
          </w:p>
        </w:tc>
        <w:tc>
          <w:tcPr>
            <w:tcW w:w="5244" w:type="dxa"/>
            <w:shd w:val="clear" w:color="auto" w:fill="auto"/>
            <w:vAlign w:val="center"/>
          </w:tcPr>
          <w:p w14:paraId="2B90CF62" w14:textId="20074AA6" w:rsidR="00014F6D" w:rsidRPr="000E1FE2" w:rsidRDefault="00014F6D" w:rsidP="002438F5">
            <w:pPr>
              <w:jc w:val="both"/>
              <w:rPr>
                <w:rFonts w:eastAsia="Calibri"/>
                <w:bCs/>
                <w:iCs/>
                <w:sz w:val="24"/>
                <w:szCs w:val="24"/>
              </w:rPr>
            </w:pPr>
            <w:r w:rsidRPr="005F163F">
              <w:rPr>
                <w:rFonts w:eastAsia="Calibri"/>
                <w:bCs/>
                <w:sz w:val="24"/>
                <w:szCs w:val="24"/>
              </w:rPr>
              <w:t>Lietuvos Respublikos viešųjų pirkimų įstatymo (redakcija nuo 2018-01-01) (toliau –</w:t>
            </w:r>
            <w:r w:rsidRPr="007939D1">
              <w:rPr>
                <w:rFonts w:eastAsia="Calibri"/>
                <w:bCs/>
                <w:sz w:val="24"/>
                <w:szCs w:val="24"/>
              </w:rPr>
              <w:t xml:space="preserve"> Įstatymas)</w:t>
            </w:r>
          </w:p>
        </w:tc>
      </w:tr>
      <w:tr w:rsidR="007939D1" w:rsidRPr="007939D1" w14:paraId="6C3BA662" w14:textId="77777777" w:rsidTr="00064613">
        <w:tc>
          <w:tcPr>
            <w:tcW w:w="4503" w:type="dxa"/>
            <w:shd w:val="clear" w:color="auto" w:fill="auto"/>
            <w:vAlign w:val="center"/>
          </w:tcPr>
          <w:p w14:paraId="61807EE5" w14:textId="77777777" w:rsidR="007939D1" w:rsidRPr="007939D1" w:rsidRDefault="007939D1" w:rsidP="002438F5">
            <w:pPr>
              <w:rPr>
                <w:rFonts w:eastAsia="Calibri"/>
                <w:sz w:val="24"/>
                <w:szCs w:val="24"/>
              </w:rPr>
            </w:pPr>
            <w:r w:rsidRPr="007939D1">
              <w:rPr>
                <w:rFonts w:eastAsia="Calibri"/>
                <w:sz w:val="24"/>
                <w:szCs w:val="24"/>
              </w:rPr>
              <w:t>Pirkimo būdas</w:t>
            </w:r>
          </w:p>
        </w:tc>
        <w:tc>
          <w:tcPr>
            <w:tcW w:w="5244" w:type="dxa"/>
            <w:shd w:val="clear" w:color="auto" w:fill="auto"/>
            <w:vAlign w:val="center"/>
          </w:tcPr>
          <w:p w14:paraId="19910A0F" w14:textId="77777777" w:rsidR="007939D1" w:rsidRPr="007939D1" w:rsidRDefault="000E1FE2" w:rsidP="002438F5">
            <w:pPr>
              <w:jc w:val="both"/>
              <w:rPr>
                <w:rFonts w:eastAsia="Calibri"/>
                <w:sz w:val="24"/>
                <w:szCs w:val="24"/>
              </w:rPr>
            </w:pPr>
            <w:r>
              <w:rPr>
                <w:rFonts w:eastAsia="Calibri"/>
                <w:bCs/>
                <w:sz w:val="24"/>
                <w:szCs w:val="24"/>
              </w:rPr>
              <w:t>Atviras konkursas</w:t>
            </w:r>
            <w:r w:rsidR="007939D1" w:rsidRPr="007939D1">
              <w:rPr>
                <w:rFonts w:eastAsia="Calibri"/>
                <w:bCs/>
                <w:sz w:val="24"/>
                <w:szCs w:val="24"/>
              </w:rPr>
              <w:t xml:space="preserve"> (Centrinėje viešųjų pirkimų informacinėje sistemoje (toliau – CVP IS) skelbtas 2018-</w:t>
            </w:r>
            <w:r>
              <w:rPr>
                <w:rFonts w:eastAsia="Calibri"/>
                <w:bCs/>
                <w:sz w:val="24"/>
                <w:szCs w:val="24"/>
              </w:rPr>
              <w:t>11</w:t>
            </w:r>
            <w:r w:rsidR="007939D1" w:rsidRPr="007939D1">
              <w:rPr>
                <w:rFonts w:eastAsia="Calibri"/>
                <w:bCs/>
                <w:sz w:val="24"/>
                <w:szCs w:val="24"/>
              </w:rPr>
              <w:t>-</w:t>
            </w:r>
            <w:r>
              <w:rPr>
                <w:rFonts w:eastAsia="Calibri"/>
                <w:bCs/>
                <w:sz w:val="24"/>
                <w:szCs w:val="24"/>
              </w:rPr>
              <w:t>16</w:t>
            </w:r>
            <w:r w:rsidR="007939D1" w:rsidRPr="007939D1">
              <w:rPr>
                <w:rFonts w:eastAsia="Calibri"/>
                <w:bCs/>
                <w:sz w:val="24"/>
                <w:szCs w:val="24"/>
              </w:rPr>
              <w:t xml:space="preserve">, Nr. </w:t>
            </w:r>
            <w:r>
              <w:rPr>
                <w:rFonts w:eastAsia="Calibri"/>
                <w:bCs/>
                <w:sz w:val="24"/>
                <w:szCs w:val="24"/>
              </w:rPr>
              <w:t>409070</w:t>
            </w:r>
            <w:r w:rsidR="007939D1" w:rsidRPr="007939D1">
              <w:rPr>
                <w:rFonts w:eastAsia="Calibri"/>
                <w:bCs/>
                <w:sz w:val="24"/>
                <w:szCs w:val="24"/>
              </w:rPr>
              <w:t>; toliau – Pirkimas)</w:t>
            </w:r>
          </w:p>
        </w:tc>
      </w:tr>
      <w:tr w:rsidR="007939D1" w:rsidRPr="007939D1" w14:paraId="5B7F2B58" w14:textId="77777777" w:rsidTr="00064613">
        <w:tc>
          <w:tcPr>
            <w:tcW w:w="4503" w:type="dxa"/>
            <w:shd w:val="clear" w:color="auto" w:fill="auto"/>
            <w:vAlign w:val="center"/>
          </w:tcPr>
          <w:p w14:paraId="476ADBA3" w14:textId="51967E79" w:rsidR="007939D1" w:rsidRPr="007939D1" w:rsidRDefault="007939D1" w:rsidP="002438F5">
            <w:pPr>
              <w:rPr>
                <w:rFonts w:eastAsia="Calibri"/>
                <w:sz w:val="24"/>
                <w:szCs w:val="24"/>
              </w:rPr>
            </w:pPr>
            <w:r w:rsidRPr="007939D1">
              <w:rPr>
                <w:rFonts w:eastAsia="Calibri"/>
                <w:sz w:val="24"/>
                <w:szCs w:val="24"/>
              </w:rPr>
              <w:t xml:space="preserve">Planuojama (nenurodoma, jeigu pirkimas vertinamas iki vokų su pasiūlymais atplėšimo procedūros) </w:t>
            </w:r>
            <w:r w:rsidR="00014F6D">
              <w:rPr>
                <w:rFonts w:eastAsia="Calibri"/>
                <w:sz w:val="24"/>
                <w:szCs w:val="24"/>
              </w:rPr>
              <w:t xml:space="preserve">faktinė </w:t>
            </w:r>
            <w:r w:rsidRPr="007939D1">
              <w:rPr>
                <w:rFonts w:eastAsia="Calibri"/>
                <w:sz w:val="24"/>
                <w:szCs w:val="24"/>
              </w:rPr>
              <w:t>pirkimo</w:t>
            </w:r>
            <w:r w:rsidR="00014F6D">
              <w:rPr>
                <w:rFonts w:eastAsia="Calibri"/>
                <w:sz w:val="24"/>
                <w:szCs w:val="24"/>
              </w:rPr>
              <w:t>/sutarties</w:t>
            </w:r>
            <w:r w:rsidRPr="007939D1">
              <w:rPr>
                <w:rFonts w:eastAsia="Calibri"/>
                <w:sz w:val="24"/>
                <w:szCs w:val="24"/>
              </w:rPr>
              <w:t xml:space="preserve"> vertė</w:t>
            </w:r>
            <w:r w:rsidR="00014F6D">
              <w:rPr>
                <w:rFonts w:eastAsia="Calibri"/>
                <w:sz w:val="24"/>
                <w:szCs w:val="24"/>
              </w:rPr>
              <w:t xml:space="preserve"> Eur </w:t>
            </w:r>
            <w:r w:rsidRPr="007939D1">
              <w:rPr>
                <w:rFonts w:eastAsia="Calibri"/>
                <w:sz w:val="24"/>
                <w:szCs w:val="24"/>
              </w:rPr>
              <w:t>be PVM</w:t>
            </w:r>
          </w:p>
        </w:tc>
        <w:tc>
          <w:tcPr>
            <w:tcW w:w="5244" w:type="dxa"/>
            <w:shd w:val="clear" w:color="auto" w:fill="auto"/>
            <w:vAlign w:val="center"/>
          </w:tcPr>
          <w:p w14:paraId="6978D48E" w14:textId="77777777" w:rsidR="007939D1" w:rsidRPr="007939D1" w:rsidRDefault="00BD08B8" w:rsidP="002438F5">
            <w:pPr>
              <w:jc w:val="both"/>
              <w:rPr>
                <w:rFonts w:eastAsia="Calibri"/>
                <w:sz w:val="24"/>
                <w:szCs w:val="24"/>
              </w:rPr>
            </w:pPr>
            <w:r>
              <w:rPr>
                <w:rFonts w:eastAsia="Calibri"/>
                <w:sz w:val="24"/>
                <w:szCs w:val="24"/>
              </w:rPr>
              <w:t>-</w:t>
            </w:r>
          </w:p>
        </w:tc>
      </w:tr>
      <w:tr w:rsidR="00014F6D" w:rsidRPr="007939D1" w14:paraId="5F2BE086" w14:textId="77777777" w:rsidTr="00064613">
        <w:tc>
          <w:tcPr>
            <w:tcW w:w="4503" w:type="dxa"/>
            <w:shd w:val="clear" w:color="auto" w:fill="auto"/>
            <w:vAlign w:val="center"/>
          </w:tcPr>
          <w:p w14:paraId="1D134E7B" w14:textId="4927EB48" w:rsidR="00014F6D" w:rsidRPr="007939D1" w:rsidRDefault="00014F6D" w:rsidP="002438F5">
            <w:pPr>
              <w:rPr>
                <w:rFonts w:eastAsia="Calibri"/>
                <w:sz w:val="24"/>
                <w:szCs w:val="24"/>
              </w:rPr>
            </w:pPr>
            <w:r>
              <w:rPr>
                <w:rFonts w:eastAsia="Calibri"/>
                <w:sz w:val="24"/>
                <w:szCs w:val="24"/>
              </w:rPr>
              <w:t>Tiekėjas/teikėjas/rangovas/koncesininkas, juridinio asmens kodas (su kuriuo sudaryta sutartis)</w:t>
            </w:r>
          </w:p>
        </w:tc>
        <w:tc>
          <w:tcPr>
            <w:tcW w:w="5244" w:type="dxa"/>
            <w:shd w:val="clear" w:color="auto" w:fill="auto"/>
            <w:vAlign w:val="center"/>
          </w:tcPr>
          <w:p w14:paraId="08B692D6" w14:textId="3745B16C" w:rsidR="00014F6D" w:rsidRDefault="00014F6D" w:rsidP="002438F5">
            <w:pPr>
              <w:jc w:val="both"/>
              <w:rPr>
                <w:rFonts w:eastAsia="Calibri"/>
                <w:sz w:val="24"/>
                <w:szCs w:val="24"/>
              </w:rPr>
            </w:pPr>
            <w:r>
              <w:rPr>
                <w:rFonts w:eastAsia="Calibri"/>
                <w:sz w:val="24"/>
                <w:szCs w:val="24"/>
              </w:rPr>
              <w:t>-</w:t>
            </w:r>
          </w:p>
        </w:tc>
      </w:tr>
      <w:tr w:rsidR="00014F6D" w:rsidRPr="007939D1" w14:paraId="236DABA4" w14:textId="77777777" w:rsidTr="00064613">
        <w:tc>
          <w:tcPr>
            <w:tcW w:w="4503" w:type="dxa"/>
            <w:shd w:val="clear" w:color="auto" w:fill="auto"/>
            <w:vAlign w:val="center"/>
          </w:tcPr>
          <w:p w14:paraId="1E337489" w14:textId="417DE12E" w:rsidR="00014F6D" w:rsidRDefault="00014F6D" w:rsidP="002438F5">
            <w:pPr>
              <w:rPr>
                <w:rFonts w:eastAsia="Calibri"/>
                <w:sz w:val="24"/>
                <w:szCs w:val="24"/>
              </w:rPr>
            </w:pPr>
            <w:r>
              <w:rPr>
                <w:rFonts w:eastAsia="Calibri"/>
                <w:sz w:val="24"/>
                <w:szCs w:val="24"/>
              </w:rPr>
              <w:t>Pirkimo/sutarties vertinimo apimtys/etapas</w:t>
            </w:r>
          </w:p>
        </w:tc>
        <w:tc>
          <w:tcPr>
            <w:tcW w:w="5244" w:type="dxa"/>
            <w:shd w:val="clear" w:color="auto" w:fill="auto"/>
            <w:vAlign w:val="center"/>
          </w:tcPr>
          <w:p w14:paraId="370A5BB9" w14:textId="0C238818" w:rsidR="00014F6D" w:rsidRDefault="00014F6D" w:rsidP="002438F5">
            <w:pPr>
              <w:jc w:val="both"/>
              <w:rPr>
                <w:rFonts w:eastAsia="Calibri"/>
                <w:sz w:val="24"/>
                <w:szCs w:val="24"/>
              </w:rPr>
            </w:pPr>
            <w:r w:rsidRPr="007939D1">
              <w:rPr>
                <w:rFonts w:eastAsia="Calibri"/>
                <w:sz w:val="24"/>
                <w:szCs w:val="24"/>
              </w:rPr>
              <w:t xml:space="preserve">Dalinis vertinimas dėl nustatytų kvalifikacijos reikalavimų / </w:t>
            </w:r>
            <w:r w:rsidRPr="003021F5">
              <w:rPr>
                <w:rFonts w:eastAsia="Calibri"/>
                <w:sz w:val="24"/>
                <w:szCs w:val="24"/>
              </w:rPr>
              <w:t>Pirkimo procedūrų vertinimas po vokų</w:t>
            </w:r>
            <w:r>
              <w:rPr>
                <w:rFonts w:eastAsia="Calibri"/>
                <w:sz w:val="24"/>
                <w:szCs w:val="24"/>
              </w:rPr>
              <w:t xml:space="preserve"> </w:t>
            </w:r>
            <w:r w:rsidRPr="003021F5">
              <w:rPr>
                <w:rFonts w:eastAsia="Calibri"/>
                <w:sz w:val="24"/>
                <w:szCs w:val="24"/>
              </w:rPr>
              <w:t>su techniniais pasiūlymo duomenimis atplėšimo procedūros</w:t>
            </w:r>
          </w:p>
        </w:tc>
      </w:tr>
      <w:tr w:rsidR="007939D1" w:rsidRPr="007939D1" w14:paraId="6E49DEBF" w14:textId="77777777" w:rsidTr="00064613">
        <w:tc>
          <w:tcPr>
            <w:tcW w:w="4503" w:type="dxa"/>
            <w:shd w:val="clear" w:color="auto" w:fill="auto"/>
            <w:vAlign w:val="center"/>
          </w:tcPr>
          <w:p w14:paraId="38AEAE0E" w14:textId="77777777" w:rsidR="007939D1" w:rsidRPr="007939D1" w:rsidRDefault="007939D1" w:rsidP="002438F5">
            <w:pPr>
              <w:rPr>
                <w:rFonts w:eastAsia="Calibri"/>
                <w:sz w:val="24"/>
                <w:szCs w:val="24"/>
              </w:rPr>
            </w:pPr>
            <w:r w:rsidRPr="007939D1">
              <w:rPr>
                <w:rFonts w:eastAsia="Calibri"/>
                <w:sz w:val="24"/>
                <w:szCs w:val="24"/>
              </w:rPr>
              <w:t>Pirkimas finansuojamas ES lėšomis, projekto pavadinimas, Įgyvendinančioji institucija</w:t>
            </w:r>
          </w:p>
        </w:tc>
        <w:tc>
          <w:tcPr>
            <w:tcW w:w="5244" w:type="dxa"/>
            <w:shd w:val="clear" w:color="auto" w:fill="auto"/>
            <w:vAlign w:val="center"/>
          </w:tcPr>
          <w:p w14:paraId="205815D2" w14:textId="77777777" w:rsidR="007939D1" w:rsidRPr="007939D1" w:rsidRDefault="007939D1" w:rsidP="002438F5">
            <w:pPr>
              <w:jc w:val="both"/>
              <w:rPr>
                <w:rFonts w:eastAsia="Calibri"/>
                <w:sz w:val="24"/>
                <w:szCs w:val="24"/>
              </w:rPr>
            </w:pPr>
            <w:r w:rsidRPr="007939D1">
              <w:rPr>
                <w:rFonts w:eastAsia="Calibri"/>
                <w:sz w:val="24"/>
                <w:szCs w:val="24"/>
              </w:rPr>
              <w:t>-</w:t>
            </w:r>
          </w:p>
        </w:tc>
      </w:tr>
      <w:tr w:rsidR="00014F6D" w:rsidRPr="007939D1" w14:paraId="14C934A0" w14:textId="77777777" w:rsidTr="00B91FB0">
        <w:tc>
          <w:tcPr>
            <w:tcW w:w="9747" w:type="dxa"/>
            <w:gridSpan w:val="2"/>
            <w:shd w:val="clear" w:color="auto" w:fill="auto"/>
            <w:vAlign w:val="center"/>
          </w:tcPr>
          <w:p w14:paraId="489EF27B" w14:textId="0C0502B6" w:rsidR="00014F6D" w:rsidRPr="007939D1" w:rsidRDefault="00014F6D" w:rsidP="002438F5">
            <w:pPr>
              <w:tabs>
                <w:tab w:val="left" w:pos="308"/>
              </w:tabs>
              <w:jc w:val="both"/>
              <w:rPr>
                <w:rFonts w:eastAsia="Calibri"/>
                <w:sz w:val="24"/>
                <w:szCs w:val="24"/>
              </w:rPr>
            </w:pPr>
            <w:r>
              <w:rPr>
                <w:rFonts w:eastAsia="Calibri"/>
                <w:sz w:val="24"/>
                <w:szCs w:val="24"/>
              </w:rPr>
              <w:lastRenderedPageBreak/>
              <w:t>Jei d</w:t>
            </w:r>
            <w:r w:rsidRPr="007939D1">
              <w:rPr>
                <w:rFonts w:eastAsia="Calibri"/>
                <w:sz w:val="24"/>
                <w:szCs w:val="24"/>
              </w:rPr>
              <w:t>ėl pirkimo</w:t>
            </w:r>
            <w:r>
              <w:rPr>
                <w:rFonts w:eastAsia="Calibri"/>
                <w:sz w:val="24"/>
                <w:szCs w:val="24"/>
              </w:rPr>
              <w:t>/sutarties</w:t>
            </w:r>
            <w:r w:rsidRPr="007939D1">
              <w:rPr>
                <w:rFonts w:eastAsia="Calibri"/>
                <w:sz w:val="24"/>
                <w:szCs w:val="24"/>
              </w:rPr>
              <w:t xml:space="preserve"> vyksta teismo procesas</w:t>
            </w:r>
            <w:r>
              <w:rPr>
                <w:rFonts w:eastAsia="Calibri"/>
                <w:sz w:val="24"/>
                <w:szCs w:val="24"/>
              </w:rPr>
              <w:t xml:space="preserve">, </w:t>
            </w:r>
            <w:r w:rsidRPr="007939D1">
              <w:rPr>
                <w:rFonts w:eastAsia="Calibri"/>
                <w:sz w:val="24"/>
                <w:szCs w:val="24"/>
              </w:rPr>
              <w:t>nurodyti ieškinio (skundo) dalykus, bylos šalių pavadinimus, ar taikomos laikinosios apsaugos priemonės, teisminio nagrinėjimo stadija, pvz., apygardos, apeliacinis teismas</w:t>
            </w:r>
          </w:p>
        </w:tc>
      </w:tr>
    </w:tbl>
    <w:p w14:paraId="05F48CBC" w14:textId="77777777" w:rsidR="007939D1" w:rsidRPr="007939D1" w:rsidRDefault="007939D1" w:rsidP="002438F5">
      <w:pPr>
        <w:jc w:val="center"/>
        <w:rPr>
          <w:rFonts w:eastAsia="Calibri"/>
          <w:sz w:val="24"/>
          <w:szCs w:val="24"/>
        </w:rPr>
      </w:pPr>
    </w:p>
    <w:p w14:paraId="11C7BB07" w14:textId="3F6B1C1C" w:rsidR="007939D1" w:rsidRPr="007939D1" w:rsidRDefault="007939D1" w:rsidP="002438F5">
      <w:pPr>
        <w:jc w:val="center"/>
        <w:rPr>
          <w:rFonts w:eastAsia="Calibri"/>
          <w:b/>
          <w:sz w:val="24"/>
          <w:szCs w:val="24"/>
        </w:rPr>
      </w:pPr>
      <w:r w:rsidRPr="007939D1">
        <w:rPr>
          <w:rFonts w:eastAsia="Calibri"/>
          <w:b/>
          <w:sz w:val="24"/>
          <w:szCs w:val="24"/>
        </w:rPr>
        <w:t xml:space="preserve">II dalis. Vertinimo </w:t>
      </w:r>
      <w:r w:rsidR="00014F6D">
        <w:rPr>
          <w:rFonts w:eastAsia="Calibri"/>
          <w:b/>
          <w:sz w:val="24"/>
          <w:szCs w:val="24"/>
        </w:rPr>
        <w:t>apimtyje</w:t>
      </w:r>
      <w:r w:rsidRPr="007939D1">
        <w:rPr>
          <w:rFonts w:eastAsia="Calibri"/>
          <w:b/>
          <w:sz w:val="24"/>
          <w:szCs w:val="24"/>
        </w:rPr>
        <w:t xml:space="preserve"> nustatyti pažeidimai</w:t>
      </w:r>
    </w:p>
    <w:p w14:paraId="365EADE5" w14:textId="77777777" w:rsidR="007939D1" w:rsidRPr="002438F5" w:rsidRDefault="007939D1" w:rsidP="002438F5">
      <w:pPr>
        <w:jc w:val="center"/>
        <w:rPr>
          <w:rFonts w:eastAsia="Calibr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10"/>
      </w:tblGrid>
      <w:tr w:rsidR="007939D1" w:rsidRPr="007939D1" w14:paraId="2A68DBA8" w14:textId="77777777" w:rsidTr="00064613">
        <w:tc>
          <w:tcPr>
            <w:tcW w:w="392" w:type="dxa"/>
            <w:shd w:val="clear" w:color="auto" w:fill="auto"/>
            <w:vAlign w:val="center"/>
          </w:tcPr>
          <w:p w14:paraId="6942066D" w14:textId="49BCB13E" w:rsidR="007939D1" w:rsidRPr="007939D1" w:rsidRDefault="00CB2D3D" w:rsidP="002438F5">
            <w:pPr>
              <w:numPr>
                <w:ilvl w:val="0"/>
                <w:numId w:val="12"/>
              </w:numPr>
              <w:ind w:left="0"/>
              <w:contextualSpacing/>
              <w:rPr>
                <w:rFonts w:eastAsia="Calibri"/>
                <w:sz w:val="24"/>
                <w:szCs w:val="24"/>
              </w:rPr>
            </w:pPr>
            <w:r>
              <w:rPr>
                <w:rFonts w:eastAsia="Calibri"/>
                <w:sz w:val="24"/>
                <w:szCs w:val="24"/>
              </w:rPr>
              <w:t>1.</w:t>
            </w:r>
          </w:p>
        </w:tc>
        <w:tc>
          <w:tcPr>
            <w:tcW w:w="9214" w:type="dxa"/>
            <w:shd w:val="clear" w:color="auto" w:fill="auto"/>
          </w:tcPr>
          <w:p w14:paraId="24FD7471" w14:textId="77777777" w:rsidR="007939D1" w:rsidRPr="007939D1" w:rsidRDefault="00255C1D" w:rsidP="002438F5">
            <w:pPr>
              <w:tabs>
                <w:tab w:val="left" w:pos="0"/>
                <w:tab w:val="left" w:pos="993"/>
                <w:tab w:val="left" w:pos="1276"/>
              </w:tabs>
              <w:contextualSpacing/>
              <w:jc w:val="both"/>
              <w:rPr>
                <w:rFonts w:eastAsia="Calibri"/>
                <w:sz w:val="24"/>
                <w:szCs w:val="24"/>
              </w:rPr>
            </w:pPr>
            <w:r>
              <w:rPr>
                <w:rFonts w:eastAsia="Calibri"/>
                <w:sz w:val="24"/>
                <w:szCs w:val="24"/>
              </w:rPr>
              <w:t>Įstatymo 47 straipsnio 1</w:t>
            </w:r>
            <w:r>
              <w:rPr>
                <w:rStyle w:val="FootnoteReference"/>
                <w:rFonts w:eastAsia="Calibri"/>
                <w:sz w:val="24"/>
                <w:szCs w:val="24"/>
              </w:rPr>
              <w:footnoteReference w:id="1"/>
            </w:r>
            <w:r>
              <w:rPr>
                <w:rFonts w:eastAsia="Calibri"/>
                <w:sz w:val="24"/>
                <w:szCs w:val="24"/>
              </w:rPr>
              <w:t xml:space="preserve"> dalis, 51 straipsnio 7 dalies 2</w:t>
            </w:r>
            <w:r>
              <w:rPr>
                <w:rStyle w:val="FootnoteReference"/>
                <w:rFonts w:eastAsia="Calibri"/>
                <w:sz w:val="24"/>
                <w:szCs w:val="24"/>
              </w:rPr>
              <w:footnoteReference w:id="2"/>
            </w:r>
            <w:r>
              <w:rPr>
                <w:rFonts w:eastAsia="Calibri"/>
                <w:sz w:val="24"/>
                <w:szCs w:val="24"/>
              </w:rPr>
              <w:t xml:space="preserve"> punktas</w:t>
            </w:r>
          </w:p>
        </w:tc>
      </w:tr>
      <w:tr w:rsidR="00AC61FB" w:rsidRPr="007939D1" w14:paraId="769B3835" w14:textId="77777777" w:rsidTr="009C1619">
        <w:tc>
          <w:tcPr>
            <w:tcW w:w="9606" w:type="dxa"/>
            <w:gridSpan w:val="2"/>
            <w:shd w:val="clear" w:color="auto" w:fill="auto"/>
            <w:vAlign w:val="center"/>
          </w:tcPr>
          <w:p w14:paraId="07DA84AA" w14:textId="59F7FB22" w:rsidR="000D53C4" w:rsidRPr="000D53C4" w:rsidRDefault="000D53C4" w:rsidP="00AC61FB">
            <w:pPr>
              <w:tabs>
                <w:tab w:val="left" w:pos="426"/>
                <w:tab w:val="left" w:pos="567"/>
                <w:tab w:val="left" w:pos="993"/>
                <w:tab w:val="left" w:pos="1276"/>
              </w:tabs>
              <w:ind w:firstLine="426"/>
              <w:contextualSpacing/>
              <w:jc w:val="both"/>
              <w:rPr>
                <w:rFonts w:eastAsia="Calibri"/>
                <w:sz w:val="24"/>
                <w:szCs w:val="24"/>
              </w:rPr>
            </w:pPr>
            <w:r w:rsidRPr="000D53C4">
              <w:rPr>
                <w:rFonts w:eastAsia="Calibri"/>
                <w:sz w:val="24"/>
                <w:szCs w:val="24"/>
              </w:rPr>
              <w:t>Pirkimą vykdo viešojo pirkimo komisija, sudaryta Perkančiosios organizacijos direktoriaus 2018-09-28 įsakymu Nr. AK-80</w:t>
            </w:r>
            <w:r w:rsidR="001319A4">
              <w:rPr>
                <w:rFonts w:eastAsia="Calibri"/>
                <w:sz w:val="24"/>
                <w:szCs w:val="24"/>
              </w:rPr>
              <w:t xml:space="preserve"> (toliau – Pirkimo komisija)</w:t>
            </w:r>
            <w:r w:rsidRPr="000D53C4">
              <w:rPr>
                <w:rFonts w:eastAsia="Calibri"/>
                <w:sz w:val="24"/>
                <w:szCs w:val="24"/>
              </w:rPr>
              <w:t xml:space="preserve">. </w:t>
            </w:r>
          </w:p>
          <w:p w14:paraId="2DC21CD8" w14:textId="59305A8B" w:rsidR="00AC61FB" w:rsidRDefault="00AC61FB" w:rsidP="00AC61FB">
            <w:pPr>
              <w:tabs>
                <w:tab w:val="left" w:pos="426"/>
                <w:tab w:val="left" w:pos="567"/>
                <w:tab w:val="left" w:pos="993"/>
                <w:tab w:val="left" w:pos="1276"/>
              </w:tabs>
              <w:ind w:firstLine="426"/>
              <w:contextualSpacing/>
              <w:jc w:val="both"/>
              <w:rPr>
                <w:rFonts w:eastAsia="Calibri"/>
                <w:sz w:val="24"/>
                <w:szCs w:val="24"/>
              </w:rPr>
            </w:pPr>
            <w:r w:rsidRPr="000D53C4">
              <w:rPr>
                <w:rFonts w:eastAsia="Calibri"/>
                <w:sz w:val="24"/>
                <w:szCs w:val="24"/>
              </w:rPr>
              <w:t>Pirkimo dokumentai patvirtinti Pirkimo komisijos 2018-1</w:t>
            </w:r>
            <w:r w:rsidR="000D53C4">
              <w:rPr>
                <w:rFonts w:eastAsia="Calibri"/>
                <w:sz w:val="24"/>
                <w:szCs w:val="24"/>
              </w:rPr>
              <w:t>1</w:t>
            </w:r>
            <w:r w:rsidRPr="000D53C4">
              <w:rPr>
                <w:rFonts w:eastAsia="Calibri"/>
                <w:sz w:val="24"/>
                <w:szCs w:val="24"/>
              </w:rPr>
              <w:t>-</w:t>
            </w:r>
            <w:r w:rsidR="000D53C4">
              <w:rPr>
                <w:rFonts w:eastAsia="Calibri"/>
                <w:sz w:val="24"/>
                <w:szCs w:val="24"/>
              </w:rPr>
              <w:t>14</w:t>
            </w:r>
            <w:r w:rsidRPr="000D53C4">
              <w:rPr>
                <w:rFonts w:eastAsia="Calibri"/>
                <w:sz w:val="24"/>
                <w:szCs w:val="24"/>
              </w:rPr>
              <w:t xml:space="preserve"> posėdžio protokole Nr. VP-</w:t>
            </w:r>
            <w:r w:rsidR="000D53C4">
              <w:rPr>
                <w:rFonts w:eastAsia="Calibri"/>
                <w:sz w:val="24"/>
                <w:szCs w:val="24"/>
              </w:rPr>
              <w:t>5</w:t>
            </w:r>
            <w:r w:rsidRPr="000D53C4">
              <w:rPr>
                <w:rFonts w:eastAsia="Calibri"/>
                <w:sz w:val="24"/>
                <w:szCs w:val="24"/>
              </w:rPr>
              <w:t>.</w:t>
            </w:r>
          </w:p>
          <w:p w14:paraId="0AD9576C" w14:textId="13AE8E7F" w:rsidR="00AC61FB" w:rsidRPr="00AC61FB" w:rsidRDefault="00AC61FB" w:rsidP="00AC61FB">
            <w:pPr>
              <w:tabs>
                <w:tab w:val="left" w:pos="426"/>
                <w:tab w:val="left" w:pos="567"/>
                <w:tab w:val="left" w:pos="993"/>
                <w:tab w:val="left" w:pos="1276"/>
              </w:tabs>
              <w:ind w:firstLine="426"/>
              <w:contextualSpacing/>
              <w:jc w:val="both"/>
              <w:rPr>
                <w:rFonts w:eastAsia="Calibri"/>
                <w:iCs/>
                <w:sz w:val="24"/>
                <w:szCs w:val="24"/>
              </w:rPr>
            </w:pPr>
            <w:r>
              <w:rPr>
                <w:rFonts w:eastAsia="Calibri"/>
                <w:sz w:val="24"/>
                <w:szCs w:val="24"/>
              </w:rPr>
              <w:t xml:space="preserve">Pirkimo sąlygų 4.1 punkto lentelės Nr. 2 4.1.2 punkte nustatytas kvalifikacijos reikalavimas </w:t>
            </w:r>
            <w:r w:rsidRPr="00B11696">
              <w:rPr>
                <w:rFonts w:eastAsia="Calibri"/>
                <w:i/>
                <w:sz w:val="24"/>
                <w:szCs w:val="24"/>
              </w:rPr>
              <w:t xml:space="preserve">„Tiekėjas </w:t>
            </w:r>
            <w:r>
              <w:rPr>
                <w:rFonts w:eastAsia="Calibri"/>
                <w:i/>
                <w:sz w:val="24"/>
                <w:szCs w:val="24"/>
              </w:rPr>
              <w:t>&lt;...&gt;</w:t>
            </w:r>
            <w:r w:rsidRPr="00B11696">
              <w:rPr>
                <w:rFonts w:eastAsia="Calibri"/>
                <w:i/>
                <w:sz w:val="24"/>
                <w:szCs w:val="24"/>
              </w:rPr>
              <w:t xml:space="preserve"> turi būti tinkamai įvykdęs arba vykdo bent vieną sutartį, kurios vykdymo metu sukurta arba kuriama (modernizuota arba modernizuojama) ir įdiegta arba diegiama </w:t>
            </w:r>
            <w:r w:rsidRPr="00B11696">
              <w:rPr>
                <w:rFonts w:eastAsia="Calibri"/>
                <w:i/>
                <w:sz w:val="24"/>
                <w:szCs w:val="24"/>
                <w:u w:val="single"/>
              </w:rPr>
              <w:t>valstybės informacinė sistema</w:t>
            </w:r>
            <w:r w:rsidRPr="00B11696">
              <w:rPr>
                <w:rFonts w:eastAsia="Calibri"/>
                <w:i/>
                <w:sz w:val="24"/>
                <w:szCs w:val="24"/>
              </w:rPr>
              <w:t>, tenkinanti visus šiuos reikalavimus“</w:t>
            </w:r>
            <w:r>
              <w:rPr>
                <w:rFonts w:eastAsia="Calibri"/>
                <w:sz w:val="24"/>
                <w:szCs w:val="24"/>
              </w:rPr>
              <w:t xml:space="preserve"> ir </w:t>
            </w:r>
            <w:r w:rsidRPr="00895326">
              <w:rPr>
                <w:rFonts w:eastAsia="Calibri"/>
                <w:sz w:val="24"/>
                <w:szCs w:val="24"/>
              </w:rPr>
              <w:t xml:space="preserve">4.1.4 punkte </w:t>
            </w:r>
            <w:r w:rsidR="001319A4">
              <w:rPr>
                <w:rFonts w:eastAsia="Calibri"/>
                <w:sz w:val="24"/>
                <w:szCs w:val="24"/>
              </w:rPr>
              <w:t xml:space="preserve">tiekėjo </w:t>
            </w:r>
            <w:r w:rsidRPr="00895326">
              <w:rPr>
                <w:rFonts w:eastAsia="Calibri"/>
                <w:sz w:val="24"/>
                <w:szCs w:val="24"/>
              </w:rPr>
              <w:t>specialistams</w:t>
            </w:r>
            <w:r>
              <w:rPr>
                <w:rStyle w:val="FootnoteReference"/>
                <w:rFonts w:eastAsia="Calibri"/>
                <w:sz w:val="24"/>
                <w:szCs w:val="24"/>
              </w:rPr>
              <w:footnoteReference w:id="3"/>
            </w:r>
            <w:r w:rsidRPr="00895326">
              <w:rPr>
                <w:rFonts w:eastAsia="Calibri"/>
                <w:sz w:val="24"/>
                <w:szCs w:val="24"/>
              </w:rPr>
              <w:t xml:space="preserve"> (informacinės sistemos architektui, programuotojui, informacinių </w:t>
            </w:r>
            <w:r w:rsidRPr="00D67326">
              <w:rPr>
                <w:rFonts w:eastAsia="Calibri"/>
                <w:sz w:val="24"/>
                <w:szCs w:val="24"/>
              </w:rPr>
              <w:t xml:space="preserve">sistemų analitikui, informacinių sistemų saugos vadovui, testuotojui) nustatyti kvalifikacijos reikalavimai, susiję su patirtimi įgyta kuriant, diegiant ir vertinant </w:t>
            </w:r>
            <w:r w:rsidRPr="001319A4">
              <w:rPr>
                <w:rFonts w:eastAsia="Calibri"/>
                <w:sz w:val="24"/>
                <w:szCs w:val="24"/>
                <w:u w:val="single"/>
              </w:rPr>
              <w:t>valstybės informacinę sistemą</w:t>
            </w:r>
            <w:r w:rsidRPr="00D67326">
              <w:rPr>
                <w:rFonts w:eastAsia="Calibri"/>
                <w:sz w:val="24"/>
                <w:szCs w:val="24"/>
              </w:rPr>
              <w:t xml:space="preserve">, </w:t>
            </w:r>
            <w:r w:rsidR="00D67326" w:rsidRPr="00D67326">
              <w:rPr>
                <w:rFonts w:eastAsia="Calibri"/>
                <w:sz w:val="24"/>
                <w:szCs w:val="24"/>
              </w:rPr>
              <w:t xml:space="preserve">yra </w:t>
            </w:r>
            <w:r w:rsidR="00C51E34">
              <w:rPr>
                <w:rFonts w:eastAsia="Calibri"/>
                <w:sz w:val="24"/>
                <w:szCs w:val="24"/>
              </w:rPr>
              <w:t>nepagrįsti</w:t>
            </w:r>
            <w:r w:rsidR="008D6887">
              <w:rPr>
                <w:rFonts w:eastAsia="Calibri"/>
                <w:sz w:val="24"/>
                <w:szCs w:val="24"/>
              </w:rPr>
              <w:t>,</w:t>
            </w:r>
            <w:r w:rsidR="00D67326" w:rsidRPr="00D67326">
              <w:rPr>
                <w:rFonts w:eastAsia="Calibri"/>
                <w:sz w:val="24"/>
                <w:szCs w:val="24"/>
              </w:rPr>
              <w:t xml:space="preserve"> </w:t>
            </w:r>
            <w:r w:rsidRPr="00D67326">
              <w:rPr>
                <w:rFonts w:eastAsia="Calibri"/>
                <w:sz w:val="24"/>
                <w:szCs w:val="24"/>
              </w:rPr>
              <w:t>riboja konkurenciją ir nel</w:t>
            </w:r>
            <w:r w:rsidR="008F4339">
              <w:rPr>
                <w:rFonts w:eastAsia="Calibri"/>
                <w:sz w:val="24"/>
                <w:szCs w:val="24"/>
              </w:rPr>
              <w:t>e</w:t>
            </w:r>
            <w:r w:rsidRPr="00D67326">
              <w:rPr>
                <w:rFonts w:eastAsia="Calibri"/>
                <w:sz w:val="24"/>
                <w:szCs w:val="24"/>
              </w:rPr>
              <w:t>idžia pasiūlymo pateikti tiekėjui ir/ar jo turimiems specialistams, įgijusiems patirtį, kuriant ir diegiant ne valstybės poreikius tenkinti skirtas informacines sistemas.</w:t>
            </w:r>
            <w:r w:rsidRPr="00D67326">
              <w:rPr>
                <w:iCs/>
                <w:sz w:val="24"/>
                <w:szCs w:val="24"/>
                <w:lang w:eastAsia="lt-LT"/>
              </w:rPr>
              <w:t xml:space="preserve"> </w:t>
            </w:r>
            <w:r w:rsidRPr="00D67326">
              <w:rPr>
                <w:rFonts w:eastAsia="Calibri"/>
                <w:iCs/>
                <w:sz w:val="24"/>
                <w:szCs w:val="24"/>
              </w:rPr>
              <w:t xml:space="preserve">Taip pat, </w:t>
            </w:r>
            <w:r w:rsidR="00C15C51" w:rsidRPr="00D67326">
              <w:rPr>
                <w:rFonts w:eastAsia="Calibri"/>
                <w:iCs/>
                <w:sz w:val="24"/>
                <w:szCs w:val="24"/>
              </w:rPr>
              <w:t>įvardinti k</w:t>
            </w:r>
            <w:r w:rsidRPr="00D67326">
              <w:rPr>
                <w:rFonts w:eastAsia="Calibri"/>
                <w:iCs/>
                <w:sz w:val="24"/>
                <w:szCs w:val="24"/>
              </w:rPr>
              <w:t>va</w:t>
            </w:r>
            <w:r w:rsidR="00C15C51" w:rsidRPr="00D67326">
              <w:rPr>
                <w:rFonts w:eastAsia="Calibri"/>
                <w:iCs/>
                <w:sz w:val="24"/>
                <w:szCs w:val="24"/>
              </w:rPr>
              <w:t>lifikacijos reikalavimai neatitinka</w:t>
            </w:r>
            <w:r w:rsidRPr="00D67326">
              <w:rPr>
                <w:rFonts w:eastAsia="Calibri"/>
                <w:iCs/>
                <w:sz w:val="24"/>
                <w:szCs w:val="24"/>
              </w:rPr>
              <w:t xml:space="preserve"> Įstatymo 51 straipsnio 7 dalies 2 punkt</w:t>
            </w:r>
            <w:r w:rsidR="00C15C51" w:rsidRPr="00D67326">
              <w:rPr>
                <w:rFonts w:eastAsia="Calibri"/>
                <w:iCs/>
                <w:sz w:val="24"/>
                <w:szCs w:val="24"/>
              </w:rPr>
              <w:t>o nuostatų</w:t>
            </w:r>
            <w:r w:rsidRPr="00D67326">
              <w:rPr>
                <w:rFonts w:eastAsia="Calibri"/>
                <w:iCs/>
                <w:sz w:val="24"/>
                <w:szCs w:val="24"/>
              </w:rPr>
              <w:t>,</w:t>
            </w:r>
            <w:r w:rsidR="00C15C51" w:rsidRPr="00D67326">
              <w:rPr>
                <w:rFonts w:eastAsia="Calibri"/>
                <w:iCs/>
                <w:sz w:val="24"/>
                <w:szCs w:val="24"/>
              </w:rPr>
              <w:t xml:space="preserve"> vadovaujantis kuriomis,</w:t>
            </w:r>
            <w:r w:rsidR="001319A4">
              <w:rPr>
                <w:rFonts w:eastAsia="Calibri"/>
                <w:iCs/>
                <w:sz w:val="24"/>
                <w:szCs w:val="24"/>
              </w:rPr>
              <w:t xml:space="preserve"> </w:t>
            </w:r>
            <w:r w:rsidRPr="00D67326">
              <w:rPr>
                <w:rFonts w:eastAsia="Calibri"/>
                <w:iCs/>
                <w:sz w:val="24"/>
                <w:szCs w:val="24"/>
              </w:rPr>
              <w:t>perkančioji organizacija gali reikalauti</w:t>
            </w:r>
            <w:r w:rsidRPr="00AC61FB">
              <w:rPr>
                <w:rFonts w:eastAsia="Calibri"/>
                <w:iCs/>
                <w:sz w:val="24"/>
                <w:szCs w:val="24"/>
              </w:rPr>
              <w:t xml:space="preserve"> suteiktų paslaugų sąrašų, </w:t>
            </w:r>
            <w:r w:rsidR="00C15C51" w:rsidRPr="00AC61FB">
              <w:rPr>
                <w:rFonts w:eastAsia="Calibri"/>
                <w:iCs/>
                <w:sz w:val="24"/>
                <w:szCs w:val="24"/>
              </w:rPr>
              <w:t>neatsižvelgiant į tai, ar paslaugos gavėjai yra viešieji</w:t>
            </w:r>
            <w:r w:rsidR="00DC592F">
              <w:rPr>
                <w:rFonts w:eastAsia="Calibri"/>
                <w:iCs/>
                <w:sz w:val="24"/>
                <w:szCs w:val="24"/>
              </w:rPr>
              <w:t>, ar privatieji</w:t>
            </w:r>
            <w:r w:rsidRPr="00AC61FB">
              <w:rPr>
                <w:rFonts w:eastAsia="Calibri"/>
                <w:iCs/>
                <w:sz w:val="24"/>
                <w:szCs w:val="24"/>
              </w:rPr>
              <w:t>.</w:t>
            </w:r>
          </w:p>
          <w:p w14:paraId="24347CB6" w14:textId="0DF5B577" w:rsidR="00AC61FB" w:rsidRPr="00904C27" w:rsidRDefault="00AC61FB" w:rsidP="00AC61FB">
            <w:pPr>
              <w:tabs>
                <w:tab w:val="left" w:pos="426"/>
                <w:tab w:val="left" w:pos="567"/>
                <w:tab w:val="left" w:pos="993"/>
                <w:tab w:val="left" w:pos="1276"/>
              </w:tabs>
              <w:ind w:firstLine="426"/>
              <w:contextualSpacing/>
              <w:jc w:val="both"/>
              <w:rPr>
                <w:rFonts w:eastAsia="Calibri"/>
                <w:sz w:val="24"/>
                <w:szCs w:val="24"/>
              </w:rPr>
            </w:pPr>
            <w:r>
              <w:rPr>
                <w:rFonts w:eastAsia="Calibri"/>
                <w:sz w:val="24"/>
                <w:szCs w:val="24"/>
              </w:rPr>
              <w:t xml:space="preserve">Pažymėtina, kad </w:t>
            </w:r>
            <w:r w:rsidRPr="00904C27">
              <w:rPr>
                <w:rFonts w:eastAsia="Calibri"/>
                <w:sz w:val="24"/>
                <w:szCs w:val="24"/>
              </w:rPr>
              <w:t>Tarnyba 2018-12-20 elektroniniu paštu kreipėsi į Perkančiąją organizaciją, pateikdama nuomonę, jog Pirkimo sąlygų 4.1.2 punkte nustatytame kvalifikaciniame reikalavime ir 4.1.4 punkte specialistams keliamuose kvalifikacijos reikalavimuose nustatyt</w:t>
            </w:r>
            <w:r>
              <w:rPr>
                <w:rFonts w:eastAsia="Calibri"/>
                <w:sz w:val="24"/>
                <w:szCs w:val="24"/>
              </w:rPr>
              <w:t>a sąlyga</w:t>
            </w:r>
            <w:r w:rsidRPr="00904C27">
              <w:rPr>
                <w:rFonts w:eastAsia="Calibri"/>
                <w:sz w:val="24"/>
                <w:szCs w:val="24"/>
              </w:rPr>
              <w:t xml:space="preserve"> turėti patirtį, kuri būtų įgyta kuriant ir diegiant valstybės informacinę sistemą, riboja konkurenciją</w:t>
            </w:r>
            <w:r w:rsidR="00E6614F">
              <w:rPr>
                <w:rFonts w:eastAsia="Calibri"/>
                <w:sz w:val="24"/>
                <w:szCs w:val="24"/>
              </w:rPr>
              <w:t xml:space="preserve">, tačiau </w:t>
            </w:r>
            <w:r>
              <w:rPr>
                <w:rFonts w:eastAsia="Calibri"/>
                <w:sz w:val="24"/>
                <w:szCs w:val="24"/>
              </w:rPr>
              <w:t xml:space="preserve"> </w:t>
            </w:r>
            <w:r w:rsidRPr="00904C27">
              <w:rPr>
                <w:rFonts w:eastAsia="Calibri"/>
                <w:sz w:val="24"/>
                <w:szCs w:val="24"/>
              </w:rPr>
              <w:t>Perkančioji organizacija</w:t>
            </w:r>
            <w:r>
              <w:rPr>
                <w:rFonts w:eastAsia="Calibri"/>
                <w:sz w:val="24"/>
                <w:szCs w:val="24"/>
              </w:rPr>
              <w:t xml:space="preserve"> neatsižvelgė į Tarnybos </w:t>
            </w:r>
            <w:r w:rsidR="00E6614F">
              <w:rPr>
                <w:rFonts w:eastAsia="Calibri"/>
                <w:sz w:val="24"/>
                <w:szCs w:val="24"/>
              </w:rPr>
              <w:t>pateiktą nuomonę ir tęsė Pirkimo procedūras. Paminėtina, kad Perkančioji organizacija</w:t>
            </w:r>
            <w:r>
              <w:rPr>
                <w:rFonts w:eastAsia="Calibri"/>
                <w:sz w:val="24"/>
                <w:szCs w:val="24"/>
              </w:rPr>
              <w:t xml:space="preserve"> </w:t>
            </w:r>
            <w:r w:rsidRPr="00904C27">
              <w:rPr>
                <w:rFonts w:eastAsia="Calibri"/>
                <w:sz w:val="24"/>
                <w:szCs w:val="24"/>
              </w:rPr>
              <w:t xml:space="preserve">2018-12-20 elektroniniu paštu </w:t>
            </w:r>
            <w:r w:rsidR="00E6614F">
              <w:rPr>
                <w:rFonts w:eastAsia="Calibri"/>
                <w:sz w:val="24"/>
                <w:szCs w:val="24"/>
              </w:rPr>
              <w:t xml:space="preserve">pateikė paaiškinimus dėl aukščiau nurodytų kvalifikacijos reikalavimų, nurodydama, jog </w:t>
            </w:r>
            <w:r w:rsidR="00E6614F" w:rsidRPr="00E6614F">
              <w:rPr>
                <w:rFonts w:eastAsia="Calibri"/>
                <w:i/>
                <w:sz w:val="24"/>
                <w:szCs w:val="24"/>
              </w:rPr>
              <w:t xml:space="preserve">„&lt;...&gt; tam tikrų veiklos procesų </w:t>
            </w:r>
            <w:r w:rsidR="00E6614F" w:rsidRPr="00E6614F">
              <w:rPr>
                <w:rFonts w:eastAsia="Calibri"/>
                <w:i/>
                <w:sz w:val="24"/>
                <w:szCs w:val="24"/>
              </w:rPr>
              <w:lastRenderedPageBreak/>
              <w:t>kompiuterizavimas kuriant informacines sistemas viešajam ir privačiam sektoriui nesiskiria, tačiau kuriant viešojo sektoriaus informacines sistemas &lt;...&gt; nustatyta prievolė vadovautis Lietuvos Respublikos valstybės informacinių išteklių valdymo įstatyme, Valstybės informacinių sistemų steigimo, kūrimo, modernizavimo ir likvidavimo tvarkos apraše &lt;...&gt; Valstybės informacinių sistemų gyvavimo ciklo valdymo metodikoje &lt;...&gt; Registrų ir valstybės informacinių sistemų registro nuostatose &lt;...&gt; įtvirtintais specialiaisiais reikalavimais tokio pobūdžio informacinėmis sistemomis</w:t>
            </w:r>
            <w:r w:rsidR="00E6614F">
              <w:rPr>
                <w:rFonts w:eastAsia="Calibri"/>
                <w:i/>
                <w:sz w:val="24"/>
                <w:szCs w:val="24"/>
              </w:rPr>
              <w:t xml:space="preserve"> &lt;...&gt; </w:t>
            </w:r>
            <w:r w:rsidR="00E6614F" w:rsidRPr="00E6614F">
              <w:rPr>
                <w:rFonts w:eastAsia="Calibri"/>
                <w:i/>
                <w:sz w:val="24"/>
                <w:szCs w:val="24"/>
              </w:rPr>
              <w:t>viešojo sektoriaus kuriamos informacinės sistemos privalo atitikti specialiuosius saugumo reikalavimus, nustatytus &lt;...&gt; Lietuvos Respublikos kibernetinio saugumo įstatyme</w:t>
            </w:r>
            <w:r w:rsidR="00E6614F">
              <w:rPr>
                <w:rFonts w:eastAsia="Calibri"/>
                <w:i/>
                <w:sz w:val="24"/>
                <w:szCs w:val="24"/>
              </w:rPr>
              <w:t xml:space="preserve">; </w:t>
            </w:r>
            <w:r w:rsidR="00E6614F" w:rsidRPr="00E6614F">
              <w:rPr>
                <w:rFonts w:eastAsia="Calibri"/>
                <w:i/>
                <w:sz w:val="24"/>
                <w:szCs w:val="24"/>
              </w:rPr>
              <w:t>Lietuvos Respublikos asmens duomenų teisinės apsaugos įstatyme</w:t>
            </w:r>
            <w:r w:rsidR="00E6614F">
              <w:rPr>
                <w:rFonts w:eastAsia="Calibri"/>
                <w:i/>
                <w:sz w:val="24"/>
                <w:szCs w:val="24"/>
              </w:rPr>
              <w:t>;</w:t>
            </w:r>
            <w:r w:rsidR="00E6614F" w:rsidRPr="00E6614F">
              <w:rPr>
                <w:rFonts w:eastAsia="Calibri"/>
                <w:i/>
                <w:sz w:val="24"/>
                <w:szCs w:val="24"/>
              </w:rPr>
              <w:t xml:space="preserve"> Bendrųjų elektroninės informacijos saugos reikalavimų, Saugos dokumentų turinio gairių ir Elektroninės informacijos, sudarančios valstybės informacinius išteklius, svarbos įvertinimo ir valstybės informacinių sistemų, registrų ir kitų informacinių sistemų klasifikavimo gairių aprašuose</w:t>
            </w:r>
            <w:r w:rsidR="00E6614F">
              <w:rPr>
                <w:rFonts w:eastAsia="Calibri"/>
                <w:i/>
                <w:sz w:val="24"/>
                <w:szCs w:val="24"/>
              </w:rPr>
              <w:t>;</w:t>
            </w:r>
            <w:r w:rsidR="00E6614F" w:rsidRPr="00E6614F">
              <w:rPr>
                <w:rFonts w:eastAsia="Calibri"/>
                <w:i/>
                <w:sz w:val="24"/>
                <w:szCs w:val="24"/>
              </w:rPr>
              <w:t xml:space="preserve"> Techninių valstybės registrų (kadastrų), žinybinių registrų, valstybės informacinių sistemų ir kitų informacinių sistemų elektroninės informacijos saugos reikalavimuose &lt;...&gt; </w:t>
            </w:r>
            <w:r w:rsidR="00CE3028">
              <w:rPr>
                <w:rFonts w:eastAsia="Calibri"/>
                <w:i/>
                <w:sz w:val="24"/>
                <w:szCs w:val="24"/>
              </w:rPr>
              <w:t xml:space="preserve">ir </w:t>
            </w:r>
            <w:r w:rsidR="00E6614F" w:rsidRPr="00E6614F">
              <w:rPr>
                <w:rFonts w:eastAsia="Calibri"/>
                <w:i/>
                <w:sz w:val="24"/>
                <w:szCs w:val="24"/>
              </w:rPr>
              <w:t>Organizacinių ir techninių kibernetinio saugumo reikalavimų, taikomų ypatingos svarbos informacinei infrastruktūrai ir valstybės informaciniams ištekliams apraše“</w:t>
            </w:r>
            <w:r w:rsidR="00E6614F" w:rsidRPr="00E6614F">
              <w:rPr>
                <w:rFonts w:eastAsia="Calibri"/>
                <w:sz w:val="24"/>
                <w:szCs w:val="24"/>
              </w:rPr>
              <w:t xml:space="preserve">. Perkančioji organizacija, taip pat atkreipė dėmesį, jog </w:t>
            </w:r>
            <w:r w:rsidR="00E6614F" w:rsidRPr="00E6614F">
              <w:rPr>
                <w:rFonts w:eastAsia="Calibri"/>
                <w:i/>
                <w:sz w:val="24"/>
                <w:szCs w:val="24"/>
              </w:rPr>
              <w:t>„&lt;...&gt; tiekėjas pagal analizės ir projektavimo dokumentaciją turi parengti LAKIS techninį aprašymą (specifikaciją), kuri skirta užregistruoti sistemą Registrų ir valstybės informacinių sistemų registre ir suderinti jį su Informacinės visuomenės plėtros komitetu &lt;...&gt;“</w:t>
            </w:r>
            <w:r w:rsidR="00CE3028">
              <w:rPr>
                <w:rFonts w:eastAsia="Calibri"/>
                <w:sz w:val="24"/>
                <w:szCs w:val="24"/>
              </w:rPr>
              <w:t>.</w:t>
            </w:r>
            <w:r>
              <w:rPr>
                <w:rFonts w:eastAsia="Calibri"/>
                <w:sz w:val="24"/>
                <w:szCs w:val="24"/>
              </w:rPr>
              <w:t xml:space="preserve">   </w:t>
            </w:r>
            <w:r w:rsidRPr="00904C27">
              <w:rPr>
                <w:rFonts w:eastAsia="Calibri"/>
                <w:sz w:val="24"/>
                <w:szCs w:val="24"/>
              </w:rPr>
              <w:t xml:space="preserve"> </w:t>
            </w:r>
          </w:p>
          <w:p w14:paraId="0CA10645" w14:textId="5EBFB712" w:rsidR="00AC61FB" w:rsidRDefault="00AC61FB" w:rsidP="00AC61FB">
            <w:pPr>
              <w:tabs>
                <w:tab w:val="left" w:pos="426"/>
                <w:tab w:val="left" w:pos="567"/>
                <w:tab w:val="left" w:pos="993"/>
                <w:tab w:val="left" w:pos="1276"/>
              </w:tabs>
              <w:ind w:firstLine="426"/>
              <w:contextualSpacing/>
              <w:jc w:val="both"/>
              <w:rPr>
                <w:rFonts w:eastAsia="Calibri"/>
                <w:bCs/>
                <w:sz w:val="24"/>
                <w:szCs w:val="24"/>
              </w:rPr>
            </w:pPr>
            <w:r>
              <w:rPr>
                <w:rFonts w:eastAsia="Calibri"/>
                <w:sz w:val="24"/>
                <w:szCs w:val="24"/>
              </w:rPr>
              <w:t xml:space="preserve">Atsižvelgdama į tai, kas nurodyta, </w:t>
            </w:r>
            <w:r w:rsidR="00CE3028">
              <w:rPr>
                <w:rFonts w:eastAsia="Calibri"/>
                <w:sz w:val="24"/>
                <w:szCs w:val="24"/>
              </w:rPr>
              <w:t>į tai, kad Perkančioji organizacija</w:t>
            </w:r>
            <w:r w:rsidR="003478ED">
              <w:rPr>
                <w:rFonts w:eastAsia="Calibri"/>
                <w:sz w:val="24"/>
                <w:szCs w:val="24"/>
              </w:rPr>
              <w:t xml:space="preserve">, teikdama pagrindimą dėl </w:t>
            </w:r>
            <w:r w:rsidR="00CE3028">
              <w:rPr>
                <w:rFonts w:eastAsia="Calibri"/>
                <w:sz w:val="24"/>
                <w:szCs w:val="24"/>
              </w:rPr>
              <w:t xml:space="preserve"> aukščiau nustatyt</w:t>
            </w:r>
            <w:r w:rsidR="003478ED">
              <w:rPr>
                <w:rFonts w:eastAsia="Calibri"/>
                <w:sz w:val="24"/>
                <w:szCs w:val="24"/>
              </w:rPr>
              <w:t>ų</w:t>
            </w:r>
            <w:r w:rsidR="00CE3028">
              <w:rPr>
                <w:rFonts w:eastAsia="Calibri"/>
                <w:sz w:val="24"/>
                <w:szCs w:val="24"/>
              </w:rPr>
              <w:t xml:space="preserve"> kvalifikacijos reikalavim</w:t>
            </w:r>
            <w:r w:rsidR="003478ED">
              <w:rPr>
                <w:rFonts w:eastAsia="Calibri"/>
                <w:sz w:val="24"/>
                <w:szCs w:val="24"/>
              </w:rPr>
              <w:t>ų, apsiribojo</w:t>
            </w:r>
            <w:r w:rsidR="00CE3028">
              <w:rPr>
                <w:rFonts w:eastAsia="Calibri"/>
                <w:sz w:val="24"/>
                <w:szCs w:val="24"/>
              </w:rPr>
              <w:t xml:space="preserve"> </w:t>
            </w:r>
            <w:r w:rsidR="00CE3028" w:rsidRPr="00CE3028">
              <w:rPr>
                <w:rFonts w:eastAsia="Calibri"/>
                <w:iCs/>
                <w:sz w:val="24"/>
                <w:szCs w:val="24"/>
              </w:rPr>
              <w:t>teisės aktų</w:t>
            </w:r>
            <w:r w:rsidR="003478ED">
              <w:rPr>
                <w:rFonts w:eastAsia="Calibri"/>
                <w:iCs/>
                <w:sz w:val="24"/>
                <w:szCs w:val="24"/>
              </w:rPr>
              <w:t xml:space="preserve">, taikomų </w:t>
            </w:r>
            <w:r w:rsidR="003478ED" w:rsidRPr="00685B6D">
              <w:rPr>
                <w:rFonts w:eastAsia="Calibri"/>
                <w:iCs/>
                <w:sz w:val="24"/>
                <w:szCs w:val="24"/>
              </w:rPr>
              <w:t>kuriant valstybės informacines sistemas</w:t>
            </w:r>
            <w:r w:rsidR="003478ED">
              <w:rPr>
                <w:rFonts w:eastAsia="Calibri"/>
                <w:iCs/>
                <w:sz w:val="24"/>
                <w:szCs w:val="24"/>
              </w:rPr>
              <w:t>,</w:t>
            </w:r>
            <w:r w:rsidR="00CE3028" w:rsidRPr="00CE3028">
              <w:rPr>
                <w:rFonts w:eastAsia="Calibri"/>
                <w:iCs/>
                <w:sz w:val="24"/>
                <w:szCs w:val="24"/>
              </w:rPr>
              <w:t xml:space="preserve"> išva</w:t>
            </w:r>
            <w:r w:rsidR="00CE3028">
              <w:rPr>
                <w:rFonts w:eastAsia="Calibri"/>
                <w:iCs/>
                <w:sz w:val="24"/>
                <w:szCs w:val="24"/>
              </w:rPr>
              <w:t>r</w:t>
            </w:r>
            <w:r w:rsidR="00CE3028" w:rsidRPr="00CE3028">
              <w:rPr>
                <w:rFonts w:eastAsia="Calibri"/>
                <w:iCs/>
                <w:sz w:val="24"/>
                <w:szCs w:val="24"/>
              </w:rPr>
              <w:t>dinim</w:t>
            </w:r>
            <w:r w:rsidR="00CE3028">
              <w:rPr>
                <w:rFonts w:eastAsia="Calibri"/>
                <w:iCs/>
                <w:sz w:val="24"/>
                <w:szCs w:val="24"/>
              </w:rPr>
              <w:t>u,</w:t>
            </w:r>
            <w:r w:rsidR="00CE3028" w:rsidRPr="00CE3028">
              <w:rPr>
                <w:rFonts w:eastAsia="Calibri"/>
                <w:sz w:val="24"/>
                <w:szCs w:val="24"/>
              </w:rPr>
              <w:t xml:space="preserve"> </w:t>
            </w:r>
            <w:r>
              <w:rPr>
                <w:rFonts w:eastAsia="Calibri"/>
                <w:sz w:val="24"/>
                <w:szCs w:val="24"/>
              </w:rPr>
              <w:t>Tarnyba kreipėsi</w:t>
            </w:r>
            <w:r>
              <w:rPr>
                <w:rStyle w:val="FootnoteReference"/>
                <w:rFonts w:eastAsia="Calibri"/>
                <w:sz w:val="24"/>
                <w:szCs w:val="24"/>
              </w:rPr>
              <w:footnoteReference w:id="4"/>
            </w:r>
            <w:r>
              <w:rPr>
                <w:rFonts w:eastAsia="Calibri"/>
                <w:sz w:val="24"/>
                <w:szCs w:val="24"/>
              </w:rPr>
              <w:t xml:space="preserve"> į Perkančiąją organizaciją su prašymu paaiškinti, kuo, jos manymu, </w:t>
            </w:r>
            <w:r w:rsidRPr="0017293C">
              <w:rPr>
                <w:rFonts w:eastAsia="Calibri"/>
                <w:bCs/>
                <w:sz w:val="24"/>
                <w:szCs w:val="24"/>
              </w:rPr>
              <w:t>skiriasi informacinės sistemos kūrimas ir diegimas viešajam sektoriui nuo kūrimo ir diegimo ne viešajam sektoriui</w:t>
            </w:r>
            <w:r>
              <w:rPr>
                <w:rFonts w:eastAsia="Calibri"/>
                <w:bCs/>
                <w:sz w:val="24"/>
                <w:szCs w:val="24"/>
              </w:rPr>
              <w:t xml:space="preserve">, taip pat pagrįsti, </w:t>
            </w:r>
            <w:r w:rsidRPr="0017293C">
              <w:rPr>
                <w:rFonts w:eastAsia="Calibri"/>
                <w:bCs/>
                <w:sz w:val="24"/>
                <w:szCs w:val="24"/>
              </w:rPr>
              <w:t xml:space="preserve">jog tiekėjas ir specialistai, kurių patirtis įgyta kuriant ir diegiant informacinę (- </w:t>
            </w:r>
            <w:proofErr w:type="spellStart"/>
            <w:r w:rsidRPr="0017293C">
              <w:rPr>
                <w:rFonts w:eastAsia="Calibri"/>
                <w:bCs/>
                <w:sz w:val="24"/>
                <w:szCs w:val="24"/>
              </w:rPr>
              <w:t>es</w:t>
            </w:r>
            <w:proofErr w:type="spellEnd"/>
            <w:r w:rsidRPr="0017293C">
              <w:rPr>
                <w:rFonts w:eastAsia="Calibri"/>
                <w:bCs/>
                <w:sz w:val="24"/>
                <w:szCs w:val="24"/>
              </w:rPr>
              <w:t xml:space="preserve">) sistemą (- </w:t>
            </w:r>
            <w:proofErr w:type="spellStart"/>
            <w:r w:rsidRPr="0017293C">
              <w:rPr>
                <w:rFonts w:eastAsia="Calibri"/>
                <w:bCs/>
                <w:sz w:val="24"/>
                <w:szCs w:val="24"/>
              </w:rPr>
              <w:t>as</w:t>
            </w:r>
            <w:proofErr w:type="spellEnd"/>
            <w:r w:rsidRPr="0017293C">
              <w:rPr>
                <w:rFonts w:eastAsia="Calibri"/>
                <w:bCs/>
                <w:sz w:val="24"/>
                <w:szCs w:val="24"/>
              </w:rPr>
              <w:t>) ne viešajam sektoriui (pavyzdžiui, bankui), nebus pajėgūs įvykdyti Pirkimo sutarties</w:t>
            </w:r>
            <w:r>
              <w:rPr>
                <w:rFonts w:eastAsia="Calibri"/>
                <w:bCs/>
                <w:sz w:val="24"/>
                <w:szCs w:val="24"/>
              </w:rPr>
              <w:t>.</w:t>
            </w:r>
          </w:p>
          <w:p w14:paraId="6E690EE1" w14:textId="254531DA" w:rsidR="00CE3028" w:rsidRDefault="00AC61FB" w:rsidP="00AC61FB">
            <w:pPr>
              <w:tabs>
                <w:tab w:val="left" w:pos="426"/>
                <w:tab w:val="left" w:pos="567"/>
                <w:tab w:val="left" w:pos="993"/>
                <w:tab w:val="left" w:pos="1276"/>
              </w:tabs>
              <w:ind w:firstLine="426"/>
              <w:contextualSpacing/>
              <w:jc w:val="both"/>
              <w:rPr>
                <w:rFonts w:eastAsia="Calibri"/>
                <w:sz w:val="24"/>
                <w:szCs w:val="24"/>
              </w:rPr>
            </w:pPr>
            <w:r>
              <w:rPr>
                <w:rFonts w:eastAsia="Calibri"/>
                <w:sz w:val="24"/>
                <w:szCs w:val="24"/>
              </w:rPr>
              <w:t>Perkančioji organizacija pateikė</w:t>
            </w:r>
            <w:r>
              <w:rPr>
                <w:rStyle w:val="FootnoteReference"/>
                <w:rFonts w:eastAsia="Calibri"/>
                <w:sz w:val="24"/>
                <w:szCs w:val="24"/>
              </w:rPr>
              <w:footnoteReference w:id="5"/>
            </w:r>
            <w:r>
              <w:rPr>
                <w:rFonts w:eastAsia="Calibri"/>
                <w:sz w:val="24"/>
                <w:szCs w:val="24"/>
              </w:rPr>
              <w:t xml:space="preserve"> </w:t>
            </w:r>
            <w:r w:rsidR="00CE3028">
              <w:rPr>
                <w:rFonts w:eastAsia="Calibri"/>
                <w:sz w:val="24"/>
                <w:szCs w:val="24"/>
              </w:rPr>
              <w:t>identiškus paaiškinimus, kaip ir</w:t>
            </w:r>
            <w:r w:rsidRPr="000316E4">
              <w:rPr>
                <w:rFonts w:eastAsia="Calibri"/>
                <w:i/>
                <w:sz w:val="24"/>
                <w:szCs w:val="24"/>
              </w:rPr>
              <w:t xml:space="preserve"> </w:t>
            </w:r>
            <w:r w:rsidR="00CE3028" w:rsidRPr="00904C27">
              <w:rPr>
                <w:rFonts w:eastAsia="Calibri"/>
                <w:sz w:val="24"/>
                <w:szCs w:val="24"/>
              </w:rPr>
              <w:t xml:space="preserve">2018-12-20 </w:t>
            </w:r>
            <w:r w:rsidR="00CE3028">
              <w:rPr>
                <w:rFonts w:eastAsia="Calibri"/>
                <w:sz w:val="24"/>
                <w:szCs w:val="24"/>
              </w:rPr>
              <w:t xml:space="preserve">Tarnybai adresuotame </w:t>
            </w:r>
            <w:r w:rsidR="00CE3028" w:rsidRPr="00904C27">
              <w:rPr>
                <w:rFonts w:eastAsia="Calibri"/>
                <w:sz w:val="24"/>
                <w:szCs w:val="24"/>
              </w:rPr>
              <w:t>elektronini</w:t>
            </w:r>
            <w:r w:rsidR="00CE3028">
              <w:rPr>
                <w:rFonts w:eastAsia="Calibri"/>
                <w:sz w:val="24"/>
                <w:szCs w:val="24"/>
              </w:rPr>
              <w:t>ame laiške</w:t>
            </w:r>
            <w:r w:rsidR="00E75534">
              <w:rPr>
                <w:rFonts w:eastAsia="Calibri"/>
                <w:sz w:val="24"/>
                <w:szCs w:val="24"/>
              </w:rPr>
              <w:t xml:space="preserve"> (aukščiau nurodyta)</w:t>
            </w:r>
            <w:r w:rsidR="00CE3028">
              <w:rPr>
                <w:rFonts w:eastAsia="Calibri"/>
                <w:sz w:val="24"/>
                <w:szCs w:val="24"/>
              </w:rPr>
              <w:t xml:space="preserve">, nepateikdama jokios papildomos argumentacijos. </w:t>
            </w:r>
          </w:p>
          <w:p w14:paraId="2644E23C" w14:textId="138FA246" w:rsidR="00AC61FB" w:rsidRDefault="00AC61FB" w:rsidP="00AC61FB">
            <w:pPr>
              <w:tabs>
                <w:tab w:val="left" w:pos="426"/>
                <w:tab w:val="left" w:pos="567"/>
                <w:tab w:val="left" w:pos="993"/>
                <w:tab w:val="left" w:pos="1276"/>
              </w:tabs>
              <w:ind w:firstLine="426"/>
              <w:contextualSpacing/>
              <w:jc w:val="both"/>
              <w:rPr>
                <w:rFonts w:eastAsia="Calibri"/>
                <w:sz w:val="24"/>
                <w:szCs w:val="24"/>
              </w:rPr>
            </w:pPr>
            <w:r>
              <w:rPr>
                <w:rFonts w:eastAsia="Calibri"/>
                <w:sz w:val="24"/>
                <w:szCs w:val="24"/>
              </w:rPr>
              <w:t>Pa</w:t>
            </w:r>
            <w:r w:rsidR="00685B6D">
              <w:rPr>
                <w:rFonts w:eastAsia="Calibri"/>
                <w:sz w:val="24"/>
                <w:szCs w:val="24"/>
              </w:rPr>
              <w:t>žymėtina</w:t>
            </w:r>
            <w:r w:rsidRPr="00BA75E4">
              <w:rPr>
                <w:rFonts w:eastAsia="Calibri"/>
                <w:sz w:val="24"/>
                <w:szCs w:val="24"/>
              </w:rPr>
              <w:t>, kad konkurenciją riboja pernelyg aukšti arba specifiniai, neadekvatūs pirkimo pobūdžiui ar neproporcingi jo sąlygoms reikalavimai, kurie atima galimybę</w:t>
            </w:r>
            <w:r>
              <w:rPr>
                <w:rFonts w:eastAsia="Calibri"/>
                <w:sz w:val="24"/>
                <w:szCs w:val="24"/>
              </w:rPr>
              <w:t xml:space="preserve"> </w:t>
            </w:r>
            <w:r w:rsidRPr="00BA75E4">
              <w:rPr>
                <w:rFonts w:eastAsia="Calibri"/>
                <w:sz w:val="24"/>
                <w:szCs w:val="24"/>
              </w:rPr>
              <w:t>pirkimo procedūrose dalyvauti sutartį gebantiems įvykdyti kandidatams</w:t>
            </w:r>
            <w:r>
              <w:rPr>
                <w:rFonts w:eastAsia="Calibri"/>
                <w:sz w:val="24"/>
                <w:szCs w:val="24"/>
              </w:rPr>
              <w:t xml:space="preserve"> </w:t>
            </w:r>
            <w:r w:rsidRPr="00BA75E4">
              <w:rPr>
                <w:rFonts w:eastAsia="Calibri"/>
                <w:sz w:val="24"/>
                <w:szCs w:val="24"/>
              </w:rPr>
              <w:t xml:space="preserve">ar dalyviams. Perkančiosios organizacijos nustatyti aukšti arba pernelyg specifiniai reikalavimai pateisinami tik tada, jeigu pateikiamas </w:t>
            </w:r>
            <w:r w:rsidRPr="00BA75E4">
              <w:rPr>
                <w:rFonts w:eastAsia="Calibri"/>
                <w:i/>
                <w:iCs/>
                <w:sz w:val="24"/>
                <w:szCs w:val="24"/>
              </w:rPr>
              <w:t>patikimas ir</w:t>
            </w:r>
            <w:r w:rsidRPr="00BA75E4">
              <w:rPr>
                <w:rFonts w:eastAsia="Calibri"/>
                <w:sz w:val="24"/>
                <w:szCs w:val="24"/>
              </w:rPr>
              <w:t xml:space="preserve"> </w:t>
            </w:r>
            <w:r w:rsidRPr="00BA75E4">
              <w:rPr>
                <w:rFonts w:eastAsia="Calibri"/>
                <w:i/>
                <w:iCs/>
                <w:sz w:val="24"/>
                <w:szCs w:val="24"/>
              </w:rPr>
              <w:t>įtikinamas tokių reikalavimų nustatymo pagrindimas</w:t>
            </w:r>
            <w:r>
              <w:rPr>
                <w:rStyle w:val="FootnoteReference"/>
                <w:rFonts w:eastAsia="Calibri"/>
                <w:i/>
                <w:iCs/>
                <w:sz w:val="24"/>
                <w:szCs w:val="24"/>
              </w:rPr>
              <w:footnoteReference w:id="6"/>
            </w:r>
            <w:r w:rsidRPr="00BA75E4">
              <w:rPr>
                <w:rFonts w:eastAsia="Calibri"/>
                <w:sz w:val="24"/>
                <w:szCs w:val="24"/>
              </w:rPr>
              <w:t xml:space="preserve">. Pagrindžiant aukštų arba specifinių kvalifikacijos reikalavimų nustatymo tikslingumą, ypač tais atvejais, kai dėl tokių reikalavimų nustatymo kyla ginčų arba abejonių, perkančioji organizacija privalo </w:t>
            </w:r>
            <w:r w:rsidRPr="00BA75E4">
              <w:rPr>
                <w:rFonts w:eastAsia="Calibri"/>
                <w:i/>
                <w:iCs/>
                <w:sz w:val="24"/>
                <w:szCs w:val="24"/>
              </w:rPr>
              <w:t>patikimai ir įtikinamai įrodyti</w:t>
            </w:r>
            <w:r w:rsidRPr="00BA75E4">
              <w:rPr>
                <w:rFonts w:eastAsia="Calibri"/>
                <w:sz w:val="24"/>
                <w:szCs w:val="24"/>
              </w:rPr>
              <w:t xml:space="preserve"> jos nustatyto kvalifikacijos reikalavimo ir kandidato ar dalyvio gebėjimo įvykdyti sutartį priežastinį ryšį. Tokiu įrodymu gali būti ypatinga perkamo objekto svarba ar sutarties, kuria siekiama įsigyti šį objektą, specifinė paskirtis, arba tai, kad aukštą kvalifikacinį reikalavimą pateisina viešojo intereso apsauga</w:t>
            </w:r>
            <w:r>
              <w:rPr>
                <w:rStyle w:val="FootnoteReference"/>
                <w:rFonts w:eastAsia="Calibri"/>
                <w:sz w:val="24"/>
                <w:szCs w:val="24"/>
              </w:rPr>
              <w:footnoteReference w:id="7"/>
            </w:r>
            <w:r>
              <w:rPr>
                <w:rFonts w:eastAsia="Calibri"/>
                <w:sz w:val="24"/>
                <w:szCs w:val="24"/>
              </w:rPr>
              <w:t>.</w:t>
            </w:r>
          </w:p>
          <w:p w14:paraId="3BA7E965" w14:textId="16F89213" w:rsidR="00AC61FB" w:rsidRPr="001E6AE7" w:rsidRDefault="00AC61FB" w:rsidP="00685B6D">
            <w:pPr>
              <w:tabs>
                <w:tab w:val="left" w:pos="426"/>
                <w:tab w:val="left" w:pos="567"/>
                <w:tab w:val="left" w:pos="993"/>
                <w:tab w:val="left" w:pos="1276"/>
              </w:tabs>
              <w:ind w:firstLine="426"/>
              <w:contextualSpacing/>
              <w:jc w:val="both"/>
              <w:rPr>
                <w:iCs/>
                <w:sz w:val="24"/>
                <w:szCs w:val="24"/>
                <w:lang w:eastAsia="lt-LT"/>
              </w:rPr>
            </w:pPr>
            <w:r>
              <w:rPr>
                <w:rFonts w:eastAsia="Calibri"/>
                <w:sz w:val="24"/>
                <w:szCs w:val="24"/>
              </w:rPr>
              <w:t xml:space="preserve">Įvertinus tai, kas nurodyta, daroma išvada, </w:t>
            </w:r>
            <w:r w:rsidRPr="00652277">
              <w:rPr>
                <w:sz w:val="24"/>
                <w:szCs w:val="24"/>
                <w:lang w:eastAsia="lt-LT"/>
              </w:rPr>
              <w:t xml:space="preserve">kad </w:t>
            </w:r>
            <w:r w:rsidRPr="00652277">
              <w:rPr>
                <w:iCs/>
                <w:sz w:val="24"/>
                <w:szCs w:val="24"/>
                <w:lang w:eastAsia="lt-LT"/>
              </w:rPr>
              <w:t xml:space="preserve">galimybė nustatyti tam tikrus (specifinius) </w:t>
            </w:r>
            <w:r>
              <w:rPr>
                <w:iCs/>
                <w:sz w:val="24"/>
                <w:szCs w:val="24"/>
                <w:lang w:eastAsia="lt-LT"/>
              </w:rPr>
              <w:t xml:space="preserve">kvalifikacijos </w:t>
            </w:r>
            <w:r w:rsidRPr="00652277">
              <w:rPr>
                <w:iCs/>
                <w:sz w:val="24"/>
                <w:szCs w:val="24"/>
                <w:lang w:eastAsia="lt-LT"/>
              </w:rPr>
              <w:t>reikalavimus</w:t>
            </w:r>
            <w:r>
              <w:rPr>
                <w:iCs/>
                <w:sz w:val="24"/>
                <w:szCs w:val="24"/>
                <w:lang w:eastAsia="lt-LT"/>
              </w:rPr>
              <w:t>,</w:t>
            </w:r>
            <w:r w:rsidRPr="00652277">
              <w:rPr>
                <w:iCs/>
                <w:sz w:val="24"/>
                <w:szCs w:val="24"/>
                <w:lang w:eastAsia="lt-LT"/>
              </w:rPr>
              <w:t xml:space="preserve"> kaip išimtis iš bendrosios taisyklės, turi būti aiškinama ir taikoma siaurai, suteikiama išimtiniais atvejais bei tinkamai ją pagrindus.</w:t>
            </w:r>
            <w:r>
              <w:rPr>
                <w:iCs/>
                <w:sz w:val="24"/>
                <w:szCs w:val="24"/>
                <w:lang w:eastAsia="lt-LT"/>
              </w:rPr>
              <w:t xml:space="preserve"> Šiuo atveju, Perkančiosios organizacijos pateikti paaiškinimai ir argumentai nepatvirtina būtinybės nustatyti aukščiau įvardintus kvalifikacijos reikalavimus, nes iš esmės, </w:t>
            </w:r>
            <w:r w:rsidR="00685B6D" w:rsidRPr="00685B6D">
              <w:rPr>
                <w:iCs/>
                <w:sz w:val="24"/>
                <w:szCs w:val="24"/>
                <w:lang w:eastAsia="lt-LT"/>
              </w:rPr>
              <w:t>nustatyt</w:t>
            </w:r>
            <w:r w:rsidR="00E4236F">
              <w:rPr>
                <w:iCs/>
                <w:sz w:val="24"/>
                <w:szCs w:val="24"/>
                <w:lang w:eastAsia="lt-LT"/>
              </w:rPr>
              <w:t>i</w:t>
            </w:r>
            <w:r w:rsidR="00685B6D" w:rsidRPr="00685B6D">
              <w:rPr>
                <w:iCs/>
                <w:sz w:val="24"/>
                <w:szCs w:val="24"/>
                <w:lang w:eastAsia="lt-LT"/>
              </w:rPr>
              <w:t xml:space="preserve"> reikalavim</w:t>
            </w:r>
            <w:r w:rsidR="00E4236F">
              <w:rPr>
                <w:iCs/>
                <w:sz w:val="24"/>
                <w:szCs w:val="24"/>
                <w:lang w:eastAsia="lt-LT"/>
              </w:rPr>
              <w:t>ai</w:t>
            </w:r>
            <w:r w:rsidR="00685B6D" w:rsidRPr="00685B6D">
              <w:rPr>
                <w:iCs/>
                <w:sz w:val="24"/>
                <w:szCs w:val="24"/>
                <w:lang w:eastAsia="lt-LT"/>
              </w:rPr>
              <w:t xml:space="preserve"> grind</w:t>
            </w:r>
            <w:r w:rsidR="00E4236F">
              <w:rPr>
                <w:iCs/>
                <w:sz w:val="24"/>
                <w:szCs w:val="24"/>
                <w:lang w:eastAsia="lt-LT"/>
              </w:rPr>
              <w:t>žiami</w:t>
            </w:r>
            <w:r w:rsidR="00685B6D" w:rsidRPr="00685B6D">
              <w:rPr>
                <w:iCs/>
                <w:sz w:val="24"/>
                <w:szCs w:val="24"/>
                <w:lang w:eastAsia="lt-LT"/>
              </w:rPr>
              <w:t xml:space="preserve"> nenurod</w:t>
            </w:r>
            <w:r w:rsidR="00E4236F">
              <w:rPr>
                <w:iCs/>
                <w:sz w:val="24"/>
                <w:szCs w:val="24"/>
                <w:lang w:eastAsia="lt-LT"/>
              </w:rPr>
              <w:t>ant</w:t>
            </w:r>
            <w:r w:rsidR="00685B6D" w:rsidRPr="00685B6D">
              <w:rPr>
                <w:iCs/>
                <w:sz w:val="24"/>
                <w:szCs w:val="24"/>
                <w:lang w:eastAsia="lt-LT"/>
              </w:rPr>
              <w:t xml:space="preserve"> objektyvų būtinumą turėti reikalaujamą patirtį, o apsiribo</w:t>
            </w:r>
            <w:r w:rsidR="00E4236F">
              <w:rPr>
                <w:iCs/>
                <w:sz w:val="24"/>
                <w:szCs w:val="24"/>
                <w:lang w:eastAsia="lt-LT"/>
              </w:rPr>
              <w:t>jant</w:t>
            </w:r>
            <w:r w:rsidR="00685B6D" w:rsidRPr="00685B6D">
              <w:rPr>
                <w:iCs/>
                <w:sz w:val="24"/>
                <w:szCs w:val="24"/>
                <w:lang w:eastAsia="lt-LT"/>
              </w:rPr>
              <w:t xml:space="preserve"> teisės aktų</w:t>
            </w:r>
            <w:r w:rsidR="00E4236F">
              <w:rPr>
                <w:iCs/>
                <w:sz w:val="24"/>
                <w:szCs w:val="24"/>
                <w:lang w:eastAsia="lt-LT"/>
              </w:rPr>
              <w:t xml:space="preserve">, kurie turi būti </w:t>
            </w:r>
            <w:r w:rsidR="00E4236F" w:rsidRPr="00685B6D">
              <w:rPr>
                <w:iCs/>
                <w:sz w:val="24"/>
                <w:szCs w:val="24"/>
                <w:lang w:eastAsia="lt-LT"/>
              </w:rPr>
              <w:t xml:space="preserve">taikomi </w:t>
            </w:r>
            <w:r w:rsidR="00E4236F" w:rsidRPr="00685B6D">
              <w:rPr>
                <w:iCs/>
                <w:sz w:val="24"/>
                <w:szCs w:val="24"/>
                <w:lang w:eastAsia="lt-LT"/>
              </w:rPr>
              <w:lastRenderedPageBreak/>
              <w:t>kuriant valstybės informacines sistemas</w:t>
            </w:r>
            <w:r w:rsidR="00E4236F">
              <w:rPr>
                <w:iCs/>
                <w:sz w:val="24"/>
                <w:szCs w:val="24"/>
                <w:lang w:eastAsia="lt-LT"/>
              </w:rPr>
              <w:t>,</w:t>
            </w:r>
            <w:r w:rsidR="00E4236F" w:rsidRPr="00685B6D">
              <w:rPr>
                <w:iCs/>
                <w:sz w:val="24"/>
                <w:szCs w:val="24"/>
                <w:lang w:eastAsia="lt-LT"/>
              </w:rPr>
              <w:t xml:space="preserve"> </w:t>
            </w:r>
            <w:r w:rsidR="00685B6D" w:rsidRPr="00685B6D">
              <w:rPr>
                <w:iCs/>
                <w:sz w:val="24"/>
                <w:szCs w:val="24"/>
                <w:lang w:eastAsia="lt-LT"/>
              </w:rPr>
              <w:t>išvadinim</w:t>
            </w:r>
            <w:r w:rsidR="00685B6D">
              <w:rPr>
                <w:iCs/>
                <w:sz w:val="24"/>
                <w:szCs w:val="24"/>
                <w:lang w:eastAsia="lt-LT"/>
              </w:rPr>
              <w:t xml:space="preserve">u, </w:t>
            </w:r>
            <w:r w:rsidR="00FD700A">
              <w:rPr>
                <w:iCs/>
                <w:sz w:val="24"/>
                <w:szCs w:val="24"/>
                <w:lang w:eastAsia="lt-LT"/>
              </w:rPr>
              <w:t xml:space="preserve">todėl jie </w:t>
            </w:r>
            <w:r w:rsidR="006C4B2C">
              <w:rPr>
                <w:iCs/>
                <w:sz w:val="24"/>
                <w:szCs w:val="24"/>
                <w:lang w:eastAsia="lt-LT"/>
              </w:rPr>
              <w:t xml:space="preserve">negali </w:t>
            </w:r>
            <w:r w:rsidR="006C4B2C" w:rsidRPr="00652277">
              <w:rPr>
                <w:iCs/>
                <w:sz w:val="24"/>
                <w:szCs w:val="24"/>
                <w:lang w:eastAsia="lt-LT"/>
              </w:rPr>
              <w:t>būti vertinami kaip pateisinantys tiekėjų sąžiningo varžymosi ribojimą</w:t>
            </w:r>
            <w:r w:rsidR="00FD700A">
              <w:rPr>
                <w:iCs/>
                <w:sz w:val="24"/>
                <w:szCs w:val="24"/>
                <w:lang w:eastAsia="lt-LT"/>
              </w:rPr>
              <w:t>.</w:t>
            </w:r>
            <w:r w:rsidR="006C4B2C">
              <w:rPr>
                <w:iCs/>
                <w:sz w:val="24"/>
                <w:szCs w:val="24"/>
                <w:lang w:eastAsia="lt-LT"/>
              </w:rPr>
              <w:t xml:space="preserve"> </w:t>
            </w:r>
            <w:r>
              <w:rPr>
                <w:iCs/>
                <w:sz w:val="24"/>
                <w:szCs w:val="24"/>
                <w:lang w:eastAsia="lt-LT"/>
              </w:rPr>
              <w:t xml:space="preserve">Be to, Perkančiosios </w:t>
            </w:r>
            <w:r w:rsidRPr="00F76A2C">
              <w:rPr>
                <w:iCs/>
                <w:sz w:val="24"/>
                <w:szCs w:val="24"/>
                <w:lang w:eastAsia="lt-LT"/>
              </w:rPr>
              <w:t xml:space="preserve">organizacijos pateiktame paaiškinime nurodyta informacija, kad </w:t>
            </w:r>
            <w:r w:rsidRPr="00F76A2C">
              <w:rPr>
                <w:i/>
                <w:iCs/>
                <w:sz w:val="24"/>
                <w:szCs w:val="24"/>
                <w:lang w:eastAsia="lt-LT"/>
              </w:rPr>
              <w:t>„&lt;...&gt; tam tikrų veiklos procesų kompiuterizavimas kuriant informacines sistemas viešajam ir privačiam sektoriui nesiskiria“</w:t>
            </w:r>
            <w:r w:rsidRPr="00F76A2C">
              <w:rPr>
                <w:iCs/>
                <w:sz w:val="24"/>
                <w:szCs w:val="24"/>
                <w:lang w:eastAsia="lt-LT"/>
              </w:rPr>
              <w:t xml:space="preserve">, vertintina kaip netiesioginis pripažinimas, kad </w:t>
            </w:r>
            <w:r w:rsidR="00DE42FC" w:rsidRPr="00F76A2C">
              <w:rPr>
                <w:bCs/>
                <w:iCs/>
                <w:sz w:val="24"/>
                <w:szCs w:val="24"/>
                <w:lang w:eastAsia="lt-LT"/>
              </w:rPr>
              <w:t xml:space="preserve">informacinės sistemos kūrimas ir diegimas viešajam sektoriui </w:t>
            </w:r>
            <w:r w:rsidR="00CA4DE7" w:rsidRPr="00F76A2C">
              <w:rPr>
                <w:bCs/>
                <w:iCs/>
                <w:sz w:val="24"/>
                <w:szCs w:val="24"/>
                <w:lang w:eastAsia="lt-LT"/>
              </w:rPr>
              <w:t xml:space="preserve">nesiskiria </w:t>
            </w:r>
            <w:r w:rsidR="00DE42FC" w:rsidRPr="00F76A2C">
              <w:rPr>
                <w:bCs/>
                <w:iCs/>
                <w:sz w:val="24"/>
                <w:szCs w:val="24"/>
                <w:lang w:eastAsia="lt-LT"/>
              </w:rPr>
              <w:t>nuo kūrimo ir diegimo ne viešajam sektoriui</w:t>
            </w:r>
            <w:r w:rsidR="00CA4DE7" w:rsidRPr="00F76A2C">
              <w:rPr>
                <w:bCs/>
                <w:iCs/>
                <w:sz w:val="24"/>
                <w:szCs w:val="24"/>
                <w:lang w:eastAsia="lt-LT"/>
              </w:rPr>
              <w:t>, atitinkamai reikala</w:t>
            </w:r>
            <w:r w:rsidR="00FD700A">
              <w:rPr>
                <w:bCs/>
                <w:iCs/>
                <w:sz w:val="24"/>
                <w:szCs w:val="24"/>
                <w:lang w:eastAsia="lt-LT"/>
              </w:rPr>
              <w:t>vimas</w:t>
            </w:r>
            <w:r w:rsidR="00CA4DE7" w:rsidRPr="00F76A2C">
              <w:rPr>
                <w:bCs/>
                <w:iCs/>
                <w:sz w:val="24"/>
                <w:szCs w:val="24"/>
                <w:lang w:eastAsia="lt-LT"/>
              </w:rPr>
              <w:t>, kad tiekėjo ir jo</w:t>
            </w:r>
            <w:r w:rsidR="00CA4DE7">
              <w:rPr>
                <w:bCs/>
                <w:iCs/>
                <w:sz w:val="24"/>
                <w:szCs w:val="24"/>
                <w:lang w:eastAsia="lt-LT"/>
              </w:rPr>
              <w:t xml:space="preserve"> turimų specialistų</w:t>
            </w:r>
            <w:r>
              <w:rPr>
                <w:iCs/>
                <w:sz w:val="24"/>
                <w:szCs w:val="24"/>
                <w:lang w:eastAsia="lt-LT"/>
              </w:rPr>
              <w:t xml:space="preserve"> </w:t>
            </w:r>
            <w:r w:rsidR="00CA4DE7" w:rsidRPr="00CA4DE7">
              <w:rPr>
                <w:iCs/>
                <w:sz w:val="24"/>
                <w:szCs w:val="24"/>
                <w:lang w:eastAsia="lt-LT"/>
              </w:rPr>
              <w:t>patirti</w:t>
            </w:r>
            <w:r w:rsidR="00CA4DE7">
              <w:rPr>
                <w:iCs/>
                <w:sz w:val="24"/>
                <w:szCs w:val="24"/>
                <w:lang w:eastAsia="lt-LT"/>
              </w:rPr>
              <w:t xml:space="preserve">s būtų įgyta išimtinai tik </w:t>
            </w:r>
            <w:r w:rsidR="00CA4DE7" w:rsidRPr="00CA4DE7">
              <w:rPr>
                <w:iCs/>
                <w:sz w:val="24"/>
                <w:szCs w:val="24"/>
                <w:lang w:eastAsia="lt-LT"/>
              </w:rPr>
              <w:t>kuriant, diegiant ir vertinant valstybės informacinę sistemą</w:t>
            </w:r>
            <w:r w:rsidR="00CA4DE7">
              <w:rPr>
                <w:iCs/>
                <w:sz w:val="24"/>
                <w:szCs w:val="24"/>
                <w:lang w:eastAsia="lt-LT"/>
              </w:rPr>
              <w:t xml:space="preserve"> yra nepagrįstas.</w:t>
            </w:r>
          </w:p>
          <w:p w14:paraId="616B90B4" w14:textId="7472961D" w:rsidR="00AC61FB" w:rsidRDefault="00AC61FB" w:rsidP="00CB2D3D">
            <w:pPr>
              <w:tabs>
                <w:tab w:val="left" w:pos="0"/>
                <w:tab w:val="left" w:pos="993"/>
                <w:tab w:val="left" w:pos="1276"/>
              </w:tabs>
              <w:ind w:firstLine="452"/>
              <w:contextualSpacing/>
              <w:jc w:val="both"/>
              <w:rPr>
                <w:rFonts w:eastAsia="Calibri"/>
                <w:sz w:val="24"/>
                <w:szCs w:val="24"/>
              </w:rPr>
            </w:pPr>
            <w:r>
              <w:rPr>
                <w:iCs/>
                <w:sz w:val="24"/>
                <w:szCs w:val="24"/>
                <w:lang w:eastAsia="lt-LT"/>
              </w:rPr>
              <w:t>Apibendrinant tai, kas išdėstyta, konstatuojama, kad Pirkimo sąlygų 4.1.2 ir 4.1.4 punktuose nustatyti reikalavimai pažeidžia Įstatymo 4</w:t>
            </w:r>
            <w:r w:rsidR="008F4339">
              <w:rPr>
                <w:iCs/>
                <w:sz w:val="24"/>
                <w:szCs w:val="24"/>
                <w:lang w:eastAsia="lt-LT"/>
              </w:rPr>
              <w:t>7</w:t>
            </w:r>
            <w:r>
              <w:rPr>
                <w:iCs/>
                <w:sz w:val="24"/>
                <w:szCs w:val="24"/>
                <w:lang w:eastAsia="lt-LT"/>
              </w:rPr>
              <w:t xml:space="preserve"> straipsnio 1 dalį ir 51 straipsnio 7 dalies 2 punktą. </w:t>
            </w:r>
          </w:p>
        </w:tc>
      </w:tr>
      <w:tr w:rsidR="00AC61FB" w:rsidRPr="007939D1" w14:paraId="3C66B4D6" w14:textId="77777777" w:rsidTr="00064613">
        <w:tc>
          <w:tcPr>
            <w:tcW w:w="392" w:type="dxa"/>
            <w:shd w:val="clear" w:color="auto" w:fill="auto"/>
            <w:vAlign w:val="center"/>
          </w:tcPr>
          <w:p w14:paraId="43D97C45" w14:textId="7DD35425" w:rsidR="00AC61FB" w:rsidRPr="007939D1" w:rsidRDefault="00CB2D3D" w:rsidP="00AC61FB">
            <w:pPr>
              <w:numPr>
                <w:ilvl w:val="0"/>
                <w:numId w:val="12"/>
              </w:numPr>
              <w:ind w:left="0"/>
              <w:contextualSpacing/>
              <w:rPr>
                <w:rFonts w:eastAsia="Calibri"/>
                <w:sz w:val="24"/>
                <w:szCs w:val="24"/>
              </w:rPr>
            </w:pPr>
            <w:r>
              <w:rPr>
                <w:rFonts w:eastAsia="Calibri"/>
                <w:sz w:val="24"/>
                <w:szCs w:val="24"/>
              </w:rPr>
              <w:lastRenderedPageBreak/>
              <w:t>2.</w:t>
            </w:r>
          </w:p>
        </w:tc>
        <w:tc>
          <w:tcPr>
            <w:tcW w:w="9214" w:type="dxa"/>
            <w:shd w:val="clear" w:color="auto" w:fill="auto"/>
          </w:tcPr>
          <w:p w14:paraId="098131F8" w14:textId="5907DB3A" w:rsidR="00AC61FB" w:rsidRDefault="007253CC" w:rsidP="00AC61FB">
            <w:pPr>
              <w:tabs>
                <w:tab w:val="left" w:pos="0"/>
                <w:tab w:val="left" w:pos="993"/>
                <w:tab w:val="left" w:pos="1276"/>
              </w:tabs>
              <w:contextualSpacing/>
              <w:jc w:val="both"/>
              <w:rPr>
                <w:rFonts w:eastAsia="Calibri"/>
                <w:sz w:val="24"/>
                <w:szCs w:val="24"/>
              </w:rPr>
            </w:pPr>
            <w:r w:rsidRPr="007253CC">
              <w:rPr>
                <w:rFonts w:eastAsia="Calibri"/>
                <w:sz w:val="24"/>
                <w:szCs w:val="24"/>
              </w:rPr>
              <w:t>Įstatymo 47 straipsnio 1</w:t>
            </w:r>
            <w:r w:rsidRPr="007253CC">
              <w:rPr>
                <w:rFonts w:eastAsia="Calibri"/>
                <w:sz w:val="24"/>
                <w:szCs w:val="24"/>
                <w:vertAlign w:val="superscript"/>
              </w:rPr>
              <w:footnoteReference w:id="8"/>
            </w:r>
            <w:r w:rsidRPr="007253CC">
              <w:rPr>
                <w:rFonts w:eastAsia="Calibri"/>
                <w:sz w:val="24"/>
                <w:szCs w:val="24"/>
              </w:rPr>
              <w:t xml:space="preserve"> </w:t>
            </w:r>
            <w:r w:rsidR="00714B26">
              <w:rPr>
                <w:rFonts w:eastAsia="Calibri"/>
                <w:sz w:val="24"/>
                <w:szCs w:val="24"/>
              </w:rPr>
              <w:t>ir 7</w:t>
            </w:r>
            <w:r w:rsidR="00714B26">
              <w:rPr>
                <w:rStyle w:val="FootnoteReference"/>
                <w:rFonts w:eastAsia="Calibri"/>
                <w:sz w:val="24"/>
                <w:szCs w:val="24"/>
              </w:rPr>
              <w:footnoteReference w:id="9"/>
            </w:r>
            <w:r w:rsidR="00714B26">
              <w:rPr>
                <w:rFonts w:eastAsia="Calibri"/>
                <w:sz w:val="24"/>
                <w:szCs w:val="24"/>
              </w:rPr>
              <w:t xml:space="preserve"> </w:t>
            </w:r>
            <w:r w:rsidRPr="007253CC">
              <w:rPr>
                <w:rFonts w:eastAsia="Calibri"/>
                <w:sz w:val="24"/>
                <w:szCs w:val="24"/>
              </w:rPr>
              <w:t>dal</w:t>
            </w:r>
            <w:r w:rsidR="00714B26">
              <w:rPr>
                <w:rFonts w:eastAsia="Calibri"/>
                <w:sz w:val="24"/>
                <w:szCs w:val="24"/>
              </w:rPr>
              <w:t>y</w:t>
            </w:r>
            <w:r w:rsidRPr="007253CC">
              <w:rPr>
                <w:rFonts w:eastAsia="Calibri"/>
                <w:sz w:val="24"/>
                <w:szCs w:val="24"/>
              </w:rPr>
              <w:t>s</w:t>
            </w:r>
            <w:r>
              <w:rPr>
                <w:rFonts w:eastAsia="Calibri"/>
                <w:sz w:val="24"/>
                <w:szCs w:val="24"/>
              </w:rPr>
              <w:t>,</w:t>
            </w:r>
            <w:r w:rsidRPr="007253CC">
              <w:rPr>
                <w:rFonts w:eastAsia="Calibri"/>
                <w:sz w:val="24"/>
                <w:szCs w:val="24"/>
              </w:rPr>
              <w:t xml:space="preserve"> </w:t>
            </w:r>
            <w:r w:rsidR="00E437E2" w:rsidRPr="00E437E2">
              <w:rPr>
                <w:rFonts w:eastAsia="Calibri"/>
                <w:sz w:val="24"/>
                <w:szCs w:val="24"/>
              </w:rPr>
              <w:t>Tiekėjo kvalifikacijos reikalavimų nustatymo metodik</w:t>
            </w:r>
            <w:r w:rsidR="00E437E2">
              <w:rPr>
                <w:rFonts w:eastAsia="Calibri"/>
                <w:sz w:val="24"/>
                <w:szCs w:val="24"/>
              </w:rPr>
              <w:t>os</w:t>
            </w:r>
            <w:r w:rsidR="00E437E2">
              <w:rPr>
                <w:rStyle w:val="FootnoteReference"/>
                <w:rFonts w:eastAsia="Calibri"/>
                <w:sz w:val="24"/>
                <w:szCs w:val="24"/>
              </w:rPr>
              <w:footnoteReference w:id="10"/>
            </w:r>
            <w:r w:rsidR="00E437E2">
              <w:rPr>
                <w:rFonts w:eastAsia="Calibri"/>
                <w:sz w:val="24"/>
                <w:szCs w:val="24"/>
              </w:rPr>
              <w:t xml:space="preserve"> </w:t>
            </w:r>
            <w:r w:rsidR="008E5917">
              <w:rPr>
                <w:rFonts w:eastAsia="Calibri"/>
                <w:sz w:val="24"/>
                <w:szCs w:val="24"/>
              </w:rPr>
              <w:t xml:space="preserve">(toliau – Metodika) </w:t>
            </w:r>
            <w:r w:rsidR="00E437E2">
              <w:rPr>
                <w:rFonts w:eastAsia="Calibri"/>
                <w:sz w:val="24"/>
                <w:szCs w:val="24"/>
              </w:rPr>
              <w:t>2</w:t>
            </w:r>
            <w:r>
              <w:rPr>
                <w:rFonts w:eastAsia="Calibri"/>
                <w:sz w:val="24"/>
                <w:szCs w:val="24"/>
              </w:rPr>
              <w:t>1.6 punktas</w:t>
            </w:r>
          </w:p>
        </w:tc>
      </w:tr>
      <w:tr w:rsidR="00AC61FB" w:rsidRPr="007939D1" w14:paraId="34299839" w14:textId="77777777" w:rsidTr="00064613">
        <w:tc>
          <w:tcPr>
            <w:tcW w:w="9606" w:type="dxa"/>
            <w:gridSpan w:val="2"/>
            <w:shd w:val="clear" w:color="auto" w:fill="auto"/>
            <w:vAlign w:val="center"/>
          </w:tcPr>
          <w:p w14:paraId="5EBEC1A7" w14:textId="3F670452" w:rsidR="00AC61FB" w:rsidRDefault="00AC61FB" w:rsidP="008E5917">
            <w:pPr>
              <w:tabs>
                <w:tab w:val="left" w:pos="426"/>
                <w:tab w:val="left" w:pos="567"/>
                <w:tab w:val="left" w:pos="993"/>
                <w:tab w:val="left" w:pos="1276"/>
              </w:tabs>
              <w:ind w:firstLine="426"/>
              <w:contextualSpacing/>
              <w:jc w:val="both"/>
              <w:rPr>
                <w:rFonts w:eastAsia="Calibri"/>
                <w:sz w:val="24"/>
                <w:szCs w:val="24"/>
              </w:rPr>
            </w:pPr>
            <w:r w:rsidRPr="00B20827">
              <w:rPr>
                <w:rFonts w:eastAsia="Calibri"/>
                <w:sz w:val="24"/>
                <w:szCs w:val="24"/>
              </w:rPr>
              <w:t xml:space="preserve">Pirkimo sąlygų 4.1 punkto lentelės Nr. 2 </w:t>
            </w:r>
            <w:r>
              <w:rPr>
                <w:rFonts w:eastAsia="Calibri"/>
                <w:sz w:val="24"/>
                <w:szCs w:val="24"/>
              </w:rPr>
              <w:t>4.1.4.3</w:t>
            </w:r>
            <w:r w:rsidR="00E437E2">
              <w:rPr>
                <w:rStyle w:val="FootnoteReference"/>
                <w:rFonts w:eastAsia="Calibri"/>
                <w:sz w:val="24"/>
                <w:szCs w:val="24"/>
              </w:rPr>
              <w:footnoteReference w:id="11"/>
            </w:r>
            <w:r>
              <w:rPr>
                <w:rFonts w:eastAsia="Calibri"/>
                <w:sz w:val="24"/>
                <w:szCs w:val="24"/>
              </w:rPr>
              <w:t xml:space="preserve"> punkte nustatyta</w:t>
            </w:r>
            <w:r w:rsidR="00E437E2">
              <w:rPr>
                <w:rFonts w:eastAsia="Calibri"/>
                <w:sz w:val="24"/>
                <w:szCs w:val="24"/>
              </w:rPr>
              <w:t>me</w:t>
            </w:r>
            <w:r>
              <w:rPr>
                <w:rFonts w:eastAsia="Calibri"/>
                <w:sz w:val="24"/>
                <w:szCs w:val="24"/>
              </w:rPr>
              <w:t xml:space="preserve"> kvalifikacijos reikalavime nurodyta sąlyga turėti </w:t>
            </w:r>
            <w:r w:rsidR="00E437E2" w:rsidRPr="00E437E2">
              <w:rPr>
                <w:rFonts w:eastAsia="Calibri"/>
                <w:i/>
                <w:sz w:val="24"/>
                <w:szCs w:val="24"/>
              </w:rPr>
              <w:t>„</w:t>
            </w:r>
            <w:r w:rsidRPr="00E437E2">
              <w:rPr>
                <w:rFonts w:eastAsia="Calibri"/>
                <w:i/>
                <w:sz w:val="24"/>
                <w:szCs w:val="24"/>
              </w:rPr>
              <w:t>bent du</w:t>
            </w:r>
            <w:r w:rsidR="00E437E2" w:rsidRPr="00E437E2">
              <w:rPr>
                <w:rFonts w:eastAsia="Calibri"/>
                <w:i/>
                <w:sz w:val="24"/>
                <w:szCs w:val="24"/>
              </w:rPr>
              <w:t>“</w:t>
            </w:r>
            <w:r>
              <w:rPr>
                <w:rFonts w:eastAsia="Calibri"/>
                <w:sz w:val="24"/>
                <w:szCs w:val="24"/>
              </w:rPr>
              <w:t xml:space="preserve"> programuotojus </w:t>
            </w:r>
            <w:r w:rsidR="00E437E2">
              <w:rPr>
                <w:rFonts w:eastAsia="Calibri"/>
                <w:sz w:val="24"/>
                <w:szCs w:val="24"/>
              </w:rPr>
              <w:t>yra nepagrįsta, perteklinė ir ribojanti konkurencij</w:t>
            </w:r>
            <w:r w:rsidR="00C61FA2">
              <w:rPr>
                <w:rFonts w:eastAsia="Calibri"/>
                <w:sz w:val="24"/>
                <w:szCs w:val="24"/>
              </w:rPr>
              <w:t>a</w:t>
            </w:r>
            <w:r w:rsidR="008E5917">
              <w:rPr>
                <w:rFonts w:eastAsia="Calibri"/>
                <w:sz w:val="24"/>
                <w:szCs w:val="24"/>
              </w:rPr>
              <w:t xml:space="preserve"> bei neatitinka </w:t>
            </w:r>
            <w:r w:rsidR="00E437E2">
              <w:rPr>
                <w:rFonts w:eastAsia="Calibri"/>
                <w:sz w:val="24"/>
                <w:szCs w:val="24"/>
              </w:rPr>
              <w:t>M</w:t>
            </w:r>
            <w:r>
              <w:rPr>
                <w:rFonts w:eastAsia="Calibri"/>
                <w:sz w:val="24"/>
                <w:szCs w:val="24"/>
              </w:rPr>
              <w:t>etodikos 21.6</w:t>
            </w:r>
            <w:r w:rsidR="008E5917">
              <w:rPr>
                <w:rFonts w:eastAsia="Calibri"/>
                <w:sz w:val="24"/>
                <w:szCs w:val="24"/>
              </w:rPr>
              <w:t xml:space="preserve"> punkt</w:t>
            </w:r>
            <w:r w:rsidR="00C61FA2">
              <w:rPr>
                <w:rFonts w:eastAsia="Calibri"/>
                <w:sz w:val="24"/>
                <w:szCs w:val="24"/>
              </w:rPr>
              <w:t>o</w:t>
            </w:r>
            <w:r w:rsidR="008E5917">
              <w:rPr>
                <w:rFonts w:eastAsia="Calibri"/>
                <w:sz w:val="24"/>
                <w:szCs w:val="24"/>
              </w:rPr>
              <w:t xml:space="preserve">, kad </w:t>
            </w:r>
            <w:r w:rsidR="008E5917" w:rsidRPr="008E5917">
              <w:rPr>
                <w:rFonts w:eastAsia="Calibri"/>
                <w:i/>
                <w:sz w:val="24"/>
                <w:szCs w:val="24"/>
              </w:rPr>
              <w:t xml:space="preserve">„Pirkimo vykdytojas nurodo reikalaujamas kompetencijas, o tiekėjas pateikia minimalų reikalaujamas kompetencijas galinčių atitikti asmenų skaičių </w:t>
            </w:r>
            <w:r w:rsidR="008E5917">
              <w:rPr>
                <w:rFonts w:eastAsia="Calibri"/>
                <w:i/>
                <w:sz w:val="24"/>
                <w:szCs w:val="24"/>
              </w:rPr>
              <w:t>&lt;...&gt;</w:t>
            </w:r>
            <w:r w:rsidR="008E5917" w:rsidRPr="008E5917">
              <w:rPr>
                <w:rFonts w:eastAsia="Calibri"/>
                <w:i/>
                <w:sz w:val="24"/>
                <w:szCs w:val="24"/>
              </w:rPr>
              <w:t>“</w:t>
            </w:r>
            <w:r w:rsidR="00C61FA2">
              <w:rPr>
                <w:rFonts w:eastAsia="Calibri"/>
                <w:sz w:val="24"/>
                <w:szCs w:val="24"/>
              </w:rPr>
              <w:t>.</w:t>
            </w:r>
            <w:r w:rsidR="008E5917">
              <w:rPr>
                <w:rFonts w:eastAsia="Calibri"/>
                <w:sz w:val="24"/>
                <w:szCs w:val="24"/>
              </w:rPr>
              <w:t xml:space="preserve"> </w:t>
            </w:r>
          </w:p>
          <w:p w14:paraId="37558035" w14:textId="510995FF" w:rsidR="001F0D66" w:rsidRDefault="00AC61FB" w:rsidP="007253CC">
            <w:pPr>
              <w:tabs>
                <w:tab w:val="left" w:pos="426"/>
                <w:tab w:val="left" w:pos="567"/>
                <w:tab w:val="left" w:pos="993"/>
                <w:tab w:val="left" w:pos="1276"/>
              </w:tabs>
              <w:ind w:firstLine="426"/>
              <w:contextualSpacing/>
              <w:jc w:val="both"/>
              <w:rPr>
                <w:rFonts w:eastAsia="Calibri"/>
                <w:sz w:val="24"/>
                <w:szCs w:val="24"/>
              </w:rPr>
            </w:pPr>
            <w:r>
              <w:rPr>
                <w:rFonts w:eastAsia="Calibri"/>
                <w:sz w:val="24"/>
                <w:szCs w:val="24"/>
              </w:rPr>
              <w:t>Perkančioji organizacija pateikė</w:t>
            </w:r>
            <w:r>
              <w:rPr>
                <w:rStyle w:val="FootnoteReference"/>
                <w:rFonts w:eastAsia="Calibri"/>
                <w:sz w:val="24"/>
                <w:szCs w:val="24"/>
              </w:rPr>
              <w:footnoteReference w:id="12"/>
            </w:r>
            <w:r>
              <w:rPr>
                <w:rFonts w:eastAsia="Calibri"/>
                <w:sz w:val="24"/>
                <w:szCs w:val="24"/>
              </w:rPr>
              <w:t xml:space="preserve"> paaiškinimą, jog nustatytą reikalavimą paslaugų teikėjui turėti bent 2 programuotojus, nustatė vadovaudamasi teisės akte</w:t>
            </w:r>
            <w:r>
              <w:rPr>
                <w:rStyle w:val="FootnoteReference"/>
                <w:rFonts w:eastAsia="Calibri"/>
                <w:sz w:val="24"/>
                <w:szCs w:val="24"/>
              </w:rPr>
              <w:footnoteReference w:id="13"/>
            </w:r>
            <w:r>
              <w:rPr>
                <w:rFonts w:eastAsia="Calibri"/>
                <w:sz w:val="24"/>
                <w:szCs w:val="24"/>
              </w:rPr>
              <w:t xml:space="preserve"> reglamentuojančiame </w:t>
            </w:r>
            <w:r w:rsidR="00CE56C4">
              <w:rPr>
                <w:rFonts w:eastAsia="Calibri"/>
                <w:sz w:val="24"/>
                <w:szCs w:val="24"/>
              </w:rPr>
              <w:t>Lošim</w:t>
            </w:r>
            <w:r w:rsidR="00041FEB">
              <w:rPr>
                <w:rFonts w:eastAsia="Calibri"/>
                <w:sz w:val="24"/>
                <w:szCs w:val="24"/>
              </w:rPr>
              <w:t>o automatų kontrolės informacinės sistemos (</w:t>
            </w:r>
            <w:r w:rsidR="00F62D1F">
              <w:rPr>
                <w:rFonts w:eastAsia="Calibri"/>
                <w:sz w:val="24"/>
                <w:szCs w:val="24"/>
              </w:rPr>
              <w:t xml:space="preserve">toliau – </w:t>
            </w:r>
            <w:r>
              <w:rPr>
                <w:rFonts w:eastAsia="Calibri"/>
                <w:sz w:val="24"/>
                <w:szCs w:val="24"/>
              </w:rPr>
              <w:t>LAKIS</w:t>
            </w:r>
            <w:r w:rsidR="00041FEB">
              <w:rPr>
                <w:rFonts w:eastAsia="Calibri"/>
                <w:sz w:val="24"/>
                <w:szCs w:val="24"/>
              </w:rPr>
              <w:t>)</w:t>
            </w:r>
            <w:r>
              <w:rPr>
                <w:rFonts w:eastAsia="Calibri"/>
                <w:sz w:val="24"/>
                <w:szCs w:val="24"/>
              </w:rPr>
              <w:t xml:space="preserve"> sukūrimo, įdiegimo ir pilno funkcionavimo pradžios terminus </w:t>
            </w:r>
            <w:r w:rsidR="004F4A6D">
              <w:rPr>
                <w:rFonts w:eastAsia="Calibri"/>
                <w:sz w:val="24"/>
                <w:szCs w:val="24"/>
              </w:rPr>
              <w:t>(2019-11-01) ir</w:t>
            </w:r>
            <w:r>
              <w:rPr>
                <w:rFonts w:eastAsia="Calibri"/>
                <w:sz w:val="24"/>
                <w:szCs w:val="24"/>
              </w:rPr>
              <w:t xml:space="preserve"> atsižvelgdama į Pirkimo sąlygų 2.4.1 punktą nustatytą LAKIS sukūrimo terminą – 7 (septyni) mėnesiai nuo sutarties įsigaliojimo dienos</w:t>
            </w:r>
            <w:r w:rsidR="0008064A">
              <w:rPr>
                <w:rFonts w:eastAsia="Calibri"/>
                <w:sz w:val="24"/>
                <w:szCs w:val="24"/>
              </w:rPr>
              <w:t>, t. y. Perkančiosios organizacijos pateiktas paaiškinimas</w:t>
            </w:r>
            <w:r w:rsidR="00041FEB">
              <w:rPr>
                <w:rFonts w:eastAsia="Calibri"/>
                <w:sz w:val="24"/>
                <w:szCs w:val="24"/>
              </w:rPr>
              <w:t xml:space="preserve"> dėl nustatyto reikalavimo turėti bent du programuotojus</w:t>
            </w:r>
            <w:r w:rsidR="0008064A">
              <w:rPr>
                <w:rFonts w:eastAsia="Calibri"/>
                <w:sz w:val="24"/>
                <w:szCs w:val="24"/>
              </w:rPr>
              <w:t xml:space="preserve">, </w:t>
            </w:r>
            <w:r w:rsidR="004F4A6D">
              <w:rPr>
                <w:rFonts w:eastAsia="Calibri"/>
                <w:sz w:val="24"/>
                <w:szCs w:val="24"/>
              </w:rPr>
              <w:t xml:space="preserve">iš esmės </w:t>
            </w:r>
            <w:r w:rsidR="0008064A">
              <w:rPr>
                <w:rFonts w:eastAsia="Calibri"/>
                <w:sz w:val="24"/>
                <w:szCs w:val="24"/>
              </w:rPr>
              <w:t>grindžiamas</w:t>
            </w:r>
            <w:r w:rsidR="00C22C9F">
              <w:rPr>
                <w:rFonts w:eastAsia="Calibri"/>
                <w:sz w:val="24"/>
                <w:szCs w:val="24"/>
              </w:rPr>
              <w:t xml:space="preserve"> tik</w:t>
            </w:r>
            <w:r w:rsidR="0008064A">
              <w:rPr>
                <w:rFonts w:eastAsia="Calibri"/>
                <w:sz w:val="24"/>
                <w:szCs w:val="24"/>
              </w:rPr>
              <w:t xml:space="preserve"> savalaikiu sutarties įvykdymu. </w:t>
            </w:r>
            <w:r w:rsidR="00C22C9F">
              <w:rPr>
                <w:rFonts w:eastAsia="Calibri"/>
                <w:sz w:val="24"/>
                <w:szCs w:val="24"/>
              </w:rPr>
              <w:t>Į</w:t>
            </w:r>
            <w:r w:rsidR="001F0D66">
              <w:rPr>
                <w:rFonts w:eastAsia="Calibri"/>
                <w:sz w:val="24"/>
                <w:szCs w:val="24"/>
              </w:rPr>
              <w:t xml:space="preserve">vertinus </w:t>
            </w:r>
            <w:r w:rsidR="00B04E7C">
              <w:rPr>
                <w:rFonts w:eastAsia="Calibri"/>
                <w:sz w:val="24"/>
                <w:szCs w:val="24"/>
              </w:rPr>
              <w:t>faktą</w:t>
            </w:r>
            <w:r w:rsidR="001F0D66">
              <w:rPr>
                <w:rFonts w:eastAsia="Calibri"/>
                <w:sz w:val="24"/>
                <w:szCs w:val="24"/>
              </w:rPr>
              <w:t xml:space="preserve">, </w:t>
            </w:r>
            <w:r w:rsidR="00B04E7C">
              <w:rPr>
                <w:rFonts w:eastAsia="Calibri"/>
                <w:sz w:val="24"/>
                <w:szCs w:val="24"/>
              </w:rPr>
              <w:t>jog</w:t>
            </w:r>
            <w:r w:rsidR="001F0D66">
              <w:rPr>
                <w:rFonts w:eastAsia="Calibri"/>
                <w:sz w:val="24"/>
                <w:szCs w:val="24"/>
              </w:rPr>
              <w:t xml:space="preserve"> Pirkimo sąlygose (4</w:t>
            </w:r>
            <w:r w:rsidR="001F0D66" w:rsidRPr="001F0D66">
              <w:rPr>
                <w:rFonts w:eastAsia="Calibri"/>
                <w:sz w:val="24"/>
                <w:szCs w:val="24"/>
              </w:rPr>
              <w:t>.1 punkto lentelės Nr. 2</w:t>
            </w:r>
            <w:r w:rsidR="001F0D66">
              <w:rPr>
                <w:rFonts w:eastAsia="Calibri"/>
                <w:sz w:val="24"/>
                <w:szCs w:val="24"/>
              </w:rPr>
              <w:t xml:space="preserve"> 4.1.4 papunktis) </w:t>
            </w:r>
            <w:r w:rsidR="00FD4E2D">
              <w:rPr>
                <w:rFonts w:eastAsia="Calibri"/>
                <w:sz w:val="24"/>
                <w:szCs w:val="24"/>
              </w:rPr>
              <w:t>nustatytas reikalavimas tiekėjui turėti kvalifikuotą personalą (iš viso nustatyti kvalifikacijos reikalavimai dar 7 specialistams (be 2 programuotojų)</w:t>
            </w:r>
            <w:r w:rsidR="00C22C9F">
              <w:rPr>
                <w:rFonts w:eastAsia="Calibri"/>
                <w:sz w:val="24"/>
                <w:szCs w:val="24"/>
              </w:rPr>
              <w:t>,</w:t>
            </w:r>
            <w:r w:rsidR="00BD5C52">
              <w:rPr>
                <w:rFonts w:eastAsia="Calibri"/>
                <w:sz w:val="24"/>
                <w:szCs w:val="24"/>
              </w:rPr>
              <w:t xml:space="preserve"> </w:t>
            </w:r>
            <w:bookmarkStart w:id="2" w:name="_GoBack"/>
            <w:bookmarkEnd w:id="2"/>
            <w:r w:rsidR="00C22C9F">
              <w:rPr>
                <w:rFonts w:eastAsia="Calibri"/>
                <w:sz w:val="24"/>
                <w:szCs w:val="24"/>
              </w:rPr>
              <w:t xml:space="preserve">Perkančiosios organizacijos pateiktas paaiškinimas, nepagrindžia </w:t>
            </w:r>
            <w:r w:rsidR="00C22C9F">
              <w:rPr>
                <w:rFonts w:eastAsia="Calibri"/>
                <w:sz w:val="24"/>
                <w:szCs w:val="24"/>
              </w:rPr>
              <w:t xml:space="preserve">aukščiau nurodyto </w:t>
            </w:r>
            <w:r w:rsidR="00C22C9F" w:rsidRPr="00FD4E2D">
              <w:rPr>
                <w:rFonts w:eastAsia="Calibri"/>
                <w:sz w:val="24"/>
                <w:szCs w:val="24"/>
              </w:rPr>
              <w:t>kvalifikacijos reikalavim</w:t>
            </w:r>
            <w:r w:rsidR="00C22C9F">
              <w:rPr>
                <w:rFonts w:eastAsia="Calibri"/>
                <w:sz w:val="24"/>
                <w:szCs w:val="24"/>
              </w:rPr>
              <w:t>o.</w:t>
            </w:r>
          </w:p>
          <w:p w14:paraId="41202774" w14:textId="174D5EE8" w:rsidR="00AC61FB" w:rsidRDefault="001F0D66" w:rsidP="007253CC">
            <w:pPr>
              <w:tabs>
                <w:tab w:val="left" w:pos="426"/>
                <w:tab w:val="left" w:pos="567"/>
                <w:tab w:val="left" w:pos="993"/>
                <w:tab w:val="left" w:pos="1276"/>
              </w:tabs>
              <w:ind w:firstLine="426"/>
              <w:contextualSpacing/>
              <w:jc w:val="both"/>
              <w:rPr>
                <w:rFonts w:eastAsia="Calibri"/>
                <w:bCs/>
                <w:sz w:val="24"/>
                <w:szCs w:val="24"/>
              </w:rPr>
            </w:pPr>
            <w:r>
              <w:rPr>
                <w:rFonts w:eastAsia="Calibri"/>
                <w:bCs/>
                <w:sz w:val="24"/>
                <w:szCs w:val="24"/>
              </w:rPr>
              <w:t>Paminėtina</w:t>
            </w:r>
            <w:r w:rsidR="008E5917" w:rsidRPr="00124ED9">
              <w:rPr>
                <w:rFonts w:eastAsia="Calibri"/>
                <w:bCs/>
                <w:sz w:val="24"/>
                <w:szCs w:val="24"/>
              </w:rPr>
              <w:t xml:space="preserve">, kad </w:t>
            </w:r>
            <w:r w:rsidR="0008064A">
              <w:rPr>
                <w:rFonts w:eastAsia="Calibri"/>
                <w:bCs/>
                <w:sz w:val="24"/>
                <w:szCs w:val="24"/>
              </w:rPr>
              <w:t>visi reikalavimai/sąlygos, susijusios su tinkamu ir savalaikiu paslaugų atlikimu ir sutarties vykdymu, turi būti nurodyti pirkimo dokumentuose, o tiekėjai, būdami</w:t>
            </w:r>
            <w:r w:rsidR="0008064A" w:rsidRPr="0008064A">
              <w:rPr>
                <w:rFonts w:eastAsia="Calibri"/>
                <w:bCs/>
                <w:sz w:val="24"/>
                <w:szCs w:val="24"/>
              </w:rPr>
              <w:t xml:space="preserve"> profesionalūs viešųjų pirkimų dalyviai ir savo srities profesionalai, </w:t>
            </w:r>
            <w:r w:rsidR="0008064A" w:rsidRPr="00C61FA2">
              <w:rPr>
                <w:rFonts w:eastAsia="Calibri"/>
                <w:bCs/>
                <w:sz w:val="24"/>
                <w:szCs w:val="24"/>
              </w:rPr>
              <w:t xml:space="preserve">teikdami pasiūlymus viešuosiuose pirkimuose ir siekdami juos laimėti, </w:t>
            </w:r>
            <w:r w:rsidR="0008064A" w:rsidRPr="00124ED9">
              <w:rPr>
                <w:rFonts w:eastAsia="Calibri"/>
                <w:bCs/>
                <w:sz w:val="24"/>
                <w:szCs w:val="24"/>
              </w:rPr>
              <w:t>įsivertin</w:t>
            </w:r>
            <w:r w:rsidR="0008064A">
              <w:rPr>
                <w:rFonts w:eastAsia="Calibri"/>
                <w:bCs/>
                <w:sz w:val="24"/>
                <w:szCs w:val="24"/>
              </w:rPr>
              <w:t xml:space="preserve">ę visus reikalavimus/sąlygas bei </w:t>
            </w:r>
            <w:r w:rsidR="0008064A" w:rsidRPr="00124ED9">
              <w:rPr>
                <w:rFonts w:eastAsia="Calibri"/>
                <w:bCs/>
                <w:sz w:val="24"/>
                <w:szCs w:val="24"/>
              </w:rPr>
              <w:t>visas</w:t>
            </w:r>
            <w:r w:rsidR="0008064A">
              <w:rPr>
                <w:rFonts w:eastAsia="Calibri"/>
                <w:bCs/>
                <w:sz w:val="24"/>
                <w:szCs w:val="24"/>
              </w:rPr>
              <w:t xml:space="preserve"> </w:t>
            </w:r>
            <w:r w:rsidR="0008064A" w:rsidRPr="00124ED9">
              <w:rPr>
                <w:rFonts w:eastAsia="Calibri"/>
                <w:bCs/>
                <w:sz w:val="24"/>
                <w:szCs w:val="24"/>
              </w:rPr>
              <w:t>galimas rizikas,</w:t>
            </w:r>
            <w:r w:rsidR="0008064A">
              <w:rPr>
                <w:rFonts w:eastAsia="Calibri"/>
                <w:bCs/>
                <w:sz w:val="24"/>
                <w:szCs w:val="24"/>
              </w:rPr>
              <w:t xml:space="preserve"> patys</w:t>
            </w:r>
            <w:r w:rsidR="0008064A" w:rsidRPr="00124ED9">
              <w:rPr>
                <w:rFonts w:eastAsia="Calibri"/>
                <w:bCs/>
                <w:sz w:val="24"/>
                <w:szCs w:val="24"/>
              </w:rPr>
              <w:t xml:space="preserve"> </w:t>
            </w:r>
            <w:r w:rsidR="0008064A" w:rsidRPr="00C61FA2">
              <w:rPr>
                <w:rFonts w:eastAsia="Calibri"/>
                <w:bCs/>
                <w:sz w:val="24"/>
                <w:szCs w:val="24"/>
              </w:rPr>
              <w:t>par</w:t>
            </w:r>
            <w:r w:rsidR="0008064A">
              <w:rPr>
                <w:rFonts w:eastAsia="Calibri"/>
                <w:bCs/>
                <w:sz w:val="24"/>
                <w:szCs w:val="24"/>
              </w:rPr>
              <w:t>enka</w:t>
            </w:r>
            <w:r w:rsidR="0008064A" w:rsidRPr="00C61FA2">
              <w:rPr>
                <w:rFonts w:eastAsia="Calibri"/>
                <w:bCs/>
                <w:sz w:val="24"/>
                <w:szCs w:val="24"/>
              </w:rPr>
              <w:t xml:space="preserve"> reikiam</w:t>
            </w:r>
            <w:r w:rsidR="0008064A">
              <w:rPr>
                <w:rFonts w:eastAsia="Calibri"/>
                <w:bCs/>
                <w:sz w:val="24"/>
                <w:szCs w:val="24"/>
              </w:rPr>
              <w:t>ų</w:t>
            </w:r>
            <w:r w:rsidR="0008064A" w:rsidRPr="00C61FA2">
              <w:rPr>
                <w:rFonts w:eastAsia="Calibri"/>
                <w:bCs/>
                <w:sz w:val="24"/>
                <w:szCs w:val="24"/>
              </w:rPr>
              <w:t xml:space="preserve"> </w:t>
            </w:r>
            <w:r w:rsidR="0008064A">
              <w:rPr>
                <w:rFonts w:eastAsia="Calibri"/>
                <w:bCs/>
                <w:sz w:val="24"/>
                <w:szCs w:val="24"/>
              </w:rPr>
              <w:t xml:space="preserve">žmogiškųjų </w:t>
            </w:r>
            <w:r w:rsidR="0008064A" w:rsidRPr="00C61FA2">
              <w:rPr>
                <w:rFonts w:eastAsia="Calibri"/>
                <w:bCs/>
                <w:sz w:val="24"/>
                <w:szCs w:val="24"/>
              </w:rPr>
              <w:t>išteklių skaičių, kad optimaliomis sąnaudomis galėtų įvykdyti pirkim</w:t>
            </w:r>
            <w:r w:rsidR="0008064A">
              <w:rPr>
                <w:rFonts w:eastAsia="Calibri"/>
                <w:bCs/>
                <w:sz w:val="24"/>
                <w:szCs w:val="24"/>
              </w:rPr>
              <w:t xml:space="preserve">o ir sutarties </w:t>
            </w:r>
            <w:r w:rsidR="0008064A" w:rsidRPr="00C61FA2">
              <w:rPr>
                <w:rFonts w:eastAsia="Calibri"/>
                <w:bCs/>
                <w:sz w:val="24"/>
                <w:szCs w:val="24"/>
              </w:rPr>
              <w:t>sąlygas</w:t>
            </w:r>
            <w:r w:rsidR="0008064A">
              <w:rPr>
                <w:rFonts w:eastAsia="Calibri"/>
                <w:bCs/>
                <w:sz w:val="24"/>
                <w:szCs w:val="24"/>
              </w:rPr>
              <w:t>.</w:t>
            </w:r>
          </w:p>
          <w:p w14:paraId="273EED7D" w14:textId="592BD000" w:rsidR="00041FEB" w:rsidRPr="007253CC" w:rsidRDefault="00041FEB" w:rsidP="007253CC">
            <w:pPr>
              <w:tabs>
                <w:tab w:val="left" w:pos="426"/>
                <w:tab w:val="left" w:pos="567"/>
                <w:tab w:val="left" w:pos="993"/>
                <w:tab w:val="left" w:pos="1276"/>
              </w:tabs>
              <w:ind w:firstLine="426"/>
              <w:contextualSpacing/>
              <w:jc w:val="both"/>
              <w:rPr>
                <w:rFonts w:eastAsia="Calibri"/>
                <w:bCs/>
                <w:sz w:val="24"/>
                <w:szCs w:val="24"/>
              </w:rPr>
            </w:pPr>
            <w:r w:rsidRPr="00041FEB">
              <w:rPr>
                <w:rFonts w:eastAsia="Calibri"/>
                <w:bCs/>
                <w:iCs/>
                <w:sz w:val="24"/>
                <w:szCs w:val="24"/>
              </w:rPr>
              <w:lastRenderedPageBreak/>
              <w:t>Apibendrinant tai, kas išdėstyta, konstatuojama, kad Pirkimo sąlygų 4.1.</w:t>
            </w:r>
            <w:r>
              <w:rPr>
                <w:rFonts w:eastAsia="Calibri"/>
                <w:bCs/>
                <w:iCs/>
                <w:sz w:val="24"/>
                <w:szCs w:val="24"/>
              </w:rPr>
              <w:t>4.3</w:t>
            </w:r>
            <w:r w:rsidRPr="00041FEB">
              <w:rPr>
                <w:rFonts w:eastAsia="Calibri"/>
                <w:bCs/>
                <w:iCs/>
                <w:sz w:val="24"/>
                <w:szCs w:val="24"/>
              </w:rPr>
              <w:t xml:space="preserve"> punkte nustatyt</w:t>
            </w:r>
            <w:r>
              <w:rPr>
                <w:rFonts w:eastAsia="Calibri"/>
                <w:bCs/>
                <w:iCs/>
                <w:sz w:val="24"/>
                <w:szCs w:val="24"/>
              </w:rPr>
              <w:t>as kvalifikacijos reikalavimas, turėti bent du programuotojus,</w:t>
            </w:r>
            <w:r w:rsidRPr="00041FEB">
              <w:rPr>
                <w:rFonts w:eastAsia="Calibri"/>
                <w:bCs/>
                <w:iCs/>
                <w:sz w:val="24"/>
                <w:szCs w:val="24"/>
              </w:rPr>
              <w:t xml:space="preserve"> pažeidžia Įstatymo 4</w:t>
            </w:r>
            <w:r>
              <w:rPr>
                <w:rFonts w:eastAsia="Calibri"/>
                <w:bCs/>
                <w:iCs/>
                <w:sz w:val="24"/>
                <w:szCs w:val="24"/>
              </w:rPr>
              <w:t>7</w:t>
            </w:r>
            <w:r w:rsidRPr="00041FEB">
              <w:rPr>
                <w:rFonts w:eastAsia="Calibri"/>
                <w:bCs/>
                <w:iCs/>
                <w:sz w:val="24"/>
                <w:szCs w:val="24"/>
              </w:rPr>
              <w:t xml:space="preserve"> straipsnio 1 </w:t>
            </w:r>
            <w:r>
              <w:rPr>
                <w:rFonts w:eastAsia="Calibri"/>
                <w:bCs/>
                <w:iCs/>
                <w:sz w:val="24"/>
                <w:szCs w:val="24"/>
              </w:rPr>
              <w:t xml:space="preserve">ir 7 </w:t>
            </w:r>
            <w:r w:rsidRPr="00041FEB">
              <w:rPr>
                <w:rFonts w:eastAsia="Calibri"/>
                <w:bCs/>
                <w:iCs/>
                <w:sz w:val="24"/>
                <w:szCs w:val="24"/>
              </w:rPr>
              <w:t>dal</w:t>
            </w:r>
            <w:r>
              <w:rPr>
                <w:rFonts w:eastAsia="Calibri"/>
                <w:bCs/>
                <w:iCs/>
                <w:sz w:val="24"/>
                <w:szCs w:val="24"/>
              </w:rPr>
              <w:t>is</w:t>
            </w:r>
            <w:r w:rsidRPr="00041FEB">
              <w:rPr>
                <w:rFonts w:eastAsia="Calibri"/>
                <w:bCs/>
                <w:iCs/>
                <w:sz w:val="24"/>
                <w:szCs w:val="24"/>
              </w:rPr>
              <w:t xml:space="preserve"> ir </w:t>
            </w:r>
            <w:r>
              <w:rPr>
                <w:rFonts w:eastAsia="Calibri"/>
                <w:bCs/>
                <w:iCs/>
                <w:sz w:val="24"/>
                <w:szCs w:val="24"/>
              </w:rPr>
              <w:t>neatitinka Metodikos 21.6 punkto nuostatų.</w:t>
            </w:r>
          </w:p>
        </w:tc>
      </w:tr>
    </w:tbl>
    <w:p w14:paraId="3AC184F2" w14:textId="77777777" w:rsidR="007939D1" w:rsidRPr="002438F5" w:rsidRDefault="007939D1" w:rsidP="002438F5">
      <w:pPr>
        <w:jc w:val="center"/>
        <w:rPr>
          <w:rFonts w:eastAsia="Calibri"/>
          <w:sz w:val="24"/>
          <w:szCs w:val="24"/>
        </w:rPr>
      </w:pPr>
    </w:p>
    <w:p w14:paraId="2D160145" w14:textId="464AB69F" w:rsidR="007939D1" w:rsidRPr="007939D1" w:rsidRDefault="007939D1" w:rsidP="002438F5">
      <w:pPr>
        <w:jc w:val="center"/>
        <w:rPr>
          <w:rFonts w:eastAsia="Calibri"/>
          <w:b/>
          <w:sz w:val="24"/>
          <w:szCs w:val="24"/>
        </w:rPr>
      </w:pPr>
      <w:r w:rsidRPr="007939D1">
        <w:rPr>
          <w:rFonts w:eastAsia="Calibri"/>
          <w:b/>
          <w:sz w:val="24"/>
          <w:szCs w:val="24"/>
        </w:rPr>
        <w:t xml:space="preserve">III dalis. </w:t>
      </w:r>
      <w:r w:rsidR="00014F6D">
        <w:rPr>
          <w:rFonts w:eastAsia="Calibri"/>
          <w:b/>
          <w:sz w:val="24"/>
          <w:szCs w:val="24"/>
        </w:rPr>
        <w:t>Kiti nustatyti pažeidimai</w:t>
      </w:r>
    </w:p>
    <w:p w14:paraId="403B873D" w14:textId="77777777" w:rsidR="007939D1" w:rsidRPr="002438F5" w:rsidRDefault="007939D1" w:rsidP="002438F5">
      <w:pPr>
        <w:jc w:val="center"/>
        <w:rPr>
          <w:rFonts w:eastAsia="Calibri"/>
          <w:sz w:val="24"/>
          <w:szCs w:val="2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170"/>
      </w:tblGrid>
      <w:tr w:rsidR="007939D1" w:rsidRPr="007939D1" w14:paraId="4EE45F16" w14:textId="77777777" w:rsidTr="00B340B3">
        <w:tc>
          <w:tcPr>
            <w:tcW w:w="421" w:type="dxa"/>
            <w:shd w:val="clear" w:color="auto" w:fill="auto"/>
            <w:vAlign w:val="center"/>
          </w:tcPr>
          <w:p w14:paraId="46BFFA77" w14:textId="77777777" w:rsidR="007939D1" w:rsidRPr="007939D1" w:rsidRDefault="007939D1" w:rsidP="00B340B3">
            <w:pPr>
              <w:numPr>
                <w:ilvl w:val="0"/>
                <w:numId w:val="11"/>
              </w:numPr>
              <w:ind w:left="0" w:right="2013" w:firstLine="0"/>
              <w:contextualSpacing/>
              <w:jc w:val="center"/>
              <w:rPr>
                <w:rFonts w:eastAsia="Calibri"/>
                <w:sz w:val="24"/>
                <w:szCs w:val="24"/>
              </w:rPr>
            </w:pPr>
          </w:p>
        </w:tc>
        <w:tc>
          <w:tcPr>
            <w:tcW w:w="9170" w:type="dxa"/>
            <w:shd w:val="clear" w:color="auto" w:fill="auto"/>
          </w:tcPr>
          <w:p w14:paraId="4DF86FC3" w14:textId="38D5407B" w:rsidR="007939D1" w:rsidRPr="007939D1" w:rsidRDefault="00B340B3" w:rsidP="002438F5">
            <w:pPr>
              <w:tabs>
                <w:tab w:val="left" w:pos="993"/>
              </w:tabs>
              <w:jc w:val="both"/>
              <w:rPr>
                <w:bCs/>
                <w:sz w:val="24"/>
                <w:szCs w:val="24"/>
              </w:rPr>
            </w:pPr>
            <w:r>
              <w:rPr>
                <w:bCs/>
                <w:sz w:val="24"/>
                <w:szCs w:val="24"/>
              </w:rPr>
              <w:t>-</w:t>
            </w:r>
          </w:p>
        </w:tc>
      </w:tr>
      <w:tr w:rsidR="007939D1" w:rsidRPr="007939D1" w14:paraId="40D7721D" w14:textId="77777777" w:rsidTr="00B340B3">
        <w:tc>
          <w:tcPr>
            <w:tcW w:w="9591" w:type="dxa"/>
            <w:gridSpan w:val="2"/>
            <w:shd w:val="clear" w:color="auto" w:fill="auto"/>
            <w:vAlign w:val="center"/>
          </w:tcPr>
          <w:p w14:paraId="2A20A144" w14:textId="77777777" w:rsidR="007939D1" w:rsidRPr="007939D1" w:rsidRDefault="007939D1" w:rsidP="002438F5">
            <w:pPr>
              <w:tabs>
                <w:tab w:val="left" w:pos="737"/>
              </w:tabs>
              <w:ind w:firstLine="426"/>
              <w:jc w:val="both"/>
              <w:rPr>
                <w:bCs/>
                <w:sz w:val="24"/>
                <w:szCs w:val="24"/>
              </w:rPr>
            </w:pPr>
          </w:p>
        </w:tc>
      </w:tr>
    </w:tbl>
    <w:p w14:paraId="24419628" w14:textId="77777777" w:rsidR="007939D1" w:rsidRPr="007939D1" w:rsidRDefault="007939D1" w:rsidP="002438F5">
      <w:pPr>
        <w:jc w:val="center"/>
        <w:rPr>
          <w:rFonts w:eastAsia="Calibri"/>
          <w:b/>
          <w:sz w:val="24"/>
          <w:szCs w:val="24"/>
        </w:rPr>
      </w:pPr>
    </w:p>
    <w:p w14:paraId="032A4B49" w14:textId="58C53186" w:rsidR="007939D1" w:rsidRPr="007939D1" w:rsidRDefault="007939D1" w:rsidP="002438F5">
      <w:pPr>
        <w:jc w:val="center"/>
        <w:rPr>
          <w:rFonts w:eastAsia="Calibri"/>
          <w:b/>
          <w:sz w:val="24"/>
          <w:szCs w:val="24"/>
        </w:rPr>
      </w:pPr>
      <w:r w:rsidRPr="007939D1">
        <w:rPr>
          <w:rFonts w:eastAsia="Calibri"/>
          <w:b/>
          <w:sz w:val="24"/>
          <w:szCs w:val="24"/>
        </w:rPr>
        <w:t>IV dalis. S</w:t>
      </w:r>
      <w:r w:rsidR="00014F6D">
        <w:rPr>
          <w:rFonts w:eastAsia="Calibri"/>
          <w:b/>
          <w:sz w:val="24"/>
          <w:szCs w:val="24"/>
        </w:rPr>
        <w:t>prendimas</w:t>
      </w:r>
    </w:p>
    <w:p w14:paraId="0896DF54" w14:textId="2009C902" w:rsidR="007939D1" w:rsidRDefault="007939D1" w:rsidP="002438F5">
      <w:pPr>
        <w:tabs>
          <w:tab w:val="left" w:pos="993"/>
        </w:tabs>
        <w:ind w:firstLine="709"/>
        <w:jc w:val="both"/>
        <w:rPr>
          <w:rFonts w:eastAsia="Calibri"/>
          <w:bCs/>
          <w:sz w:val="24"/>
          <w:szCs w:val="2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014F6D" w:rsidRPr="007939D1" w14:paraId="0B6B6D4A" w14:textId="77777777" w:rsidTr="00A62D24">
        <w:tc>
          <w:tcPr>
            <w:tcW w:w="9591" w:type="dxa"/>
            <w:shd w:val="clear" w:color="auto" w:fill="auto"/>
            <w:vAlign w:val="center"/>
          </w:tcPr>
          <w:p w14:paraId="0DDC83F6" w14:textId="77777777" w:rsidR="00014F6D" w:rsidRDefault="00014F6D" w:rsidP="00014F6D">
            <w:pPr>
              <w:tabs>
                <w:tab w:val="left" w:pos="426"/>
                <w:tab w:val="left" w:pos="736"/>
                <w:tab w:val="left" w:pos="993"/>
              </w:tabs>
              <w:ind w:firstLine="452"/>
              <w:jc w:val="both"/>
              <w:rPr>
                <w:rFonts w:eastAsia="Calibri"/>
                <w:bCs/>
                <w:sz w:val="24"/>
                <w:szCs w:val="24"/>
              </w:rPr>
            </w:pPr>
            <w:r w:rsidRPr="007939D1">
              <w:rPr>
                <w:rFonts w:eastAsia="Calibri"/>
                <w:bCs/>
                <w:sz w:val="24"/>
                <w:szCs w:val="24"/>
              </w:rPr>
              <w:t>Atsižvelgdama į šios išvados II dalyje nustatytus Įstatymo pažeidimus,</w:t>
            </w:r>
            <w:r>
              <w:rPr>
                <w:rFonts w:eastAsia="Calibri"/>
                <w:bCs/>
                <w:sz w:val="24"/>
                <w:szCs w:val="24"/>
              </w:rPr>
              <w:t xml:space="preserve"> </w:t>
            </w:r>
            <w:r w:rsidRPr="007939D1">
              <w:rPr>
                <w:rFonts w:eastAsia="Calibri"/>
                <w:bCs/>
                <w:sz w:val="24"/>
                <w:szCs w:val="24"/>
              </w:rPr>
              <w:t>Tarnyba, vadovaudamasi Įstatymo 95 straipsnio 2 dalies 5 punktu, įpareigoja</w:t>
            </w:r>
            <w:r>
              <w:rPr>
                <w:rFonts w:eastAsia="Calibri"/>
                <w:bCs/>
                <w:sz w:val="24"/>
                <w:szCs w:val="24"/>
              </w:rPr>
              <w:t xml:space="preserve"> Perkančiąją organizaciją:</w:t>
            </w:r>
          </w:p>
          <w:p w14:paraId="5FBF1E7A" w14:textId="77777777" w:rsidR="00014F6D" w:rsidRDefault="00014F6D" w:rsidP="00014F6D">
            <w:pPr>
              <w:pStyle w:val="ListParagraph"/>
              <w:numPr>
                <w:ilvl w:val="0"/>
                <w:numId w:val="13"/>
              </w:numPr>
              <w:tabs>
                <w:tab w:val="left" w:pos="426"/>
                <w:tab w:val="left" w:pos="736"/>
                <w:tab w:val="left" w:pos="993"/>
                <w:tab w:val="left" w:pos="1276"/>
              </w:tabs>
              <w:ind w:left="0" w:firstLine="452"/>
              <w:jc w:val="both"/>
              <w:rPr>
                <w:rFonts w:eastAsia="Calibri"/>
                <w:bCs/>
                <w:sz w:val="24"/>
                <w:szCs w:val="24"/>
              </w:rPr>
            </w:pPr>
            <w:r w:rsidRPr="00422A5D">
              <w:rPr>
                <w:rFonts w:eastAsia="Calibri"/>
                <w:bCs/>
                <w:sz w:val="24"/>
                <w:szCs w:val="24"/>
              </w:rPr>
              <w:t>nutraukti Pirkimo procedūras;</w:t>
            </w:r>
          </w:p>
          <w:p w14:paraId="42010B4E" w14:textId="4B94E236" w:rsidR="00014F6D" w:rsidRPr="00422A5D" w:rsidRDefault="00A31B03" w:rsidP="00014F6D">
            <w:pPr>
              <w:pStyle w:val="ListParagraph"/>
              <w:numPr>
                <w:ilvl w:val="0"/>
                <w:numId w:val="13"/>
              </w:numPr>
              <w:tabs>
                <w:tab w:val="left" w:pos="426"/>
                <w:tab w:val="left" w:pos="736"/>
                <w:tab w:val="left" w:pos="993"/>
                <w:tab w:val="left" w:pos="1276"/>
              </w:tabs>
              <w:ind w:left="0" w:firstLine="452"/>
              <w:jc w:val="both"/>
              <w:rPr>
                <w:rFonts w:eastAsia="Calibri"/>
                <w:bCs/>
                <w:sz w:val="24"/>
                <w:szCs w:val="24"/>
              </w:rPr>
            </w:pPr>
            <w:r>
              <w:rPr>
                <w:rFonts w:eastAsia="Calibri"/>
                <w:bCs/>
                <w:sz w:val="24"/>
                <w:szCs w:val="24"/>
              </w:rPr>
              <w:t xml:space="preserve">per 20 d. d. </w:t>
            </w:r>
            <w:r w:rsidR="00014F6D" w:rsidRPr="00422A5D">
              <w:rPr>
                <w:rFonts w:eastAsia="Calibri"/>
                <w:bCs/>
                <w:sz w:val="24"/>
                <w:szCs w:val="24"/>
              </w:rPr>
              <w:t>raštu informuoti Tarnybą apie įpareigojimo įvykdymą ir pateikti tai patvirtinančius dokumentus.</w:t>
            </w:r>
          </w:p>
          <w:p w14:paraId="0CCF653C" w14:textId="3D1B9923" w:rsidR="00014F6D" w:rsidRPr="007939D1" w:rsidRDefault="00014F6D" w:rsidP="00014F6D">
            <w:pPr>
              <w:tabs>
                <w:tab w:val="left" w:pos="426"/>
                <w:tab w:val="left" w:pos="736"/>
              </w:tabs>
              <w:ind w:firstLine="452"/>
              <w:jc w:val="both"/>
              <w:rPr>
                <w:bCs/>
                <w:sz w:val="24"/>
                <w:szCs w:val="24"/>
              </w:rPr>
            </w:pPr>
            <w:r w:rsidRPr="007939D1">
              <w:rPr>
                <w:rFonts w:eastAsia="Calibri"/>
                <w:bCs/>
                <w:sz w:val="24"/>
                <w:szCs w:val="24"/>
              </w:rPr>
              <w:t>Vadovaujantis Lietuvos Respublikos administracinių bylų teisenos įstatymo 5 ir 17 straipsniais, nesutikę su Tarnybos išvada, Jūs galite ją apskųsti teismui šio įstatymo nustatyta t</w:t>
            </w:r>
            <w:r>
              <w:rPr>
                <w:rFonts w:eastAsia="Calibri"/>
                <w:bCs/>
                <w:sz w:val="24"/>
                <w:szCs w:val="24"/>
              </w:rPr>
              <w:t>varka</w:t>
            </w:r>
            <w:r w:rsidRPr="007939D1">
              <w:rPr>
                <w:rFonts w:eastAsia="Calibri"/>
                <w:bCs/>
                <w:sz w:val="24"/>
                <w:szCs w:val="24"/>
              </w:rPr>
              <w:t>.</w:t>
            </w:r>
          </w:p>
        </w:tc>
      </w:tr>
    </w:tbl>
    <w:p w14:paraId="327117B6" w14:textId="77777777" w:rsidR="00014F6D" w:rsidRPr="007939D1" w:rsidRDefault="00014F6D" w:rsidP="002438F5">
      <w:pPr>
        <w:tabs>
          <w:tab w:val="left" w:pos="993"/>
        </w:tabs>
        <w:ind w:firstLine="709"/>
        <w:jc w:val="both"/>
        <w:rPr>
          <w:rFonts w:eastAsia="Calibri"/>
          <w:bCs/>
          <w:sz w:val="24"/>
          <w:szCs w:val="24"/>
        </w:rPr>
      </w:pPr>
    </w:p>
    <w:p w14:paraId="35A9DC71" w14:textId="281892FC" w:rsidR="00FD56A5" w:rsidRDefault="00F202B1" w:rsidP="00014F6D">
      <w:pPr>
        <w:shd w:val="clear" w:color="auto" w:fill="FFFFFF"/>
        <w:tabs>
          <w:tab w:val="left" w:pos="900"/>
        </w:tabs>
        <w:jc w:val="center"/>
        <w:rPr>
          <w:b/>
          <w:sz w:val="24"/>
          <w:szCs w:val="24"/>
        </w:rPr>
      </w:pPr>
      <w:r w:rsidRPr="00014F6D">
        <w:rPr>
          <w:b/>
          <w:noProof/>
          <w:sz w:val="24"/>
          <w:szCs w:val="24"/>
          <w:lang w:eastAsia="lt-LT"/>
        </w:rPr>
        <mc:AlternateContent>
          <mc:Choice Requires="wps">
            <w:drawing>
              <wp:anchor distT="0" distB="0" distL="114300" distR="114300" simplePos="0" relativeHeight="251660288" behindDoc="0" locked="1" layoutInCell="1" allowOverlap="0" wp14:anchorId="733E2284" wp14:editId="736468F8">
                <wp:simplePos x="0" y="0"/>
                <wp:positionH relativeFrom="margin">
                  <wp:align>left</wp:align>
                </wp:positionH>
                <wp:positionV relativeFrom="page">
                  <wp:posOffset>9360535</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F61B2" w14:textId="4C993367" w:rsidR="004A4318" w:rsidRPr="008910D3" w:rsidRDefault="00BD08B8">
                            <w:pPr>
                              <w:rPr>
                                <w:bCs/>
                                <w:color w:val="000000"/>
                                <w:sz w:val="24"/>
                                <w:szCs w:val="24"/>
                                <w:lang w:eastAsia="lt-LT"/>
                              </w:rPr>
                            </w:pPr>
                            <w:r w:rsidRPr="00422A5D">
                              <w:rPr>
                                <w:bCs/>
                                <w:color w:val="000000"/>
                                <w:sz w:val="24"/>
                                <w:szCs w:val="24"/>
                                <w:lang w:eastAsia="lt-LT"/>
                              </w:rPr>
                              <w:t>Š. Jatulytė, tel. (8 5) 219 7005, el. p. Sarune.Jatulyte@vpt.lt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E2284" id="_x0000_t202" coordsize="21600,21600" o:spt="202" path="m,l,21600r21600,l21600,xe">
                <v:stroke joinstyle="miter"/>
                <v:path gradientshapeok="t" o:connecttype="rect"/>
              </v:shapetype>
              <v:shape id="Text Box 3" o:spid="_x0000_s1026" type="#_x0000_t202" style="position:absolute;left:0;text-align:left;margin-left:0;margin-top:737.05pt;width:358.5pt;height:18.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" o:allowoverlap="f" stroked="f">
                <v:textbox style="mso-fit-shape-to-text:t">
                  <w:txbxContent>
                    <w:p w14:paraId="37BF61B2" w14:textId="4C993367" w:rsidR="004A4318" w:rsidRPr="008910D3" w:rsidRDefault="00BD08B8">
                      <w:pPr>
                        <w:rPr>
                          <w:bCs/>
                          <w:color w:val="000000"/>
                          <w:sz w:val="24"/>
                          <w:szCs w:val="24"/>
                          <w:lang w:eastAsia="lt-LT"/>
                        </w:rPr>
                      </w:pPr>
                      <w:r w:rsidRPr="00422A5D">
                        <w:rPr>
                          <w:bCs/>
                          <w:color w:val="000000"/>
                          <w:sz w:val="24"/>
                          <w:szCs w:val="24"/>
                          <w:lang w:eastAsia="lt-LT"/>
                        </w:rPr>
                        <w:t>Š. Jatulytė, tel. (8 5) 219 7005, el. p. Sarune.Jatulyte@vpt.lt</w:t>
                      </w:r>
                    </w:p>
                  </w:txbxContent>
                </v:textbox>
                <w10:wrap anchorx="margin" anchory="page"/>
                <w10:anchorlock/>
              </v:shape>
            </w:pict>
          </mc:Fallback>
        </mc:AlternateContent>
      </w:r>
      <w:r w:rsidR="00014F6D" w:rsidRPr="00014F6D">
        <w:rPr>
          <w:b/>
          <w:sz w:val="24"/>
          <w:szCs w:val="24"/>
        </w:rPr>
        <w:t>Pastabos</w:t>
      </w:r>
    </w:p>
    <w:p w14:paraId="51CBA86F" w14:textId="0D0990D4" w:rsidR="00014F6D" w:rsidRDefault="00014F6D" w:rsidP="00014F6D">
      <w:pPr>
        <w:shd w:val="clear" w:color="auto" w:fill="FFFFFF"/>
        <w:tabs>
          <w:tab w:val="left" w:pos="900"/>
        </w:tabs>
        <w:jc w:val="center"/>
        <w:rPr>
          <w:b/>
          <w:sz w:val="24"/>
          <w:szCs w:val="2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014F6D" w:rsidRPr="007939D1" w14:paraId="0FA7EA74" w14:textId="77777777" w:rsidTr="00A62D24">
        <w:tc>
          <w:tcPr>
            <w:tcW w:w="9591" w:type="dxa"/>
            <w:shd w:val="clear" w:color="auto" w:fill="auto"/>
            <w:vAlign w:val="center"/>
          </w:tcPr>
          <w:p w14:paraId="36485314" w14:textId="5AAEBB5E" w:rsidR="00014F6D" w:rsidRPr="007939D1" w:rsidRDefault="002121EC" w:rsidP="00A62D24">
            <w:pPr>
              <w:tabs>
                <w:tab w:val="left" w:pos="737"/>
              </w:tabs>
              <w:ind w:firstLine="426"/>
              <w:jc w:val="both"/>
              <w:rPr>
                <w:bCs/>
                <w:sz w:val="24"/>
                <w:szCs w:val="24"/>
              </w:rPr>
            </w:pPr>
            <w:r w:rsidRPr="002121EC">
              <w:rPr>
                <w:bCs/>
                <w:sz w:val="24"/>
                <w:szCs w:val="24"/>
              </w:rPr>
              <w:t xml:space="preserve">Nustatyta, kad </w:t>
            </w:r>
            <w:r>
              <w:rPr>
                <w:bCs/>
                <w:sz w:val="24"/>
                <w:szCs w:val="24"/>
              </w:rPr>
              <w:t>P</w:t>
            </w:r>
            <w:r w:rsidRPr="002121EC">
              <w:rPr>
                <w:bCs/>
                <w:sz w:val="24"/>
                <w:szCs w:val="24"/>
              </w:rPr>
              <w:t>irkim</w:t>
            </w:r>
            <w:r>
              <w:rPr>
                <w:bCs/>
                <w:sz w:val="24"/>
                <w:szCs w:val="24"/>
              </w:rPr>
              <w:t>o</w:t>
            </w:r>
            <w:r w:rsidRPr="002121EC">
              <w:rPr>
                <w:bCs/>
                <w:sz w:val="24"/>
                <w:szCs w:val="24"/>
              </w:rPr>
              <w:t xml:space="preserve"> komisijos nar</w:t>
            </w:r>
            <w:r>
              <w:rPr>
                <w:bCs/>
                <w:sz w:val="24"/>
                <w:szCs w:val="24"/>
              </w:rPr>
              <w:t>ys</w:t>
            </w:r>
            <w:r w:rsidRPr="002121EC">
              <w:rPr>
                <w:bCs/>
                <w:sz w:val="24"/>
                <w:szCs w:val="24"/>
              </w:rPr>
              <w:t xml:space="preserve"> </w:t>
            </w:r>
            <w:r>
              <w:rPr>
                <w:bCs/>
                <w:sz w:val="24"/>
                <w:szCs w:val="24"/>
              </w:rPr>
              <w:t xml:space="preserve">Š. L. </w:t>
            </w:r>
            <w:r w:rsidRPr="002121EC">
              <w:rPr>
                <w:bCs/>
                <w:sz w:val="24"/>
                <w:szCs w:val="24"/>
              </w:rPr>
              <w:t>Vyriausiajai tarnybinės etikos komisijai nėra deklarav</w:t>
            </w:r>
            <w:r>
              <w:rPr>
                <w:bCs/>
                <w:sz w:val="24"/>
                <w:szCs w:val="24"/>
              </w:rPr>
              <w:t>ęs</w:t>
            </w:r>
            <w:r w:rsidRPr="002121EC">
              <w:rPr>
                <w:bCs/>
                <w:sz w:val="24"/>
                <w:szCs w:val="24"/>
              </w:rPr>
              <w:t xml:space="preserve"> savo kaip Viešųjų pirkimų komisijos nario ar eksperto statuso</w:t>
            </w:r>
            <w:r>
              <w:rPr>
                <w:bCs/>
                <w:sz w:val="24"/>
                <w:szCs w:val="24"/>
              </w:rPr>
              <w:t>, o Pirkimo komisijos narys</w:t>
            </w:r>
            <w:r w:rsidRPr="002121EC">
              <w:rPr>
                <w:bCs/>
                <w:sz w:val="24"/>
                <w:szCs w:val="24"/>
              </w:rPr>
              <w:t xml:space="preserve"> </w:t>
            </w:r>
            <w:r>
              <w:rPr>
                <w:bCs/>
                <w:sz w:val="24"/>
                <w:szCs w:val="24"/>
              </w:rPr>
              <w:t xml:space="preserve">T. K. </w:t>
            </w:r>
            <w:r w:rsidRPr="002121EC">
              <w:rPr>
                <w:bCs/>
                <w:sz w:val="24"/>
                <w:szCs w:val="24"/>
              </w:rPr>
              <w:t>nėra pateik</w:t>
            </w:r>
            <w:r>
              <w:rPr>
                <w:bCs/>
                <w:sz w:val="24"/>
                <w:szCs w:val="24"/>
              </w:rPr>
              <w:t>ęs</w:t>
            </w:r>
            <w:r w:rsidRPr="002121EC">
              <w:rPr>
                <w:bCs/>
                <w:sz w:val="24"/>
                <w:szCs w:val="24"/>
              </w:rPr>
              <w:t xml:space="preserve"> privačių interesų deklaracij</w:t>
            </w:r>
            <w:r>
              <w:rPr>
                <w:bCs/>
                <w:sz w:val="24"/>
                <w:szCs w:val="24"/>
              </w:rPr>
              <w:t>os</w:t>
            </w:r>
            <w:r w:rsidRPr="002121EC">
              <w:rPr>
                <w:bCs/>
                <w:sz w:val="24"/>
                <w:szCs w:val="24"/>
              </w:rPr>
              <w:t>.</w:t>
            </w:r>
          </w:p>
        </w:tc>
      </w:tr>
    </w:tbl>
    <w:p w14:paraId="4305DB13" w14:textId="77777777" w:rsidR="00014F6D" w:rsidRPr="00014F6D" w:rsidRDefault="00014F6D" w:rsidP="00014F6D">
      <w:pPr>
        <w:shd w:val="clear" w:color="auto" w:fill="FFFFFF"/>
        <w:tabs>
          <w:tab w:val="left" w:pos="900"/>
        </w:tabs>
        <w:jc w:val="center"/>
        <w:rPr>
          <w:b/>
          <w:sz w:val="24"/>
          <w:szCs w:val="24"/>
        </w:rPr>
      </w:pPr>
    </w:p>
    <w:p w14:paraId="0C178C06" w14:textId="504DE026" w:rsidR="002438F5" w:rsidRDefault="002438F5" w:rsidP="002438F5">
      <w:pPr>
        <w:rPr>
          <w:sz w:val="24"/>
          <w:szCs w:val="24"/>
        </w:rPr>
      </w:pPr>
    </w:p>
    <w:p w14:paraId="569CE666" w14:textId="77777777" w:rsidR="00461D7F" w:rsidRPr="008E2B0B" w:rsidRDefault="00461D7F" w:rsidP="002438F5">
      <w:pPr>
        <w:rPr>
          <w:sz w:val="24"/>
          <w:szCs w:val="24"/>
        </w:rPr>
      </w:pPr>
    </w:p>
    <w:p w14:paraId="7E63720E" w14:textId="77777777" w:rsidR="00FD56A5" w:rsidRPr="008E2B0B" w:rsidRDefault="00FD56A5" w:rsidP="002438F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438F5" w14:paraId="3D387DE4" w14:textId="77777777" w:rsidTr="002438F5">
        <w:tc>
          <w:tcPr>
            <w:tcW w:w="4814" w:type="dxa"/>
          </w:tcPr>
          <w:p w14:paraId="481B85E9" w14:textId="77777777" w:rsidR="002438F5" w:rsidRDefault="002438F5" w:rsidP="002438F5">
            <w:pPr>
              <w:rPr>
                <w:sz w:val="24"/>
                <w:szCs w:val="24"/>
              </w:rPr>
            </w:pPr>
            <w:r>
              <w:rPr>
                <w:sz w:val="24"/>
                <w:szCs w:val="24"/>
              </w:rPr>
              <w:t>Direktorė</w:t>
            </w:r>
          </w:p>
        </w:tc>
        <w:tc>
          <w:tcPr>
            <w:tcW w:w="4815" w:type="dxa"/>
          </w:tcPr>
          <w:p w14:paraId="62ED1B2D" w14:textId="77777777" w:rsidR="002438F5" w:rsidRDefault="002438F5" w:rsidP="002438F5">
            <w:pPr>
              <w:jc w:val="right"/>
              <w:rPr>
                <w:sz w:val="24"/>
                <w:szCs w:val="24"/>
              </w:rPr>
            </w:pPr>
            <w:r>
              <w:rPr>
                <w:sz w:val="24"/>
                <w:szCs w:val="24"/>
              </w:rPr>
              <w:t>Diana Vilytė</w:t>
            </w:r>
          </w:p>
        </w:tc>
      </w:tr>
    </w:tbl>
    <w:p w14:paraId="3B4266ED" w14:textId="77777777" w:rsidR="00FD56A5" w:rsidRPr="008E2B0B" w:rsidRDefault="00FD56A5" w:rsidP="002438F5">
      <w:pPr>
        <w:rPr>
          <w:sz w:val="24"/>
          <w:szCs w:val="24"/>
        </w:rPr>
      </w:pPr>
    </w:p>
    <w:p w14:paraId="7D73566E" w14:textId="77777777" w:rsidR="00FD56A5" w:rsidRPr="008E2B0B" w:rsidRDefault="00FD56A5" w:rsidP="002438F5">
      <w:pPr>
        <w:rPr>
          <w:sz w:val="24"/>
          <w:szCs w:val="24"/>
        </w:rPr>
      </w:pPr>
    </w:p>
    <w:p w14:paraId="4CC7ACFA" w14:textId="77777777" w:rsidR="00FD56A5" w:rsidRPr="008E2B0B" w:rsidRDefault="00FD56A5" w:rsidP="002438F5">
      <w:pPr>
        <w:rPr>
          <w:sz w:val="24"/>
          <w:szCs w:val="24"/>
        </w:rPr>
      </w:pPr>
    </w:p>
    <w:p w14:paraId="2343C5C5" w14:textId="77777777" w:rsidR="00FD56A5" w:rsidRPr="008E2B0B" w:rsidRDefault="00FD56A5" w:rsidP="002438F5">
      <w:pPr>
        <w:rPr>
          <w:sz w:val="24"/>
          <w:szCs w:val="24"/>
        </w:rPr>
      </w:pPr>
    </w:p>
    <w:p w14:paraId="7A06CCF6" w14:textId="77777777" w:rsidR="00FD56A5" w:rsidRPr="008E2B0B" w:rsidRDefault="00FD56A5" w:rsidP="002438F5">
      <w:pPr>
        <w:rPr>
          <w:sz w:val="24"/>
          <w:szCs w:val="24"/>
        </w:rPr>
      </w:pPr>
    </w:p>
    <w:p w14:paraId="71F1F49F" w14:textId="77777777" w:rsidR="00FD56A5" w:rsidRPr="008E2B0B" w:rsidRDefault="00FD56A5" w:rsidP="002438F5">
      <w:pPr>
        <w:rPr>
          <w:sz w:val="24"/>
          <w:szCs w:val="24"/>
        </w:rPr>
      </w:pPr>
    </w:p>
    <w:p w14:paraId="6A427052" w14:textId="77777777" w:rsidR="00FD56A5" w:rsidRPr="008E2B0B" w:rsidRDefault="00FD56A5" w:rsidP="002438F5">
      <w:pPr>
        <w:rPr>
          <w:sz w:val="24"/>
          <w:szCs w:val="24"/>
        </w:rPr>
      </w:pPr>
    </w:p>
    <w:p w14:paraId="11DBDDAC" w14:textId="77777777" w:rsidR="00FD56A5" w:rsidRPr="008E2B0B" w:rsidRDefault="00FD56A5" w:rsidP="002438F5">
      <w:pPr>
        <w:rPr>
          <w:sz w:val="24"/>
          <w:szCs w:val="24"/>
        </w:rPr>
      </w:pPr>
    </w:p>
    <w:p w14:paraId="3AD3C7D5" w14:textId="77777777" w:rsidR="00FD56A5" w:rsidRPr="008E2B0B" w:rsidRDefault="00FD56A5" w:rsidP="002438F5">
      <w:pPr>
        <w:rPr>
          <w:sz w:val="24"/>
          <w:szCs w:val="24"/>
        </w:rPr>
      </w:pPr>
    </w:p>
    <w:p w14:paraId="69A600A1" w14:textId="77777777" w:rsidR="00FD56A5" w:rsidRPr="008E2B0B" w:rsidRDefault="00FD56A5" w:rsidP="002438F5">
      <w:pPr>
        <w:rPr>
          <w:sz w:val="24"/>
          <w:szCs w:val="24"/>
        </w:rPr>
      </w:pPr>
    </w:p>
    <w:p w14:paraId="207320EB" w14:textId="2C506580" w:rsidR="00FD56A5" w:rsidRDefault="00FD56A5" w:rsidP="002438F5">
      <w:pPr>
        <w:rPr>
          <w:sz w:val="24"/>
          <w:szCs w:val="24"/>
        </w:rPr>
      </w:pPr>
    </w:p>
    <w:p w14:paraId="2352BC30" w14:textId="380A4B5D" w:rsidR="008910D3" w:rsidRDefault="008910D3" w:rsidP="002438F5">
      <w:pPr>
        <w:rPr>
          <w:sz w:val="24"/>
          <w:szCs w:val="24"/>
        </w:rPr>
      </w:pPr>
    </w:p>
    <w:p w14:paraId="7DFA0506" w14:textId="7B9FBA00" w:rsidR="008910D3" w:rsidRDefault="008910D3" w:rsidP="002438F5">
      <w:pPr>
        <w:rPr>
          <w:sz w:val="24"/>
          <w:szCs w:val="24"/>
        </w:rPr>
      </w:pPr>
    </w:p>
    <w:p w14:paraId="39AF97E6" w14:textId="20631CD0" w:rsidR="008910D3" w:rsidRDefault="008910D3" w:rsidP="002438F5">
      <w:pPr>
        <w:rPr>
          <w:sz w:val="24"/>
          <w:szCs w:val="24"/>
        </w:rPr>
      </w:pPr>
    </w:p>
    <w:p w14:paraId="15550B44" w14:textId="7A9DEFEA" w:rsidR="008910D3" w:rsidRDefault="008910D3" w:rsidP="002438F5">
      <w:pPr>
        <w:rPr>
          <w:sz w:val="24"/>
          <w:szCs w:val="24"/>
        </w:rPr>
      </w:pPr>
    </w:p>
    <w:p w14:paraId="1809D766" w14:textId="77777777" w:rsidR="008910D3" w:rsidRPr="008E2B0B" w:rsidRDefault="008910D3" w:rsidP="002438F5">
      <w:pPr>
        <w:rPr>
          <w:sz w:val="24"/>
          <w:szCs w:val="24"/>
        </w:rPr>
      </w:pPr>
    </w:p>
    <w:sectPr w:rsidR="008910D3" w:rsidRPr="008E2B0B" w:rsidSect="007939D1">
      <w:headerReference w:type="even" r:id="rId11"/>
      <w:headerReference w:type="default" r:id="rId12"/>
      <w:footerReference w:type="default" r:id="rId13"/>
      <w:footerReference w:type="first" r:id="rId14"/>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0D27" w14:textId="77777777" w:rsidR="00C05A9C" w:rsidRDefault="00C05A9C">
      <w:r>
        <w:separator/>
      </w:r>
    </w:p>
  </w:endnote>
  <w:endnote w:type="continuationSeparator" w:id="0">
    <w:p w14:paraId="19E60ACB" w14:textId="77777777" w:rsidR="00C05A9C" w:rsidRDefault="00C0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6078" w14:textId="77777777" w:rsidR="00EF7000" w:rsidRDefault="00EF7000">
    <w:pPr>
      <w:pStyle w:val="Footer"/>
    </w:pPr>
  </w:p>
  <w:p w14:paraId="2457AB65" w14:textId="77777777" w:rsidR="00EF7000" w:rsidRDefault="00EF7000">
    <w:pPr>
      <w:pStyle w:val="Footer"/>
    </w:pPr>
  </w:p>
  <w:p w14:paraId="52570653"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839A" w14:textId="77777777" w:rsidR="00EF7000" w:rsidRPr="00C96169" w:rsidRDefault="00EF7000" w:rsidP="00345795">
    <w:pPr>
      <w:pBdr>
        <w:top w:val="single" w:sz="4" w:space="1" w:color="auto"/>
      </w:pBdr>
    </w:pPr>
    <w:r w:rsidRPr="00C96169">
      <w:t>Biudžetinė įstaiga</w:t>
    </w:r>
    <w:r w:rsidR="003631BF" w:rsidRPr="00C96169">
      <w:tab/>
    </w:r>
    <w:r w:rsidR="003631BF" w:rsidRPr="00C96169">
      <w:tab/>
    </w:r>
    <w:r w:rsidRPr="00C96169">
      <w:t>Tel. (8 5) 219 7001</w:t>
    </w:r>
    <w:r w:rsidR="003631BF" w:rsidRPr="00C96169">
      <w:tab/>
    </w:r>
    <w:r w:rsidRPr="00C96169">
      <w:t>Duomenys kaupiami ir saugomi </w:t>
    </w:r>
  </w:p>
  <w:p w14:paraId="6B1E5C05" w14:textId="77777777" w:rsidR="00EF7000" w:rsidRPr="00C96169" w:rsidRDefault="00EF7000" w:rsidP="00345795">
    <w:pPr>
      <w:pBdr>
        <w:top w:val="single" w:sz="4" w:space="1" w:color="auto"/>
      </w:pBdr>
      <w:jc w:val="both"/>
    </w:pPr>
    <w:r w:rsidRPr="00C96169">
      <w:t>Kareivių g. 1, LT-08221 Vilnius</w:t>
    </w:r>
    <w:r w:rsidR="003631BF" w:rsidRPr="00C96169">
      <w:tab/>
    </w:r>
    <w:r w:rsidRPr="00C96169">
      <w:t>Faks. (8 5) 213 6213</w:t>
    </w:r>
    <w:r w:rsidR="003631BF" w:rsidRPr="00C96169">
      <w:tab/>
    </w:r>
    <w:r w:rsidRPr="00C96169">
      <w:t>Juridinių asmenų registre</w:t>
    </w:r>
  </w:p>
  <w:p w14:paraId="06BD2B0C" w14:textId="77777777" w:rsidR="00EF7000" w:rsidRPr="00C96169" w:rsidRDefault="00BD5C52" w:rsidP="00345795">
    <w:pPr>
      <w:pBdr>
        <w:top w:val="single" w:sz="4" w:space="1" w:color="auto"/>
      </w:pBdr>
      <w:jc w:val="both"/>
    </w:pPr>
    <w:hyperlink r:id="rId1" w:history="1">
      <w:r w:rsidR="003631BF" w:rsidRPr="00C96169">
        <w:rPr>
          <w:rStyle w:val="Hyperlink"/>
        </w:rPr>
        <w:t>http://www.vpt.lrv.lt</w:t>
      </w:r>
    </w:hyperlink>
    <w:r w:rsidR="003631BF" w:rsidRPr="00C96169">
      <w:tab/>
    </w:r>
    <w:r w:rsidR="00C96169">
      <w:tab/>
    </w:r>
    <w:r w:rsidR="00EF7000" w:rsidRPr="00C96169">
      <w:t>El.</w:t>
    </w:r>
    <w:r w:rsidR="003631BF" w:rsidRPr="00C96169">
      <w:t xml:space="preserve"> </w:t>
    </w:r>
    <w:r w:rsidR="00EF7000" w:rsidRPr="00C96169">
      <w:t xml:space="preserve">p. </w:t>
    </w:r>
    <w:hyperlink r:id="rId2" w:history="1">
      <w:r w:rsidR="003631BF" w:rsidRPr="00C96169">
        <w:rPr>
          <w:rStyle w:val="Hyperlink"/>
        </w:rPr>
        <w:t>info@vpt.lt</w:t>
      </w:r>
    </w:hyperlink>
    <w:r w:rsidR="003631BF" w:rsidRPr="00C96169">
      <w:tab/>
    </w:r>
    <w:r w:rsidR="00EF7000" w:rsidRPr="00C96169">
      <w:t>Kodas 188656261</w:t>
    </w:r>
  </w:p>
  <w:p w14:paraId="22292F52" w14:textId="77777777" w:rsidR="00EF7000" w:rsidRPr="004D1BAD" w:rsidRDefault="00EF7000" w:rsidP="0034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14E0" w14:textId="77777777" w:rsidR="00C05A9C" w:rsidRDefault="00C05A9C">
      <w:r>
        <w:separator/>
      </w:r>
    </w:p>
  </w:footnote>
  <w:footnote w:type="continuationSeparator" w:id="0">
    <w:p w14:paraId="0BBEC709" w14:textId="77777777" w:rsidR="00C05A9C" w:rsidRDefault="00C05A9C">
      <w:r>
        <w:continuationSeparator/>
      </w:r>
    </w:p>
  </w:footnote>
  <w:footnote w:id="1">
    <w:p w14:paraId="6908F263" w14:textId="77777777" w:rsidR="00255C1D" w:rsidRDefault="00255C1D" w:rsidP="00255C1D">
      <w:pPr>
        <w:pStyle w:val="FootnoteText"/>
        <w:jc w:val="both"/>
      </w:pPr>
      <w:r>
        <w:rPr>
          <w:rStyle w:val="FootnoteReference"/>
        </w:rPr>
        <w:footnoteRef/>
      </w:r>
      <w:r>
        <w:t xml:space="preserve"> Įstatymo 47 straipsnio „&lt;...&gt; </w:t>
      </w:r>
      <w:r w:rsidRPr="00255C1D">
        <w:t>organizacijos nustatyti kandidatų ar dalyvių kvalifikacijos reikalavimai negali dirbtinai riboti konkurencijos, turi būti proporcingi ir susiję su pirkimo objektu</w:t>
      </w:r>
      <w:r>
        <w:t xml:space="preserve"> &lt;...&gt;“;</w:t>
      </w:r>
    </w:p>
  </w:footnote>
  <w:footnote w:id="2">
    <w:p w14:paraId="1747AA97" w14:textId="77777777" w:rsidR="00255C1D" w:rsidRDefault="00255C1D" w:rsidP="00255C1D">
      <w:pPr>
        <w:pStyle w:val="FootnoteText"/>
        <w:jc w:val="both"/>
      </w:pPr>
      <w:r>
        <w:rPr>
          <w:rStyle w:val="FootnoteReference"/>
        </w:rPr>
        <w:footnoteRef/>
      </w:r>
      <w:r>
        <w:t xml:space="preserve"> Įstatymo 51 straipsnio 7 dalies 2 punktas „</w:t>
      </w:r>
      <w:r w:rsidRPr="00255C1D">
        <w:t>Perkančioji organizacija, atsižvelgdama į perkamų prekių, paslaugų ar darbų pobūdį, kiekį, svarbą ir paskirtį, gali reikalauti iš tiekėjų pateikti šiuos dokumentus (vieną ar kelis), patvirtinančius jų techninį ir profesinį pajėgumą</w:t>
      </w:r>
      <w:r>
        <w:t xml:space="preserve"> &lt;...&gt; </w:t>
      </w:r>
      <w:r w:rsidRPr="00255C1D">
        <w:t>pagrindinių per paskutinius 3 metus patiektų prekių ar suteiktų paslaugų sąrašus, kuriuose nurodytos prekių ar paslaugų bendros sumos, datos ir prekių ar paslaugų gavėjai – tiek viešieji, tiek privatieji</w:t>
      </w:r>
      <w:r>
        <w:t>“;</w:t>
      </w:r>
    </w:p>
  </w:footnote>
  <w:footnote w:id="3">
    <w:p w14:paraId="17CAD57B" w14:textId="77777777" w:rsidR="00AC61FB" w:rsidRDefault="00AC61FB" w:rsidP="00895326">
      <w:pPr>
        <w:pStyle w:val="FootnoteText"/>
        <w:jc w:val="both"/>
      </w:pPr>
      <w:r>
        <w:rPr>
          <w:rStyle w:val="FootnoteReference"/>
        </w:rPr>
        <w:footnoteRef/>
      </w:r>
      <w:r>
        <w:t xml:space="preserve"> Pirkimo sąlygų 4.1.4 punktas „</w:t>
      </w:r>
      <w:r w:rsidRPr="00895326">
        <w:t>4.1.4 punkte specialistams keliami reikalavimai „</w:t>
      </w:r>
      <w:r w:rsidRPr="00895326">
        <w:rPr>
          <w:b/>
        </w:rPr>
        <w:t>Informacinės sistemos architektas &lt;...&gt;</w:t>
      </w:r>
      <w:r w:rsidRPr="00895326">
        <w:t xml:space="preserve"> turintis ne trumpesnę nei 3 (trejų) metų sutarčių ar projektų kuriant (modernizuojant) ir diegiant </w:t>
      </w:r>
      <w:r w:rsidRPr="00895326">
        <w:rPr>
          <w:u w:val="single"/>
        </w:rPr>
        <w:t xml:space="preserve">valstybės </w:t>
      </w:r>
      <w:r w:rsidRPr="00895326">
        <w:t>informacines sistemas arba registrus patirtį; dalyvavęs bent viename valstybės informacinės sistemos arba registro kūrimo (modernizavimo) projekte ar sutartyje, kuriame (-je) buvo atsakingas už valstybės informacinės sistemos arba registro architektūrinio sprendimo įgyvendinimą &lt;...&gt;“; „</w:t>
      </w:r>
      <w:r w:rsidRPr="00895326">
        <w:rPr>
          <w:b/>
        </w:rPr>
        <w:t>Programuotojas</w:t>
      </w:r>
      <w:r w:rsidRPr="00895326">
        <w:t xml:space="preserve"> </w:t>
      </w:r>
      <w:r w:rsidRPr="00895326">
        <w:rPr>
          <w:b/>
        </w:rPr>
        <w:t>(bent du) &lt;...&gt;</w:t>
      </w:r>
      <w:r w:rsidRPr="00895326">
        <w:t xml:space="preserve"> turintis ne trumpesnę nei 3 (trejų) metų projektų ar sutarčių kuriant (modernizuojant) ir diegiant valstybės informacines sistemas arba registrus patirtį; dalyvavęs bent viename informacinių technologijų projekte ar sutartyje, kurio (-</w:t>
      </w:r>
      <w:proofErr w:type="spellStart"/>
      <w:r w:rsidRPr="00895326">
        <w:t>os</w:t>
      </w:r>
      <w:proofErr w:type="spellEnd"/>
      <w:r w:rsidRPr="00895326">
        <w:t>) metu buvo kuriama (modernizuojama) valstybės informacinė sistema arba registras ir kurios apimtyje buvo įgyvendinta bent 1 (viena) integracija su kita valstybės informacine sistema arba registru, kur duomenų mainai su išorine valstybės informacine sistema arba registru realizuoti panaudojant žiniatinklio tarnybos (</w:t>
      </w:r>
      <w:proofErr w:type="spellStart"/>
      <w:r w:rsidRPr="00895326">
        <w:t>ang</w:t>
      </w:r>
      <w:proofErr w:type="spellEnd"/>
      <w:r w:rsidRPr="00895326">
        <w:t xml:space="preserve">. </w:t>
      </w:r>
      <w:proofErr w:type="spellStart"/>
      <w:r w:rsidRPr="00895326">
        <w:t>web</w:t>
      </w:r>
      <w:proofErr w:type="spellEnd"/>
      <w:r w:rsidRPr="00895326">
        <w:t xml:space="preserve"> </w:t>
      </w:r>
      <w:proofErr w:type="spellStart"/>
      <w:r w:rsidRPr="00895326">
        <w:t>service</w:t>
      </w:r>
      <w:proofErr w:type="spellEnd"/>
      <w:r w:rsidRPr="00895326">
        <w:t>) technologiją; dalyvavęs bent viename informacinių technologijų projekte ar sutartyje, kurio (-</w:t>
      </w:r>
      <w:proofErr w:type="spellStart"/>
      <w:r w:rsidRPr="00895326">
        <w:t>os</w:t>
      </w:r>
      <w:proofErr w:type="spellEnd"/>
      <w:r w:rsidRPr="00895326">
        <w:t xml:space="preserve">) apimtyje kuriant (modernizuojant) ir diegiant valstybės informacinę sistemą arba registrą, panaudotos veiklos procesų analizės (angl. </w:t>
      </w:r>
      <w:proofErr w:type="spellStart"/>
      <w:r w:rsidRPr="00895326">
        <w:t>Business</w:t>
      </w:r>
      <w:proofErr w:type="spellEnd"/>
      <w:r w:rsidRPr="00895326">
        <w:t xml:space="preserve"> </w:t>
      </w:r>
      <w:proofErr w:type="spellStart"/>
      <w:r w:rsidRPr="00895326">
        <w:t>Intelligence</w:t>
      </w:r>
      <w:proofErr w:type="spellEnd"/>
      <w:r w:rsidRPr="00895326">
        <w:t>) priemonės &lt;...&gt;“; „</w:t>
      </w:r>
      <w:r w:rsidRPr="00895326">
        <w:rPr>
          <w:b/>
        </w:rPr>
        <w:t xml:space="preserve">Informacinių sistemų analitikas &lt;...&gt; </w:t>
      </w:r>
      <w:r w:rsidRPr="00895326">
        <w:t>turintis ne trumpesnę nei 3 (trejų) metų projektų ar sutarčių kuriant (modernizuojant) ir diegiant valstybės informacines sistemas arba registrus patirtį; dalyvavęs bent viename informacinių technologijų projekte ar sutartyje, kurio (-</w:t>
      </w:r>
      <w:proofErr w:type="spellStart"/>
      <w:r w:rsidRPr="00895326">
        <w:t>os</w:t>
      </w:r>
      <w:proofErr w:type="spellEnd"/>
      <w:r w:rsidRPr="00895326">
        <w:t>)  metu buvo kuriama (modernizuojama) valstybės informacinė sistema arba registras ir kurios apimtyje buvo įgyvendinta bent 1 (viena) integracija su kita valstybės informacine sistema arba registru; dalyvavęs bent viename informacinių technologijų projekte ar sutartyje, kurio (-</w:t>
      </w:r>
      <w:proofErr w:type="spellStart"/>
      <w:r w:rsidRPr="00895326">
        <w:t>os</w:t>
      </w:r>
      <w:proofErr w:type="spellEnd"/>
      <w:r w:rsidRPr="00895326">
        <w:t>)  metu valstybės informacinė sistema arba registras buvo modeliuojami UML arba lygiaverte kalba &lt;...&gt;“; „</w:t>
      </w:r>
      <w:r w:rsidRPr="00895326">
        <w:rPr>
          <w:b/>
        </w:rPr>
        <w:t>Informacinių sistemų saugos vadovas &lt;...&gt;</w:t>
      </w:r>
      <w:r w:rsidRPr="00895326">
        <w:t xml:space="preserve"> turintis ne trumpesnę nei 3 (trejų) metų patirtį vertinant valstybės informacinių sistemų arba registrų saugumo aspektus &lt;...&gt;“; „</w:t>
      </w:r>
      <w:r w:rsidRPr="00895326">
        <w:rPr>
          <w:b/>
        </w:rPr>
        <w:t xml:space="preserve">Testuotojas &lt;...&gt; </w:t>
      </w:r>
      <w:r w:rsidRPr="00895326">
        <w:t>turintis ne trumpesnę nei 3 (trejų) metų projektų ar sutarčių vykdymo testuojant valstybės informacines sistemas arba registrus patirtį &lt;...&gt;“</w:t>
      </w:r>
      <w:r>
        <w:t>;</w:t>
      </w:r>
    </w:p>
  </w:footnote>
  <w:footnote w:id="4">
    <w:p w14:paraId="71239D32" w14:textId="77777777" w:rsidR="00AC61FB" w:rsidRDefault="00AC61FB" w:rsidP="00755B49">
      <w:pPr>
        <w:pStyle w:val="FootnoteText"/>
        <w:jc w:val="both"/>
      </w:pPr>
      <w:r>
        <w:rPr>
          <w:rStyle w:val="FootnoteReference"/>
        </w:rPr>
        <w:footnoteRef/>
      </w:r>
      <w:r>
        <w:t xml:space="preserve"> Tarnybos 2018-12-31 raštas Nr. 4S-1613 „Dėl dokumentų, susijusių su pirkimu Nr. 409070, pateikimo įvertinti“;</w:t>
      </w:r>
    </w:p>
  </w:footnote>
  <w:footnote w:id="5">
    <w:p w14:paraId="7E52802B" w14:textId="77777777" w:rsidR="00AC61FB" w:rsidRDefault="00AC61FB" w:rsidP="00755B49">
      <w:pPr>
        <w:pStyle w:val="FootnoteText"/>
        <w:jc w:val="both"/>
      </w:pPr>
      <w:r>
        <w:rPr>
          <w:rStyle w:val="FootnoteReference"/>
        </w:rPr>
        <w:footnoteRef/>
      </w:r>
      <w:r>
        <w:t xml:space="preserve"> Perkančiosios organizacijos 2019-01-18 raštas Nr. 2-T-80 „Dėl dokumentų, susijusių su pirkimu Nr. 409070, pateikimo įvertinti“;</w:t>
      </w:r>
    </w:p>
  </w:footnote>
  <w:footnote w:id="6">
    <w:p w14:paraId="3E0BFF50" w14:textId="77777777" w:rsidR="00AC61FB" w:rsidRDefault="00AC61FB" w:rsidP="00755B49">
      <w:pPr>
        <w:pStyle w:val="FootnoteText"/>
        <w:jc w:val="both"/>
      </w:pPr>
      <w:r>
        <w:rPr>
          <w:rStyle w:val="FootnoteReference"/>
        </w:rPr>
        <w:footnoteRef/>
      </w:r>
      <w:r>
        <w:t xml:space="preserve"> </w:t>
      </w:r>
      <w:r w:rsidRPr="00BA75E4">
        <w:t>Aukščiausiojo Teismo nutartis, priimta civilinėje byloje Nr. 3K-3-126/2010</w:t>
      </w:r>
      <w:r>
        <w:t>;</w:t>
      </w:r>
    </w:p>
  </w:footnote>
  <w:footnote w:id="7">
    <w:p w14:paraId="6D4E661E" w14:textId="77777777" w:rsidR="00AC61FB" w:rsidRDefault="00AC61FB" w:rsidP="00755B49">
      <w:pPr>
        <w:pStyle w:val="FootnoteText"/>
        <w:jc w:val="both"/>
      </w:pPr>
      <w:r>
        <w:rPr>
          <w:rStyle w:val="FootnoteReference"/>
        </w:rPr>
        <w:footnoteRef/>
      </w:r>
      <w:r>
        <w:t xml:space="preserve"> </w:t>
      </w:r>
      <w:r w:rsidRPr="00BA75E4">
        <w:t>Aukščiausiojo Teismo Civilinių bylų skyriaus teisėjų kolegijos 2008</w:t>
      </w:r>
      <w:r>
        <w:t>-04-08</w:t>
      </w:r>
      <w:r w:rsidRPr="00BA75E4">
        <w:t xml:space="preserve"> nutartis, priimta civilinėje byloje Nr. 3K-3-222/2008</w:t>
      </w:r>
      <w:r>
        <w:t>;</w:t>
      </w:r>
    </w:p>
  </w:footnote>
  <w:footnote w:id="8">
    <w:p w14:paraId="001098B3" w14:textId="77777777" w:rsidR="007253CC" w:rsidRDefault="007253CC" w:rsidP="00714B26">
      <w:pPr>
        <w:pStyle w:val="FootnoteText"/>
        <w:jc w:val="both"/>
      </w:pPr>
      <w:r>
        <w:rPr>
          <w:rStyle w:val="FootnoteReference"/>
        </w:rPr>
        <w:footnoteRef/>
      </w:r>
      <w:r>
        <w:t xml:space="preserve"> Įstatymo 47 straipsnio „&lt;...&gt; </w:t>
      </w:r>
      <w:r w:rsidRPr="00255C1D">
        <w:t>organizacijos nustatyti kandidatų ar dalyvių kvalifikacijos reikalavimai negali dirbtinai riboti konkurencijos, turi būti proporcingi ir susiję su pirkimo objektu</w:t>
      </w:r>
      <w:r>
        <w:t xml:space="preserve"> &lt;...&gt;“;</w:t>
      </w:r>
    </w:p>
  </w:footnote>
  <w:footnote w:id="9">
    <w:p w14:paraId="1D7227B3" w14:textId="661DFFD2" w:rsidR="00714B26" w:rsidRDefault="00714B26" w:rsidP="00714B26">
      <w:pPr>
        <w:pStyle w:val="FootnoteText"/>
        <w:jc w:val="both"/>
      </w:pPr>
      <w:r>
        <w:rPr>
          <w:rStyle w:val="FootnoteReference"/>
        </w:rPr>
        <w:footnoteRef/>
      </w:r>
      <w:r>
        <w:t xml:space="preserve"> Įstatymo 41 straipsnio 7 dalis „Tiekėjo kvalifikacijos reikalavimai nustatomi pagal Viešųjų pirkimų tarnybos patvirtintą tiekėjo kvalifikacijos reikalavimų nustatymo metodiką“;</w:t>
      </w:r>
    </w:p>
  </w:footnote>
  <w:footnote w:id="10">
    <w:p w14:paraId="051D8C11" w14:textId="58E2B0A9" w:rsidR="00E437E2" w:rsidRDefault="00E437E2" w:rsidP="00714B26">
      <w:pPr>
        <w:pStyle w:val="FootnoteText"/>
        <w:jc w:val="both"/>
      </w:pPr>
      <w:r>
        <w:rPr>
          <w:rStyle w:val="FootnoteReference"/>
        </w:rPr>
        <w:footnoteRef/>
      </w:r>
      <w:r>
        <w:t xml:space="preserve"> </w:t>
      </w:r>
      <w:r w:rsidRPr="00E437E2">
        <w:t>Tiekėjo kvalifikacijos reikalavimų nustatymo metodik</w:t>
      </w:r>
      <w:r>
        <w:t xml:space="preserve">a, patvirtinta Tarnybos direktoriaus </w:t>
      </w:r>
      <w:r w:rsidRPr="00E437E2">
        <w:t>2017</w:t>
      </w:r>
      <w:r>
        <w:t>-06-</w:t>
      </w:r>
      <w:r w:rsidRPr="00E437E2">
        <w:t>29</w:t>
      </w:r>
      <w:r>
        <w:t xml:space="preserve"> įsakymu</w:t>
      </w:r>
      <w:r w:rsidRPr="00E437E2">
        <w:t xml:space="preserve"> Nr. 1S-105</w:t>
      </w:r>
      <w:r>
        <w:t>;</w:t>
      </w:r>
    </w:p>
  </w:footnote>
  <w:footnote w:id="11">
    <w:p w14:paraId="44041AE6" w14:textId="00B6641F" w:rsidR="00E437E2" w:rsidRDefault="00E437E2" w:rsidP="00755B49">
      <w:pPr>
        <w:pStyle w:val="FootnoteText"/>
        <w:jc w:val="both"/>
      </w:pPr>
      <w:r>
        <w:rPr>
          <w:rStyle w:val="FootnoteReference"/>
        </w:rPr>
        <w:footnoteRef/>
      </w:r>
      <w:r>
        <w:t xml:space="preserve"> </w:t>
      </w:r>
      <w:r w:rsidRPr="00E437E2">
        <w:t>Pirkimo sąlygų 4.1 punkto lentelės Nr. 2 4.1.4.3</w:t>
      </w:r>
      <w:r>
        <w:t xml:space="preserve"> punktas „</w:t>
      </w:r>
      <w:r w:rsidRPr="00E437E2">
        <w:rPr>
          <w:b/>
        </w:rPr>
        <w:t>Programuotojas</w:t>
      </w:r>
      <w:r w:rsidRPr="00E437E2">
        <w:t xml:space="preserve"> </w:t>
      </w:r>
      <w:r w:rsidRPr="00E437E2">
        <w:rPr>
          <w:b/>
        </w:rPr>
        <w:t>(bent du) &lt;...&gt;</w:t>
      </w:r>
      <w:r w:rsidRPr="00E437E2">
        <w:t xml:space="preserve"> turintis ne trumpesnę nei 3 (trejų) metų projektų ar sutarčių kuriant (modernizuojant) ir diegiant valstybės informacines sistemas arba registrus patirtį; dalyvavęs bent viename informacinių technologijų projekte ar sutartyje, kurio (-</w:t>
      </w:r>
      <w:proofErr w:type="spellStart"/>
      <w:r w:rsidRPr="00E437E2">
        <w:t>os</w:t>
      </w:r>
      <w:proofErr w:type="spellEnd"/>
      <w:r w:rsidRPr="00E437E2">
        <w:t>) metu buvo kuriama (modernizuojama) valstybės informacinė sistema arba registras ir kurios apimtyje buvo įgyvendinta bent 1 (viena) integracija su kita valstybės informacine sistema arba registru, kur duomenų mainai su išorine valstybės informacine sistema arba registru realizuoti panaudojant žiniatinklio tarnybos (</w:t>
      </w:r>
      <w:proofErr w:type="spellStart"/>
      <w:r w:rsidRPr="00E437E2">
        <w:t>ang</w:t>
      </w:r>
      <w:proofErr w:type="spellEnd"/>
      <w:r w:rsidRPr="00E437E2">
        <w:t xml:space="preserve">. </w:t>
      </w:r>
      <w:proofErr w:type="spellStart"/>
      <w:r w:rsidRPr="00E437E2">
        <w:t>web</w:t>
      </w:r>
      <w:proofErr w:type="spellEnd"/>
      <w:r w:rsidRPr="00E437E2">
        <w:t xml:space="preserve"> </w:t>
      </w:r>
      <w:proofErr w:type="spellStart"/>
      <w:r w:rsidRPr="00E437E2">
        <w:t>service</w:t>
      </w:r>
      <w:proofErr w:type="spellEnd"/>
      <w:r w:rsidRPr="00E437E2">
        <w:t>) technologiją; dalyvavęs bent viename informacinių technologijų projekte ar sutartyje, kurio (-</w:t>
      </w:r>
      <w:proofErr w:type="spellStart"/>
      <w:r w:rsidRPr="00E437E2">
        <w:t>os</w:t>
      </w:r>
      <w:proofErr w:type="spellEnd"/>
      <w:r w:rsidRPr="00E437E2">
        <w:t xml:space="preserve">) apimtyje kuriant (modernizuojant) ir diegiant valstybės informacinę sistemą arba registrą, panaudotos veiklos procesų analizės (angl. </w:t>
      </w:r>
      <w:proofErr w:type="spellStart"/>
      <w:r w:rsidRPr="00E437E2">
        <w:t>Business</w:t>
      </w:r>
      <w:proofErr w:type="spellEnd"/>
      <w:r w:rsidRPr="00E437E2">
        <w:t xml:space="preserve"> </w:t>
      </w:r>
      <w:proofErr w:type="spellStart"/>
      <w:r w:rsidRPr="00E437E2">
        <w:t>Intelligence</w:t>
      </w:r>
      <w:proofErr w:type="spellEnd"/>
      <w:r w:rsidRPr="00E437E2">
        <w:t>) priemonės &lt;...&gt;</w:t>
      </w:r>
      <w:r>
        <w:t>“;</w:t>
      </w:r>
    </w:p>
  </w:footnote>
  <w:footnote w:id="12">
    <w:p w14:paraId="15896D3B" w14:textId="3508BA65" w:rsidR="00AC61FB" w:rsidRDefault="00AC61FB" w:rsidP="00755B49">
      <w:pPr>
        <w:pStyle w:val="FootnoteText"/>
        <w:jc w:val="both"/>
      </w:pPr>
      <w:r>
        <w:rPr>
          <w:rStyle w:val="FootnoteReference"/>
        </w:rPr>
        <w:footnoteRef/>
      </w:r>
      <w:r>
        <w:t xml:space="preserve"> </w:t>
      </w:r>
      <w:r w:rsidRPr="002622F0">
        <w:t>Perkančiosios organizacijos 2019-01-18 raštas Nr. 2-T-80 „Dėl dokumentų, susijusių su pirkimu Nr. 409070, pateikimo įvertinti“</w:t>
      </w:r>
      <w:r w:rsidR="00F62D1F">
        <w:t>;</w:t>
      </w:r>
    </w:p>
  </w:footnote>
  <w:footnote w:id="13">
    <w:p w14:paraId="45CDF273" w14:textId="720932D4" w:rsidR="00AC61FB" w:rsidRDefault="00AC61FB" w:rsidP="00755B49">
      <w:pPr>
        <w:pStyle w:val="FootnoteText"/>
        <w:jc w:val="both"/>
      </w:pPr>
      <w:r>
        <w:rPr>
          <w:rStyle w:val="FootnoteReference"/>
        </w:rPr>
        <w:footnoteRef/>
      </w:r>
      <w:r>
        <w:t xml:space="preserve"> </w:t>
      </w:r>
      <w:r w:rsidR="00F62D1F">
        <w:t>Lietuvos Respublikos azartinių lošimų įstatym</w:t>
      </w:r>
      <w:r w:rsidR="0063743D">
        <w:t>o Nr. IX-325 2, 10,</w:t>
      </w:r>
      <w:r w:rsidR="00D2397A">
        <w:t xml:space="preserve"> 15, 16, 29 straipsnių pakeitimo ir Įstatymo papildymo 15</w:t>
      </w:r>
      <w:r w:rsidR="00D2397A" w:rsidRPr="00D2397A">
        <w:rPr>
          <w:vertAlign w:val="superscript"/>
        </w:rPr>
        <w:t>1</w:t>
      </w:r>
      <w:r w:rsidR="00D2397A">
        <w:t>, 16</w:t>
      </w:r>
      <w:r w:rsidR="00D2397A" w:rsidRPr="00D2397A">
        <w:rPr>
          <w:vertAlign w:val="superscript"/>
        </w:rPr>
        <w:t>1</w:t>
      </w:r>
      <w:r w:rsidR="00D2397A">
        <w:t xml:space="preserve"> straipsniais įstatymas</w:t>
      </w:r>
      <w:r w:rsidR="00F62D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CB58"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7D98B4"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7C98"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30BFBD8B"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5"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714661B6"/>
    <w:multiLevelType w:val="hybridMultilevel"/>
    <w:tmpl w:val="41586252"/>
    <w:lvl w:ilvl="0" w:tplc="3E9E87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3"/>
  </w:num>
  <w:num w:numId="4">
    <w:abstractNumId w:val="10"/>
  </w:num>
  <w:num w:numId="5">
    <w:abstractNumId w:val="4"/>
  </w:num>
  <w:num w:numId="6">
    <w:abstractNumId w:val="7"/>
  </w:num>
  <w:num w:numId="7">
    <w:abstractNumId w:val="8"/>
  </w:num>
  <w:num w:numId="8">
    <w:abstractNumId w:val="6"/>
  </w:num>
  <w:num w:numId="9">
    <w:abstractNumId w:val="5"/>
  </w:num>
  <w:num w:numId="10">
    <w:abstractNumId w:val="9"/>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14F6D"/>
    <w:rsid w:val="000205A5"/>
    <w:rsid w:val="00020AEA"/>
    <w:rsid w:val="000316E4"/>
    <w:rsid w:val="00032E30"/>
    <w:rsid w:val="00041165"/>
    <w:rsid w:val="00041FEB"/>
    <w:rsid w:val="00052C12"/>
    <w:rsid w:val="0005793E"/>
    <w:rsid w:val="00060736"/>
    <w:rsid w:val="00065D63"/>
    <w:rsid w:val="00067E13"/>
    <w:rsid w:val="0008064A"/>
    <w:rsid w:val="00091B12"/>
    <w:rsid w:val="00094D97"/>
    <w:rsid w:val="00096D17"/>
    <w:rsid w:val="000A5831"/>
    <w:rsid w:val="000A5DDD"/>
    <w:rsid w:val="000A5F05"/>
    <w:rsid w:val="000B3F13"/>
    <w:rsid w:val="000B476E"/>
    <w:rsid w:val="000C26A8"/>
    <w:rsid w:val="000C2DFC"/>
    <w:rsid w:val="000D0EA9"/>
    <w:rsid w:val="000D2CBD"/>
    <w:rsid w:val="000D53C4"/>
    <w:rsid w:val="000D62B7"/>
    <w:rsid w:val="000D695C"/>
    <w:rsid w:val="000E1FE2"/>
    <w:rsid w:val="000E3A2E"/>
    <w:rsid w:val="0010247F"/>
    <w:rsid w:val="0010506F"/>
    <w:rsid w:val="0010592B"/>
    <w:rsid w:val="00120487"/>
    <w:rsid w:val="00120B1E"/>
    <w:rsid w:val="0012239F"/>
    <w:rsid w:val="00124ED9"/>
    <w:rsid w:val="00126EDE"/>
    <w:rsid w:val="0013157D"/>
    <w:rsid w:val="001319A4"/>
    <w:rsid w:val="00135455"/>
    <w:rsid w:val="0013783E"/>
    <w:rsid w:val="001413CF"/>
    <w:rsid w:val="00141EF4"/>
    <w:rsid w:val="00142022"/>
    <w:rsid w:val="00147903"/>
    <w:rsid w:val="001515B0"/>
    <w:rsid w:val="00162FFD"/>
    <w:rsid w:val="00164491"/>
    <w:rsid w:val="0017293C"/>
    <w:rsid w:val="00177B63"/>
    <w:rsid w:val="00180FA9"/>
    <w:rsid w:val="00185600"/>
    <w:rsid w:val="0018705A"/>
    <w:rsid w:val="0019643A"/>
    <w:rsid w:val="001A0227"/>
    <w:rsid w:val="001A20D5"/>
    <w:rsid w:val="001C2ACF"/>
    <w:rsid w:val="001C3767"/>
    <w:rsid w:val="001D2099"/>
    <w:rsid w:val="001D7644"/>
    <w:rsid w:val="001E1299"/>
    <w:rsid w:val="001E4DA1"/>
    <w:rsid w:val="001E4F4B"/>
    <w:rsid w:val="001E6AE7"/>
    <w:rsid w:val="001E6B4E"/>
    <w:rsid w:val="001E7D68"/>
    <w:rsid w:val="001F0D66"/>
    <w:rsid w:val="001F21C3"/>
    <w:rsid w:val="001F3240"/>
    <w:rsid w:val="001F3259"/>
    <w:rsid w:val="001F54EA"/>
    <w:rsid w:val="001F557F"/>
    <w:rsid w:val="001F7EEE"/>
    <w:rsid w:val="00200CBA"/>
    <w:rsid w:val="00201C9C"/>
    <w:rsid w:val="00205813"/>
    <w:rsid w:val="002121EC"/>
    <w:rsid w:val="00212DE7"/>
    <w:rsid w:val="002150D8"/>
    <w:rsid w:val="00217670"/>
    <w:rsid w:val="00220F8C"/>
    <w:rsid w:val="00221BE8"/>
    <w:rsid w:val="002237A5"/>
    <w:rsid w:val="00227615"/>
    <w:rsid w:val="00233FF7"/>
    <w:rsid w:val="00234580"/>
    <w:rsid w:val="00236278"/>
    <w:rsid w:val="0023768A"/>
    <w:rsid w:val="00237E48"/>
    <w:rsid w:val="002438F5"/>
    <w:rsid w:val="00255C1D"/>
    <w:rsid w:val="0025785A"/>
    <w:rsid w:val="002622F0"/>
    <w:rsid w:val="00263C03"/>
    <w:rsid w:val="002672AB"/>
    <w:rsid w:val="00272363"/>
    <w:rsid w:val="00273073"/>
    <w:rsid w:val="00275667"/>
    <w:rsid w:val="002824E2"/>
    <w:rsid w:val="00285309"/>
    <w:rsid w:val="00285F4F"/>
    <w:rsid w:val="00295462"/>
    <w:rsid w:val="0029776E"/>
    <w:rsid w:val="002A37FA"/>
    <w:rsid w:val="002A4FCB"/>
    <w:rsid w:val="002A6FD8"/>
    <w:rsid w:val="002A78D5"/>
    <w:rsid w:val="002B1FA3"/>
    <w:rsid w:val="002C427F"/>
    <w:rsid w:val="002D229A"/>
    <w:rsid w:val="002E19B3"/>
    <w:rsid w:val="002E270E"/>
    <w:rsid w:val="002E3BE6"/>
    <w:rsid w:val="002E640E"/>
    <w:rsid w:val="002F3103"/>
    <w:rsid w:val="002F7678"/>
    <w:rsid w:val="002F7DA1"/>
    <w:rsid w:val="003021F5"/>
    <w:rsid w:val="00310941"/>
    <w:rsid w:val="003126F6"/>
    <w:rsid w:val="00312B1A"/>
    <w:rsid w:val="00312F73"/>
    <w:rsid w:val="00313908"/>
    <w:rsid w:val="00323502"/>
    <w:rsid w:val="00327DC8"/>
    <w:rsid w:val="00330F2D"/>
    <w:rsid w:val="003312CA"/>
    <w:rsid w:val="00334F10"/>
    <w:rsid w:val="00335354"/>
    <w:rsid w:val="003410EB"/>
    <w:rsid w:val="0034260D"/>
    <w:rsid w:val="00344D5E"/>
    <w:rsid w:val="00345795"/>
    <w:rsid w:val="0034771D"/>
    <w:rsid w:val="003478ED"/>
    <w:rsid w:val="0036093A"/>
    <w:rsid w:val="00360CC7"/>
    <w:rsid w:val="003631BF"/>
    <w:rsid w:val="00371C99"/>
    <w:rsid w:val="003830E2"/>
    <w:rsid w:val="00386371"/>
    <w:rsid w:val="003871FF"/>
    <w:rsid w:val="00390281"/>
    <w:rsid w:val="003A4870"/>
    <w:rsid w:val="003A5B17"/>
    <w:rsid w:val="003A64B7"/>
    <w:rsid w:val="003B0261"/>
    <w:rsid w:val="003B71B4"/>
    <w:rsid w:val="003C11D2"/>
    <w:rsid w:val="003C5714"/>
    <w:rsid w:val="003C6B99"/>
    <w:rsid w:val="003D36FE"/>
    <w:rsid w:val="003D70BB"/>
    <w:rsid w:val="003E5B85"/>
    <w:rsid w:val="003F042B"/>
    <w:rsid w:val="003F1EE1"/>
    <w:rsid w:val="003F220C"/>
    <w:rsid w:val="003F2584"/>
    <w:rsid w:val="003F2855"/>
    <w:rsid w:val="003F4B96"/>
    <w:rsid w:val="003F55CE"/>
    <w:rsid w:val="003F5B08"/>
    <w:rsid w:val="00400B80"/>
    <w:rsid w:val="00404517"/>
    <w:rsid w:val="00411310"/>
    <w:rsid w:val="0041379D"/>
    <w:rsid w:val="00420B99"/>
    <w:rsid w:val="00422589"/>
    <w:rsid w:val="004229CA"/>
    <w:rsid w:val="00422A5D"/>
    <w:rsid w:val="00427CC6"/>
    <w:rsid w:val="0043041A"/>
    <w:rsid w:val="004309DA"/>
    <w:rsid w:val="00430B91"/>
    <w:rsid w:val="0043449E"/>
    <w:rsid w:val="00441571"/>
    <w:rsid w:val="00454216"/>
    <w:rsid w:val="00457A4A"/>
    <w:rsid w:val="00461D7F"/>
    <w:rsid w:val="00474479"/>
    <w:rsid w:val="004763F4"/>
    <w:rsid w:val="004826A4"/>
    <w:rsid w:val="004828F7"/>
    <w:rsid w:val="004A3586"/>
    <w:rsid w:val="004A4318"/>
    <w:rsid w:val="004B1D3A"/>
    <w:rsid w:val="004B41BA"/>
    <w:rsid w:val="004B4D76"/>
    <w:rsid w:val="004C2772"/>
    <w:rsid w:val="004C79E3"/>
    <w:rsid w:val="004D18E9"/>
    <w:rsid w:val="004D47C1"/>
    <w:rsid w:val="004F150F"/>
    <w:rsid w:val="004F4A6D"/>
    <w:rsid w:val="004F787A"/>
    <w:rsid w:val="004F7DE8"/>
    <w:rsid w:val="00505F34"/>
    <w:rsid w:val="0051338C"/>
    <w:rsid w:val="00521032"/>
    <w:rsid w:val="005226CE"/>
    <w:rsid w:val="00523B0B"/>
    <w:rsid w:val="00524684"/>
    <w:rsid w:val="0052505A"/>
    <w:rsid w:val="005277C1"/>
    <w:rsid w:val="00534E0D"/>
    <w:rsid w:val="00536BD1"/>
    <w:rsid w:val="0054095A"/>
    <w:rsid w:val="005541DF"/>
    <w:rsid w:val="00561AEF"/>
    <w:rsid w:val="005633F6"/>
    <w:rsid w:val="005903A4"/>
    <w:rsid w:val="00592506"/>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3F"/>
    <w:rsid w:val="005F16E7"/>
    <w:rsid w:val="005F2425"/>
    <w:rsid w:val="005F242B"/>
    <w:rsid w:val="005F2C7C"/>
    <w:rsid w:val="0060072C"/>
    <w:rsid w:val="00602D87"/>
    <w:rsid w:val="00603DF2"/>
    <w:rsid w:val="006157DD"/>
    <w:rsid w:val="00616232"/>
    <w:rsid w:val="0062617D"/>
    <w:rsid w:val="00631C67"/>
    <w:rsid w:val="00635C14"/>
    <w:rsid w:val="00635D84"/>
    <w:rsid w:val="0063743D"/>
    <w:rsid w:val="00642E1E"/>
    <w:rsid w:val="00646FEC"/>
    <w:rsid w:val="006473CD"/>
    <w:rsid w:val="00651C88"/>
    <w:rsid w:val="00651D27"/>
    <w:rsid w:val="00652277"/>
    <w:rsid w:val="00657BE8"/>
    <w:rsid w:val="00664415"/>
    <w:rsid w:val="006755D0"/>
    <w:rsid w:val="006772F3"/>
    <w:rsid w:val="0068226E"/>
    <w:rsid w:val="00685AA6"/>
    <w:rsid w:val="00685B6D"/>
    <w:rsid w:val="00687076"/>
    <w:rsid w:val="00690800"/>
    <w:rsid w:val="00692318"/>
    <w:rsid w:val="0069254A"/>
    <w:rsid w:val="00692D70"/>
    <w:rsid w:val="00693D5D"/>
    <w:rsid w:val="006A0434"/>
    <w:rsid w:val="006C1805"/>
    <w:rsid w:val="006C3CE6"/>
    <w:rsid w:val="006C3DE0"/>
    <w:rsid w:val="006C4B2C"/>
    <w:rsid w:val="006C4D48"/>
    <w:rsid w:val="006D2A79"/>
    <w:rsid w:val="006E1FB1"/>
    <w:rsid w:val="006E371A"/>
    <w:rsid w:val="006E5BDF"/>
    <w:rsid w:val="006F5A1F"/>
    <w:rsid w:val="006F6A2B"/>
    <w:rsid w:val="006F7E56"/>
    <w:rsid w:val="00714B26"/>
    <w:rsid w:val="007229DE"/>
    <w:rsid w:val="00722A57"/>
    <w:rsid w:val="007253CC"/>
    <w:rsid w:val="00726D76"/>
    <w:rsid w:val="007302DD"/>
    <w:rsid w:val="007304BD"/>
    <w:rsid w:val="007336CA"/>
    <w:rsid w:val="00734403"/>
    <w:rsid w:val="00736125"/>
    <w:rsid w:val="00740FCA"/>
    <w:rsid w:val="007476E6"/>
    <w:rsid w:val="00751AD9"/>
    <w:rsid w:val="00754E9D"/>
    <w:rsid w:val="00755B49"/>
    <w:rsid w:val="007724B7"/>
    <w:rsid w:val="00775BE5"/>
    <w:rsid w:val="00781A8B"/>
    <w:rsid w:val="00785319"/>
    <w:rsid w:val="00793342"/>
    <w:rsid w:val="007939D1"/>
    <w:rsid w:val="007A094A"/>
    <w:rsid w:val="007A7CC6"/>
    <w:rsid w:val="007B18D7"/>
    <w:rsid w:val="007B418D"/>
    <w:rsid w:val="007B5F54"/>
    <w:rsid w:val="007C7EC9"/>
    <w:rsid w:val="007D0BB6"/>
    <w:rsid w:val="007D2C04"/>
    <w:rsid w:val="007E063B"/>
    <w:rsid w:val="007E41E0"/>
    <w:rsid w:val="007E5CFB"/>
    <w:rsid w:val="007E6444"/>
    <w:rsid w:val="007E66F4"/>
    <w:rsid w:val="007F09D7"/>
    <w:rsid w:val="007F205E"/>
    <w:rsid w:val="007F4DB5"/>
    <w:rsid w:val="00805FB6"/>
    <w:rsid w:val="00806DC3"/>
    <w:rsid w:val="0081123D"/>
    <w:rsid w:val="0081258D"/>
    <w:rsid w:val="00815FF2"/>
    <w:rsid w:val="00822507"/>
    <w:rsid w:val="0082471C"/>
    <w:rsid w:val="0083611F"/>
    <w:rsid w:val="008403BB"/>
    <w:rsid w:val="0084263D"/>
    <w:rsid w:val="00862D96"/>
    <w:rsid w:val="0087178C"/>
    <w:rsid w:val="00876609"/>
    <w:rsid w:val="008842E8"/>
    <w:rsid w:val="008910D3"/>
    <w:rsid w:val="00892C2E"/>
    <w:rsid w:val="00895326"/>
    <w:rsid w:val="008A6509"/>
    <w:rsid w:val="008A6E81"/>
    <w:rsid w:val="008B3261"/>
    <w:rsid w:val="008C218C"/>
    <w:rsid w:val="008D20C6"/>
    <w:rsid w:val="008D4DFC"/>
    <w:rsid w:val="008D6832"/>
    <w:rsid w:val="008D6887"/>
    <w:rsid w:val="008D74A5"/>
    <w:rsid w:val="008E2B0B"/>
    <w:rsid w:val="008E5917"/>
    <w:rsid w:val="008F0B5C"/>
    <w:rsid w:val="008F0EB8"/>
    <w:rsid w:val="008F4339"/>
    <w:rsid w:val="008F62AA"/>
    <w:rsid w:val="00904C27"/>
    <w:rsid w:val="00905DF3"/>
    <w:rsid w:val="009103EC"/>
    <w:rsid w:val="009149F4"/>
    <w:rsid w:val="00922E31"/>
    <w:rsid w:val="00926DA2"/>
    <w:rsid w:val="009331BE"/>
    <w:rsid w:val="00935C07"/>
    <w:rsid w:val="00947956"/>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1F4A"/>
    <w:rsid w:val="00A1308C"/>
    <w:rsid w:val="00A269F6"/>
    <w:rsid w:val="00A26BB4"/>
    <w:rsid w:val="00A27B6C"/>
    <w:rsid w:val="00A31B03"/>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A74AA"/>
    <w:rsid w:val="00AB1B38"/>
    <w:rsid w:val="00AB346E"/>
    <w:rsid w:val="00AC16CB"/>
    <w:rsid w:val="00AC5C85"/>
    <w:rsid w:val="00AC61FB"/>
    <w:rsid w:val="00AD6768"/>
    <w:rsid w:val="00AE1F4E"/>
    <w:rsid w:val="00AE3433"/>
    <w:rsid w:val="00AE357F"/>
    <w:rsid w:val="00AE5D6A"/>
    <w:rsid w:val="00AE6A81"/>
    <w:rsid w:val="00AF031A"/>
    <w:rsid w:val="00AF220F"/>
    <w:rsid w:val="00AF7F8F"/>
    <w:rsid w:val="00B00D21"/>
    <w:rsid w:val="00B0406C"/>
    <w:rsid w:val="00B043CA"/>
    <w:rsid w:val="00B04E7C"/>
    <w:rsid w:val="00B11696"/>
    <w:rsid w:val="00B17F68"/>
    <w:rsid w:val="00B20827"/>
    <w:rsid w:val="00B23044"/>
    <w:rsid w:val="00B23944"/>
    <w:rsid w:val="00B33D0D"/>
    <w:rsid w:val="00B340B3"/>
    <w:rsid w:val="00B449B5"/>
    <w:rsid w:val="00B513F0"/>
    <w:rsid w:val="00B52446"/>
    <w:rsid w:val="00B55C05"/>
    <w:rsid w:val="00B56BEA"/>
    <w:rsid w:val="00B64414"/>
    <w:rsid w:val="00B64D5D"/>
    <w:rsid w:val="00B71637"/>
    <w:rsid w:val="00B74584"/>
    <w:rsid w:val="00B96F96"/>
    <w:rsid w:val="00B97313"/>
    <w:rsid w:val="00BA1022"/>
    <w:rsid w:val="00BA5737"/>
    <w:rsid w:val="00BA75E4"/>
    <w:rsid w:val="00BA7823"/>
    <w:rsid w:val="00BA7F95"/>
    <w:rsid w:val="00BB0779"/>
    <w:rsid w:val="00BB139E"/>
    <w:rsid w:val="00BB1BA7"/>
    <w:rsid w:val="00BB5959"/>
    <w:rsid w:val="00BB5BE8"/>
    <w:rsid w:val="00BB7E08"/>
    <w:rsid w:val="00BD08B8"/>
    <w:rsid w:val="00BD26D0"/>
    <w:rsid w:val="00BD5C52"/>
    <w:rsid w:val="00BD6C5E"/>
    <w:rsid w:val="00BE12CD"/>
    <w:rsid w:val="00BE16FC"/>
    <w:rsid w:val="00BF03E9"/>
    <w:rsid w:val="00BF2D89"/>
    <w:rsid w:val="00BF78AF"/>
    <w:rsid w:val="00C05A9C"/>
    <w:rsid w:val="00C066CB"/>
    <w:rsid w:val="00C06F9D"/>
    <w:rsid w:val="00C13EE4"/>
    <w:rsid w:val="00C14D1C"/>
    <w:rsid w:val="00C15C51"/>
    <w:rsid w:val="00C177C5"/>
    <w:rsid w:val="00C22B6A"/>
    <w:rsid w:val="00C22C9F"/>
    <w:rsid w:val="00C255C9"/>
    <w:rsid w:val="00C25676"/>
    <w:rsid w:val="00C3301D"/>
    <w:rsid w:val="00C34F10"/>
    <w:rsid w:val="00C43438"/>
    <w:rsid w:val="00C442F4"/>
    <w:rsid w:val="00C45851"/>
    <w:rsid w:val="00C50192"/>
    <w:rsid w:val="00C51E34"/>
    <w:rsid w:val="00C616C5"/>
    <w:rsid w:val="00C61FA2"/>
    <w:rsid w:val="00C65220"/>
    <w:rsid w:val="00C70B46"/>
    <w:rsid w:val="00C72525"/>
    <w:rsid w:val="00C874ED"/>
    <w:rsid w:val="00C901A1"/>
    <w:rsid w:val="00C918D3"/>
    <w:rsid w:val="00C932CA"/>
    <w:rsid w:val="00C96169"/>
    <w:rsid w:val="00C97613"/>
    <w:rsid w:val="00CA4DE7"/>
    <w:rsid w:val="00CA6600"/>
    <w:rsid w:val="00CB0FE5"/>
    <w:rsid w:val="00CB2D3D"/>
    <w:rsid w:val="00CB4367"/>
    <w:rsid w:val="00CB5024"/>
    <w:rsid w:val="00CB511F"/>
    <w:rsid w:val="00CB7DD8"/>
    <w:rsid w:val="00CC2618"/>
    <w:rsid w:val="00CD32F4"/>
    <w:rsid w:val="00CE0859"/>
    <w:rsid w:val="00CE229D"/>
    <w:rsid w:val="00CE3028"/>
    <w:rsid w:val="00CE56C4"/>
    <w:rsid w:val="00CE5DDA"/>
    <w:rsid w:val="00CF16AA"/>
    <w:rsid w:val="00CF6491"/>
    <w:rsid w:val="00D04A3A"/>
    <w:rsid w:val="00D07A2E"/>
    <w:rsid w:val="00D11B3F"/>
    <w:rsid w:val="00D11DD3"/>
    <w:rsid w:val="00D14C8F"/>
    <w:rsid w:val="00D23138"/>
    <w:rsid w:val="00D2397A"/>
    <w:rsid w:val="00D25F45"/>
    <w:rsid w:val="00D34463"/>
    <w:rsid w:val="00D351F9"/>
    <w:rsid w:val="00D469FE"/>
    <w:rsid w:val="00D475C2"/>
    <w:rsid w:val="00D52DAB"/>
    <w:rsid w:val="00D55AF8"/>
    <w:rsid w:val="00D57C46"/>
    <w:rsid w:val="00D619CB"/>
    <w:rsid w:val="00D65970"/>
    <w:rsid w:val="00D670B0"/>
    <w:rsid w:val="00D67326"/>
    <w:rsid w:val="00D74CD2"/>
    <w:rsid w:val="00D807D2"/>
    <w:rsid w:val="00D8632C"/>
    <w:rsid w:val="00D9426D"/>
    <w:rsid w:val="00D95558"/>
    <w:rsid w:val="00D95BC3"/>
    <w:rsid w:val="00D97020"/>
    <w:rsid w:val="00DA16B9"/>
    <w:rsid w:val="00DB28BF"/>
    <w:rsid w:val="00DB731C"/>
    <w:rsid w:val="00DC45DD"/>
    <w:rsid w:val="00DC592F"/>
    <w:rsid w:val="00DC6B37"/>
    <w:rsid w:val="00DC6C6D"/>
    <w:rsid w:val="00DD4403"/>
    <w:rsid w:val="00DD6D6D"/>
    <w:rsid w:val="00DE0D9A"/>
    <w:rsid w:val="00DE176C"/>
    <w:rsid w:val="00DE4107"/>
    <w:rsid w:val="00DE42FC"/>
    <w:rsid w:val="00DE457C"/>
    <w:rsid w:val="00DE5C30"/>
    <w:rsid w:val="00DE671D"/>
    <w:rsid w:val="00DF23C2"/>
    <w:rsid w:val="00DF48E5"/>
    <w:rsid w:val="00E065C8"/>
    <w:rsid w:val="00E105D7"/>
    <w:rsid w:val="00E32469"/>
    <w:rsid w:val="00E375C0"/>
    <w:rsid w:val="00E4236F"/>
    <w:rsid w:val="00E424BD"/>
    <w:rsid w:val="00E437E2"/>
    <w:rsid w:val="00E46269"/>
    <w:rsid w:val="00E47BA3"/>
    <w:rsid w:val="00E50D25"/>
    <w:rsid w:val="00E52C4E"/>
    <w:rsid w:val="00E56998"/>
    <w:rsid w:val="00E64057"/>
    <w:rsid w:val="00E644BF"/>
    <w:rsid w:val="00E6614F"/>
    <w:rsid w:val="00E73883"/>
    <w:rsid w:val="00E75534"/>
    <w:rsid w:val="00E75B4A"/>
    <w:rsid w:val="00E76B8E"/>
    <w:rsid w:val="00E873DE"/>
    <w:rsid w:val="00E87A05"/>
    <w:rsid w:val="00E900D3"/>
    <w:rsid w:val="00EA4E2B"/>
    <w:rsid w:val="00EB6FA4"/>
    <w:rsid w:val="00EB79C5"/>
    <w:rsid w:val="00EC4F58"/>
    <w:rsid w:val="00EC5839"/>
    <w:rsid w:val="00ED19CF"/>
    <w:rsid w:val="00ED4937"/>
    <w:rsid w:val="00ED6946"/>
    <w:rsid w:val="00ED7FBF"/>
    <w:rsid w:val="00EE3316"/>
    <w:rsid w:val="00EE41DE"/>
    <w:rsid w:val="00EF201F"/>
    <w:rsid w:val="00EF7000"/>
    <w:rsid w:val="00F00111"/>
    <w:rsid w:val="00F10DD2"/>
    <w:rsid w:val="00F114EF"/>
    <w:rsid w:val="00F17D9E"/>
    <w:rsid w:val="00F202B1"/>
    <w:rsid w:val="00F23366"/>
    <w:rsid w:val="00F24F89"/>
    <w:rsid w:val="00F2612C"/>
    <w:rsid w:val="00F30236"/>
    <w:rsid w:val="00F358A9"/>
    <w:rsid w:val="00F62141"/>
    <w:rsid w:val="00F62D1F"/>
    <w:rsid w:val="00F62F10"/>
    <w:rsid w:val="00F64F60"/>
    <w:rsid w:val="00F6674F"/>
    <w:rsid w:val="00F66D96"/>
    <w:rsid w:val="00F705CD"/>
    <w:rsid w:val="00F72BD0"/>
    <w:rsid w:val="00F75E2A"/>
    <w:rsid w:val="00F76A2C"/>
    <w:rsid w:val="00F81AEE"/>
    <w:rsid w:val="00F85F24"/>
    <w:rsid w:val="00F87C46"/>
    <w:rsid w:val="00F903B5"/>
    <w:rsid w:val="00F92D4E"/>
    <w:rsid w:val="00F93CA0"/>
    <w:rsid w:val="00FA0C2E"/>
    <w:rsid w:val="00FA5DDD"/>
    <w:rsid w:val="00FA65F3"/>
    <w:rsid w:val="00FC0222"/>
    <w:rsid w:val="00FC0285"/>
    <w:rsid w:val="00FC101E"/>
    <w:rsid w:val="00FD1061"/>
    <w:rsid w:val="00FD339F"/>
    <w:rsid w:val="00FD3DE9"/>
    <w:rsid w:val="00FD4E2D"/>
    <w:rsid w:val="00FD56A5"/>
    <w:rsid w:val="00FD5D7D"/>
    <w:rsid w:val="00FD5E3C"/>
    <w:rsid w:val="00FD6E2C"/>
    <w:rsid w:val="00FD7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804CF0"/>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rsid w:val="007939D1"/>
  </w:style>
  <w:style w:type="character" w:customStyle="1" w:styleId="FootnoteTextChar">
    <w:name w:val="Footnote Text Char"/>
    <w:basedOn w:val="DefaultParagraphFont"/>
    <w:link w:val="FootnoteText"/>
    <w:rsid w:val="007939D1"/>
    <w:rPr>
      <w:lang w:eastAsia="en-US"/>
    </w:rPr>
  </w:style>
  <w:style w:type="character" w:styleId="FootnoteReference">
    <w:name w:val="footnote reference"/>
    <w:unhideWhenUsed/>
    <w:rsid w:val="00793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0086D-6530-4503-BE53-A51157BE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5</Pages>
  <Words>1417</Words>
  <Characters>10829</Characters>
  <Application>Microsoft Office Word</Application>
  <DocSecurity>0</DocSecurity>
  <Lines>90</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Šarūnė Jatulytė</cp:lastModifiedBy>
  <cp:revision>80</cp:revision>
  <cp:lastPrinted>2019-02-11T14:27:00Z</cp:lastPrinted>
  <dcterms:created xsi:type="dcterms:W3CDTF">2019-01-29T13:04:00Z</dcterms:created>
  <dcterms:modified xsi:type="dcterms:W3CDTF">2019-02-11T14:29:00Z</dcterms:modified>
</cp:coreProperties>
</file>