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BEEE" w14:textId="77777777" w:rsidR="00781FA3" w:rsidRPr="00743124" w:rsidRDefault="00781FA3" w:rsidP="00781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3124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69D377" wp14:editId="11E256D2">
            <wp:extent cx="552450" cy="558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8DE6" w14:textId="77777777" w:rsidR="00781FA3" w:rsidRPr="00743124" w:rsidRDefault="00781FA3" w:rsidP="00781FA3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0C776F" w14:textId="77777777" w:rsidR="00781FA3" w:rsidRPr="00743124" w:rsidRDefault="00781FA3" w:rsidP="00781FA3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124">
        <w:rPr>
          <w:rFonts w:ascii="Times New Roman" w:hAnsi="Times New Roman"/>
          <w:b/>
          <w:bCs/>
          <w:sz w:val="24"/>
          <w:szCs w:val="24"/>
        </w:rPr>
        <w:t>VIEŠŲJŲ PIRKIMŲ TARNYBA</w:t>
      </w:r>
    </w:p>
    <w:tbl>
      <w:tblPr>
        <w:tblW w:w="1100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085"/>
        <w:gridCol w:w="284"/>
        <w:gridCol w:w="284"/>
        <w:gridCol w:w="1417"/>
        <w:gridCol w:w="284"/>
        <w:gridCol w:w="566"/>
        <w:gridCol w:w="2802"/>
        <w:gridCol w:w="284"/>
      </w:tblGrid>
      <w:tr w:rsidR="00FE3491" w:rsidRPr="00CC066B" w14:paraId="444D7288" w14:textId="77777777" w:rsidTr="00FE3491">
        <w:trPr>
          <w:gridAfter w:val="1"/>
          <w:wAfter w:w="284" w:type="dxa"/>
          <w:cantSplit/>
          <w:trHeight w:val="718"/>
        </w:trPr>
        <w:tc>
          <w:tcPr>
            <w:tcW w:w="5085" w:type="dxa"/>
            <w:vMerge w:val="restart"/>
          </w:tcPr>
          <w:p w14:paraId="2814B470" w14:textId="77777777" w:rsidR="00FE3491" w:rsidRPr="00CC066B" w:rsidRDefault="00FE3491" w:rsidP="00207EE3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74230583"/>
            <w:bookmarkStart w:id="1" w:name="_Hlk76009466"/>
          </w:p>
          <w:p w14:paraId="36E1C3A7" w14:textId="77777777" w:rsidR="00FE3491" w:rsidRPr="00271F9A" w:rsidRDefault="00FE3491" w:rsidP="00271F9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85596863"/>
            <w:bookmarkStart w:id="3" w:name="_Hlk83263611"/>
            <w:r w:rsidRPr="00271F9A">
              <w:rPr>
                <w:rFonts w:ascii="Times New Roman" w:hAnsi="Times New Roman"/>
                <w:bCs/>
                <w:sz w:val="24"/>
                <w:szCs w:val="24"/>
              </w:rPr>
              <w:t>AB „Energijos skirstymo operatorius“</w:t>
            </w:r>
            <w:bookmarkEnd w:id="2"/>
          </w:p>
          <w:bookmarkEnd w:id="3"/>
          <w:p w14:paraId="0E1BA11B" w14:textId="77777777" w:rsidR="00FE3491" w:rsidRPr="00271F9A" w:rsidRDefault="00FE3491" w:rsidP="00271F9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F9A">
              <w:rPr>
                <w:rFonts w:ascii="Times New Roman" w:hAnsi="Times New Roman"/>
                <w:bCs/>
                <w:sz w:val="24"/>
                <w:szCs w:val="24"/>
              </w:rPr>
              <w:t>Aguonų g. 24</w:t>
            </w:r>
          </w:p>
          <w:p w14:paraId="55004E91" w14:textId="77777777" w:rsidR="00FE3491" w:rsidRPr="00271F9A" w:rsidRDefault="00FE3491" w:rsidP="00271F9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F9A">
              <w:rPr>
                <w:rFonts w:ascii="Times New Roman" w:hAnsi="Times New Roman"/>
                <w:bCs/>
                <w:sz w:val="24"/>
                <w:szCs w:val="24"/>
              </w:rPr>
              <w:t>LT-03212 Vilnius</w:t>
            </w:r>
          </w:p>
          <w:p w14:paraId="07D2EEA4" w14:textId="77777777" w:rsidR="00FE3491" w:rsidRPr="00271F9A" w:rsidRDefault="00FE3491" w:rsidP="00271F9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F9A">
              <w:rPr>
                <w:rFonts w:ascii="Times New Roman" w:hAnsi="Times New Roman"/>
                <w:bCs/>
                <w:sz w:val="24"/>
                <w:szCs w:val="24"/>
              </w:rPr>
              <w:t>El. p. info@eso.lt</w:t>
            </w:r>
          </w:p>
          <w:p w14:paraId="195BE7A3" w14:textId="77777777" w:rsidR="00FE3491" w:rsidRDefault="00FE3491" w:rsidP="00CF57E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14:paraId="01FB67E5" w14:textId="0C8D0740" w:rsidR="00FE3491" w:rsidRPr="00CF57EA" w:rsidRDefault="00FE3491" w:rsidP="00CF57E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CF57E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UAB </w:t>
            </w:r>
            <w:r w:rsidRPr="00CF57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„</w:t>
            </w:r>
            <w:r w:rsidRPr="00CF57EA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Ignitis grupės paslaugų centras</w:t>
            </w:r>
            <w:r w:rsidRPr="00CF57E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“</w:t>
            </w:r>
          </w:p>
          <w:p w14:paraId="27235FB1" w14:textId="77777777" w:rsidR="00FE3491" w:rsidRPr="00CF57EA" w:rsidRDefault="00FE3491" w:rsidP="00CF57E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57EA">
              <w:rPr>
                <w:rFonts w:ascii="Times New Roman" w:hAnsi="Times New Roman"/>
                <w:bCs/>
                <w:sz w:val="24"/>
                <w:szCs w:val="24"/>
              </w:rPr>
              <w:t>Žvejų g. 14</w:t>
            </w:r>
          </w:p>
          <w:p w14:paraId="131AD8F4" w14:textId="77777777" w:rsidR="00FE3491" w:rsidRPr="00CF57EA" w:rsidRDefault="00FE3491" w:rsidP="00CF57E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7EA">
              <w:rPr>
                <w:rFonts w:ascii="Times New Roman" w:hAnsi="Times New Roman"/>
                <w:bCs/>
                <w:sz w:val="24"/>
                <w:szCs w:val="24"/>
              </w:rPr>
              <w:t>LT- 09310, Vilnius</w:t>
            </w:r>
          </w:p>
          <w:p w14:paraId="24CD7A62" w14:textId="33AD36CF" w:rsidR="00FE3491" w:rsidRPr="00CF57EA" w:rsidRDefault="00FE3491" w:rsidP="00CF57E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CC066B">
              <w:rPr>
                <w:rFonts w:ascii="Times New Roman" w:hAnsi="Times New Roman"/>
                <w:bCs/>
                <w:sz w:val="24"/>
                <w:szCs w:val="24"/>
              </w:rPr>
              <w:t xml:space="preserve">El. p.: </w:t>
            </w:r>
            <w:hyperlink r:id="rId9" w:history="1">
              <w:r w:rsidRPr="00CC066B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gpc@ignitis.lt</w:t>
              </w:r>
            </w:hyperlink>
          </w:p>
          <w:bookmarkEnd w:id="0"/>
          <w:bookmarkEnd w:id="1"/>
          <w:p w14:paraId="0F6E6986" w14:textId="16A527A2" w:rsidR="00FE3491" w:rsidRPr="00CC066B" w:rsidRDefault="00FE3491" w:rsidP="00B630E0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B600BB6" w14:textId="77777777" w:rsidR="00FE3491" w:rsidRPr="00B81E3C" w:rsidRDefault="00FE3491" w:rsidP="00B81E3C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81E3C">
              <w:rPr>
                <w:rFonts w:ascii="Times New Roman" w:hAnsi="Times New Roman"/>
                <w:sz w:val="24"/>
                <w:szCs w:val="24"/>
              </w:rPr>
              <w:t xml:space="preserve">Valstybinei energetikos reguliavimo tarybai </w:t>
            </w:r>
          </w:p>
          <w:p w14:paraId="5EAE27A5" w14:textId="77777777" w:rsidR="00FE3491" w:rsidRPr="00B81E3C" w:rsidRDefault="00FE3491" w:rsidP="00B81E3C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E3C">
              <w:rPr>
                <w:rFonts w:ascii="Times New Roman" w:hAnsi="Times New Roman"/>
                <w:bCs/>
                <w:sz w:val="24"/>
                <w:szCs w:val="24"/>
              </w:rPr>
              <w:t>Verkių g. 25C-1</w:t>
            </w:r>
          </w:p>
          <w:p w14:paraId="5A33DFBF" w14:textId="77777777" w:rsidR="00FE3491" w:rsidRPr="00B81E3C" w:rsidRDefault="00FE3491" w:rsidP="00B81E3C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E3C">
              <w:rPr>
                <w:rFonts w:ascii="Times New Roman" w:hAnsi="Times New Roman"/>
                <w:bCs/>
                <w:sz w:val="24"/>
                <w:szCs w:val="24"/>
              </w:rPr>
              <w:t>LT-08223 Vilnius</w:t>
            </w:r>
          </w:p>
          <w:p w14:paraId="131B976E" w14:textId="77777777" w:rsidR="00FE3491" w:rsidRPr="00B81E3C" w:rsidRDefault="00FE3491" w:rsidP="00B81E3C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E3C">
              <w:rPr>
                <w:rFonts w:ascii="Times New Roman" w:hAnsi="Times New Roman"/>
                <w:bCs/>
                <w:sz w:val="24"/>
                <w:szCs w:val="24"/>
              </w:rPr>
              <w:t>El. p. info@vert.lt.</w:t>
            </w:r>
          </w:p>
          <w:p w14:paraId="7640E79E" w14:textId="77777777" w:rsidR="00FE3491" w:rsidRDefault="00FE3491" w:rsidP="00B630E0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8EE2F24" w14:textId="04E8E90A" w:rsidR="00FE3491" w:rsidRPr="00CC066B" w:rsidRDefault="00FE3491" w:rsidP="00B630E0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>Žiniai:</w:t>
            </w:r>
          </w:p>
          <w:p w14:paraId="2755B4BA" w14:textId="04042935" w:rsidR="00FE3491" w:rsidRPr="00CC066B" w:rsidRDefault="00FE3491" w:rsidP="00103F6A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>Lietuvos Respublikos energetikos ministerijai</w:t>
            </w:r>
          </w:p>
          <w:p w14:paraId="7B723AF3" w14:textId="77777777" w:rsidR="00FE3491" w:rsidRPr="00CC066B" w:rsidRDefault="00FE3491" w:rsidP="00CC066B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>Gedimino pr. 38</w:t>
            </w:r>
          </w:p>
          <w:p w14:paraId="684C8671" w14:textId="77777777" w:rsidR="00FE3491" w:rsidRPr="00CC066B" w:rsidRDefault="00FE3491" w:rsidP="00CC066B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>LT-01104, Vilnius</w:t>
            </w:r>
          </w:p>
          <w:p w14:paraId="5FE258AD" w14:textId="4D8C7585" w:rsidR="00FE3491" w:rsidRPr="00CC066B" w:rsidRDefault="00FE3491" w:rsidP="00FE3491">
            <w:pPr>
              <w:shd w:val="clear" w:color="auto" w:fill="FFFFFF"/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 xml:space="preserve">El. p.: </w:t>
            </w:r>
            <w:hyperlink r:id="rId10" w:history="1">
              <w:r w:rsidRPr="00CC066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</w:t>
              </w:r>
              <w:r w:rsidRPr="00CC066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@enmin.lt</w:t>
              </w:r>
            </w:hyperlink>
          </w:p>
        </w:tc>
        <w:tc>
          <w:tcPr>
            <w:tcW w:w="284" w:type="dxa"/>
          </w:tcPr>
          <w:p w14:paraId="61E4AB40" w14:textId="77777777" w:rsidR="00FE3491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C6F0FCD" w14:textId="560D939C" w:rsidR="00FE3491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59705FAA" w14:textId="77777777" w:rsidR="00FE3491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381BA4A0" w14:textId="77777777" w:rsidR="00FE3491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0970D997" w14:textId="4712D253" w:rsidR="00FE3491" w:rsidRPr="00CC066B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A4B35C1" w14:textId="77777777" w:rsidR="00FE3491" w:rsidRDefault="00FE3491" w:rsidP="00FD6FEF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958292E" w14:textId="03FCC9DF" w:rsidR="00FE3491" w:rsidRPr="00CC066B" w:rsidRDefault="00FE3491" w:rsidP="00FD6FEF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 xml:space="preserve"> 2021-10-</w:t>
            </w:r>
            <w:r w:rsidR="004836E1">
              <w:rPr>
                <w:rFonts w:ascii="Times New Roman" w:hAnsi="Times New Roman"/>
                <w:sz w:val="24"/>
                <w:szCs w:val="24"/>
              </w:rPr>
              <w:t>21</w:t>
            </w:r>
            <w:r w:rsidRPr="00CC066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3A168794" w14:textId="7B68AF17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12093A" w14:textId="20F8EA49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840C1DF" w14:textId="375A4933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C16B8B4" w14:textId="17CD2E12" w:rsidR="00FE3491" w:rsidRPr="00CC066B" w:rsidRDefault="00FE3491" w:rsidP="00E274E5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BB4B2BC" w14:textId="24A16AA8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271F9A">
              <w:rPr>
                <w:rFonts w:ascii="Times New Roman" w:hAnsi="Times New Roman"/>
                <w:sz w:val="24"/>
                <w:szCs w:val="24"/>
              </w:rPr>
              <w:t xml:space="preserve"> 2021-10-08 </w:t>
            </w:r>
          </w:p>
          <w:p w14:paraId="6D736C66" w14:textId="77777777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DCC11F9" w14:textId="77777777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B2E7F99" w14:textId="117E5DC6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7E01FA4" w14:textId="2C2A9E96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A12A952" w14:textId="2B5FEDE0" w:rsidR="00FE3491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 2021-09-09   </w:t>
            </w:r>
          </w:p>
          <w:p w14:paraId="5630B3CF" w14:textId="78DA5652" w:rsidR="00FE3491" w:rsidRPr="00CC066B" w:rsidRDefault="00FE3491" w:rsidP="00FD6FEF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hideMark/>
          </w:tcPr>
          <w:p w14:paraId="450B5651" w14:textId="77777777" w:rsidR="00FE3491" w:rsidRDefault="00FE3491" w:rsidP="00344439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44B24DA" w14:textId="34B4715B" w:rsidR="00FE3491" w:rsidRPr="00CC066B" w:rsidRDefault="00FE3491" w:rsidP="00344439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 xml:space="preserve">Nr. 4S- </w:t>
            </w:r>
            <w:r w:rsidR="004836E1">
              <w:rPr>
                <w:rFonts w:ascii="Times New Roman" w:hAnsi="Times New Roman"/>
                <w:sz w:val="24"/>
                <w:szCs w:val="24"/>
              </w:rPr>
              <w:t>1150</w:t>
            </w:r>
            <w:r w:rsidRPr="00CC066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C066B">
              <w:rPr>
                <w:rFonts w:ascii="Times New Roman" w:hAnsi="Times New Roman"/>
                <w:sz w:val="24"/>
                <w:szCs w:val="24"/>
              </w:rPr>
              <w:t>(7.4) Mr</w:t>
            </w:r>
          </w:p>
          <w:p w14:paraId="14D28215" w14:textId="1DF21D18" w:rsidR="00FE3491" w:rsidRPr="00CC066B" w:rsidRDefault="00FE3491" w:rsidP="00344439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56A4B1F" w14:textId="77777777" w:rsidR="00FE3491" w:rsidRPr="00CC066B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75645E9" w14:textId="77777777" w:rsidR="00FE3491" w:rsidRPr="00CC066B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2EDF464" w14:textId="77777777" w:rsidR="00FE3491" w:rsidRPr="00CC066B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6696B73" w14:textId="4B6E8E35" w:rsidR="00FE3491" w:rsidRPr="00CC066B" w:rsidRDefault="00FE3491" w:rsidP="00710BFB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  <w:p w14:paraId="11B0C892" w14:textId="77777777" w:rsidR="00FE3491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0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4E0F8" w14:textId="77777777" w:rsidR="00FE3491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333D17B" w14:textId="77777777" w:rsidR="00FE3491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A4D53D7" w14:textId="77777777" w:rsidR="00FE3491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603A13D" w14:textId="52F985CC" w:rsidR="00FE3491" w:rsidRPr="00CC066B" w:rsidRDefault="00FE3491" w:rsidP="00FD6FEF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  <w:r w:rsidRPr="00CC0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E3C">
              <w:rPr>
                <w:rFonts w:ascii="Times New Roman" w:hAnsi="Times New Roman"/>
                <w:sz w:val="24"/>
                <w:szCs w:val="24"/>
              </w:rPr>
              <w:t>R2-(E)-5541</w:t>
            </w:r>
          </w:p>
        </w:tc>
      </w:tr>
      <w:tr w:rsidR="00FE3491" w:rsidRPr="00EE5E9F" w14:paraId="5E2B39CB" w14:textId="77777777" w:rsidTr="00FE3491">
        <w:trPr>
          <w:cantSplit/>
          <w:trHeight w:val="80"/>
        </w:trPr>
        <w:tc>
          <w:tcPr>
            <w:tcW w:w="5085" w:type="dxa"/>
            <w:vMerge/>
            <w:vAlign w:val="center"/>
            <w:hideMark/>
          </w:tcPr>
          <w:p w14:paraId="6A2FAF49" w14:textId="77777777" w:rsidR="00FE3491" w:rsidRPr="00EE5E9F" w:rsidRDefault="00FE3491" w:rsidP="00FD6FEF">
            <w:pPr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13D985" w14:textId="77777777" w:rsidR="00FE3491" w:rsidRPr="00EE5E9F" w:rsidRDefault="00FE3491" w:rsidP="00FD6FEF">
            <w:pPr>
              <w:tabs>
                <w:tab w:val="left" w:pos="900"/>
              </w:tabs>
              <w:spacing w:before="0" w:after="0"/>
              <w:ind w:righ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264623B" w14:textId="1C8A9F74" w:rsidR="00FE3491" w:rsidRPr="00EE5E9F" w:rsidRDefault="00FE3491" w:rsidP="00FD6FEF">
            <w:pPr>
              <w:tabs>
                <w:tab w:val="left" w:pos="900"/>
              </w:tabs>
              <w:spacing w:before="0" w:after="0"/>
              <w:ind w:righ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0193BB1" w14:textId="77777777" w:rsidR="00FE3491" w:rsidRPr="00EE5E9F" w:rsidRDefault="00FE3491" w:rsidP="00FD6FEF">
            <w:pPr>
              <w:tabs>
                <w:tab w:val="left" w:pos="900"/>
              </w:tabs>
              <w:spacing w:before="0" w:after="0"/>
              <w:ind w:left="-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313A901" w14:textId="77777777" w:rsidR="00FE3491" w:rsidRPr="00EE5E9F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</w:tcPr>
          <w:p w14:paraId="24474B94" w14:textId="77777777" w:rsidR="00FE3491" w:rsidRPr="00EE5E9F" w:rsidRDefault="00FE3491" w:rsidP="00FD6FEF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67A3F1" w14:textId="0DDB909C" w:rsidR="009C147A" w:rsidRPr="00EE5E9F" w:rsidRDefault="009C147A" w:rsidP="00781FA3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477083" w14:textId="77777777" w:rsidR="00EE5E9F" w:rsidRPr="00EE5E9F" w:rsidRDefault="00EE5E9F" w:rsidP="00781FA3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671E62" w14:textId="17CD6350" w:rsidR="00781FA3" w:rsidRPr="00743124" w:rsidRDefault="00781FA3" w:rsidP="00781FA3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43124">
        <w:rPr>
          <w:rFonts w:ascii="Times New Roman" w:hAnsi="Times New Roman"/>
          <w:b/>
          <w:bCs/>
          <w:sz w:val="24"/>
          <w:szCs w:val="24"/>
        </w:rPr>
        <w:t>VERTINIMO IŠVADA</w:t>
      </w:r>
    </w:p>
    <w:p w14:paraId="1B05A265" w14:textId="77777777" w:rsidR="00781FA3" w:rsidRPr="00743124" w:rsidRDefault="00781FA3" w:rsidP="00781FA3">
      <w:pPr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328797" w14:textId="57B512FF" w:rsidR="00B630E0" w:rsidRPr="00B630E0" w:rsidRDefault="00846DA0" w:rsidP="00B630E0">
      <w:pPr>
        <w:spacing w:before="0" w:after="0"/>
        <w:rPr>
          <w:rFonts w:ascii="Times New Roman" w:hAnsi="Times New Roman"/>
          <w:bCs/>
          <w:sz w:val="24"/>
          <w:szCs w:val="24"/>
        </w:rPr>
      </w:pPr>
      <w:r w:rsidRPr="00846DA0">
        <w:rPr>
          <w:rFonts w:ascii="Times New Roman" w:hAnsi="Times New Roman"/>
          <w:bCs/>
          <w:sz w:val="24"/>
          <w:szCs w:val="24"/>
        </w:rPr>
        <w:t>Viešųjų pirkimų tarnyba (toliau – Tarnyba), vadovaudamasi Lietuvos Respublikos pirkimų, atliekamų vandentvarkos, energetikos, transporto ar pašto paslaugų srities perkančiųjų subjektų, įstatymo</w:t>
      </w:r>
      <w:r w:rsidR="002201D4">
        <w:rPr>
          <w:rFonts w:ascii="Times New Roman" w:hAnsi="Times New Roman"/>
          <w:bCs/>
          <w:sz w:val="24"/>
          <w:szCs w:val="24"/>
        </w:rPr>
        <w:t xml:space="preserve"> </w:t>
      </w:r>
      <w:r w:rsidRPr="00846DA0">
        <w:rPr>
          <w:rFonts w:ascii="Times New Roman" w:hAnsi="Times New Roman"/>
          <w:bCs/>
          <w:sz w:val="24"/>
          <w:szCs w:val="24"/>
        </w:rPr>
        <w:t>101 straipsnio 1 dalies 2 punktu, atliko pirkimų, susijusi</w:t>
      </w:r>
      <w:r w:rsidR="00965C00">
        <w:rPr>
          <w:rFonts w:ascii="Times New Roman" w:hAnsi="Times New Roman"/>
          <w:bCs/>
          <w:sz w:val="24"/>
          <w:szCs w:val="24"/>
        </w:rPr>
        <w:t>ų</w:t>
      </w:r>
      <w:r w:rsidRPr="00846DA0">
        <w:rPr>
          <w:rFonts w:ascii="Times New Roman" w:hAnsi="Times New Roman"/>
          <w:bCs/>
          <w:sz w:val="24"/>
          <w:szCs w:val="24"/>
        </w:rPr>
        <w:t xml:space="preserve"> su </w:t>
      </w:r>
      <w:r w:rsidR="006C008D" w:rsidRPr="006C008D">
        <w:rPr>
          <w:rFonts w:ascii="Times New Roman" w:hAnsi="Times New Roman"/>
          <w:bCs/>
          <w:sz w:val="24"/>
          <w:szCs w:val="24"/>
        </w:rPr>
        <w:t>AB „Energijos skirstymo operatorius“</w:t>
      </w:r>
      <w:r w:rsidR="006C008D">
        <w:rPr>
          <w:rFonts w:ascii="Times New Roman" w:hAnsi="Times New Roman"/>
          <w:bCs/>
          <w:sz w:val="24"/>
          <w:szCs w:val="24"/>
        </w:rPr>
        <w:t xml:space="preserve"> (toliau – Perkantysis subjektas) </w:t>
      </w:r>
      <w:r w:rsidRPr="00846DA0">
        <w:rPr>
          <w:rFonts w:ascii="Times New Roman" w:hAnsi="Times New Roman"/>
          <w:bCs/>
          <w:sz w:val="24"/>
          <w:szCs w:val="24"/>
        </w:rPr>
        <w:t>investicijų projekto „Elektros energijos patikimumo Kuršių nerijoje didinimas“ vykdymu, vertinimą</w:t>
      </w:r>
      <w:r w:rsidR="00710BFB" w:rsidRPr="00710BFB">
        <w:rPr>
          <w:rFonts w:ascii="Times New Roman" w:hAnsi="Times New Roman"/>
          <w:bCs/>
          <w:sz w:val="24"/>
          <w:szCs w:val="24"/>
        </w:rPr>
        <w:t>.</w:t>
      </w:r>
    </w:p>
    <w:p w14:paraId="12D512B9" w14:textId="77777777" w:rsidR="00607065" w:rsidRDefault="00607065" w:rsidP="00781FA3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3CC32412" w14:textId="01897EE0" w:rsidR="00781FA3" w:rsidRPr="00743124" w:rsidRDefault="00781FA3" w:rsidP="00795E40">
      <w:pPr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r w:rsidRPr="00743124">
        <w:rPr>
          <w:rFonts w:ascii="Times New Roman" w:hAnsi="Times New Roman"/>
          <w:b/>
          <w:sz w:val="24"/>
          <w:szCs w:val="24"/>
        </w:rPr>
        <w:t>I dalis. Bendra informacija</w:t>
      </w:r>
    </w:p>
    <w:tbl>
      <w:tblPr>
        <w:tblpPr w:leftFromText="180" w:rightFromText="180" w:vertAnchor="text" w:horzAnchor="margin" w:tblpY="682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34"/>
      </w:tblGrid>
      <w:tr w:rsidR="00781FA3" w:rsidRPr="00743124" w14:paraId="6CFE448A" w14:textId="77777777" w:rsidTr="005B202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AC5E" w14:textId="77777777" w:rsidR="00781FA3" w:rsidRPr="00743124" w:rsidRDefault="00781FA3" w:rsidP="00795E40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3124">
              <w:rPr>
                <w:rFonts w:ascii="Times New Roman" w:hAnsi="Times New Roman"/>
                <w:sz w:val="24"/>
                <w:szCs w:val="24"/>
              </w:rPr>
              <w:t>Pirkimo* pavadinimas, numeris (jeigu skelbtas), pirkimo paskelbimo (kvietimo pateikti paraišką / pasiūlymą) data / sutarties pavadinimas, data, numeris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490B" w14:textId="160A97F5" w:rsidR="00846DA0" w:rsidRPr="00846DA0" w:rsidRDefault="00846DA0" w:rsidP="00795E40">
            <w:pPr>
              <w:widowControl w:val="0"/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>,,(Nr. 2018-ESO-16) 110/35/10kV Juodkrantės TP, Žaliasis kelias 3T, Neringa, LITGRID AB dalies ir AB „Energijos skirstymo operatorius“ dalies rekonstravimo darbai“, Centrinėje viešųjų pirkimų informacinėje sistemoje (toliau - CVP IS) skelbtas 2018-01-30, pirkimo Nr. 364086</w:t>
            </w:r>
            <w:r w:rsidR="00240C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26D37">
              <w:rPr>
                <w:rFonts w:ascii="Times New Roman" w:hAnsi="Times New Roman"/>
                <w:bCs/>
                <w:sz w:val="24"/>
                <w:szCs w:val="24"/>
              </w:rPr>
              <w:t xml:space="preserve">Rangos darbų sutartis, </w:t>
            </w:r>
            <w:r w:rsidR="00240CF4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  <w:r w:rsidR="00126D37">
              <w:rPr>
                <w:rFonts w:ascii="Times New Roman" w:hAnsi="Times New Roman"/>
                <w:bCs/>
                <w:sz w:val="24"/>
                <w:szCs w:val="24"/>
              </w:rPr>
              <w:t>-08-08,</w:t>
            </w:r>
            <w:r w:rsidR="00240CF4">
              <w:rPr>
                <w:rFonts w:ascii="Times New Roman" w:hAnsi="Times New Roman"/>
                <w:bCs/>
                <w:sz w:val="24"/>
                <w:szCs w:val="24"/>
              </w:rPr>
              <w:t xml:space="preserve"> Nr. </w:t>
            </w:r>
            <w:r w:rsidR="00240CF4" w:rsidRPr="00240CF4">
              <w:rPr>
                <w:rFonts w:ascii="Times New Roman" w:hAnsi="Times New Roman"/>
                <w:bCs/>
                <w:sz w:val="24"/>
                <w:szCs w:val="24"/>
              </w:rPr>
              <w:t>40410/581412</w:t>
            </w:r>
            <w:r w:rsidR="00126D3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240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B89DEEC" w14:textId="5A2E16A0" w:rsidR="00846DA0" w:rsidRPr="00846DA0" w:rsidRDefault="00846DA0" w:rsidP="00795E40">
            <w:pPr>
              <w:widowControl w:val="0"/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 xml:space="preserve">2. ,,(2018-ESO-180) Smiltynės TP, Alksnynės TP, 35 kV OL į KL rekonstrukcijos darbai“, CVP </w:t>
            </w: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IS skelbtas 2018-03-29, pirkimo Nr. 373967</w:t>
            </w:r>
            <w:r w:rsidR="00EC497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C497D" w:rsidRPr="00EC497D">
              <w:rPr>
                <w:rFonts w:ascii="Times New Roman" w:hAnsi="Times New Roman"/>
                <w:bCs/>
                <w:sz w:val="24"/>
                <w:szCs w:val="24"/>
              </w:rPr>
              <w:t>Rangos sutart</w:t>
            </w:r>
            <w:r w:rsidR="00EC497D">
              <w:rPr>
                <w:rFonts w:ascii="Times New Roman" w:hAnsi="Times New Roman"/>
                <w:bCs/>
                <w:sz w:val="24"/>
                <w:szCs w:val="24"/>
              </w:rPr>
              <w:t>is,</w:t>
            </w:r>
            <w:r w:rsidR="00FD6C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497D" w:rsidRPr="00EC497D">
              <w:rPr>
                <w:rFonts w:ascii="Times New Roman" w:hAnsi="Times New Roman"/>
                <w:bCs/>
                <w:sz w:val="24"/>
                <w:szCs w:val="24"/>
              </w:rPr>
              <w:t>2018-09-05</w:t>
            </w:r>
            <w:r w:rsidR="00EC497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C497D" w:rsidRPr="00EC497D">
              <w:rPr>
                <w:rFonts w:ascii="Times New Roman" w:hAnsi="Times New Roman"/>
                <w:bCs/>
                <w:sz w:val="24"/>
                <w:szCs w:val="24"/>
              </w:rPr>
              <w:t xml:space="preserve"> Nr. 40410/581558</w:t>
            </w: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339D8DB" w14:textId="6CED06C1" w:rsidR="00846DA0" w:rsidRPr="00846DA0" w:rsidRDefault="00846DA0" w:rsidP="00795E40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>3. ,,(2018-ESO-937) Pervalkos TP, Girininkijos TP, Preilos TP, 35 kV OL į KL rekonstravimo darbai“, CVP IS skelbtas 2018-08-10, pirkimo Nr. 395719</w:t>
            </w:r>
            <w:r w:rsidR="00FD6CFE">
              <w:rPr>
                <w:rFonts w:ascii="Times New Roman" w:hAnsi="Times New Roman"/>
                <w:bCs/>
                <w:sz w:val="24"/>
                <w:szCs w:val="24"/>
              </w:rPr>
              <w:t>, Rangos darbų sutartis,</w:t>
            </w:r>
            <w:r w:rsidR="00FD6CFE" w:rsidRPr="00FD6CFE">
              <w:t xml:space="preserve"> </w:t>
            </w:r>
            <w:r w:rsidR="00FD6CFE" w:rsidRPr="00FD6CFE">
              <w:rPr>
                <w:rFonts w:ascii="Times New Roman" w:hAnsi="Times New Roman"/>
                <w:bCs/>
                <w:sz w:val="24"/>
                <w:szCs w:val="24"/>
              </w:rPr>
              <w:t>2018-11-23</w:t>
            </w:r>
            <w:r w:rsidR="00FD6CF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D6CFE" w:rsidRPr="00FD6CFE">
              <w:rPr>
                <w:rFonts w:ascii="Times New Roman" w:hAnsi="Times New Roman"/>
                <w:bCs/>
                <w:sz w:val="24"/>
                <w:szCs w:val="24"/>
              </w:rPr>
              <w:t xml:space="preserve"> Nr. 40410/582050</w:t>
            </w: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DAFB01A" w14:textId="77777777" w:rsidR="00795E40" w:rsidRDefault="00846DA0" w:rsidP="00795E40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A0">
              <w:rPr>
                <w:rFonts w:ascii="Times New Roman" w:hAnsi="Times New Roman"/>
                <w:bCs/>
                <w:sz w:val="24"/>
                <w:szCs w:val="24"/>
              </w:rPr>
              <w:t>4. ,,(2018-ESO-1117) 35/10 kV Nidos TP, Nidos-Smiltynės pl. 19T, Neringoje, rekonstravimo darbai“, CVP IS skelbtas 2018-11-28, pirkimo Nr. 411416</w:t>
            </w:r>
            <w:r w:rsidR="00823C6A">
              <w:rPr>
                <w:rFonts w:ascii="Times New Roman" w:hAnsi="Times New Roman"/>
                <w:bCs/>
                <w:sz w:val="24"/>
                <w:szCs w:val="24"/>
              </w:rPr>
              <w:t xml:space="preserve">, Rangos darbų sutartis, </w:t>
            </w:r>
            <w:r w:rsidR="00823C6A" w:rsidRPr="00823C6A">
              <w:rPr>
                <w:rFonts w:ascii="Times New Roman" w:hAnsi="Times New Roman"/>
                <w:bCs/>
                <w:sz w:val="24"/>
                <w:szCs w:val="24"/>
              </w:rPr>
              <w:t>2019-03-14</w:t>
            </w:r>
            <w:r w:rsidR="00823C6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23C6A" w:rsidRPr="00823C6A">
              <w:rPr>
                <w:rFonts w:ascii="Times New Roman" w:hAnsi="Times New Roman"/>
                <w:bCs/>
                <w:sz w:val="24"/>
                <w:szCs w:val="24"/>
              </w:rPr>
              <w:t xml:space="preserve"> Nr. 40410/590247</w:t>
            </w:r>
            <w:r w:rsidR="001B2A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3206637" w14:textId="4CE95005" w:rsidR="001B2A61" w:rsidRPr="00743124" w:rsidRDefault="001B2A61" w:rsidP="00795E40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(Toliau – Pirkimai).</w:t>
            </w:r>
          </w:p>
        </w:tc>
      </w:tr>
      <w:tr w:rsidR="00781FA3" w:rsidRPr="00743124" w14:paraId="4DE47A60" w14:textId="77777777" w:rsidTr="00FD6F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5EF" w14:textId="77777777" w:rsidR="00781FA3" w:rsidRPr="00743124" w:rsidRDefault="00781FA3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3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Pirkimo vykdymo teisinis pagrindas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BE9" w14:textId="2A37959A" w:rsidR="00781FA3" w:rsidRPr="00743124" w:rsidRDefault="002201D4" w:rsidP="00274951">
            <w:pPr>
              <w:widowControl w:val="0"/>
              <w:spacing w:before="0"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1D4">
              <w:rPr>
                <w:rFonts w:ascii="Times New Roman" w:hAnsi="Times New Roman"/>
                <w:bCs/>
                <w:sz w:val="24"/>
                <w:szCs w:val="24"/>
              </w:rPr>
              <w:t>Lietuvos Respublikos pirkimų, atliekamų vandentvarkos, energetikos, transporto ar pašto paslaugų srities perkančiųjų subjektų, įstatymas</w:t>
            </w:r>
            <w:r w:rsidR="006035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50A" w:rsidRPr="0060350A">
              <w:rPr>
                <w:rFonts w:ascii="Times New Roman" w:hAnsi="Times New Roman"/>
                <w:bCs/>
                <w:sz w:val="24"/>
                <w:szCs w:val="24"/>
              </w:rPr>
              <w:t xml:space="preserve">(redakcija </w:t>
            </w:r>
            <w:r w:rsidR="0060350A">
              <w:rPr>
                <w:rFonts w:ascii="Times New Roman" w:hAnsi="Times New Roman"/>
                <w:bCs/>
                <w:sz w:val="24"/>
                <w:szCs w:val="24"/>
              </w:rPr>
              <w:t>iki</w:t>
            </w:r>
            <w:r w:rsidR="0060350A" w:rsidRPr="0060350A">
              <w:rPr>
                <w:rFonts w:ascii="Times New Roman" w:hAnsi="Times New Roman"/>
                <w:bCs/>
                <w:sz w:val="24"/>
                <w:szCs w:val="24"/>
              </w:rPr>
              <w:t xml:space="preserve"> 2019-06-11)</w:t>
            </w:r>
            <w:r w:rsidR="00C97748">
              <w:rPr>
                <w:rFonts w:ascii="Times New Roman" w:hAnsi="Times New Roman"/>
                <w:bCs/>
                <w:sz w:val="24"/>
                <w:szCs w:val="24"/>
              </w:rPr>
              <w:t xml:space="preserve"> (toliau – Įstatymas)</w:t>
            </w:r>
            <w:r w:rsidR="00D02C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81FA3" w:rsidRPr="00743124" w14:paraId="047D2FAE" w14:textId="77777777" w:rsidTr="00FD6F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A1D2" w14:textId="77777777" w:rsidR="00781FA3" w:rsidRPr="00743124" w:rsidRDefault="00781FA3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3124">
              <w:rPr>
                <w:rFonts w:ascii="Times New Roman" w:hAnsi="Times New Roman"/>
                <w:sz w:val="24"/>
                <w:szCs w:val="24"/>
              </w:rPr>
              <w:t>Pirkimo būdas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D32C" w14:textId="6DDCD89C" w:rsidR="00781FA3" w:rsidRPr="00743124" w:rsidRDefault="00D45505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Skelbiamos derybos</w:t>
            </w:r>
            <w:r w:rsidR="00274951" w:rsidRPr="002749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1FA3" w:rsidRPr="00743124" w14:paraId="50F30F81" w14:textId="77777777" w:rsidTr="00D4550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0E1" w14:textId="5F367805" w:rsidR="00781FA3" w:rsidRPr="00743124" w:rsidRDefault="00781FA3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3124">
              <w:rPr>
                <w:rFonts w:ascii="Times New Roman" w:hAnsi="Times New Roman"/>
                <w:sz w:val="24"/>
                <w:szCs w:val="24"/>
              </w:rPr>
              <w:t>Planuojama (nenurodoma, jeigu pirkimas vertinamas iki vokų su pasiūlymais atplėšimo procedūros), faktinė pirkimo / sutarties vertė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178D" w14:textId="2F743F0A" w:rsidR="00D45505" w:rsidRPr="00D45505" w:rsidRDefault="00126D37" w:rsidP="00D45505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550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45505" w:rsidRPr="00D45505">
              <w:rPr>
                <w:rFonts w:ascii="Times New Roman" w:hAnsi="Times New Roman"/>
                <w:sz w:val="24"/>
                <w:szCs w:val="24"/>
              </w:rPr>
              <w:t xml:space="preserve">Sutarties vertė </w:t>
            </w:r>
            <w:r w:rsidRPr="00D45505">
              <w:rPr>
                <w:rFonts w:ascii="Times New Roman" w:hAnsi="Times New Roman"/>
                <w:sz w:val="24"/>
                <w:szCs w:val="24"/>
              </w:rPr>
              <w:t>3 288 931,</w:t>
            </w:r>
            <w:r w:rsidR="005B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05">
              <w:rPr>
                <w:rFonts w:ascii="Times New Roman" w:hAnsi="Times New Roman"/>
                <w:sz w:val="24"/>
                <w:szCs w:val="24"/>
              </w:rPr>
              <w:t>25</w:t>
            </w:r>
            <w:r w:rsidR="000C06DA" w:rsidRPr="00D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FA3" w:rsidRPr="00D45505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="00D45505" w:rsidRPr="00D45505"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="00781FA3" w:rsidRPr="00D45505">
              <w:rPr>
                <w:rFonts w:ascii="Times New Roman" w:hAnsi="Times New Roman"/>
                <w:sz w:val="24"/>
                <w:szCs w:val="24"/>
              </w:rPr>
              <w:t>PVM</w:t>
            </w:r>
            <w:r w:rsidR="00D45505" w:rsidRPr="00D455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F88AA2" w14:textId="19A31C7B" w:rsidR="00D96C7C" w:rsidRDefault="00D45505" w:rsidP="00D45505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5505">
              <w:rPr>
                <w:rFonts w:ascii="Times New Roman" w:hAnsi="Times New Roman"/>
                <w:sz w:val="24"/>
                <w:szCs w:val="24"/>
              </w:rPr>
              <w:t>2. Sutarties vertė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05">
              <w:rPr>
                <w:rFonts w:ascii="Times New Roman" w:hAnsi="Times New Roman"/>
                <w:sz w:val="24"/>
                <w:szCs w:val="24"/>
              </w:rPr>
              <w:t>539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05">
              <w:rPr>
                <w:rFonts w:ascii="Times New Roman" w:hAnsi="Times New Roman"/>
                <w:sz w:val="24"/>
                <w:szCs w:val="24"/>
              </w:rPr>
              <w:t>164,</w:t>
            </w:r>
            <w:r w:rsidR="005B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05">
              <w:rPr>
                <w:rFonts w:ascii="Times New Roman" w:hAnsi="Times New Roman"/>
                <w:sz w:val="24"/>
                <w:szCs w:val="24"/>
              </w:rPr>
              <w:t>09 Eur su PVM;</w:t>
            </w:r>
          </w:p>
          <w:p w14:paraId="797599A0" w14:textId="218856DA" w:rsidR="00FD6CFE" w:rsidRDefault="00D96C7C" w:rsidP="00D45505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45505" w:rsidRPr="00D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7C">
              <w:rPr>
                <w:rFonts w:ascii="Times New Roman" w:hAnsi="Times New Roman"/>
                <w:sz w:val="24"/>
                <w:szCs w:val="24"/>
              </w:rPr>
              <w:t xml:space="preserve">Sutarties vertė </w:t>
            </w:r>
            <w:r w:rsidRPr="00D96C7C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Pr="00D96C7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7C">
              <w:rPr>
                <w:rFonts w:ascii="Times New Roman" w:hAnsi="Times New Roman"/>
                <w:sz w:val="24"/>
                <w:szCs w:val="24"/>
              </w:rPr>
              <w:t>274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7C">
              <w:rPr>
                <w:rFonts w:ascii="Times New Roman" w:hAnsi="Times New Roman"/>
                <w:sz w:val="24"/>
                <w:szCs w:val="24"/>
              </w:rPr>
              <w:t>152,</w:t>
            </w:r>
            <w:r w:rsidR="005B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7C">
              <w:rPr>
                <w:rFonts w:ascii="Times New Roman" w:hAnsi="Times New Roman"/>
                <w:sz w:val="24"/>
                <w:szCs w:val="24"/>
              </w:rPr>
              <w:t>66  Eur su PVM</w:t>
            </w:r>
            <w:r w:rsidR="00FD6C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D81D90" w14:textId="514621EC" w:rsidR="00781FA3" w:rsidRPr="00566AA5" w:rsidRDefault="00FD6CFE" w:rsidP="00D45505">
            <w:pPr>
              <w:widowControl w:val="0"/>
              <w:spacing w:before="0"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D6CFE">
              <w:rPr>
                <w:rFonts w:ascii="Times New Roman" w:hAnsi="Times New Roman"/>
                <w:sz w:val="24"/>
                <w:szCs w:val="24"/>
              </w:rPr>
              <w:t xml:space="preserve">Sutarties vertė </w:t>
            </w:r>
            <w:r w:rsidR="00823C6A" w:rsidRPr="00823C6A">
              <w:rPr>
                <w:rFonts w:ascii="Arial" w:hAnsi="Arial" w:cs="Arial"/>
                <w:color w:val="333333"/>
                <w:sz w:val="17"/>
                <w:szCs w:val="17"/>
                <w:shd w:val="clear" w:color="auto" w:fill="F6F6F6"/>
              </w:rPr>
              <w:t xml:space="preserve"> </w:t>
            </w:r>
            <w:r w:rsidR="00823C6A" w:rsidRPr="00823C6A">
              <w:rPr>
                <w:rFonts w:ascii="Times New Roman" w:hAnsi="Times New Roman"/>
                <w:sz w:val="24"/>
                <w:szCs w:val="24"/>
              </w:rPr>
              <w:t>1</w:t>
            </w:r>
            <w:r w:rsidR="00823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C6A" w:rsidRPr="00823C6A">
              <w:rPr>
                <w:rFonts w:ascii="Times New Roman" w:hAnsi="Times New Roman"/>
                <w:sz w:val="24"/>
                <w:szCs w:val="24"/>
              </w:rPr>
              <w:t>3018</w:t>
            </w:r>
            <w:r w:rsidR="00823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C6A" w:rsidRPr="00823C6A">
              <w:rPr>
                <w:rFonts w:ascii="Times New Roman" w:hAnsi="Times New Roman"/>
                <w:sz w:val="24"/>
                <w:szCs w:val="24"/>
              </w:rPr>
              <w:t>86,</w:t>
            </w:r>
            <w:r w:rsidR="005B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C6A" w:rsidRPr="00823C6A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Pr="00FD6CFE">
              <w:rPr>
                <w:rFonts w:ascii="Times New Roman" w:hAnsi="Times New Roman"/>
                <w:sz w:val="24"/>
                <w:szCs w:val="24"/>
              </w:rPr>
              <w:t>Eur su PVM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96C7C" w:rsidRPr="00D96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5505" w:rsidRPr="00D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1FA3" w:rsidRPr="00743124" w14:paraId="75095942" w14:textId="77777777" w:rsidTr="006406C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AD0" w14:textId="348E5249" w:rsidR="00781FA3" w:rsidRPr="00743124" w:rsidRDefault="00781FA3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3124">
              <w:rPr>
                <w:rFonts w:ascii="Times New Roman" w:hAnsi="Times New Roman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B92" w14:textId="25FA25C2" w:rsidR="00EC497D" w:rsidRPr="00823C6A" w:rsidRDefault="00126D37" w:rsidP="00EC497D">
            <w:pPr>
              <w:spacing w:before="0" w:after="0" w:line="254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3C6A">
              <w:rPr>
                <w:rFonts w:ascii="Times New Roman" w:hAnsi="Times New Roman"/>
                <w:sz w:val="24"/>
                <w:szCs w:val="24"/>
              </w:rPr>
              <w:t>1</w:t>
            </w:r>
            <w:r w:rsidR="00EC497D" w:rsidRPr="00823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4" w:name="_Hlk85517605"/>
            <w:r w:rsidR="00EC497D" w:rsidRPr="00823C6A">
              <w:rPr>
                <w:rFonts w:ascii="Times New Roman" w:hAnsi="Times New Roman"/>
                <w:sz w:val="24"/>
                <w:szCs w:val="24"/>
              </w:rPr>
              <w:t>AB „Kauno tiltai“, 133729589</w:t>
            </w:r>
            <w:bookmarkEnd w:id="4"/>
            <w:r w:rsidR="00EC497D" w:rsidRPr="00823C6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5E03E8" w14:textId="3704EC82" w:rsidR="00EC497D" w:rsidRPr="00823C6A" w:rsidRDefault="00EC497D" w:rsidP="00EC497D">
            <w:pPr>
              <w:spacing w:before="0" w:after="0" w:line="254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3C6A">
              <w:rPr>
                <w:rFonts w:ascii="Times New Roman" w:hAnsi="Times New Roman"/>
                <w:sz w:val="24"/>
                <w:szCs w:val="24"/>
              </w:rPr>
              <w:t>2. UAB ,,Elektromontuotojas“,132439736;</w:t>
            </w:r>
          </w:p>
          <w:p w14:paraId="52F21449" w14:textId="51C96162" w:rsidR="00EC497D" w:rsidRPr="00823C6A" w:rsidRDefault="00EC497D" w:rsidP="00EC497D">
            <w:pPr>
              <w:spacing w:before="0" w:after="0" w:line="254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3C6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D96C7C" w:rsidRPr="00823C6A">
              <w:rPr>
                <w:rFonts w:ascii="Times New Roman" w:hAnsi="Times New Roman"/>
                <w:sz w:val="24"/>
                <w:szCs w:val="24"/>
              </w:rPr>
              <w:t>UAB ,,Žilinskis ir Co“, 304317232;</w:t>
            </w:r>
          </w:p>
          <w:p w14:paraId="6D8DD3F5" w14:textId="133BF14B" w:rsidR="00126D37" w:rsidRPr="00743124" w:rsidRDefault="00D96C7C" w:rsidP="00607065">
            <w:pPr>
              <w:spacing w:before="0" w:after="0" w:line="254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3C6A">
              <w:rPr>
                <w:rFonts w:ascii="Times New Roman" w:hAnsi="Times New Roman"/>
                <w:sz w:val="24"/>
                <w:szCs w:val="24"/>
              </w:rPr>
              <w:t>4.</w:t>
            </w:r>
            <w:r w:rsidR="00823C6A" w:rsidRPr="00823C6A">
              <w:rPr>
                <w:rFonts w:ascii="Times New Roman" w:hAnsi="Times New Roman"/>
                <w:sz w:val="24"/>
                <w:szCs w:val="24"/>
              </w:rPr>
              <w:t xml:space="preserve">  UAB ,,A</w:t>
            </w:r>
            <w:r w:rsidR="00823C6A">
              <w:rPr>
                <w:rFonts w:ascii="Times New Roman" w:hAnsi="Times New Roman"/>
                <w:sz w:val="24"/>
                <w:szCs w:val="24"/>
              </w:rPr>
              <w:t>p</w:t>
            </w:r>
            <w:r w:rsidR="00823C6A" w:rsidRPr="00823C6A">
              <w:rPr>
                <w:rFonts w:ascii="Times New Roman" w:hAnsi="Times New Roman"/>
                <w:sz w:val="24"/>
                <w:szCs w:val="24"/>
              </w:rPr>
              <w:t xml:space="preserve">švietimas“, </w:t>
            </w:r>
            <w:hyperlink r:id="rId11" w:tooltip="Rodyti tik šio tiekėjo sutartis" w:history="1">
              <w:r w:rsidR="00823C6A" w:rsidRPr="00823C6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132343314</w:t>
              </w:r>
            </w:hyperlink>
            <w:r w:rsidR="00823C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1FA3" w:rsidRPr="00743124" w14:paraId="27411705" w14:textId="77777777" w:rsidTr="00FD6FE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318A" w14:textId="3F1ED131" w:rsidR="00781FA3" w:rsidRPr="00743124" w:rsidRDefault="00D80209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Pirkimo/s</w:t>
            </w:r>
            <w:r w:rsidR="00781FA3" w:rsidRPr="00743124">
              <w:rPr>
                <w:rFonts w:ascii="Times New Roman" w:hAnsi="Times New Roman"/>
                <w:sz w:val="24"/>
                <w:szCs w:val="24"/>
              </w:rPr>
              <w:t>utarties vertinimo apimtys / etapas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38A7" w14:textId="73B8C1F5" w:rsidR="00781FA3" w:rsidRPr="00743124" w:rsidRDefault="00E274E5" w:rsidP="00FD6FEF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4D5A04">
              <w:rPr>
                <w:rFonts w:ascii="Times New Roman" w:hAnsi="Times New Roman"/>
                <w:sz w:val="24"/>
                <w:szCs w:val="24"/>
              </w:rPr>
              <w:t>alinis vertinimas</w:t>
            </w:r>
            <w:r w:rsidR="001B2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95E">
              <w:rPr>
                <w:rFonts w:ascii="Times New Roman" w:hAnsi="Times New Roman"/>
                <w:sz w:val="24"/>
                <w:szCs w:val="24"/>
              </w:rPr>
              <w:t>/</w:t>
            </w:r>
            <w:r w:rsidR="006C008D">
              <w:rPr>
                <w:rFonts w:ascii="Times New Roman" w:hAnsi="Times New Roman"/>
                <w:sz w:val="24"/>
                <w:szCs w:val="24"/>
              </w:rPr>
              <w:t xml:space="preserve"> Perkančiojo subjekto </w:t>
            </w:r>
            <w:r w:rsidR="0069395E" w:rsidRPr="00693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A6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312C3">
              <w:rPr>
                <w:rFonts w:ascii="Times New Roman" w:hAnsi="Times New Roman"/>
                <w:sz w:val="24"/>
                <w:szCs w:val="24"/>
              </w:rPr>
              <w:t>sprendim</w:t>
            </w:r>
            <w:r w:rsidR="00D02C56">
              <w:rPr>
                <w:rFonts w:ascii="Times New Roman" w:hAnsi="Times New Roman"/>
                <w:sz w:val="24"/>
                <w:szCs w:val="24"/>
              </w:rPr>
              <w:t>ų</w:t>
            </w:r>
            <w:r w:rsidR="009312C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B2A61">
              <w:rPr>
                <w:rFonts w:ascii="Times New Roman" w:hAnsi="Times New Roman"/>
                <w:sz w:val="24"/>
                <w:szCs w:val="24"/>
              </w:rPr>
              <w:t xml:space="preserve">projektavimo užduotyse bei Pirkimų techninėse sąlygose </w:t>
            </w:r>
            <w:r w:rsidR="009312C3">
              <w:rPr>
                <w:rFonts w:ascii="Times New Roman" w:hAnsi="Times New Roman"/>
                <w:sz w:val="24"/>
                <w:szCs w:val="24"/>
              </w:rPr>
              <w:t xml:space="preserve">perkamai įrangai nustatyti </w:t>
            </w:r>
            <w:r w:rsidR="009312C3" w:rsidRPr="009312C3">
              <w:rPr>
                <w:rFonts w:ascii="Times New Roman" w:hAnsi="Times New Roman"/>
                <w:sz w:val="24"/>
                <w:szCs w:val="24"/>
              </w:rPr>
              <w:t xml:space="preserve">36 kV maksimalios įtampos </w:t>
            </w:r>
            <w:r w:rsidR="009312C3">
              <w:rPr>
                <w:rFonts w:ascii="Times New Roman" w:hAnsi="Times New Roman"/>
                <w:sz w:val="24"/>
                <w:szCs w:val="24"/>
              </w:rPr>
              <w:t xml:space="preserve">reikalavimą </w:t>
            </w:r>
            <w:r w:rsidR="00B0533F">
              <w:rPr>
                <w:rFonts w:ascii="Times New Roman" w:hAnsi="Times New Roman"/>
                <w:sz w:val="24"/>
                <w:szCs w:val="24"/>
              </w:rPr>
              <w:t>–</w:t>
            </w:r>
            <w:r w:rsidR="0093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3F">
              <w:rPr>
                <w:rFonts w:ascii="Times New Roman" w:hAnsi="Times New Roman"/>
                <w:sz w:val="24"/>
                <w:szCs w:val="24"/>
              </w:rPr>
              <w:t xml:space="preserve">vertinimas </w:t>
            </w:r>
            <w:r w:rsidR="004D5A04">
              <w:rPr>
                <w:rFonts w:ascii="Times New Roman" w:hAnsi="Times New Roman"/>
                <w:sz w:val="24"/>
                <w:szCs w:val="24"/>
              </w:rPr>
              <w:t>/ po</w:t>
            </w:r>
            <w:r w:rsidR="0069395E" w:rsidRPr="0069395E">
              <w:rPr>
                <w:rFonts w:ascii="Times New Roman" w:hAnsi="Times New Roman"/>
                <w:sz w:val="24"/>
                <w:szCs w:val="24"/>
              </w:rPr>
              <w:t xml:space="preserve"> sutar</w:t>
            </w:r>
            <w:r w:rsidR="004D5A04">
              <w:rPr>
                <w:rFonts w:ascii="Times New Roman" w:hAnsi="Times New Roman"/>
                <w:sz w:val="24"/>
                <w:szCs w:val="24"/>
              </w:rPr>
              <w:t>čių</w:t>
            </w:r>
            <w:r w:rsidR="0069395E" w:rsidRPr="00693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621">
              <w:rPr>
                <w:rFonts w:ascii="Times New Roman" w:hAnsi="Times New Roman"/>
                <w:sz w:val="24"/>
                <w:szCs w:val="24"/>
              </w:rPr>
              <w:t>įvykdymo</w:t>
            </w:r>
            <w:r w:rsidR="0069395E" w:rsidRPr="006939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1FA3" w:rsidRPr="00743124" w14:paraId="282766AF" w14:textId="77777777" w:rsidTr="00AE066E">
        <w:trPr>
          <w:cantSplit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5B4" w14:textId="77777777" w:rsidR="00781FA3" w:rsidRPr="00743124" w:rsidRDefault="00781FA3" w:rsidP="00FD6FEF">
            <w:pPr>
              <w:widowControl w:val="0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3124">
              <w:rPr>
                <w:rFonts w:ascii="Times New Roman" w:hAnsi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C23" w14:textId="59B7A3C1" w:rsidR="00781FA3" w:rsidRPr="00743124" w:rsidRDefault="00A505CA" w:rsidP="00AE066E">
            <w:pPr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781FA3" w:rsidRPr="00743124" w14:paraId="393CD592" w14:textId="77777777" w:rsidTr="00FD6FEF">
        <w:trPr>
          <w:cantSplit/>
          <w:trHeight w:val="983"/>
        </w:trPr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1BC1" w14:textId="77777777" w:rsidR="00FE3491" w:rsidRDefault="00781FA3" w:rsidP="00AE066E">
            <w:pPr>
              <w:spacing w:before="60" w:after="60"/>
              <w:ind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3124">
              <w:rPr>
                <w:rFonts w:ascii="Times New Roman" w:hAnsi="Times New Roman"/>
                <w:i/>
                <w:iCs/>
                <w:sz w:val="24"/>
                <w:szCs w:val="24"/>
              </w:rPr>
              <w:t>Jei dėl pirkimo vyksta teismo procesas (nurodyti ieškinio (skundo) dalykus, bylos šalių pavadinimus, ar taikomos laikinosios apsaugos priemonės, teisminio nagrinėjimo stadija, pvz., apygardos, apeliacinis teismas)</w:t>
            </w:r>
            <w:r w:rsidR="00AE066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C85EF5E" w14:textId="5A32AADF" w:rsidR="00D60030" w:rsidRPr="00D60030" w:rsidRDefault="00D60030" w:rsidP="00AE066E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Teismo procesas nevyksta.</w:t>
            </w:r>
          </w:p>
        </w:tc>
      </w:tr>
    </w:tbl>
    <w:p w14:paraId="0B49558A" w14:textId="5818B429" w:rsidR="0069395E" w:rsidRPr="00743124" w:rsidRDefault="0069395E" w:rsidP="0069395E">
      <w:pPr>
        <w:tabs>
          <w:tab w:val="left" w:pos="8364"/>
          <w:tab w:val="left" w:pos="8647"/>
        </w:tabs>
        <w:spacing w:after="0"/>
        <w:ind w:right="-22" w:firstLine="0"/>
        <w:rPr>
          <w:rFonts w:ascii="Times New Roman" w:hAnsi="Times New Roman"/>
          <w:sz w:val="24"/>
          <w:szCs w:val="24"/>
        </w:rPr>
      </w:pPr>
      <w:r w:rsidRPr="00743124">
        <w:rPr>
          <w:rFonts w:ascii="Times New Roman" w:hAnsi="Times New Roman"/>
          <w:sz w:val="24"/>
          <w:szCs w:val="24"/>
        </w:rPr>
        <w:t>*</w:t>
      </w:r>
      <w:r w:rsidRPr="00743124">
        <w:rPr>
          <w:rFonts w:ascii="Times New Roman" w:hAnsi="Times New Roman"/>
          <w:sz w:val="20"/>
          <w:szCs w:val="20"/>
        </w:rPr>
        <w:t>viešasis pirkimas / pirkimas, atliekamas gynybos ir saugumo srityje / pirkimas, atliekamas vandentvarkos, energetikos, transporto ar pašto paslaugų srities perkančiųjų subjektų / įmonių, veikiančių energetikos srityje, energijos ar kuro, kurių</w:t>
      </w:r>
      <w:r w:rsidRPr="0069395E">
        <w:rPr>
          <w:rFonts w:ascii="Times New Roman" w:hAnsi="Times New Roman"/>
          <w:sz w:val="20"/>
          <w:szCs w:val="20"/>
        </w:rPr>
        <w:t xml:space="preserve"> </w:t>
      </w:r>
      <w:r w:rsidRPr="00743124">
        <w:rPr>
          <w:rFonts w:ascii="Times New Roman" w:hAnsi="Times New Roman"/>
          <w:sz w:val="20"/>
          <w:szCs w:val="20"/>
        </w:rPr>
        <w:t>reikia elektros ir šilumos energijai gaminti, pirkimas / koncesija.</w:t>
      </w:r>
    </w:p>
    <w:p w14:paraId="5FAD1138" w14:textId="037637A4" w:rsidR="00781FA3" w:rsidRDefault="00781FA3" w:rsidP="00781FA3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23FDF53" w14:textId="68C626C1" w:rsidR="00D60030" w:rsidRPr="00D60030" w:rsidRDefault="00D60030" w:rsidP="00D60030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60030">
        <w:rPr>
          <w:rFonts w:ascii="Times New Roman" w:hAnsi="Times New Roman"/>
          <w:b/>
          <w:sz w:val="24"/>
          <w:szCs w:val="24"/>
        </w:rPr>
        <w:t>II dalis. Vertinimo apimtyje nustatyti pažeidimai</w:t>
      </w:r>
    </w:p>
    <w:p w14:paraId="05ED47E1" w14:textId="77777777" w:rsidR="00D60030" w:rsidRDefault="00D60030" w:rsidP="00781FA3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05"/>
      </w:tblGrid>
      <w:tr w:rsidR="00B15AC9" w:rsidRPr="005D0443" w14:paraId="796BDE4E" w14:textId="77777777" w:rsidTr="00FD6F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642" w14:textId="656439BB" w:rsidR="00B15AC9" w:rsidRPr="005D0443" w:rsidRDefault="00B15AC9" w:rsidP="00FD6FEF">
            <w:pPr>
              <w:spacing w:before="0" w:after="0"/>
              <w:ind w:left="3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5" w:name="_Hlk74635739"/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27E" w14:textId="4E68E0FB" w:rsidR="00B15AC9" w:rsidRPr="005D0443" w:rsidRDefault="00412E24" w:rsidP="00FD6FEF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2011" w:rsidRPr="005D0443" w14:paraId="6823F18D" w14:textId="77777777" w:rsidTr="00FF5257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210" w14:textId="14D5210A" w:rsidR="00F42011" w:rsidRDefault="009312C3" w:rsidP="00BC084F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5"/>
    </w:tbl>
    <w:p w14:paraId="03809F32" w14:textId="78680173" w:rsidR="00B15AC9" w:rsidRDefault="00B15AC9" w:rsidP="00781FA3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D7A7F6B" w14:textId="215B3920" w:rsidR="00781FA3" w:rsidRDefault="00781FA3" w:rsidP="00781F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3124">
        <w:rPr>
          <w:rFonts w:ascii="Times New Roman" w:hAnsi="Times New Roman"/>
          <w:b/>
          <w:sz w:val="24"/>
          <w:szCs w:val="24"/>
        </w:rPr>
        <w:t>III dalis. Kiti nustatyti pažeidimai</w:t>
      </w:r>
    </w:p>
    <w:p w14:paraId="43AB3D8B" w14:textId="1B64CAD3" w:rsidR="00EC6274" w:rsidRDefault="00EC6274" w:rsidP="00EC6274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8705"/>
      </w:tblGrid>
      <w:tr w:rsidR="00EC6274" w:rsidRPr="005D0443" w14:paraId="7B392B0D" w14:textId="77777777" w:rsidTr="0057038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ED4" w14:textId="0CFB924B" w:rsidR="00EC6274" w:rsidRPr="005D0443" w:rsidRDefault="00EC6274" w:rsidP="00570382">
            <w:pPr>
              <w:spacing w:before="0" w:after="0"/>
              <w:ind w:left="3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019" w14:textId="44B92CEB" w:rsidR="00EC6274" w:rsidRPr="005D0443" w:rsidRDefault="004E731C" w:rsidP="00570382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274" w:rsidRPr="00743124" w14:paraId="4988C9C0" w14:textId="77777777" w:rsidTr="00B620A2">
        <w:trPr>
          <w:trHeight w:val="42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727" w14:textId="16BE9F25" w:rsidR="00EC6274" w:rsidRPr="005D0443" w:rsidRDefault="00EC6274" w:rsidP="00B7644D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18549F" w14:textId="77777777" w:rsidR="00FE3491" w:rsidRDefault="00FE3491" w:rsidP="00781FA3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7DC7EA96" w14:textId="77777777" w:rsidR="00EE5E9F" w:rsidRDefault="00EE5E9F" w:rsidP="00781FA3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14:paraId="24C3FD5D" w14:textId="77777777" w:rsidR="00EE5E9F" w:rsidRDefault="00EE5E9F" w:rsidP="00EE5E9F">
      <w:pPr>
        <w:spacing w:before="0" w:after="0"/>
        <w:ind w:firstLine="0"/>
        <w:rPr>
          <w:rFonts w:ascii="Times New Roman" w:hAnsi="Times New Roman"/>
          <w:b/>
          <w:sz w:val="24"/>
          <w:szCs w:val="24"/>
        </w:rPr>
      </w:pPr>
    </w:p>
    <w:p w14:paraId="660AE122" w14:textId="2D2FFB2F" w:rsidR="00781FA3" w:rsidRPr="00743124" w:rsidRDefault="00781FA3" w:rsidP="00781FA3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743124">
        <w:rPr>
          <w:rFonts w:ascii="Times New Roman" w:hAnsi="Times New Roman"/>
          <w:b/>
          <w:sz w:val="24"/>
          <w:szCs w:val="24"/>
        </w:rPr>
        <w:t xml:space="preserve">IV dalis. </w:t>
      </w:r>
      <w:bookmarkStart w:id="6" w:name="_Hlk74212734"/>
      <w:r w:rsidRPr="00743124">
        <w:rPr>
          <w:rFonts w:ascii="Times New Roman" w:hAnsi="Times New Roman"/>
          <w:b/>
          <w:sz w:val="24"/>
          <w:szCs w:val="24"/>
        </w:rPr>
        <w:t>Sprendimas</w:t>
      </w:r>
    </w:p>
    <w:p w14:paraId="4A6BC0CC" w14:textId="77777777" w:rsidR="00781FA3" w:rsidRPr="00743124" w:rsidRDefault="00781FA3" w:rsidP="00781FA3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9"/>
      </w:tblGrid>
      <w:tr w:rsidR="00781FA3" w:rsidRPr="00743124" w14:paraId="29EA7BA7" w14:textId="77777777" w:rsidTr="00FD6FEF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E15" w14:textId="398C7487" w:rsidR="00781FA3" w:rsidRPr="00743124" w:rsidRDefault="009312C3" w:rsidP="00D02C56">
            <w:pPr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7" w:name="_Hlk74212674"/>
            <w:bookmarkEnd w:id="6"/>
            <w:r>
              <w:rPr>
                <w:rFonts w:ascii="Times New Roman" w:hAnsi="Times New Roman"/>
                <w:sz w:val="24"/>
                <w:szCs w:val="24"/>
              </w:rPr>
              <w:t xml:space="preserve">     Įstatymo pažeidimų nenustatyta</w:t>
            </w:r>
            <w:r w:rsidR="00B0533F" w:rsidRPr="009312C3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7"/>
    </w:tbl>
    <w:p w14:paraId="0018D705" w14:textId="77777777" w:rsidR="00EE6145" w:rsidRDefault="00EE6145" w:rsidP="0070730F">
      <w:pPr>
        <w:spacing w:before="0"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254D1" w14:textId="05113487" w:rsidR="0070730F" w:rsidRDefault="0070730F" w:rsidP="0070730F">
      <w:pPr>
        <w:spacing w:before="0"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Pastabos</w:t>
      </w:r>
    </w:p>
    <w:p w14:paraId="09FB809D" w14:textId="77777777" w:rsidR="0070730F" w:rsidRDefault="0070730F" w:rsidP="0070730F">
      <w:pPr>
        <w:spacing w:before="0"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607065" w14:paraId="3C52FA2C" w14:textId="77777777" w:rsidTr="00607065">
        <w:tc>
          <w:tcPr>
            <w:tcW w:w="9605" w:type="dxa"/>
          </w:tcPr>
          <w:p w14:paraId="06A7D34D" w14:textId="4D298A07" w:rsidR="009312C3" w:rsidRPr="00EE5E9F" w:rsidRDefault="00E3617B" w:rsidP="00E3617B">
            <w:pPr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Perkančiojo subjekto 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Investicijų projekte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2"/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suformuluotas uždavinys – Kuršių nerijoje 35 kV oro linijas pakeisti į kabelines linijas bei renovuoti ir modernizuoti Kuršių nerijoje esančias 110/35/10 kV, 35/10 kV ir 35/0,4 kV transformatorines pastotes</w:t>
            </w:r>
            <w:bookmarkStart w:id="8" w:name="_Hlk85390806"/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3"/>
            </w:r>
            <w:bookmarkEnd w:id="8"/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BB14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P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irkim</w:t>
            </w:r>
            <w:r w:rsidR="007332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ų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332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dokumentuose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4"/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5"/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6"/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7"/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nurodoma, kad bus keičiamos </w:t>
            </w:r>
            <w:r w:rsidR="00733290" w:rsidRPr="007332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35 kV oro linijos 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bei bus atliekama 35 kV transformatorinių pastočių rekonstrukcija. Taigi, </w:t>
            </w:r>
            <w:r w:rsidR="00672B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manytina</w:t>
            </w:r>
            <w:r w:rsidR="009312C3"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, kad buvo numatyti 35 kV vardinės įtampos transformatorių pastočių statybos darbai ir kabelių linijų įrengimas. Vardinės 35 kV įrangą atitinka maksimalios </w:t>
            </w:r>
            <w:r w:rsidR="009312C3" w:rsidRPr="00EE5E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40,5</w:t>
            </w:r>
            <w:r w:rsidR="00672BB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/ 42</w:t>
            </w:r>
            <w:r w:rsidR="009312C3" w:rsidRPr="00EE5E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kV įranga.</w:t>
            </w:r>
          </w:p>
          <w:p w14:paraId="6F61F082" w14:textId="5FF2EA3E" w:rsidR="009312C3" w:rsidRPr="009312C3" w:rsidRDefault="009312C3" w:rsidP="00E3617B">
            <w:pPr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E5E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Pirkimų techninės sąlygos parengtos pagal ESO patvirtintas</w:t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projektavimo užduotis, kurių atitinkamuose punktuose</w:t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8"/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9"/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10"/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11"/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nustatančiuose reikalavimus 35V kabeliams ir įrangai, nurodoma maksimali (maksimalioji) įtampa 36 kV</w:t>
            </w:r>
            <w:r w:rsidR="007910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, k</w:t>
            </w:r>
            <w:r w:rsidR="009249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urią</w:t>
            </w:r>
            <w:r w:rsidR="007910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atitinka</w:t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tik vardinės 33 kV ir 30 kV įtampos įranga.</w:t>
            </w:r>
            <w:r w:rsidR="00223C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1A6F6AA4" w14:textId="68BCF3C6" w:rsidR="009312C3" w:rsidRPr="009312C3" w:rsidRDefault="009312C3" w:rsidP="00E3617B">
            <w:pPr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Faktiškai, įgyvendinus Pirkimų pagrindu sudarytas sutartis, buvo įdiegta 30 kV vardinės įtampos įranga ir kabeliai, kas pripažįstama pirkimo vykdytojo </w:t>
            </w:r>
            <w:r w:rsidR="00E3617B" w:rsidRPr="00E361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UAB „Ignitis grupės paslaugų centras“ </w:t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2021-10-08 rašte</w:t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vertAlign w:val="superscript"/>
                <w:lang w:eastAsia="lt-LT"/>
              </w:rPr>
              <w:footnoteReference w:id="12"/>
            </w:r>
            <w:r w:rsidRPr="009312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797944D8" w14:textId="48814CCA" w:rsidR="00607065" w:rsidRDefault="00607065" w:rsidP="00E3617B">
            <w:pPr>
              <w:spacing w:before="0"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F1E632E" w14:textId="5EB0816C" w:rsidR="006406C4" w:rsidRDefault="006406C4" w:rsidP="006406C4">
      <w:pPr>
        <w:spacing w:before="0" w:after="0" w:line="254" w:lineRule="atLeast"/>
        <w:ind w:right="-794" w:firstLine="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4B8D651" w14:textId="17720FAA" w:rsidR="00E974D4" w:rsidRDefault="00E974D4" w:rsidP="006406C4">
      <w:pPr>
        <w:spacing w:before="0" w:after="0" w:line="254" w:lineRule="atLeast"/>
        <w:ind w:right="-794" w:firstLine="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DCFB345" w14:textId="77777777" w:rsidR="007A2C5D" w:rsidRDefault="007A2C5D" w:rsidP="006406C4">
      <w:pPr>
        <w:spacing w:before="0" w:after="0" w:line="254" w:lineRule="atLeast"/>
        <w:ind w:right="-794" w:firstLine="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FEAD29F" w14:textId="53801D99" w:rsidR="005138EF" w:rsidRPr="00AE066E" w:rsidRDefault="006A71C6" w:rsidP="00AE066E">
      <w:pPr>
        <w:spacing w:before="0" w:after="0" w:line="254" w:lineRule="atLeast"/>
        <w:ind w:right="-794" w:firstLine="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Direktorius                                                                                                                   Darius Vedrickas</w:t>
      </w:r>
    </w:p>
    <w:p w14:paraId="11808D4C" w14:textId="77777777" w:rsidR="00AE066E" w:rsidRDefault="00AE066E" w:rsidP="006406C4">
      <w:pPr>
        <w:spacing w:before="0" w:after="200"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14:paraId="67EEC972" w14:textId="77777777" w:rsidR="00EE5E9F" w:rsidRDefault="00EE5E9F" w:rsidP="006406C4">
      <w:pPr>
        <w:spacing w:before="0" w:after="200"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14:paraId="6B331934" w14:textId="1B034806" w:rsidR="006406C4" w:rsidRPr="00F42011" w:rsidRDefault="006406C4" w:rsidP="006406C4">
      <w:pPr>
        <w:spacing w:before="0" w:after="200"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  <w:r w:rsidRPr="00F42011">
        <w:rPr>
          <w:rFonts w:ascii="Times New Roman" w:hAnsi="Times New Roman"/>
          <w:sz w:val="20"/>
          <w:szCs w:val="20"/>
        </w:rPr>
        <w:t xml:space="preserve">G. Kasperavičius, tel. (8 5) 219 7033, el. p. </w:t>
      </w:r>
      <w:hyperlink r:id="rId12" w:history="1">
        <w:r w:rsidR="00566AA5" w:rsidRPr="00F42011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Giedrius.Kasperavicius@vpt.lt</w:t>
        </w:r>
      </w:hyperlink>
    </w:p>
    <w:sectPr w:rsidR="006406C4" w:rsidRPr="00F42011" w:rsidSect="00EE5E9F">
      <w:headerReference w:type="default" r:id="rId13"/>
      <w:footerReference w:type="first" r:id="rId14"/>
      <w:pgSz w:w="11906" w:h="16838"/>
      <w:pgMar w:top="1418" w:right="851" w:bottom="426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9F82" w14:textId="77777777" w:rsidR="00211E39" w:rsidRDefault="00211E39" w:rsidP="00781FA3">
      <w:pPr>
        <w:spacing w:before="0" w:after="0"/>
      </w:pPr>
      <w:r>
        <w:separator/>
      </w:r>
    </w:p>
  </w:endnote>
  <w:endnote w:type="continuationSeparator" w:id="0">
    <w:p w14:paraId="6C84DEF4" w14:textId="77777777" w:rsidR="00211E39" w:rsidRDefault="00211E39" w:rsidP="00781F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DCC8" w14:textId="53AF54A3" w:rsidR="00FD6FEF" w:rsidRPr="00122196" w:rsidRDefault="00A0156D" w:rsidP="00FD6FEF">
    <w:pPr>
      <w:pBdr>
        <w:top w:val="single" w:sz="4" w:space="1" w:color="auto"/>
      </w:pBdr>
      <w:spacing w:before="0" w:after="0"/>
      <w:ind w:firstLine="0"/>
      <w:rPr>
        <w:rFonts w:ascii="Times New Roman" w:hAnsi="Times New Roman"/>
        <w:sz w:val="20"/>
        <w:szCs w:val="20"/>
      </w:rPr>
    </w:pPr>
    <w:bookmarkStart w:id="12" w:name="_Hlk64466110"/>
    <w:bookmarkStart w:id="13" w:name="_Hlk64466111"/>
    <w:r w:rsidRPr="00122196">
      <w:rPr>
        <w:rFonts w:ascii="Times New Roman" w:hAnsi="Times New Roman"/>
        <w:sz w:val="20"/>
        <w:szCs w:val="20"/>
      </w:rPr>
      <w:t>Biudžetinė įstaiga</w:t>
    </w:r>
    <w:r w:rsidRPr="00122196">
      <w:rPr>
        <w:rFonts w:ascii="Times New Roman" w:hAnsi="Times New Roman"/>
        <w:sz w:val="20"/>
        <w:szCs w:val="20"/>
      </w:rPr>
      <w:tab/>
      <w:t xml:space="preserve">        </w:t>
    </w:r>
    <w:r w:rsidR="00C5657D">
      <w:rPr>
        <w:rFonts w:ascii="Times New Roman" w:hAnsi="Times New Roman"/>
        <w:sz w:val="20"/>
        <w:szCs w:val="20"/>
      </w:rPr>
      <w:t xml:space="preserve">           </w:t>
    </w:r>
    <w:r w:rsidRPr="00122196">
      <w:rPr>
        <w:rFonts w:ascii="Times New Roman" w:hAnsi="Times New Roman"/>
        <w:sz w:val="20"/>
        <w:szCs w:val="20"/>
      </w:rPr>
      <w:t xml:space="preserve"> Tel. (8 5) 219 7001               </w:t>
    </w:r>
    <w:r w:rsidR="00C5657D">
      <w:rPr>
        <w:rFonts w:ascii="Times New Roman" w:hAnsi="Times New Roman"/>
        <w:sz w:val="20"/>
        <w:szCs w:val="20"/>
      </w:rPr>
      <w:t xml:space="preserve">                      </w:t>
    </w:r>
    <w:r w:rsidRPr="00122196">
      <w:rPr>
        <w:rFonts w:ascii="Times New Roman" w:hAnsi="Times New Roman"/>
        <w:sz w:val="20"/>
        <w:szCs w:val="20"/>
      </w:rPr>
      <w:t xml:space="preserve">Duomenys kaupiami ir saugomi              </w:t>
    </w:r>
  </w:p>
  <w:p w14:paraId="5D94E083" w14:textId="7F4A49AC" w:rsidR="00FD6FEF" w:rsidRPr="00122196" w:rsidRDefault="00A0156D" w:rsidP="00FD6FEF">
    <w:pPr>
      <w:pBdr>
        <w:top w:val="single" w:sz="4" w:space="1" w:color="auto"/>
      </w:pBdr>
      <w:spacing w:before="0" w:after="0"/>
      <w:ind w:firstLine="0"/>
      <w:rPr>
        <w:rFonts w:ascii="Times New Roman" w:hAnsi="Times New Roman"/>
        <w:sz w:val="20"/>
        <w:szCs w:val="20"/>
      </w:rPr>
    </w:pPr>
    <w:r w:rsidRPr="00122196">
      <w:rPr>
        <w:rFonts w:ascii="Times New Roman" w:hAnsi="Times New Roman"/>
        <w:sz w:val="20"/>
        <w:szCs w:val="20"/>
      </w:rPr>
      <w:t xml:space="preserve">Kareivių g. 1, LT-08351 Vilnius       </w:t>
    </w:r>
    <w:r w:rsidR="00C5657D">
      <w:rPr>
        <w:rFonts w:ascii="Times New Roman" w:hAnsi="Times New Roman"/>
        <w:sz w:val="20"/>
        <w:szCs w:val="20"/>
      </w:rPr>
      <w:t xml:space="preserve">           </w:t>
    </w:r>
    <w:r w:rsidRPr="00122196">
      <w:rPr>
        <w:rFonts w:ascii="Times New Roman" w:hAnsi="Times New Roman"/>
        <w:sz w:val="20"/>
        <w:szCs w:val="20"/>
      </w:rPr>
      <w:t xml:space="preserve">  Faks. (8 5) 213 6213             </w:t>
    </w:r>
    <w:r w:rsidR="00C5657D">
      <w:rPr>
        <w:rFonts w:ascii="Times New Roman" w:hAnsi="Times New Roman"/>
        <w:sz w:val="20"/>
        <w:szCs w:val="20"/>
      </w:rPr>
      <w:t xml:space="preserve">                      </w:t>
    </w:r>
    <w:r w:rsidRPr="00122196">
      <w:rPr>
        <w:rFonts w:ascii="Times New Roman" w:hAnsi="Times New Roman"/>
        <w:sz w:val="20"/>
        <w:szCs w:val="20"/>
      </w:rPr>
      <w:t xml:space="preserve">Juridinių asmenų registre </w:t>
    </w:r>
  </w:p>
  <w:p w14:paraId="3375E52C" w14:textId="5FF93D73" w:rsidR="00FD6FEF" w:rsidRPr="00C96169" w:rsidRDefault="00211E39" w:rsidP="00FD6FEF">
    <w:pPr>
      <w:pBdr>
        <w:top w:val="single" w:sz="4" w:space="1" w:color="auto"/>
      </w:pBdr>
      <w:spacing w:before="0" w:after="0"/>
      <w:ind w:firstLine="0"/>
    </w:pPr>
    <w:hyperlink r:id="rId1" w:history="1">
      <w:r w:rsidR="00A0156D" w:rsidRPr="00C75BFD">
        <w:rPr>
          <w:rStyle w:val="Hyperlink"/>
          <w:rFonts w:ascii="Times New Roman" w:hAnsi="Times New Roman"/>
          <w:sz w:val="20"/>
          <w:szCs w:val="20"/>
        </w:rPr>
        <w:t>http://www.vpt.lrv.lt</w:t>
      </w:r>
    </w:hyperlink>
    <w:r w:rsidR="00A0156D" w:rsidRPr="00122196">
      <w:rPr>
        <w:rFonts w:ascii="Times New Roman" w:hAnsi="Times New Roman"/>
        <w:sz w:val="20"/>
        <w:szCs w:val="20"/>
      </w:rPr>
      <w:tab/>
      <w:t xml:space="preserve">         </w:t>
    </w:r>
    <w:r w:rsidR="00C5657D">
      <w:rPr>
        <w:rFonts w:ascii="Times New Roman" w:hAnsi="Times New Roman"/>
        <w:sz w:val="20"/>
        <w:szCs w:val="20"/>
      </w:rPr>
      <w:t xml:space="preserve">           </w:t>
    </w:r>
    <w:r w:rsidR="00A0156D" w:rsidRPr="00122196">
      <w:rPr>
        <w:rFonts w:ascii="Times New Roman" w:hAnsi="Times New Roman"/>
        <w:sz w:val="20"/>
        <w:szCs w:val="20"/>
      </w:rPr>
      <w:t xml:space="preserve">El. p. </w:t>
    </w:r>
    <w:hyperlink r:id="rId2" w:history="1">
      <w:r w:rsidR="00A0156D" w:rsidRPr="00122196">
        <w:rPr>
          <w:rStyle w:val="Hyperlink"/>
          <w:rFonts w:ascii="Times New Roman" w:hAnsi="Times New Roman"/>
          <w:sz w:val="20"/>
          <w:szCs w:val="20"/>
        </w:rPr>
        <w:t>info@vpt.lt</w:t>
      </w:r>
    </w:hyperlink>
    <w:r w:rsidR="00A0156D" w:rsidRPr="00122196">
      <w:rPr>
        <w:rFonts w:ascii="Times New Roman" w:hAnsi="Times New Roman"/>
        <w:sz w:val="20"/>
        <w:szCs w:val="20"/>
      </w:rPr>
      <w:t xml:space="preserve">                   </w:t>
    </w:r>
    <w:r w:rsidR="00C5657D">
      <w:rPr>
        <w:rFonts w:ascii="Times New Roman" w:hAnsi="Times New Roman"/>
        <w:sz w:val="20"/>
        <w:szCs w:val="20"/>
      </w:rPr>
      <w:t xml:space="preserve">                     </w:t>
    </w:r>
    <w:r w:rsidR="00A0156D" w:rsidRPr="00122196">
      <w:rPr>
        <w:rFonts w:ascii="Times New Roman" w:hAnsi="Times New Roman"/>
        <w:sz w:val="20"/>
        <w:szCs w:val="20"/>
      </w:rPr>
      <w:t>Kodas 188656261</w:t>
    </w:r>
    <w:r w:rsidR="00A0156D">
      <w:t xml:space="preserve">                                   </w:t>
    </w:r>
  </w:p>
  <w:bookmarkEnd w:id="12"/>
  <w:bookmarkEnd w:id="13"/>
  <w:p w14:paraId="4CE58BD2" w14:textId="77777777" w:rsidR="00FD6FEF" w:rsidRPr="004D1BAD" w:rsidRDefault="00FD6FEF" w:rsidP="00FD6F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4F07" w14:textId="77777777" w:rsidR="00211E39" w:rsidRDefault="00211E39" w:rsidP="00781FA3">
      <w:pPr>
        <w:spacing w:before="0" w:after="0"/>
      </w:pPr>
      <w:r>
        <w:separator/>
      </w:r>
    </w:p>
  </w:footnote>
  <w:footnote w:type="continuationSeparator" w:id="0">
    <w:p w14:paraId="4C0D9BE8" w14:textId="77777777" w:rsidR="00211E39" w:rsidRDefault="00211E39" w:rsidP="00781FA3">
      <w:pPr>
        <w:spacing w:before="0" w:after="0"/>
      </w:pPr>
      <w:r>
        <w:continuationSeparator/>
      </w:r>
    </w:p>
  </w:footnote>
  <w:footnote w:id="1">
    <w:p w14:paraId="63E1F319" w14:textId="7721614D" w:rsidR="00B0533F" w:rsidRPr="00A7274E" w:rsidRDefault="00B0533F" w:rsidP="00B0533F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A727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7274E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 w:rsidR="00E3617B" w:rsidRPr="00E3617B">
        <w:rPr>
          <w:rFonts w:ascii="Times New Roman" w:hAnsi="Times New Roman"/>
          <w:sz w:val="20"/>
          <w:szCs w:val="20"/>
        </w:rPr>
        <w:t xml:space="preserve">Tarnyba nevertino </w:t>
      </w:r>
      <w:r w:rsidR="00E3617B">
        <w:rPr>
          <w:rFonts w:ascii="Times New Roman" w:hAnsi="Times New Roman"/>
          <w:sz w:val="20"/>
          <w:szCs w:val="20"/>
        </w:rPr>
        <w:t>P</w:t>
      </w:r>
      <w:r w:rsidR="00E3617B" w:rsidRPr="00E3617B">
        <w:rPr>
          <w:rFonts w:ascii="Times New Roman" w:hAnsi="Times New Roman"/>
          <w:sz w:val="20"/>
          <w:szCs w:val="20"/>
        </w:rPr>
        <w:t xml:space="preserve">erkančiojo subjekto </w:t>
      </w:r>
      <w:r w:rsidR="00E3617B">
        <w:rPr>
          <w:rFonts w:ascii="Times New Roman" w:hAnsi="Times New Roman"/>
          <w:sz w:val="20"/>
          <w:szCs w:val="20"/>
        </w:rPr>
        <w:t>sprendimų</w:t>
      </w:r>
      <w:r w:rsidR="00E3617B" w:rsidRPr="00E3617B">
        <w:rPr>
          <w:rFonts w:ascii="Times New Roman" w:hAnsi="Times New Roman"/>
          <w:sz w:val="20"/>
          <w:szCs w:val="20"/>
        </w:rPr>
        <w:t xml:space="preserve"> atitik</w:t>
      </w:r>
      <w:r w:rsidR="00C97748">
        <w:rPr>
          <w:rFonts w:ascii="Times New Roman" w:hAnsi="Times New Roman"/>
          <w:sz w:val="20"/>
          <w:szCs w:val="20"/>
        </w:rPr>
        <w:t>ties</w:t>
      </w:r>
      <w:r w:rsidR="00E3617B" w:rsidRPr="00E3617B">
        <w:rPr>
          <w:rFonts w:ascii="Times New Roman" w:hAnsi="Times New Roman"/>
          <w:sz w:val="20"/>
          <w:szCs w:val="20"/>
        </w:rPr>
        <w:t xml:space="preserve"> Pirkimų </w:t>
      </w:r>
      <w:r w:rsidR="00C97748">
        <w:rPr>
          <w:rFonts w:ascii="Times New Roman" w:hAnsi="Times New Roman"/>
          <w:sz w:val="20"/>
          <w:szCs w:val="20"/>
        </w:rPr>
        <w:t xml:space="preserve">vykdymo </w:t>
      </w:r>
      <w:r w:rsidR="00E3617B">
        <w:rPr>
          <w:rFonts w:ascii="Times New Roman" w:hAnsi="Times New Roman"/>
          <w:sz w:val="20"/>
          <w:szCs w:val="20"/>
        </w:rPr>
        <w:t xml:space="preserve">metu </w:t>
      </w:r>
      <w:r w:rsidR="00E3617B" w:rsidRPr="00E3617B">
        <w:rPr>
          <w:rFonts w:ascii="Times New Roman" w:hAnsi="Times New Roman"/>
          <w:sz w:val="20"/>
          <w:szCs w:val="20"/>
        </w:rPr>
        <w:t>galiojusi</w:t>
      </w:r>
      <w:r w:rsidR="00C97748">
        <w:rPr>
          <w:rFonts w:ascii="Times New Roman" w:hAnsi="Times New Roman"/>
          <w:sz w:val="20"/>
          <w:szCs w:val="20"/>
        </w:rPr>
        <w:t>ų</w:t>
      </w:r>
      <w:r w:rsidR="00DF2570">
        <w:rPr>
          <w:rFonts w:ascii="Times New Roman" w:hAnsi="Times New Roman"/>
          <w:sz w:val="20"/>
          <w:szCs w:val="20"/>
        </w:rPr>
        <w:t xml:space="preserve"> </w:t>
      </w:r>
      <w:r w:rsidR="00DF2570" w:rsidRPr="00EE5E9F">
        <w:rPr>
          <w:rFonts w:ascii="Times New Roman" w:hAnsi="Times New Roman"/>
          <w:bCs/>
          <w:sz w:val="20"/>
          <w:szCs w:val="20"/>
        </w:rPr>
        <w:t>Elektros įrenginių įrengimo bendrųjų taisyklių, patvirtintų</w:t>
      </w:r>
      <w:r w:rsidR="00E3617B" w:rsidRPr="00DF2570">
        <w:rPr>
          <w:rFonts w:ascii="Times New Roman" w:hAnsi="Times New Roman"/>
          <w:bCs/>
          <w:sz w:val="20"/>
          <w:szCs w:val="20"/>
        </w:rPr>
        <w:t xml:space="preserve"> </w:t>
      </w:r>
      <w:r w:rsidR="00E3617B" w:rsidRPr="00E3617B">
        <w:rPr>
          <w:rFonts w:ascii="Times New Roman" w:hAnsi="Times New Roman"/>
          <w:sz w:val="20"/>
          <w:szCs w:val="20"/>
        </w:rPr>
        <w:t>Lietuvos Respublikos energetikos ministro 2012 m. vasario 3 d. įsakym</w:t>
      </w:r>
      <w:r w:rsidR="00DF2570">
        <w:rPr>
          <w:rFonts w:ascii="Times New Roman" w:hAnsi="Times New Roman"/>
          <w:sz w:val="20"/>
          <w:szCs w:val="20"/>
        </w:rPr>
        <w:t>u</w:t>
      </w:r>
      <w:r w:rsidR="00E3617B" w:rsidRPr="00E3617B">
        <w:rPr>
          <w:rFonts w:ascii="Times New Roman" w:hAnsi="Times New Roman"/>
          <w:sz w:val="20"/>
          <w:szCs w:val="20"/>
        </w:rPr>
        <w:t xml:space="preserve"> Nr. 1-22 „Dėl Elektros įrenginių įrengimo bendrųjų taisyklių patvirtinimo“</w:t>
      </w:r>
      <w:r w:rsidR="00DF2570">
        <w:rPr>
          <w:rFonts w:ascii="Times New Roman" w:hAnsi="Times New Roman"/>
          <w:sz w:val="20"/>
          <w:szCs w:val="20"/>
        </w:rPr>
        <w:t xml:space="preserve"> reikalavimams</w:t>
      </w:r>
      <w:r w:rsidR="00E3617B" w:rsidRPr="00E3617B">
        <w:rPr>
          <w:rFonts w:ascii="Times New Roman" w:hAnsi="Times New Roman"/>
          <w:sz w:val="20"/>
          <w:szCs w:val="20"/>
        </w:rPr>
        <w:t>.</w:t>
      </w:r>
    </w:p>
  </w:footnote>
  <w:footnote w:id="2">
    <w:p w14:paraId="586C77B6" w14:textId="569EB677" w:rsidR="009312C3" w:rsidRPr="00A7274E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A727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7274E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572B">
        <w:rPr>
          <w:rFonts w:ascii="Times New Roman" w:hAnsi="Times New Roman"/>
          <w:sz w:val="20"/>
          <w:szCs w:val="20"/>
        </w:rPr>
        <w:t>„Elektros energijos tiekimo patikimumo Kuršių nerijoje didinimas“</w:t>
      </w:r>
      <w:r>
        <w:rPr>
          <w:rFonts w:ascii="Times New Roman" w:hAnsi="Times New Roman"/>
          <w:sz w:val="20"/>
          <w:szCs w:val="20"/>
        </w:rPr>
        <w:t>, Investicijų projektas, 2019.</w:t>
      </w:r>
    </w:p>
  </w:footnote>
  <w:footnote w:id="3">
    <w:p w14:paraId="54396B5D" w14:textId="77777777" w:rsidR="009312C3" w:rsidRPr="00A7274E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A727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7274E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 w:rsidRPr="00BB1420">
        <w:rPr>
          <w:rFonts w:ascii="Times New Roman" w:hAnsi="Times New Roman"/>
          <w:sz w:val="20"/>
          <w:szCs w:val="20"/>
        </w:rPr>
        <w:t>,,</w:t>
      </w:r>
      <w:r w:rsidRPr="00EE5E9F">
        <w:rPr>
          <w:rFonts w:ascii="Arial" w:eastAsia="Arial" w:hAnsi="Arial" w:cs="Arial"/>
          <w:i/>
          <w:color w:val="000000"/>
          <w:sz w:val="20"/>
          <w:szCs w:val="20"/>
          <w:lang w:eastAsia="lt-LT"/>
        </w:rPr>
        <w:t xml:space="preserve"> </w:t>
      </w:r>
      <w:r w:rsidRPr="00EE5E9F">
        <w:rPr>
          <w:rFonts w:ascii="Times New Roman" w:hAnsi="Times New Roman"/>
          <w:i/>
          <w:sz w:val="20"/>
          <w:szCs w:val="20"/>
        </w:rPr>
        <w:t>Projekto uždavinys</w:t>
      </w:r>
      <w:r w:rsidRPr="00412E24">
        <w:rPr>
          <w:rFonts w:ascii="Times New Roman" w:hAnsi="Times New Roman"/>
          <w:i/>
          <w:sz w:val="20"/>
          <w:szCs w:val="20"/>
        </w:rPr>
        <w:t xml:space="preserve"> </w:t>
      </w:r>
      <w:r w:rsidRPr="00412E24">
        <w:rPr>
          <w:rFonts w:ascii="Times New Roman" w:hAnsi="Times New Roman"/>
          <w:sz w:val="20"/>
          <w:szCs w:val="20"/>
        </w:rPr>
        <w:t>– Kuršių nerijoje oro linijas pakeisti į kabelines linijas bei panaudojant technologijas renovuoti ir modernizuoti Kuršių nerijoje esančias Pastotes (110/35/10 kV Juodkrantės, 35/10 kV Juodkrantės, 35/10 kV Smiltynės, 35/0,4 kV Alksnynės, 35/10 kV Pervalkos, 35/0,4 kV Girininkijos, 35/10 kV Preilos ir 35/10 kV Nidos), užtikrinant esamą ir galimai didėsiančio elektros energijos vartojimo poreikio patenkinimą, pagerinant elektros energijos tiekimo ir skirstymo patikimumą, sumažinant elektros įrenginių eksploatavimo išlaidas bei tinklo technologinius nuostolius</w:t>
      </w:r>
      <w:r>
        <w:rPr>
          <w:rFonts w:ascii="Times New Roman" w:hAnsi="Times New Roman"/>
          <w:sz w:val="20"/>
          <w:szCs w:val="20"/>
        </w:rPr>
        <w:t>“</w:t>
      </w:r>
      <w:r w:rsidRPr="00412E24">
        <w:rPr>
          <w:rFonts w:ascii="Times New Roman" w:hAnsi="Times New Roman"/>
          <w:sz w:val="20"/>
          <w:szCs w:val="20"/>
        </w:rPr>
        <w:t>.</w:t>
      </w:r>
    </w:p>
  </w:footnote>
  <w:footnote w:id="4">
    <w:p w14:paraId="39D8BE5B" w14:textId="77777777" w:rsidR="009312C3" w:rsidRPr="00806C02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806C0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06C02">
        <w:rPr>
          <w:rFonts w:ascii="Times New Roman" w:hAnsi="Times New Roman"/>
          <w:sz w:val="20"/>
          <w:szCs w:val="20"/>
        </w:rPr>
        <w:t>,,110/35/10 kV Juodkrantės TP, Žaliasis kelias 3T, Neringa, LITGRID AB dalies ir AB „Energijos skirstymo operatorius“ dalies rekonstravimas - įrangos tiekimo, techninio (tik LITGRID daliai) ir darbo projekto parengimo, projekto vykdymo priežiūros (tik LITGRID daliai), 110 kV dvigrandės OL Juodkrantė - Nida griovimo techninio projekto, vadovaujantis LITGRID išduotomis sąlygomis (išskyrus 35 kV KL klojimo projekto dalį), parengimo, personalo instruktavimo paslaugos, statybos montavimo darbai”.</w:t>
      </w:r>
    </w:p>
  </w:footnote>
  <w:footnote w:id="5">
    <w:p w14:paraId="4B0B6E4B" w14:textId="77777777" w:rsidR="009312C3" w:rsidRPr="00806C02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806C0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06C02">
        <w:rPr>
          <w:rFonts w:ascii="Times New Roman" w:hAnsi="Times New Roman"/>
          <w:sz w:val="20"/>
          <w:szCs w:val="20"/>
        </w:rPr>
        <w:t xml:space="preserve"> ,,Smiltynės TP, Alksnynės TP, 35 kV OL į KL rekonstrukcijos darbai:1 35/10 kV Smiltynės TP rekonstravimas;2. 35/0,4 kV Alksnynės TP pertvarkymas į 35/0,4 kV TR bei inžinerinių tinklų, 35 kV OL į 35 kV KL rekonstravimas”.</w:t>
      </w:r>
    </w:p>
  </w:footnote>
  <w:footnote w:id="6">
    <w:p w14:paraId="109306CB" w14:textId="77777777" w:rsidR="009312C3" w:rsidRPr="00806C02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806C0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06C02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 w:rsidRPr="00806C02">
        <w:rPr>
          <w:rFonts w:ascii="Times New Roman" w:hAnsi="Times New Roman"/>
          <w:sz w:val="20"/>
          <w:szCs w:val="20"/>
        </w:rPr>
        <w:t>,,</w:t>
      </w:r>
      <w:r w:rsidRPr="00806C02">
        <w:rPr>
          <w:rFonts w:eastAsia="Times New Roman" w:cs="Calibri"/>
          <w:color w:val="333333"/>
          <w:sz w:val="23"/>
          <w:szCs w:val="23"/>
        </w:rPr>
        <w:t xml:space="preserve"> </w:t>
      </w:r>
      <w:r w:rsidRPr="00806C02">
        <w:rPr>
          <w:rFonts w:ascii="Times New Roman" w:hAnsi="Times New Roman"/>
          <w:sz w:val="20"/>
          <w:szCs w:val="20"/>
        </w:rPr>
        <w:t>Pervalkos TP, Girininkijos TP, Preilos TP, 35 kV OL į KL rekonstravimo darbai“.</w:t>
      </w:r>
    </w:p>
  </w:footnote>
  <w:footnote w:id="7">
    <w:p w14:paraId="73786186" w14:textId="77777777" w:rsidR="009312C3" w:rsidRPr="00806C02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806C0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06C02">
        <w:rPr>
          <w:rFonts w:ascii="Times New Roman" w:hAnsi="Times New Roman"/>
          <w:sz w:val="20"/>
          <w:szCs w:val="20"/>
        </w:rPr>
        <w:t>,,35/10 kV Nidos TP, Nidos-Smiltynės pl. 19T, Neringoje, rekonstravimo darbai“.</w:t>
      </w:r>
    </w:p>
  </w:footnote>
  <w:footnote w:id="8">
    <w:p w14:paraId="6C425254" w14:textId="36DFFB85" w:rsidR="009312C3" w:rsidRPr="00FE0E91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FE0E9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FE0E91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bookmarkStart w:id="9" w:name="_Hlk85351191"/>
      <w:r w:rsidRPr="00FE0E91">
        <w:rPr>
          <w:rFonts w:ascii="Times New Roman" w:hAnsi="Times New Roman"/>
          <w:sz w:val="20"/>
          <w:szCs w:val="20"/>
        </w:rPr>
        <w:t>ESO projektavimo užduotis</w:t>
      </w:r>
      <w:bookmarkEnd w:id="9"/>
      <w:r w:rsidRPr="00FE0E91">
        <w:rPr>
          <w:rFonts w:ascii="Times New Roman" w:hAnsi="Times New Roman"/>
          <w:sz w:val="20"/>
          <w:szCs w:val="20"/>
        </w:rPr>
        <w:t xml:space="preserve"> 110/35/10 kV Juodkrantės TP rekonstravimo ir 35/10 kV Juodkrant</w:t>
      </w:r>
      <w:r>
        <w:rPr>
          <w:rFonts w:ascii="Times New Roman" w:hAnsi="Times New Roman"/>
          <w:sz w:val="20"/>
          <w:szCs w:val="20"/>
        </w:rPr>
        <w:t>ė</w:t>
      </w:r>
      <w:r w:rsidRPr="00FE0E91">
        <w:rPr>
          <w:rFonts w:ascii="Times New Roman" w:hAnsi="Times New Roman"/>
          <w:sz w:val="20"/>
          <w:szCs w:val="20"/>
        </w:rPr>
        <w:t xml:space="preserve">s TP panaikinimo, </w:t>
      </w:r>
      <w:bookmarkStart w:id="10" w:name="_Hlk85351872"/>
      <w:r w:rsidRPr="00FE0E91">
        <w:rPr>
          <w:rFonts w:ascii="Times New Roman" w:hAnsi="Times New Roman"/>
          <w:sz w:val="20"/>
          <w:szCs w:val="20"/>
        </w:rPr>
        <w:t>patvirtinta 2018-04-28</w:t>
      </w:r>
      <w:r>
        <w:rPr>
          <w:rFonts w:ascii="Times New Roman" w:hAnsi="Times New Roman"/>
          <w:sz w:val="20"/>
          <w:szCs w:val="20"/>
        </w:rPr>
        <w:t xml:space="preserve">, </w:t>
      </w:r>
      <w:r w:rsidR="00EE5E9F">
        <w:rPr>
          <w:rFonts w:ascii="Times New Roman" w:hAnsi="Times New Roman"/>
          <w:sz w:val="20"/>
          <w:szCs w:val="20"/>
        </w:rPr>
        <w:t xml:space="preserve">pvz., </w:t>
      </w:r>
      <w:r>
        <w:rPr>
          <w:rFonts w:ascii="Times New Roman" w:hAnsi="Times New Roman"/>
          <w:sz w:val="20"/>
          <w:szCs w:val="20"/>
        </w:rPr>
        <w:t>7.1.2.2.1</w:t>
      </w:r>
      <w:r w:rsidR="00EE5E9F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 </w:t>
      </w:r>
      <w:r w:rsidRPr="00B57AC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unkta</w:t>
      </w:r>
      <w:r w:rsidR="00EE5E9F">
        <w:rPr>
          <w:rFonts w:ascii="Times New Roman" w:hAnsi="Times New Roman"/>
          <w:sz w:val="20"/>
          <w:szCs w:val="20"/>
        </w:rPr>
        <w:t>s</w:t>
      </w:r>
      <w:r w:rsidRPr="00B57ACA">
        <w:rPr>
          <w:rFonts w:ascii="Times New Roman" w:hAnsi="Times New Roman"/>
          <w:sz w:val="20"/>
          <w:szCs w:val="20"/>
        </w:rPr>
        <w:t>.</w:t>
      </w:r>
      <w:bookmarkEnd w:id="10"/>
    </w:p>
  </w:footnote>
  <w:footnote w:id="9">
    <w:p w14:paraId="475D5C12" w14:textId="34A63677" w:rsidR="009312C3" w:rsidRPr="00FE0E91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FE0E9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FE0E91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 w:rsidRPr="00FE0E91">
        <w:rPr>
          <w:rFonts w:ascii="Times New Roman" w:hAnsi="Times New Roman"/>
          <w:sz w:val="20"/>
          <w:szCs w:val="20"/>
        </w:rPr>
        <w:t>ESO projektavimo užduotis</w:t>
      </w:r>
      <w:r w:rsidRPr="00FE0E91">
        <w:rPr>
          <w:rFonts w:asciiTheme="minorHAnsi" w:eastAsiaTheme="minorHAnsi" w:hAnsiTheme="minorHAnsi" w:cstheme="minorBidi"/>
        </w:rPr>
        <w:t xml:space="preserve"> </w:t>
      </w:r>
      <w:r w:rsidRPr="00FE0E91">
        <w:rPr>
          <w:rFonts w:ascii="Times New Roman" w:hAnsi="Times New Roman"/>
          <w:sz w:val="20"/>
          <w:szCs w:val="20"/>
        </w:rPr>
        <w:t>35/10 kV Smiltynės TP, 35/10 kV Alksnynės TP rekonstravimo, 35 kV ir 10 kV elektros  tinkle pertvarkymo technini</w:t>
      </w:r>
      <w:r w:rsidR="00672BB6">
        <w:rPr>
          <w:rFonts w:ascii="Times New Roman" w:hAnsi="Times New Roman"/>
          <w:sz w:val="20"/>
          <w:szCs w:val="20"/>
        </w:rPr>
        <w:t>s</w:t>
      </w:r>
      <w:r w:rsidRPr="00FE0E91">
        <w:rPr>
          <w:rFonts w:ascii="Times New Roman" w:hAnsi="Times New Roman"/>
          <w:sz w:val="20"/>
          <w:szCs w:val="20"/>
        </w:rPr>
        <w:t xml:space="preserve"> projekt</w:t>
      </w:r>
      <w:r w:rsidR="00672BB6">
        <w:rPr>
          <w:rFonts w:ascii="Times New Roman" w:hAnsi="Times New Roman"/>
          <w:sz w:val="20"/>
          <w:szCs w:val="20"/>
        </w:rPr>
        <w:t>as</w:t>
      </w:r>
      <w:r w:rsidRPr="00FE0E91">
        <w:rPr>
          <w:rFonts w:ascii="Times New Roman" w:hAnsi="Times New Roman"/>
          <w:sz w:val="20"/>
          <w:szCs w:val="20"/>
        </w:rPr>
        <w:t>, patvirtinta 2018-04-28</w:t>
      </w:r>
      <w:r>
        <w:rPr>
          <w:rFonts w:ascii="Times New Roman" w:hAnsi="Times New Roman"/>
          <w:sz w:val="20"/>
          <w:szCs w:val="20"/>
        </w:rPr>
        <w:t xml:space="preserve">, </w:t>
      </w:r>
      <w:bookmarkStart w:id="11" w:name="_Hlk85366249"/>
      <w:r w:rsidR="00EE5E9F">
        <w:rPr>
          <w:rFonts w:ascii="Times New Roman" w:hAnsi="Times New Roman"/>
          <w:sz w:val="20"/>
          <w:szCs w:val="20"/>
        </w:rPr>
        <w:t xml:space="preserve">pvz., </w:t>
      </w:r>
      <w:r>
        <w:rPr>
          <w:rFonts w:ascii="Times New Roman" w:hAnsi="Times New Roman"/>
          <w:sz w:val="20"/>
          <w:szCs w:val="20"/>
        </w:rPr>
        <w:t>7.1.1.2.1.3 punkta</w:t>
      </w:r>
      <w:r w:rsidR="00EE5E9F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bookmarkEnd w:id="11"/>
    </w:p>
  </w:footnote>
  <w:footnote w:id="10">
    <w:p w14:paraId="63A20C9B" w14:textId="593D00D5" w:rsidR="009312C3" w:rsidRPr="00020EB8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020EB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020EB8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 w:rsidRPr="00020EB8">
        <w:rPr>
          <w:rFonts w:ascii="Times New Roman" w:hAnsi="Times New Roman"/>
          <w:sz w:val="20"/>
          <w:szCs w:val="20"/>
        </w:rPr>
        <w:t>ESO projektavimo užduotis 35/10 kV Pervalkos TP, 35/0,4 kV Girininkijos TP rekonstravimo ir 35/10 kV Preilos TP naikinimo, 35 kV ir 10 kV elektros tinklo pertvarkymo technini</w:t>
      </w:r>
      <w:r w:rsidR="00672BB6">
        <w:rPr>
          <w:rFonts w:ascii="Times New Roman" w:hAnsi="Times New Roman"/>
          <w:sz w:val="20"/>
          <w:szCs w:val="20"/>
        </w:rPr>
        <w:t>s</w:t>
      </w:r>
      <w:r w:rsidRPr="00020EB8">
        <w:rPr>
          <w:rFonts w:ascii="Times New Roman" w:hAnsi="Times New Roman"/>
          <w:sz w:val="20"/>
          <w:szCs w:val="20"/>
        </w:rPr>
        <w:t xml:space="preserve"> projekt</w:t>
      </w:r>
      <w:r w:rsidR="00672BB6">
        <w:rPr>
          <w:rFonts w:ascii="Times New Roman" w:hAnsi="Times New Roman"/>
          <w:sz w:val="20"/>
          <w:szCs w:val="20"/>
        </w:rPr>
        <w:t>as</w:t>
      </w:r>
      <w:r w:rsidRPr="00020EB8">
        <w:rPr>
          <w:rFonts w:ascii="Times New Roman" w:hAnsi="Times New Roman"/>
          <w:sz w:val="20"/>
          <w:szCs w:val="20"/>
        </w:rPr>
        <w:t>,</w:t>
      </w:r>
      <w:r w:rsidR="00EE5E9F">
        <w:rPr>
          <w:rFonts w:ascii="Times New Roman" w:hAnsi="Times New Roman"/>
          <w:sz w:val="20"/>
          <w:szCs w:val="20"/>
        </w:rPr>
        <w:t xml:space="preserve"> pvz.,</w:t>
      </w:r>
      <w:r w:rsidRPr="00020EB8">
        <w:rPr>
          <w:rFonts w:ascii="Times New Roman" w:hAnsi="Times New Roman"/>
          <w:sz w:val="20"/>
          <w:szCs w:val="20"/>
        </w:rPr>
        <w:t xml:space="preserve"> 7.1.1.2.1.3 punkta</w:t>
      </w:r>
      <w:r w:rsidR="00EE5E9F">
        <w:rPr>
          <w:rFonts w:ascii="Times New Roman" w:hAnsi="Times New Roman"/>
          <w:sz w:val="20"/>
          <w:szCs w:val="20"/>
        </w:rPr>
        <w:t>s</w:t>
      </w:r>
      <w:r w:rsidRPr="00020EB8">
        <w:rPr>
          <w:rFonts w:ascii="Times New Roman" w:hAnsi="Times New Roman"/>
          <w:sz w:val="20"/>
          <w:szCs w:val="20"/>
        </w:rPr>
        <w:t>.</w:t>
      </w:r>
    </w:p>
  </w:footnote>
  <w:footnote w:id="11">
    <w:p w14:paraId="5ACA8FFE" w14:textId="39760746" w:rsidR="009312C3" w:rsidRPr="00020EB8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020EB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020EB8">
        <w:rPr>
          <w:rStyle w:val="FootnoteReference"/>
          <w:rFonts w:ascii="Times New Roman" w:hAnsi="Times New Roman"/>
          <w:sz w:val="20"/>
          <w:szCs w:val="20"/>
        </w:rPr>
        <w:t xml:space="preserve"> </w:t>
      </w:r>
      <w:r w:rsidRPr="00020EB8">
        <w:rPr>
          <w:rFonts w:ascii="Times New Roman" w:hAnsi="Times New Roman"/>
          <w:sz w:val="20"/>
          <w:szCs w:val="20"/>
        </w:rPr>
        <w:t>ESO projektavimo užduotis 35/10 kV Nidos TP rekonstravimo technini</w:t>
      </w:r>
      <w:r w:rsidR="00672BB6">
        <w:rPr>
          <w:rFonts w:ascii="Times New Roman" w:hAnsi="Times New Roman"/>
          <w:sz w:val="20"/>
          <w:szCs w:val="20"/>
        </w:rPr>
        <w:t>s</w:t>
      </w:r>
      <w:r w:rsidRPr="00020EB8">
        <w:rPr>
          <w:rFonts w:ascii="Times New Roman" w:hAnsi="Times New Roman"/>
          <w:sz w:val="20"/>
          <w:szCs w:val="20"/>
        </w:rPr>
        <w:t xml:space="preserve"> projekt</w:t>
      </w:r>
      <w:r w:rsidR="00672BB6">
        <w:rPr>
          <w:rFonts w:ascii="Times New Roman" w:hAnsi="Times New Roman"/>
          <w:sz w:val="20"/>
          <w:szCs w:val="20"/>
        </w:rPr>
        <w:t>as</w:t>
      </w:r>
      <w:r w:rsidRPr="00020EB8">
        <w:rPr>
          <w:rFonts w:ascii="Times New Roman" w:hAnsi="Times New Roman"/>
          <w:sz w:val="20"/>
          <w:szCs w:val="20"/>
        </w:rPr>
        <w:t xml:space="preserve">, </w:t>
      </w:r>
      <w:r w:rsidR="00EE5E9F">
        <w:rPr>
          <w:rFonts w:ascii="Times New Roman" w:hAnsi="Times New Roman"/>
          <w:sz w:val="20"/>
          <w:szCs w:val="20"/>
        </w:rPr>
        <w:t xml:space="preserve">pvz., </w:t>
      </w:r>
      <w:r w:rsidRPr="00020EB8">
        <w:rPr>
          <w:rFonts w:ascii="Times New Roman" w:hAnsi="Times New Roman"/>
          <w:sz w:val="20"/>
          <w:szCs w:val="20"/>
        </w:rPr>
        <w:t>7.1.2.2.10 punkta</w:t>
      </w:r>
      <w:r w:rsidR="00EE5E9F">
        <w:rPr>
          <w:rFonts w:ascii="Times New Roman" w:hAnsi="Times New Roman"/>
          <w:sz w:val="20"/>
          <w:szCs w:val="20"/>
        </w:rPr>
        <w:t>s.</w:t>
      </w:r>
    </w:p>
  </w:footnote>
  <w:footnote w:id="12">
    <w:p w14:paraId="10D2743F" w14:textId="77777777" w:rsidR="009312C3" w:rsidRPr="00020EB8" w:rsidRDefault="009312C3" w:rsidP="009312C3">
      <w:pPr>
        <w:spacing w:before="0" w:after="0"/>
        <w:ind w:firstLine="0"/>
        <w:rPr>
          <w:rFonts w:ascii="Times New Roman" w:hAnsi="Times New Roman"/>
          <w:sz w:val="20"/>
          <w:szCs w:val="20"/>
        </w:rPr>
      </w:pPr>
      <w:r w:rsidRPr="00020EB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020EB8">
        <w:rPr>
          <w:rFonts w:ascii="Times New Roman" w:hAnsi="Times New Roman"/>
          <w:sz w:val="20"/>
          <w:szCs w:val="20"/>
        </w:rPr>
        <w:t>,, &lt;...&gt; Projekto apimtyje yra 6 transformatorių pastotės su 26 x 30 kV prijunginiais ir 98,6 km 30 kV kabelių linijų“.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DFBC" w14:textId="77777777" w:rsidR="00FD6FEF" w:rsidRDefault="00A0156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B4A8A">
      <w:rPr>
        <w:noProof/>
      </w:rPr>
      <w:t>3</w:t>
    </w:r>
    <w:r>
      <w:fldChar w:fldCharType="end"/>
    </w:r>
  </w:p>
  <w:p w14:paraId="53492AED" w14:textId="77777777" w:rsidR="00FD6FEF" w:rsidRDefault="00FD6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2C80"/>
    <w:multiLevelType w:val="hybridMultilevel"/>
    <w:tmpl w:val="37CAAF32"/>
    <w:lvl w:ilvl="0" w:tplc="AB9E4D9E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6BD0"/>
    <w:multiLevelType w:val="hybridMultilevel"/>
    <w:tmpl w:val="10922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79C3"/>
    <w:multiLevelType w:val="multilevel"/>
    <w:tmpl w:val="1526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74999"/>
    <w:multiLevelType w:val="multilevel"/>
    <w:tmpl w:val="68F0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5EEC"/>
    <w:multiLevelType w:val="multilevel"/>
    <w:tmpl w:val="8A1023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560AB"/>
    <w:multiLevelType w:val="hybridMultilevel"/>
    <w:tmpl w:val="86BC3FA0"/>
    <w:lvl w:ilvl="0" w:tplc="2AE8546E">
      <w:start w:val="5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909438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8CEF5A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449E24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641C40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8E4656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228ACC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2A7970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9CF93A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775491"/>
    <w:multiLevelType w:val="hybridMultilevel"/>
    <w:tmpl w:val="A96E8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D0F9F"/>
    <w:multiLevelType w:val="hybridMultilevel"/>
    <w:tmpl w:val="F2B8FE50"/>
    <w:lvl w:ilvl="0" w:tplc="C37017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2190739"/>
    <w:multiLevelType w:val="hybridMultilevel"/>
    <w:tmpl w:val="868E7D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A3"/>
    <w:rsid w:val="0000046F"/>
    <w:rsid w:val="000012B0"/>
    <w:rsid w:val="00001B95"/>
    <w:rsid w:val="00004375"/>
    <w:rsid w:val="00006E6D"/>
    <w:rsid w:val="0001479F"/>
    <w:rsid w:val="00020EB8"/>
    <w:rsid w:val="000356C8"/>
    <w:rsid w:val="00055494"/>
    <w:rsid w:val="00064EA9"/>
    <w:rsid w:val="00065DEC"/>
    <w:rsid w:val="000911E9"/>
    <w:rsid w:val="00091A76"/>
    <w:rsid w:val="00092B67"/>
    <w:rsid w:val="000A7BA5"/>
    <w:rsid w:val="000B4F3D"/>
    <w:rsid w:val="000C06DA"/>
    <w:rsid w:val="000C2D02"/>
    <w:rsid w:val="000C4478"/>
    <w:rsid w:val="000C5065"/>
    <w:rsid w:val="000D4328"/>
    <w:rsid w:val="000D5BA1"/>
    <w:rsid w:val="000E5BB1"/>
    <w:rsid w:val="00102674"/>
    <w:rsid w:val="00103F6A"/>
    <w:rsid w:val="00104A19"/>
    <w:rsid w:val="00110FEC"/>
    <w:rsid w:val="00116D9E"/>
    <w:rsid w:val="00117DFC"/>
    <w:rsid w:val="00120AB4"/>
    <w:rsid w:val="00120DBA"/>
    <w:rsid w:val="00126D37"/>
    <w:rsid w:val="001278A8"/>
    <w:rsid w:val="00132819"/>
    <w:rsid w:val="00137D9E"/>
    <w:rsid w:val="00137E63"/>
    <w:rsid w:val="001417C5"/>
    <w:rsid w:val="0014258E"/>
    <w:rsid w:val="00145B37"/>
    <w:rsid w:val="001476EE"/>
    <w:rsid w:val="0015532F"/>
    <w:rsid w:val="001566E4"/>
    <w:rsid w:val="00156F95"/>
    <w:rsid w:val="00162999"/>
    <w:rsid w:val="00170C80"/>
    <w:rsid w:val="00175341"/>
    <w:rsid w:val="00182B58"/>
    <w:rsid w:val="0018374F"/>
    <w:rsid w:val="00183F30"/>
    <w:rsid w:val="00191B3D"/>
    <w:rsid w:val="0019294F"/>
    <w:rsid w:val="001A175B"/>
    <w:rsid w:val="001A1960"/>
    <w:rsid w:val="001B2A61"/>
    <w:rsid w:val="001C12A6"/>
    <w:rsid w:val="001C6FEF"/>
    <w:rsid w:val="001F2900"/>
    <w:rsid w:val="00203B48"/>
    <w:rsid w:val="002048B9"/>
    <w:rsid w:val="00207EE3"/>
    <w:rsid w:val="002105C0"/>
    <w:rsid w:val="00211E39"/>
    <w:rsid w:val="00214275"/>
    <w:rsid w:val="00214C68"/>
    <w:rsid w:val="002201D4"/>
    <w:rsid w:val="00221B33"/>
    <w:rsid w:val="00223CC5"/>
    <w:rsid w:val="002378BA"/>
    <w:rsid w:val="00240CF4"/>
    <w:rsid w:val="00244A6D"/>
    <w:rsid w:val="00247FD2"/>
    <w:rsid w:val="002501EA"/>
    <w:rsid w:val="002529EE"/>
    <w:rsid w:val="00257DD6"/>
    <w:rsid w:val="00271F9A"/>
    <w:rsid w:val="00274951"/>
    <w:rsid w:val="00284DCF"/>
    <w:rsid w:val="0029147A"/>
    <w:rsid w:val="002A1262"/>
    <w:rsid w:val="002A6A40"/>
    <w:rsid w:val="002C7471"/>
    <w:rsid w:val="002D4563"/>
    <w:rsid w:val="002E7EC7"/>
    <w:rsid w:val="002F0E45"/>
    <w:rsid w:val="003037AD"/>
    <w:rsid w:val="003040FB"/>
    <w:rsid w:val="00323EFE"/>
    <w:rsid w:val="0032631E"/>
    <w:rsid w:val="0034337F"/>
    <w:rsid w:val="00344439"/>
    <w:rsid w:val="00355DBF"/>
    <w:rsid w:val="003663FB"/>
    <w:rsid w:val="00367F36"/>
    <w:rsid w:val="003767A9"/>
    <w:rsid w:val="00391288"/>
    <w:rsid w:val="003A509A"/>
    <w:rsid w:val="003A7025"/>
    <w:rsid w:val="003A732D"/>
    <w:rsid w:val="003B4B78"/>
    <w:rsid w:val="003B6300"/>
    <w:rsid w:val="003C0ACB"/>
    <w:rsid w:val="003D05B9"/>
    <w:rsid w:val="003D50FA"/>
    <w:rsid w:val="003E1595"/>
    <w:rsid w:val="003F1E56"/>
    <w:rsid w:val="003F7CA8"/>
    <w:rsid w:val="004054FC"/>
    <w:rsid w:val="0040640B"/>
    <w:rsid w:val="00412E24"/>
    <w:rsid w:val="0042572B"/>
    <w:rsid w:val="004401A3"/>
    <w:rsid w:val="00451F5C"/>
    <w:rsid w:val="00457F11"/>
    <w:rsid w:val="0047618D"/>
    <w:rsid w:val="004836B0"/>
    <w:rsid w:val="004836E1"/>
    <w:rsid w:val="00484F2D"/>
    <w:rsid w:val="00490FF4"/>
    <w:rsid w:val="00492626"/>
    <w:rsid w:val="00492B0D"/>
    <w:rsid w:val="00496ACD"/>
    <w:rsid w:val="00496FB3"/>
    <w:rsid w:val="004A0720"/>
    <w:rsid w:val="004A47C1"/>
    <w:rsid w:val="004A7010"/>
    <w:rsid w:val="004B1E1E"/>
    <w:rsid w:val="004D4E1A"/>
    <w:rsid w:val="004D5A04"/>
    <w:rsid w:val="004E731C"/>
    <w:rsid w:val="004F1B15"/>
    <w:rsid w:val="00501878"/>
    <w:rsid w:val="005055D1"/>
    <w:rsid w:val="00506F15"/>
    <w:rsid w:val="005138EF"/>
    <w:rsid w:val="00515D68"/>
    <w:rsid w:val="00517A4B"/>
    <w:rsid w:val="0052767D"/>
    <w:rsid w:val="0053416D"/>
    <w:rsid w:val="00536BC8"/>
    <w:rsid w:val="00541D54"/>
    <w:rsid w:val="00552757"/>
    <w:rsid w:val="00554E73"/>
    <w:rsid w:val="00566AA5"/>
    <w:rsid w:val="00574C31"/>
    <w:rsid w:val="0057694B"/>
    <w:rsid w:val="00595685"/>
    <w:rsid w:val="005A1D8E"/>
    <w:rsid w:val="005B0F68"/>
    <w:rsid w:val="005B1740"/>
    <w:rsid w:val="005B2023"/>
    <w:rsid w:val="005C6581"/>
    <w:rsid w:val="005C75F7"/>
    <w:rsid w:val="005D0443"/>
    <w:rsid w:val="005D2508"/>
    <w:rsid w:val="005D6983"/>
    <w:rsid w:val="0060350A"/>
    <w:rsid w:val="00607065"/>
    <w:rsid w:val="006161F5"/>
    <w:rsid w:val="00633BF0"/>
    <w:rsid w:val="006406C4"/>
    <w:rsid w:val="00653CBF"/>
    <w:rsid w:val="00655EF4"/>
    <w:rsid w:val="0067125B"/>
    <w:rsid w:val="00671569"/>
    <w:rsid w:val="006715EE"/>
    <w:rsid w:val="00672BB6"/>
    <w:rsid w:val="00675279"/>
    <w:rsid w:val="00675398"/>
    <w:rsid w:val="0069395E"/>
    <w:rsid w:val="00697AC8"/>
    <w:rsid w:val="006A71C6"/>
    <w:rsid w:val="006A7CCE"/>
    <w:rsid w:val="006B4A8A"/>
    <w:rsid w:val="006C008D"/>
    <w:rsid w:val="006C77A7"/>
    <w:rsid w:val="006C7C07"/>
    <w:rsid w:val="006F6C26"/>
    <w:rsid w:val="007054CA"/>
    <w:rsid w:val="0070730F"/>
    <w:rsid w:val="007073E4"/>
    <w:rsid w:val="00710BFB"/>
    <w:rsid w:val="007128B1"/>
    <w:rsid w:val="00714753"/>
    <w:rsid w:val="00722ADD"/>
    <w:rsid w:val="00722B98"/>
    <w:rsid w:val="0072301D"/>
    <w:rsid w:val="00727460"/>
    <w:rsid w:val="00733290"/>
    <w:rsid w:val="00737E96"/>
    <w:rsid w:val="00743124"/>
    <w:rsid w:val="007456A4"/>
    <w:rsid w:val="0075415E"/>
    <w:rsid w:val="00760012"/>
    <w:rsid w:val="00781FA3"/>
    <w:rsid w:val="007826ED"/>
    <w:rsid w:val="00785A87"/>
    <w:rsid w:val="00791073"/>
    <w:rsid w:val="007913CD"/>
    <w:rsid w:val="00795E40"/>
    <w:rsid w:val="007A2C5D"/>
    <w:rsid w:val="007A65FA"/>
    <w:rsid w:val="007B41B7"/>
    <w:rsid w:val="007B7FD0"/>
    <w:rsid w:val="007D10E3"/>
    <w:rsid w:val="007E611B"/>
    <w:rsid w:val="007F5886"/>
    <w:rsid w:val="00804D37"/>
    <w:rsid w:val="00806C02"/>
    <w:rsid w:val="00813DAA"/>
    <w:rsid w:val="00814CDE"/>
    <w:rsid w:val="00823C6A"/>
    <w:rsid w:val="00826450"/>
    <w:rsid w:val="0083612D"/>
    <w:rsid w:val="00846DA0"/>
    <w:rsid w:val="00850AAB"/>
    <w:rsid w:val="008547E0"/>
    <w:rsid w:val="008604DB"/>
    <w:rsid w:val="00867972"/>
    <w:rsid w:val="00876B18"/>
    <w:rsid w:val="008819A9"/>
    <w:rsid w:val="00885230"/>
    <w:rsid w:val="008B39BC"/>
    <w:rsid w:val="008B3BDC"/>
    <w:rsid w:val="008B6615"/>
    <w:rsid w:val="008B7854"/>
    <w:rsid w:val="008C5CAA"/>
    <w:rsid w:val="008C792E"/>
    <w:rsid w:val="008D169D"/>
    <w:rsid w:val="008E0B63"/>
    <w:rsid w:val="008E4A60"/>
    <w:rsid w:val="008E5293"/>
    <w:rsid w:val="008E57FA"/>
    <w:rsid w:val="008E5C4E"/>
    <w:rsid w:val="008E7C42"/>
    <w:rsid w:val="008F0EFD"/>
    <w:rsid w:val="00911547"/>
    <w:rsid w:val="00911C06"/>
    <w:rsid w:val="00913AFE"/>
    <w:rsid w:val="00921718"/>
    <w:rsid w:val="009249DA"/>
    <w:rsid w:val="00924F91"/>
    <w:rsid w:val="009259DC"/>
    <w:rsid w:val="009312C3"/>
    <w:rsid w:val="00937849"/>
    <w:rsid w:val="00942DD1"/>
    <w:rsid w:val="0095155E"/>
    <w:rsid w:val="00953AA7"/>
    <w:rsid w:val="00963263"/>
    <w:rsid w:val="00965C00"/>
    <w:rsid w:val="00973BD5"/>
    <w:rsid w:val="009768E3"/>
    <w:rsid w:val="00980E3D"/>
    <w:rsid w:val="00981CBD"/>
    <w:rsid w:val="00985168"/>
    <w:rsid w:val="00986EC8"/>
    <w:rsid w:val="009963F2"/>
    <w:rsid w:val="009971F1"/>
    <w:rsid w:val="009A1451"/>
    <w:rsid w:val="009B6413"/>
    <w:rsid w:val="009B77E8"/>
    <w:rsid w:val="009C147A"/>
    <w:rsid w:val="009C2A84"/>
    <w:rsid w:val="009C7E1C"/>
    <w:rsid w:val="009D174B"/>
    <w:rsid w:val="009D3063"/>
    <w:rsid w:val="009D4120"/>
    <w:rsid w:val="009F5DAD"/>
    <w:rsid w:val="009F71D9"/>
    <w:rsid w:val="00A003CF"/>
    <w:rsid w:val="00A0156D"/>
    <w:rsid w:val="00A13390"/>
    <w:rsid w:val="00A15621"/>
    <w:rsid w:val="00A21D38"/>
    <w:rsid w:val="00A26F0C"/>
    <w:rsid w:val="00A45DC6"/>
    <w:rsid w:val="00A505CA"/>
    <w:rsid w:val="00A51D1D"/>
    <w:rsid w:val="00A60670"/>
    <w:rsid w:val="00A63CE0"/>
    <w:rsid w:val="00A704C7"/>
    <w:rsid w:val="00A7274E"/>
    <w:rsid w:val="00A8330D"/>
    <w:rsid w:val="00A939BB"/>
    <w:rsid w:val="00A9575C"/>
    <w:rsid w:val="00A964E9"/>
    <w:rsid w:val="00AD0670"/>
    <w:rsid w:val="00AD1D06"/>
    <w:rsid w:val="00AE066E"/>
    <w:rsid w:val="00AE099F"/>
    <w:rsid w:val="00AE75B1"/>
    <w:rsid w:val="00AF3DCF"/>
    <w:rsid w:val="00B00F79"/>
    <w:rsid w:val="00B0533F"/>
    <w:rsid w:val="00B07C69"/>
    <w:rsid w:val="00B15AC9"/>
    <w:rsid w:val="00B17FC4"/>
    <w:rsid w:val="00B241EC"/>
    <w:rsid w:val="00B25745"/>
    <w:rsid w:val="00B365F5"/>
    <w:rsid w:val="00B37AAD"/>
    <w:rsid w:val="00B37D0F"/>
    <w:rsid w:val="00B449C5"/>
    <w:rsid w:val="00B454B9"/>
    <w:rsid w:val="00B54A6F"/>
    <w:rsid w:val="00B55EF2"/>
    <w:rsid w:val="00B57ACA"/>
    <w:rsid w:val="00B620A2"/>
    <w:rsid w:val="00B630E0"/>
    <w:rsid w:val="00B65751"/>
    <w:rsid w:val="00B7644D"/>
    <w:rsid w:val="00B81A7A"/>
    <w:rsid w:val="00B81E3C"/>
    <w:rsid w:val="00B900F0"/>
    <w:rsid w:val="00B95025"/>
    <w:rsid w:val="00B97145"/>
    <w:rsid w:val="00BA24DC"/>
    <w:rsid w:val="00BA520C"/>
    <w:rsid w:val="00BA61B0"/>
    <w:rsid w:val="00BB1420"/>
    <w:rsid w:val="00BC084F"/>
    <w:rsid w:val="00BD1336"/>
    <w:rsid w:val="00BE4544"/>
    <w:rsid w:val="00BE709C"/>
    <w:rsid w:val="00BF14EA"/>
    <w:rsid w:val="00C01CCD"/>
    <w:rsid w:val="00C04EBE"/>
    <w:rsid w:val="00C0665A"/>
    <w:rsid w:val="00C1334E"/>
    <w:rsid w:val="00C149B6"/>
    <w:rsid w:val="00C2413F"/>
    <w:rsid w:val="00C25E87"/>
    <w:rsid w:val="00C263EA"/>
    <w:rsid w:val="00C26A60"/>
    <w:rsid w:val="00C26B3B"/>
    <w:rsid w:val="00C3123F"/>
    <w:rsid w:val="00C3260F"/>
    <w:rsid w:val="00C5657D"/>
    <w:rsid w:val="00C8200C"/>
    <w:rsid w:val="00C9064A"/>
    <w:rsid w:val="00C915CF"/>
    <w:rsid w:val="00C95917"/>
    <w:rsid w:val="00C97748"/>
    <w:rsid w:val="00CA493C"/>
    <w:rsid w:val="00CC066B"/>
    <w:rsid w:val="00CC5532"/>
    <w:rsid w:val="00CE70FA"/>
    <w:rsid w:val="00CF0C1D"/>
    <w:rsid w:val="00CF57EA"/>
    <w:rsid w:val="00CF7679"/>
    <w:rsid w:val="00D01EA6"/>
    <w:rsid w:val="00D02C56"/>
    <w:rsid w:val="00D1297F"/>
    <w:rsid w:val="00D1551D"/>
    <w:rsid w:val="00D20442"/>
    <w:rsid w:val="00D3162F"/>
    <w:rsid w:val="00D34568"/>
    <w:rsid w:val="00D3711B"/>
    <w:rsid w:val="00D4123D"/>
    <w:rsid w:val="00D45505"/>
    <w:rsid w:val="00D54E86"/>
    <w:rsid w:val="00D60030"/>
    <w:rsid w:val="00D612B8"/>
    <w:rsid w:val="00D66C2B"/>
    <w:rsid w:val="00D7220A"/>
    <w:rsid w:val="00D80209"/>
    <w:rsid w:val="00D87E23"/>
    <w:rsid w:val="00D94258"/>
    <w:rsid w:val="00D96C7C"/>
    <w:rsid w:val="00DA5227"/>
    <w:rsid w:val="00DB7E8D"/>
    <w:rsid w:val="00DC2DF5"/>
    <w:rsid w:val="00DD342E"/>
    <w:rsid w:val="00DD53AE"/>
    <w:rsid w:val="00DE6276"/>
    <w:rsid w:val="00DE6C66"/>
    <w:rsid w:val="00DF0206"/>
    <w:rsid w:val="00DF1889"/>
    <w:rsid w:val="00DF2570"/>
    <w:rsid w:val="00DF3BEB"/>
    <w:rsid w:val="00E03829"/>
    <w:rsid w:val="00E05518"/>
    <w:rsid w:val="00E10E16"/>
    <w:rsid w:val="00E13A72"/>
    <w:rsid w:val="00E142D2"/>
    <w:rsid w:val="00E22A69"/>
    <w:rsid w:val="00E274E5"/>
    <w:rsid w:val="00E31101"/>
    <w:rsid w:val="00E31C45"/>
    <w:rsid w:val="00E32F7F"/>
    <w:rsid w:val="00E341AE"/>
    <w:rsid w:val="00E3617B"/>
    <w:rsid w:val="00E4602E"/>
    <w:rsid w:val="00E46624"/>
    <w:rsid w:val="00E46A06"/>
    <w:rsid w:val="00E667F9"/>
    <w:rsid w:val="00E70BDD"/>
    <w:rsid w:val="00E7345A"/>
    <w:rsid w:val="00E7405B"/>
    <w:rsid w:val="00E86B98"/>
    <w:rsid w:val="00E94A64"/>
    <w:rsid w:val="00E974D4"/>
    <w:rsid w:val="00EA347C"/>
    <w:rsid w:val="00EA791D"/>
    <w:rsid w:val="00EB058C"/>
    <w:rsid w:val="00EC497D"/>
    <w:rsid w:val="00EC6274"/>
    <w:rsid w:val="00EC663D"/>
    <w:rsid w:val="00ED01E5"/>
    <w:rsid w:val="00ED15DB"/>
    <w:rsid w:val="00ED22BB"/>
    <w:rsid w:val="00ED5B59"/>
    <w:rsid w:val="00EE5E9F"/>
    <w:rsid w:val="00EE6145"/>
    <w:rsid w:val="00EE6D3F"/>
    <w:rsid w:val="00EF71CB"/>
    <w:rsid w:val="00F00C0A"/>
    <w:rsid w:val="00F16C0B"/>
    <w:rsid w:val="00F27CA8"/>
    <w:rsid w:val="00F37C06"/>
    <w:rsid w:val="00F37C23"/>
    <w:rsid w:val="00F42011"/>
    <w:rsid w:val="00F473F2"/>
    <w:rsid w:val="00F519BE"/>
    <w:rsid w:val="00F6346F"/>
    <w:rsid w:val="00F766B3"/>
    <w:rsid w:val="00F87B36"/>
    <w:rsid w:val="00F91536"/>
    <w:rsid w:val="00F9198A"/>
    <w:rsid w:val="00F91FBD"/>
    <w:rsid w:val="00FA3BA2"/>
    <w:rsid w:val="00FD057E"/>
    <w:rsid w:val="00FD34F2"/>
    <w:rsid w:val="00FD6CFE"/>
    <w:rsid w:val="00FD6FEF"/>
    <w:rsid w:val="00FD7B83"/>
    <w:rsid w:val="00FD7D4E"/>
    <w:rsid w:val="00FE0E91"/>
    <w:rsid w:val="00FE3491"/>
    <w:rsid w:val="00FF04C2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5E3B"/>
  <w15:docId w15:val="{7AAAD37A-E29C-4363-B37C-69064C6F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A3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81F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FA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uiPriority w:val="99"/>
    <w:unhideWhenUsed/>
    <w:rsid w:val="00781F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1FA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1FA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81FA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1FA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81FA3"/>
    <w:rPr>
      <w:rFonts w:ascii="Calibri" w:eastAsia="Calibri" w:hAnsi="Calibri" w:cs="Times New Roman"/>
    </w:rPr>
  </w:style>
  <w:style w:type="paragraph" w:styleId="ListParagraph">
    <w:name w:val="List Paragraph"/>
    <w:aliases w:val="List Paragraph Red,lp1,Bullet 1,Use Case List Paragraph,Bullet EY,Table of contents numbered,List Paragraph21,List Paragraph1,Lentele,List Paragraph2,ERP-List Paragraph,List Paragraph11,Buletai,Numbering,List Paragraph111,Paragraph,lp11"/>
    <w:basedOn w:val="Normal"/>
    <w:link w:val="ListParagraphChar"/>
    <w:uiPriority w:val="34"/>
    <w:qFormat/>
    <w:rsid w:val="00781FA3"/>
    <w:pPr>
      <w:suppressAutoHyphens/>
      <w:autoSpaceDN w:val="0"/>
      <w:spacing w:before="0" w:after="160" w:line="252" w:lineRule="auto"/>
      <w:ind w:left="720" w:firstLine="0"/>
      <w:jc w:val="left"/>
    </w:pPr>
  </w:style>
  <w:style w:type="character" w:customStyle="1" w:styleId="ListParagraphChar">
    <w:name w:val="List Paragraph Char"/>
    <w:aliases w:val="List Paragraph Red Char,lp1 Char,Bullet 1 Char,Use Case List Paragraph Char,Bullet EY Char,Table of contents numbered Char,List Paragraph21 Char,List Paragraph1 Char,Lentele Char,List Paragraph2 Char,ERP-List Paragraph Char,lp11 Char"/>
    <w:link w:val="ListParagraph"/>
    <w:uiPriority w:val="34"/>
    <w:qFormat/>
    <w:locked/>
    <w:rsid w:val="00781FA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8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(2)"/>
    <w:basedOn w:val="Normal"/>
    <w:uiPriority w:val="99"/>
    <w:rsid w:val="00781FA3"/>
    <w:pPr>
      <w:widowControl w:val="0"/>
      <w:shd w:val="clear" w:color="auto" w:fill="FFFFFF"/>
      <w:suppressAutoHyphens/>
      <w:autoSpaceDN w:val="0"/>
      <w:spacing w:after="0" w:line="230" w:lineRule="exact"/>
      <w:ind w:hanging="740"/>
      <w:textAlignment w:val="baseline"/>
    </w:pPr>
    <w:rPr>
      <w:rFonts w:ascii="Microsoft Sans Serif" w:hAnsi="Microsoft Sans Serif" w:cs="Microsoft Sans Seri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1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FA3"/>
    <w:pPr>
      <w:spacing w:before="0" w:after="200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FA3"/>
    <w:rPr>
      <w:rFonts w:ascii="Calibri" w:eastAsia="Calibri" w:hAnsi="Calibri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9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06"/>
    <w:pPr>
      <w:spacing w:before="120" w:after="120"/>
      <w:ind w:firstLine="425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0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2631E"/>
    <w:pPr>
      <w:autoSpaceDE w:val="0"/>
      <w:autoSpaceDN w:val="0"/>
      <w:adjustRightInd w:val="0"/>
      <w:spacing w:after="0" w:line="240" w:lineRule="auto"/>
    </w:pPr>
    <w:rPr>
      <w:rFonts w:ascii="HelveticaLT" w:eastAsia="Calibri" w:hAnsi="HelveticaLT" w:cs="HelveticaLT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A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AAD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073E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26A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A6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6A60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6A6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6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86B8"/>
            <w:right w:val="none" w:sz="0" w:space="0" w:color="auto"/>
          </w:divBdr>
          <w:divsChild>
            <w:div w:id="10494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35">
              <w:marLeft w:val="0"/>
              <w:marRight w:val="0"/>
              <w:marTop w:val="63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95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edrius.Kasperavicius@vp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vpp.lt/index.php?option=com_vptpublic&amp;task=sutartys&amp;Itemid=109&amp;filter_show=1&amp;filter_limit=10&amp;filter_supplier_jarcode=1323433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n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c@ignitis.l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4B1-06EA-4739-8A43-50C0A994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Klingienė</dc:creator>
  <cp:lastModifiedBy>Giedrius Kasperavičius</cp:lastModifiedBy>
  <cp:revision>7</cp:revision>
  <dcterms:created xsi:type="dcterms:W3CDTF">2021-10-20T06:51:00Z</dcterms:created>
  <dcterms:modified xsi:type="dcterms:W3CDTF">2021-10-21T11:22:00Z</dcterms:modified>
</cp:coreProperties>
</file>