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301915618"/>
    <w:bookmarkEnd w:id="0"/>
    <w:bookmarkStart w:id="1" w:name="_MON_1051956295"/>
    <w:bookmarkEnd w:id="1"/>
    <w:p w14:paraId="45AA9D93" w14:textId="77777777" w:rsidR="00907C82" w:rsidRPr="00C77C45" w:rsidRDefault="00746686" w:rsidP="00F75F71">
      <w:pPr>
        <w:jc w:val="center"/>
        <w:rPr>
          <w:rFonts w:ascii="CG Times" w:hAnsi="CG Times"/>
          <w:sz w:val="24"/>
          <w:szCs w:val="24"/>
        </w:rPr>
      </w:pPr>
      <w:r w:rsidRPr="00C77C45">
        <w:rPr>
          <w:rFonts w:ascii="CG Times" w:hAnsi="CG Times"/>
          <w:sz w:val="24"/>
          <w:szCs w:val="24"/>
        </w:rPr>
        <w:object w:dxaOrig="871" w:dyaOrig="886" w14:anchorId="264016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626261522" r:id="rId9"/>
        </w:object>
      </w:r>
    </w:p>
    <w:p w14:paraId="3D6BE18D" w14:textId="77777777" w:rsidR="00CD0D68" w:rsidRPr="00C77C45" w:rsidRDefault="00CD0D68" w:rsidP="00F75F71">
      <w:pPr>
        <w:jc w:val="center"/>
        <w:rPr>
          <w:sz w:val="24"/>
          <w:szCs w:val="24"/>
        </w:rPr>
      </w:pPr>
    </w:p>
    <w:p w14:paraId="6EB8AD32" w14:textId="77777777" w:rsidR="00351E8D" w:rsidRPr="00C77C45" w:rsidRDefault="00351E8D" w:rsidP="00F75F71">
      <w:pPr>
        <w:pStyle w:val="Heading1"/>
        <w:tabs>
          <w:tab w:val="left" w:pos="900"/>
        </w:tabs>
        <w:jc w:val="center"/>
        <w:rPr>
          <w:sz w:val="24"/>
          <w:szCs w:val="24"/>
        </w:rPr>
      </w:pPr>
      <w:r w:rsidRPr="00C77C45">
        <w:rPr>
          <w:sz w:val="24"/>
          <w:szCs w:val="24"/>
        </w:rPr>
        <w:t>VIEŠŲJŲ PIRKIMŲ TARNYBA</w:t>
      </w:r>
    </w:p>
    <w:p w14:paraId="3DD9423D" w14:textId="77777777" w:rsidR="004545DE" w:rsidRPr="00C77C45" w:rsidRDefault="004545DE" w:rsidP="00F75F71">
      <w:pPr>
        <w:rPr>
          <w:sz w:val="24"/>
          <w:szCs w:val="24"/>
        </w:rPr>
      </w:pPr>
    </w:p>
    <w:p w14:paraId="52CEE75D" w14:textId="77777777" w:rsidR="005E7486" w:rsidRPr="00C77C45" w:rsidRDefault="005E7486" w:rsidP="00F75F71">
      <w:pPr>
        <w:tabs>
          <w:tab w:val="left" w:pos="900"/>
        </w:tabs>
        <w:rPr>
          <w:bCs/>
          <w:sz w:val="24"/>
          <w:szCs w:val="24"/>
        </w:rPr>
      </w:pPr>
    </w:p>
    <w:tbl>
      <w:tblPr>
        <w:tblW w:w="9923" w:type="dxa"/>
        <w:tblLayout w:type="fixed"/>
        <w:tblLook w:val="0000" w:firstRow="0" w:lastRow="0" w:firstColumn="0" w:lastColumn="0" w:noHBand="0" w:noVBand="0"/>
      </w:tblPr>
      <w:tblGrid>
        <w:gridCol w:w="4674"/>
        <w:gridCol w:w="562"/>
        <w:gridCol w:w="998"/>
        <w:gridCol w:w="567"/>
        <w:gridCol w:w="567"/>
        <w:gridCol w:w="2266"/>
        <w:gridCol w:w="289"/>
      </w:tblGrid>
      <w:tr w:rsidR="001C573C" w:rsidRPr="00C77C45" w14:paraId="023888A5" w14:textId="77777777" w:rsidTr="006D7E8A">
        <w:trPr>
          <w:cantSplit/>
        </w:trPr>
        <w:tc>
          <w:tcPr>
            <w:tcW w:w="4678" w:type="dxa"/>
          </w:tcPr>
          <w:p w14:paraId="668EC661" w14:textId="77777777" w:rsidR="00AD28C2" w:rsidRPr="00AD28C2" w:rsidRDefault="00AD28C2" w:rsidP="00AD28C2">
            <w:pPr>
              <w:keepNext/>
              <w:rPr>
                <w:sz w:val="24"/>
                <w:szCs w:val="24"/>
              </w:rPr>
            </w:pPr>
            <w:r w:rsidRPr="00AD28C2">
              <w:rPr>
                <w:sz w:val="24"/>
                <w:szCs w:val="24"/>
              </w:rPr>
              <w:t>VšĮ Utenos ligoninei</w:t>
            </w:r>
          </w:p>
          <w:p w14:paraId="0E5D7126" w14:textId="77777777" w:rsidR="00AD28C2" w:rsidRPr="00AD28C2" w:rsidRDefault="00AD28C2" w:rsidP="00AD28C2">
            <w:pPr>
              <w:keepNext/>
              <w:rPr>
                <w:sz w:val="24"/>
                <w:szCs w:val="24"/>
              </w:rPr>
            </w:pPr>
            <w:r w:rsidRPr="00AD28C2">
              <w:rPr>
                <w:sz w:val="24"/>
                <w:szCs w:val="24"/>
              </w:rPr>
              <w:t>Aukštakalnio g. 3</w:t>
            </w:r>
          </w:p>
          <w:p w14:paraId="31CA8696" w14:textId="77777777" w:rsidR="00AD28C2" w:rsidRPr="00AD28C2" w:rsidRDefault="00AD28C2" w:rsidP="00AD28C2">
            <w:pPr>
              <w:keepNext/>
              <w:rPr>
                <w:sz w:val="24"/>
                <w:szCs w:val="24"/>
              </w:rPr>
            </w:pPr>
            <w:r w:rsidRPr="00AD28C2">
              <w:rPr>
                <w:sz w:val="24"/>
                <w:szCs w:val="24"/>
              </w:rPr>
              <w:t>28151 Utena</w:t>
            </w:r>
          </w:p>
          <w:p w14:paraId="419A02C8" w14:textId="77777777" w:rsidR="00AD28C2" w:rsidRPr="00AD28C2" w:rsidRDefault="00AD28C2" w:rsidP="00AD28C2">
            <w:pPr>
              <w:keepNext/>
              <w:rPr>
                <w:sz w:val="24"/>
                <w:szCs w:val="24"/>
              </w:rPr>
            </w:pPr>
          </w:p>
          <w:p w14:paraId="4C6987C6" w14:textId="77777777" w:rsidR="00AD28C2" w:rsidRPr="00AD28C2" w:rsidRDefault="00AD28C2" w:rsidP="00AD28C2">
            <w:pPr>
              <w:keepNext/>
              <w:rPr>
                <w:sz w:val="24"/>
                <w:szCs w:val="24"/>
                <w:lang w:val="en-US"/>
              </w:rPr>
            </w:pPr>
            <w:r w:rsidRPr="00AD28C2">
              <w:rPr>
                <w:sz w:val="24"/>
                <w:szCs w:val="24"/>
              </w:rPr>
              <w:t>el. p. Jolanta.Kaselyte</w:t>
            </w:r>
            <w:r w:rsidRPr="00AD28C2">
              <w:rPr>
                <w:sz w:val="24"/>
                <w:szCs w:val="24"/>
                <w:lang w:val="en-US"/>
              </w:rPr>
              <w:t>@utenosligonine.lt</w:t>
            </w:r>
          </w:p>
          <w:p w14:paraId="078A9DF6" w14:textId="77777777" w:rsidR="006746AE" w:rsidRPr="001964F4" w:rsidRDefault="006746AE" w:rsidP="00BB27D9">
            <w:pPr>
              <w:keepNext/>
              <w:rPr>
                <w:sz w:val="24"/>
                <w:szCs w:val="24"/>
              </w:rPr>
            </w:pPr>
          </w:p>
        </w:tc>
        <w:tc>
          <w:tcPr>
            <w:tcW w:w="1560" w:type="dxa"/>
            <w:gridSpan w:val="2"/>
          </w:tcPr>
          <w:p w14:paraId="6BDA9079" w14:textId="6B18867F" w:rsidR="001C573C" w:rsidRPr="001964F4" w:rsidRDefault="001C573C" w:rsidP="00F75F71">
            <w:pPr>
              <w:rPr>
                <w:sz w:val="24"/>
                <w:szCs w:val="24"/>
              </w:rPr>
            </w:pPr>
            <w:r w:rsidRPr="001964F4">
              <w:rPr>
                <w:sz w:val="24"/>
                <w:szCs w:val="24"/>
              </w:rPr>
              <w:t>201</w:t>
            </w:r>
            <w:r w:rsidR="007C1A5D" w:rsidRPr="001964F4">
              <w:rPr>
                <w:sz w:val="24"/>
                <w:szCs w:val="24"/>
              </w:rPr>
              <w:t>9-</w:t>
            </w:r>
            <w:r w:rsidR="007F4A56" w:rsidRPr="001964F4">
              <w:rPr>
                <w:sz w:val="24"/>
                <w:szCs w:val="24"/>
              </w:rPr>
              <w:t>0</w:t>
            </w:r>
            <w:r w:rsidR="00115010">
              <w:rPr>
                <w:sz w:val="24"/>
                <w:szCs w:val="24"/>
              </w:rPr>
              <w:t>8</w:t>
            </w:r>
            <w:r w:rsidR="00AD28C2">
              <w:rPr>
                <w:sz w:val="24"/>
                <w:szCs w:val="24"/>
              </w:rPr>
              <w:t>-</w:t>
            </w:r>
          </w:p>
          <w:p w14:paraId="3AE5754F" w14:textId="77777777" w:rsidR="001C573C" w:rsidRPr="001964F4" w:rsidRDefault="001C573C" w:rsidP="00F75F71">
            <w:pPr>
              <w:rPr>
                <w:sz w:val="24"/>
                <w:szCs w:val="24"/>
              </w:rPr>
            </w:pPr>
            <w:r w:rsidRPr="001964F4">
              <w:rPr>
                <w:sz w:val="24"/>
                <w:szCs w:val="24"/>
              </w:rPr>
              <w:t>Į 201</w:t>
            </w:r>
            <w:r w:rsidR="00C77C45" w:rsidRPr="001964F4">
              <w:rPr>
                <w:sz w:val="24"/>
                <w:szCs w:val="24"/>
              </w:rPr>
              <w:t>9-0</w:t>
            </w:r>
            <w:r w:rsidR="00AD28C2">
              <w:rPr>
                <w:sz w:val="24"/>
                <w:szCs w:val="24"/>
              </w:rPr>
              <w:t>6-10</w:t>
            </w:r>
          </w:p>
          <w:p w14:paraId="0FD21B36" w14:textId="77777777" w:rsidR="001C573C" w:rsidRPr="001964F4" w:rsidRDefault="001C573C" w:rsidP="00F75F71">
            <w:pPr>
              <w:rPr>
                <w:sz w:val="24"/>
                <w:szCs w:val="24"/>
              </w:rPr>
            </w:pPr>
          </w:p>
        </w:tc>
        <w:tc>
          <w:tcPr>
            <w:tcW w:w="567" w:type="dxa"/>
          </w:tcPr>
          <w:p w14:paraId="0A6AB359" w14:textId="77777777" w:rsidR="001C573C" w:rsidRPr="001964F4" w:rsidRDefault="001C573C" w:rsidP="00F75F71">
            <w:pPr>
              <w:ind w:left="-108" w:right="-108"/>
              <w:rPr>
                <w:sz w:val="24"/>
                <w:szCs w:val="24"/>
              </w:rPr>
            </w:pPr>
            <w:r w:rsidRPr="001964F4">
              <w:rPr>
                <w:sz w:val="24"/>
                <w:szCs w:val="24"/>
              </w:rPr>
              <w:t>Nr.</w:t>
            </w:r>
          </w:p>
          <w:p w14:paraId="3A6F10CF" w14:textId="77777777" w:rsidR="001C573C" w:rsidRPr="001964F4" w:rsidRDefault="001C573C" w:rsidP="00F75F71">
            <w:pPr>
              <w:ind w:left="-108" w:right="-108"/>
              <w:rPr>
                <w:sz w:val="24"/>
                <w:szCs w:val="24"/>
              </w:rPr>
            </w:pPr>
            <w:r w:rsidRPr="001964F4">
              <w:rPr>
                <w:sz w:val="24"/>
                <w:szCs w:val="24"/>
              </w:rPr>
              <w:t>Nr.</w:t>
            </w:r>
          </w:p>
          <w:p w14:paraId="51E4A6DF" w14:textId="77777777" w:rsidR="00961D2E" w:rsidRPr="001964F4" w:rsidRDefault="00961D2E" w:rsidP="00C77C45">
            <w:pPr>
              <w:ind w:left="-108" w:right="-108"/>
              <w:rPr>
                <w:sz w:val="24"/>
                <w:szCs w:val="24"/>
                <w:lang w:val="en-US"/>
              </w:rPr>
            </w:pPr>
          </w:p>
        </w:tc>
        <w:tc>
          <w:tcPr>
            <w:tcW w:w="3118" w:type="dxa"/>
            <w:gridSpan w:val="3"/>
          </w:tcPr>
          <w:p w14:paraId="4BE29267" w14:textId="00C5F2F0" w:rsidR="00727A68" w:rsidRPr="001964F4" w:rsidRDefault="001C573C" w:rsidP="00F75F71">
            <w:pPr>
              <w:rPr>
                <w:sz w:val="24"/>
                <w:szCs w:val="24"/>
              </w:rPr>
            </w:pPr>
            <w:r w:rsidRPr="001964F4">
              <w:rPr>
                <w:sz w:val="24"/>
                <w:szCs w:val="24"/>
              </w:rPr>
              <w:t>4S-</w:t>
            </w:r>
            <w:r w:rsidR="00DE6EA9">
              <w:rPr>
                <w:sz w:val="24"/>
                <w:szCs w:val="24"/>
              </w:rPr>
              <w:t xml:space="preserve">     </w:t>
            </w:r>
            <w:r w:rsidR="00076C32">
              <w:rPr>
                <w:sz w:val="24"/>
                <w:szCs w:val="24"/>
              </w:rPr>
              <w:t xml:space="preserve">   </w:t>
            </w:r>
            <w:r w:rsidR="00DE6EA9">
              <w:rPr>
                <w:sz w:val="24"/>
                <w:szCs w:val="24"/>
              </w:rPr>
              <w:t xml:space="preserve">  (7.4.)</w:t>
            </w:r>
          </w:p>
          <w:p w14:paraId="4E1747A4" w14:textId="77777777" w:rsidR="004545DE" w:rsidRPr="001964F4" w:rsidRDefault="00AD28C2" w:rsidP="00F75F71">
            <w:pPr>
              <w:rPr>
                <w:sz w:val="24"/>
                <w:szCs w:val="24"/>
              </w:rPr>
            </w:pPr>
            <w:r>
              <w:rPr>
                <w:sz w:val="24"/>
                <w:szCs w:val="24"/>
              </w:rPr>
              <w:t>(7.75)VP-80</w:t>
            </w:r>
          </w:p>
          <w:p w14:paraId="6E2450B1" w14:textId="77777777" w:rsidR="004545DE" w:rsidRPr="001964F4" w:rsidRDefault="004545DE" w:rsidP="00F75F71">
            <w:pPr>
              <w:rPr>
                <w:sz w:val="24"/>
                <w:szCs w:val="24"/>
              </w:rPr>
            </w:pPr>
          </w:p>
        </w:tc>
      </w:tr>
      <w:tr w:rsidR="0043638A" w:rsidRPr="00C77C45" w14:paraId="6DF96254" w14:textId="77777777" w:rsidTr="006D7E8A">
        <w:trPr>
          <w:gridAfter w:val="1"/>
          <w:wAfter w:w="289" w:type="dxa"/>
          <w:cantSplit/>
        </w:trPr>
        <w:tc>
          <w:tcPr>
            <w:tcW w:w="5240" w:type="dxa"/>
            <w:gridSpan w:val="2"/>
          </w:tcPr>
          <w:p w14:paraId="4DDEDC9C" w14:textId="77777777" w:rsidR="0043638A" w:rsidRDefault="0043638A" w:rsidP="00F75F71">
            <w:pPr>
              <w:rPr>
                <w:sz w:val="23"/>
                <w:szCs w:val="23"/>
              </w:rPr>
            </w:pPr>
          </w:p>
          <w:p w14:paraId="79C22F20" w14:textId="77777777" w:rsidR="001964F4" w:rsidRPr="00051CAB" w:rsidRDefault="001964F4" w:rsidP="00F75F71">
            <w:pPr>
              <w:rPr>
                <w:sz w:val="23"/>
                <w:szCs w:val="23"/>
              </w:rPr>
            </w:pPr>
          </w:p>
        </w:tc>
        <w:tc>
          <w:tcPr>
            <w:tcW w:w="1560" w:type="dxa"/>
            <w:gridSpan w:val="2"/>
          </w:tcPr>
          <w:p w14:paraId="2996E965" w14:textId="77777777" w:rsidR="0043638A" w:rsidRPr="00051CAB" w:rsidRDefault="0043638A" w:rsidP="00F75F71">
            <w:pPr>
              <w:rPr>
                <w:sz w:val="23"/>
                <w:szCs w:val="23"/>
              </w:rPr>
            </w:pPr>
          </w:p>
        </w:tc>
        <w:tc>
          <w:tcPr>
            <w:tcW w:w="567" w:type="dxa"/>
          </w:tcPr>
          <w:p w14:paraId="1D848A74" w14:textId="77777777" w:rsidR="0043638A" w:rsidRPr="00051CAB" w:rsidRDefault="0043638A" w:rsidP="00F75F71">
            <w:pPr>
              <w:ind w:left="-108" w:right="-108"/>
              <w:rPr>
                <w:sz w:val="23"/>
                <w:szCs w:val="23"/>
              </w:rPr>
            </w:pPr>
          </w:p>
        </w:tc>
        <w:tc>
          <w:tcPr>
            <w:tcW w:w="2267" w:type="dxa"/>
          </w:tcPr>
          <w:p w14:paraId="00C057EA" w14:textId="77777777" w:rsidR="0043638A" w:rsidRPr="00051CAB" w:rsidRDefault="0043638A" w:rsidP="00F75F71">
            <w:pPr>
              <w:rPr>
                <w:sz w:val="23"/>
                <w:szCs w:val="23"/>
              </w:rPr>
            </w:pPr>
          </w:p>
        </w:tc>
      </w:tr>
      <w:tr w:rsidR="0043638A" w:rsidRPr="00C77C45" w14:paraId="6CB69878" w14:textId="77777777" w:rsidTr="006D7E8A">
        <w:trPr>
          <w:gridAfter w:val="1"/>
          <w:wAfter w:w="289" w:type="dxa"/>
          <w:cantSplit/>
        </w:trPr>
        <w:tc>
          <w:tcPr>
            <w:tcW w:w="5240" w:type="dxa"/>
            <w:gridSpan w:val="2"/>
          </w:tcPr>
          <w:p w14:paraId="133E24CF" w14:textId="77777777" w:rsidR="0043638A" w:rsidRPr="00C77C45" w:rsidRDefault="0043638A" w:rsidP="00F75F71">
            <w:pPr>
              <w:rPr>
                <w:sz w:val="24"/>
                <w:szCs w:val="24"/>
              </w:rPr>
            </w:pPr>
          </w:p>
        </w:tc>
        <w:tc>
          <w:tcPr>
            <w:tcW w:w="1560" w:type="dxa"/>
            <w:gridSpan w:val="2"/>
          </w:tcPr>
          <w:p w14:paraId="5216D49E" w14:textId="77777777" w:rsidR="0043638A" w:rsidRPr="00C77C45" w:rsidRDefault="0043638A" w:rsidP="00F75F71">
            <w:pPr>
              <w:rPr>
                <w:sz w:val="24"/>
                <w:szCs w:val="24"/>
              </w:rPr>
            </w:pPr>
          </w:p>
        </w:tc>
        <w:tc>
          <w:tcPr>
            <w:tcW w:w="567" w:type="dxa"/>
          </w:tcPr>
          <w:p w14:paraId="50E78CCF" w14:textId="77777777" w:rsidR="0043638A" w:rsidRPr="00C77C45" w:rsidRDefault="0043638A" w:rsidP="00F75F71">
            <w:pPr>
              <w:ind w:left="-108" w:right="-108"/>
              <w:rPr>
                <w:sz w:val="24"/>
                <w:szCs w:val="24"/>
              </w:rPr>
            </w:pPr>
          </w:p>
        </w:tc>
        <w:tc>
          <w:tcPr>
            <w:tcW w:w="2267" w:type="dxa"/>
          </w:tcPr>
          <w:p w14:paraId="5E11D21D" w14:textId="77777777" w:rsidR="0043638A" w:rsidRPr="00C77C45" w:rsidRDefault="0043638A" w:rsidP="00F75F71">
            <w:pPr>
              <w:rPr>
                <w:sz w:val="24"/>
                <w:szCs w:val="24"/>
              </w:rPr>
            </w:pPr>
          </w:p>
        </w:tc>
      </w:tr>
    </w:tbl>
    <w:p w14:paraId="3404300D" w14:textId="77777777" w:rsidR="007F4A56" w:rsidRPr="00C77C45" w:rsidRDefault="007F4A56" w:rsidP="00F75F71">
      <w:pPr>
        <w:ind w:right="49"/>
        <w:jc w:val="center"/>
        <w:rPr>
          <w:b/>
          <w:color w:val="000000"/>
          <w:sz w:val="24"/>
          <w:szCs w:val="24"/>
          <w:lang w:eastAsia="lt-LT"/>
        </w:rPr>
      </w:pPr>
      <w:r w:rsidRPr="00C77C45">
        <w:rPr>
          <w:b/>
          <w:color w:val="000000"/>
          <w:sz w:val="24"/>
          <w:szCs w:val="24"/>
          <w:lang w:eastAsia="lt-LT"/>
        </w:rPr>
        <w:t>VERTINIMO IŠVADA</w:t>
      </w:r>
    </w:p>
    <w:p w14:paraId="1FB43153" w14:textId="77777777" w:rsidR="007F4A56" w:rsidRPr="00C77C45" w:rsidRDefault="007F4A56" w:rsidP="00F75F71">
      <w:pPr>
        <w:ind w:right="49"/>
        <w:jc w:val="center"/>
        <w:rPr>
          <w:b/>
          <w:color w:val="000000"/>
          <w:sz w:val="24"/>
          <w:szCs w:val="24"/>
          <w:lang w:eastAsia="lt-LT"/>
        </w:rPr>
      </w:pPr>
    </w:p>
    <w:p w14:paraId="5ED50562" w14:textId="34B774AF" w:rsidR="00C77C45" w:rsidRDefault="006D7E8A" w:rsidP="00F75F71">
      <w:pPr>
        <w:ind w:firstLine="567"/>
        <w:jc w:val="both"/>
        <w:rPr>
          <w:rFonts w:eastAsia="Calibri"/>
          <w:bCs/>
          <w:sz w:val="24"/>
          <w:szCs w:val="24"/>
        </w:rPr>
      </w:pPr>
      <w:r w:rsidRPr="0068575F">
        <w:rPr>
          <w:rFonts w:eastAsia="Calibri"/>
          <w:bCs/>
          <w:sz w:val="24"/>
          <w:szCs w:val="24"/>
        </w:rPr>
        <w:t xml:space="preserve">Viešųjų pirkimų tarnyba (toliau – Tarnyba), vadovaudamasi Lietuvos Respublikos viešųjų pirkimų įstatymo 95 straipsnio 1 dalies 2 punktu, </w:t>
      </w:r>
      <w:r w:rsidR="00782635" w:rsidRPr="0068575F">
        <w:rPr>
          <w:rFonts w:eastAsia="Calibri"/>
          <w:bCs/>
          <w:sz w:val="24"/>
          <w:szCs w:val="24"/>
        </w:rPr>
        <w:t xml:space="preserve">atliko </w:t>
      </w:r>
      <w:r w:rsidR="004A701F">
        <w:rPr>
          <w:rFonts w:eastAsia="Calibri"/>
          <w:bCs/>
          <w:sz w:val="24"/>
          <w:szCs w:val="24"/>
        </w:rPr>
        <w:t>VšĮ Utenos ligoninės</w:t>
      </w:r>
      <w:r w:rsidR="00782635" w:rsidRPr="0068575F">
        <w:rPr>
          <w:rFonts w:eastAsia="Calibri"/>
          <w:bCs/>
          <w:sz w:val="24"/>
          <w:szCs w:val="24"/>
        </w:rPr>
        <w:t xml:space="preserve"> (toliau – </w:t>
      </w:r>
      <w:r w:rsidR="00153D72">
        <w:rPr>
          <w:rFonts w:eastAsia="Calibri"/>
          <w:bCs/>
          <w:sz w:val="24"/>
          <w:szCs w:val="24"/>
        </w:rPr>
        <w:t>p</w:t>
      </w:r>
      <w:r w:rsidR="00782635" w:rsidRPr="0068575F">
        <w:rPr>
          <w:rFonts w:eastAsia="Calibri"/>
          <w:bCs/>
          <w:sz w:val="24"/>
          <w:szCs w:val="24"/>
        </w:rPr>
        <w:t xml:space="preserve">erkančioji organizacija) </w:t>
      </w:r>
      <w:r w:rsidRPr="0068575F">
        <w:rPr>
          <w:rFonts w:eastAsia="Calibri"/>
          <w:bCs/>
          <w:sz w:val="24"/>
          <w:szCs w:val="24"/>
        </w:rPr>
        <w:t>vykd</w:t>
      </w:r>
      <w:r w:rsidR="00C77C45" w:rsidRPr="0068575F">
        <w:rPr>
          <w:rFonts w:eastAsia="Calibri"/>
          <w:bCs/>
          <w:sz w:val="24"/>
          <w:szCs w:val="24"/>
        </w:rPr>
        <w:t>om</w:t>
      </w:r>
      <w:r w:rsidR="00782635" w:rsidRPr="0068575F">
        <w:rPr>
          <w:rFonts w:eastAsia="Calibri"/>
          <w:bCs/>
          <w:sz w:val="24"/>
          <w:szCs w:val="24"/>
        </w:rPr>
        <w:t>o pirkimo vertinimą.</w:t>
      </w:r>
    </w:p>
    <w:p w14:paraId="2D3C5E57" w14:textId="77777777" w:rsidR="001964F4" w:rsidRPr="0068575F" w:rsidRDefault="001964F4" w:rsidP="00F75F71">
      <w:pPr>
        <w:ind w:firstLine="567"/>
        <w:jc w:val="both"/>
        <w:rPr>
          <w:rFonts w:eastAsia="Calibri"/>
          <w:bCs/>
          <w:sz w:val="24"/>
          <w:szCs w:val="24"/>
        </w:rPr>
      </w:pPr>
    </w:p>
    <w:p w14:paraId="7FFBEBFE" w14:textId="77777777" w:rsidR="007F4A56" w:rsidRPr="0068575F" w:rsidRDefault="007F4A56" w:rsidP="00F75F71">
      <w:pPr>
        <w:ind w:right="49"/>
        <w:rPr>
          <w:sz w:val="24"/>
          <w:szCs w:val="24"/>
        </w:rPr>
      </w:pPr>
    </w:p>
    <w:p w14:paraId="7E997EE8" w14:textId="77777777" w:rsidR="007F4A56" w:rsidRPr="00C77C45" w:rsidRDefault="007F4A56" w:rsidP="00F75F71">
      <w:pPr>
        <w:ind w:right="49"/>
        <w:jc w:val="center"/>
        <w:rPr>
          <w:sz w:val="24"/>
          <w:szCs w:val="24"/>
        </w:rPr>
      </w:pPr>
      <w:r w:rsidRPr="00C77C45">
        <w:rPr>
          <w:b/>
          <w:sz w:val="24"/>
          <w:szCs w:val="24"/>
        </w:rPr>
        <w:t>I dalis. Bendra informacija</w:t>
      </w:r>
    </w:p>
    <w:p w14:paraId="61A6926D" w14:textId="77777777" w:rsidR="007F4A56" w:rsidRPr="00C77C45" w:rsidRDefault="007F4A56" w:rsidP="00F75F71">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7F4A56" w:rsidRPr="00C77C45" w14:paraId="1AB26F69"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4E4C3B16" w14:textId="77777777" w:rsidR="007F4A56" w:rsidRPr="00C77C45" w:rsidRDefault="007F4A56" w:rsidP="00F75F71">
            <w:pPr>
              <w:jc w:val="both"/>
              <w:rPr>
                <w:sz w:val="24"/>
                <w:szCs w:val="24"/>
              </w:rPr>
            </w:pPr>
            <w:r w:rsidRPr="00C77C45">
              <w:rPr>
                <w:rFonts w:eastAsia="Calibri"/>
                <w:sz w:val="24"/>
                <w:szCs w:val="24"/>
              </w:rPr>
              <w:t>Pirkimo</w:t>
            </w:r>
            <w:r w:rsidRPr="00C77C45">
              <w:rPr>
                <w:sz w:val="24"/>
                <w:szCs w:val="24"/>
              </w:rPr>
              <w:t>*</w:t>
            </w:r>
            <w:r w:rsidRPr="00C77C45">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D838C83" w14:textId="2839C339" w:rsidR="00075D3A" w:rsidRPr="00782635" w:rsidRDefault="004A701F" w:rsidP="00F75F71">
            <w:pPr>
              <w:jc w:val="both"/>
              <w:rPr>
                <w:sz w:val="24"/>
              </w:rPr>
            </w:pPr>
            <w:r w:rsidRPr="004A701F">
              <w:rPr>
                <w:sz w:val="24"/>
              </w:rPr>
              <w:t>„Reagentai ir papildomos priemonės kraujo krešėjimo tyrimams su analizatorių panauda“ (Centrinėje viešųjų pirkimų informacinėje sistemoje (toliau – CVP IS) skelbtas 2019-01-26, pirkimo Nr. 418821; toliau – Pirkimas)</w:t>
            </w:r>
            <w:r w:rsidR="00153D72">
              <w:rPr>
                <w:rStyle w:val="FootnoteReference"/>
                <w:sz w:val="24"/>
              </w:rPr>
              <w:footnoteReference w:id="1"/>
            </w:r>
          </w:p>
        </w:tc>
      </w:tr>
      <w:tr w:rsidR="007F4A56" w:rsidRPr="00C77C45" w14:paraId="070521A3"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4A68BF40" w14:textId="77777777" w:rsidR="007F4A56" w:rsidRPr="00C77C45" w:rsidRDefault="007F4A56" w:rsidP="00F75F71">
            <w:pPr>
              <w:jc w:val="both"/>
              <w:rPr>
                <w:sz w:val="24"/>
                <w:szCs w:val="24"/>
              </w:rPr>
            </w:pPr>
            <w:r w:rsidRPr="00C77C45">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F7DC541" w14:textId="77777777" w:rsidR="007F4A56" w:rsidRPr="00C77C45" w:rsidRDefault="00075D3A" w:rsidP="00F75F71">
            <w:pPr>
              <w:jc w:val="both"/>
              <w:rPr>
                <w:sz w:val="24"/>
                <w:szCs w:val="24"/>
              </w:rPr>
            </w:pPr>
            <w:r w:rsidRPr="00C77C45">
              <w:rPr>
                <w:bCs/>
                <w:sz w:val="24"/>
                <w:szCs w:val="24"/>
              </w:rPr>
              <w:t>Lietuvos Respublikos viešųjų pirkimų įstatymas (redakcija nuo 2018-01-01) (toliau – Įstatymas)</w:t>
            </w:r>
          </w:p>
        </w:tc>
      </w:tr>
      <w:tr w:rsidR="007F4A56" w:rsidRPr="00C77C45" w14:paraId="1C5D2391"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tcPr>
          <w:p w14:paraId="6AE82794" w14:textId="77777777" w:rsidR="007F4A56" w:rsidRPr="00C77C45" w:rsidRDefault="007F4A56" w:rsidP="00F75F71">
            <w:pPr>
              <w:jc w:val="both"/>
              <w:rPr>
                <w:rFonts w:eastAsia="Calibri"/>
                <w:sz w:val="24"/>
                <w:szCs w:val="24"/>
              </w:rPr>
            </w:pPr>
            <w:r w:rsidRPr="00C77C45">
              <w:rPr>
                <w:rFonts w:eastAsia="Calibri"/>
                <w:sz w:val="24"/>
                <w:szCs w:val="24"/>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434FE6" w14:textId="77777777" w:rsidR="007F4A56" w:rsidRPr="00C77C45" w:rsidRDefault="004A701F" w:rsidP="00F75F71">
            <w:pPr>
              <w:jc w:val="both"/>
              <w:rPr>
                <w:sz w:val="24"/>
                <w:szCs w:val="24"/>
              </w:rPr>
            </w:pPr>
            <w:r>
              <w:rPr>
                <w:sz w:val="24"/>
                <w:szCs w:val="24"/>
              </w:rPr>
              <w:t>Supaprastintas a</w:t>
            </w:r>
            <w:r w:rsidR="00075D3A" w:rsidRPr="00C77C45">
              <w:rPr>
                <w:sz w:val="24"/>
                <w:szCs w:val="24"/>
              </w:rPr>
              <w:t>tviras konkursas</w:t>
            </w:r>
          </w:p>
        </w:tc>
      </w:tr>
      <w:tr w:rsidR="007F4A56" w:rsidRPr="00C77C45" w14:paraId="46AE8DEC"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tcPr>
          <w:p w14:paraId="3C2A3290" w14:textId="77777777" w:rsidR="007F4A56" w:rsidRPr="00C77C45" w:rsidRDefault="007F4A56" w:rsidP="00F75F71">
            <w:pPr>
              <w:jc w:val="both"/>
              <w:rPr>
                <w:rFonts w:eastAsia="Calibri"/>
                <w:sz w:val="24"/>
                <w:szCs w:val="24"/>
              </w:rPr>
            </w:pPr>
            <w:r w:rsidRPr="00C77C45">
              <w:rPr>
                <w:rFonts w:eastAsia="Calibri"/>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9E2A3B1" w14:textId="6D4B5181" w:rsidR="007F4A56" w:rsidRPr="00C77C45" w:rsidRDefault="00D21001" w:rsidP="00F75F71">
            <w:pPr>
              <w:jc w:val="both"/>
              <w:rPr>
                <w:sz w:val="24"/>
                <w:szCs w:val="24"/>
              </w:rPr>
            </w:pPr>
            <w:r>
              <w:rPr>
                <w:sz w:val="24"/>
              </w:rPr>
              <w:t xml:space="preserve">43 000,00 </w:t>
            </w:r>
            <w:r w:rsidR="00782635">
              <w:rPr>
                <w:sz w:val="24"/>
              </w:rPr>
              <w:t xml:space="preserve">Eur </w:t>
            </w:r>
            <w:r>
              <w:rPr>
                <w:sz w:val="24"/>
              </w:rPr>
              <w:t>be</w:t>
            </w:r>
            <w:r w:rsidR="00782635">
              <w:rPr>
                <w:sz w:val="24"/>
              </w:rPr>
              <w:t xml:space="preserve"> PVM</w:t>
            </w:r>
            <w:r w:rsidR="00782635" w:rsidRPr="00C77C45">
              <w:rPr>
                <w:sz w:val="24"/>
                <w:szCs w:val="24"/>
              </w:rPr>
              <w:t xml:space="preserve"> </w:t>
            </w:r>
          </w:p>
        </w:tc>
      </w:tr>
      <w:tr w:rsidR="007F4A56" w:rsidRPr="00C77C45" w14:paraId="4AABC65D"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tcPr>
          <w:p w14:paraId="318781A9" w14:textId="77777777" w:rsidR="007F4A56" w:rsidRPr="00C77C45" w:rsidRDefault="007F4A56" w:rsidP="00F75F71">
            <w:pPr>
              <w:jc w:val="both"/>
              <w:rPr>
                <w:sz w:val="24"/>
                <w:szCs w:val="24"/>
              </w:rPr>
            </w:pPr>
            <w:r w:rsidRPr="00C77C45">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685EB97" w14:textId="77777777" w:rsidR="007F4A56" w:rsidRPr="00C77C45" w:rsidRDefault="00782635" w:rsidP="00F75F71">
            <w:pPr>
              <w:jc w:val="both"/>
              <w:rPr>
                <w:sz w:val="24"/>
                <w:szCs w:val="24"/>
              </w:rPr>
            </w:pPr>
            <w:r>
              <w:rPr>
                <w:sz w:val="24"/>
                <w:szCs w:val="24"/>
              </w:rPr>
              <w:t>-</w:t>
            </w:r>
          </w:p>
        </w:tc>
      </w:tr>
      <w:tr w:rsidR="007F4A56" w:rsidRPr="00C77C45" w14:paraId="4C5E99D1"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3AE5B4B4" w14:textId="77777777" w:rsidR="007F4A56" w:rsidRPr="00C77C45" w:rsidRDefault="007F4A56" w:rsidP="00F75F71">
            <w:pPr>
              <w:jc w:val="both"/>
              <w:rPr>
                <w:rFonts w:eastAsia="Calibri"/>
                <w:sz w:val="24"/>
                <w:szCs w:val="24"/>
              </w:rPr>
            </w:pPr>
            <w:r w:rsidRPr="00C77C45">
              <w:rPr>
                <w:rFonts w:eastAsia="Calibri"/>
                <w:sz w:val="24"/>
                <w:szCs w:val="24"/>
              </w:rPr>
              <w:t>Pirkimo/sutarties vertinimo apimtys/etapas</w:t>
            </w:r>
          </w:p>
          <w:p w14:paraId="19522BD8" w14:textId="77777777" w:rsidR="007F4A56" w:rsidRPr="00C77C45" w:rsidRDefault="007F4A56" w:rsidP="00F75F71">
            <w:pPr>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068B7C4" w14:textId="1E6C5060" w:rsidR="007F4A56" w:rsidRPr="00C77C45" w:rsidRDefault="00782635" w:rsidP="00317CC0">
            <w:pPr>
              <w:jc w:val="both"/>
              <w:rPr>
                <w:sz w:val="24"/>
                <w:szCs w:val="24"/>
              </w:rPr>
            </w:pPr>
            <w:r>
              <w:rPr>
                <w:sz w:val="24"/>
                <w:szCs w:val="24"/>
              </w:rPr>
              <w:t>Dalinis P</w:t>
            </w:r>
            <w:r w:rsidR="00075D3A" w:rsidRPr="00C77C45">
              <w:rPr>
                <w:sz w:val="24"/>
                <w:szCs w:val="24"/>
              </w:rPr>
              <w:t xml:space="preserve">irkimo vertinimas </w:t>
            </w:r>
            <w:r>
              <w:rPr>
                <w:sz w:val="24"/>
                <w:szCs w:val="24"/>
              </w:rPr>
              <w:t>iki sutarties sudarymo</w:t>
            </w:r>
          </w:p>
        </w:tc>
      </w:tr>
      <w:tr w:rsidR="007F4A56" w:rsidRPr="00C77C45" w14:paraId="39929804" w14:textId="77777777" w:rsidTr="00CE7340">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643FC8EE" w14:textId="77777777" w:rsidR="007F4A56" w:rsidRPr="00C77C45" w:rsidRDefault="007F4A56" w:rsidP="00F75F71">
            <w:pPr>
              <w:jc w:val="both"/>
              <w:rPr>
                <w:b/>
                <w:sz w:val="24"/>
                <w:szCs w:val="24"/>
              </w:rPr>
            </w:pPr>
            <w:r w:rsidRPr="00C77C45">
              <w:rPr>
                <w:sz w:val="24"/>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E0C5129" w14:textId="77777777" w:rsidR="007F4A56" w:rsidRPr="00C77C45" w:rsidRDefault="004652F1" w:rsidP="00F75F71">
            <w:pPr>
              <w:jc w:val="both"/>
              <w:rPr>
                <w:sz w:val="24"/>
                <w:szCs w:val="24"/>
              </w:rPr>
            </w:pPr>
            <w:r>
              <w:rPr>
                <w:sz w:val="24"/>
                <w:szCs w:val="24"/>
              </w:rPr>
              <w:t>-</w:t>
            </w:r>
          </w:p>
        </w:tc>
      </w:tr>
      <w:tr w:rsidR="007F4A56" w:rsidRPr="00C77C45" w14:paraId="452D249B" w14:textId="77777777" w:rsidTr="00CE7340">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DEB0B0" w14:textId="77777777" w:rsidR="007F4A56" w:rsidRPr="00C77C45" w:rsidRDefault="004A701F" w:rsidP="004A701F">
            <w:pPr>
              <w:tabs>
                <w:tab w:val="left" w:pos="851"/>
              </w:tabs>
              <w:jc w:val="both"/>
              <w:rPr>
                <w:sz w:val="24"/>
                <w:szCs w:val="24"/>
              </w:rPr>
            </w:pPr>
            <w:r w:rsidRPr="004A701F">
              <w:rPr>
                <w:sz w:val="24"/>
                <w:szCs w:val="24"/>
              </w:rPr>
              <w:t>Jei dėl pirkimo/sutarties vyksta teismo procesas, nurodyti ieškinio (skundo) dalykus, bylos šalių  pavadinimus, ar taikomos laikinosios apsaugos priemonės, teisminio nagrinėjimo stadija, pvz., apygardos, apeliacinis teismas -</w:t>
            </w:r>
          </w:p>
        </w:tc>
      </w:tr>
    </w:tbl>
    <w:p w14:paraId="53A0BAAA" w14:textId="5329E3AF" w:rsidR="001964F4" w:rsidRDefault="007F4A56" w:rsidP="00865642">
      <w:pPr>
        <w:ind w:right="191"/>
        <w:jc w:val="both"/>
      </w:pPr>
      <w:r w:rsidRPr="00BB27D9">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r w:rsidR="00865642">
        <w:t>.</w:t>
      </w:r>
    </w:p>
    <w:p w14:paraId="09108EB0" w14:textId="77777777" w:rsidR="00A24190" w:rsidRPr="00865642" w:rsidRDefault="00A24190" w:rsidP="00865642">
      <w:pPr>
        <w:ind w:right="191"/>
        <w:jc w:val="both"/>
      </w:pPr>
    </w:p>
    <w:p w14:paraId="5825E67F" w14:textId="77777777" w:rsidR="007F4A56" w:rsidRPr="00C77C45" w:rsidRDefault="007F4A56" w:rsidP="00F75F71">
      <w:pPr>
        <w:jc w:val="center"/>
        <w:rPr>
          <w:b/>
          <w:sz w:val="24"/>
          <w:szCs w:val="24"/>
        </w:rPr>
      </w:pPr>
      <w:r w:rsidRPr="00C77C45">
        <w:rPr>
          <w:b/>
          <w:sz w:val="24"/>
          <w:szCs w:val="24"/>
        </w:rPr>
        <w:lastRenderedPageBreak/>
        <w:t>II dalis. Vertinimo apimtyje nustatyti pažeidimai</w:t>
      </w:r>
    </w:p>
    <w:p w14:paraId="41086EB4" w14:textId="77777777" w:rsidR="00892747" w:rsidRPr="00C77C45" w:rsidRDefault="00892747" w:rsidP="00F75F71">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072"/>
      </w:tblGrid>
      <w:tr w:rsidR="00892747" w:rsidRPr="00C77C45" w14:paraId="7DCF6808" w14:textId="77777777" w:rsidTr="00CE7340">
        <w:tc>
          <w:tcPr>
            <w:tcW w:w="704" w:type="dxa"/>
            <w:tcBorders>
              <w:top w:val="single" w:sz="4" w:space="0" w:color="auto"/>
              <w:left w:val="single" w:sz="4" w:space="0" w:color="auto"/>
              <w:bottom w:val="single" w:sz="4" w:space="0" w:color="auto"/>
              <w:right w:val="single" w:sz="4" w:space="0" w:color="auto"/>
            </w:tcBorders>
            <w:shd w:val="clear" w:color="auto" w:fill="auto"/>
          </w:tcPr>
          <w:p w14:paraId="7B8BBDB0" w14:textId="77777777" w:rsidR="00892747" w:rsidRPr="00C77C45" w:rsidRDefault="00892747" w:rsidP="00892747">
            <w:pPr>
              <w:rPr>
                <w:sz w:val="24"/>
                <w:szCs w:val="24"/>
              </w:rPr>
            </w:pPr>
            <w:r w:rsidRPr="00C77C45">
              <w:rPr>
                <w:sz w:val="24"/>
                <w:szCs w:val="24"/>
              </w:rPr>
              <w:t>1.</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37FFB06" w14:textId="60B91A8B" w:rsidR="00892747" w:rsidRDefault="00892747" w:rsidP="00892747">
            <w:pPr>
              <w:rPr>
                <w:sz w:val="24"/>
                <w:szCs w:val="24"/>
              </w:rPr>
            </w:pPr>
            <w:r w:rsidRPr="00C77C45">
              <w:rPr>
                <w:sz w:val="24"/>
                <w:szCs w:val="24"/>
              </w:rPr>
              <w:t xml:space="preserve">Įstatymo </w:t>
            </w:r>
            <w:r w:rsidR="004652F1">
              <w:rPr>
                <w:sz w:val="24"/>
                <w:szCs w:val="24"/>
              </w:rPr>
              <w:t>17</w:t>
            </w:r>
            <w:r w:rsidRPr="00C77C45">
              <w:rPr>
                <w:sz w:val="24"/>
                <w:szCs w:val="24"/>
              </w:rPr>
              <w:t xml:space="preserve"> straipsnio 1 dalis</w:t>
            </w:r>
            <w:r w:rsidRPr="00C77C45">
              <w:rPr>
                <w:sz w:val="24"/>
                <w:szCs w:val="24"/>
                <w:vertAlign w:val="superscript"/>
              </w:rPr>
              <w:footnoteReference w:id="2"/>
            </w:r>
            <w:r w:rsidR="005C26B0">
              <w:rPr>
                <w:sz w:val="24"/>
                <w:szCs w:val="24"/>
              </w:rPr>
              <w:t>,</w:t>
            </w:r>
          </w:p>
          <w:p w14:paraId="383C322B" w14:textId="17C897D5" w:rsidR="00AB194C" w:rsidRDefault="00AB194C" w:rsidP="00892747">
            <w:pPr>
              <w:rPr>
                <w:sz w:val="24"/>
                <w:szCs w:val="24"/>
              </w:rPr>
            </w:pPr>
            <w:r>
              <w:rPr>
                <w:sz w:val="24"/>
                <w:szCs w:val="24"/>
              </w:rPr>
              <w:t>Įstatymo 17 straipsnio 2 dalies 1 punktas</w:t>
            </w:r>
            <w:r>
              <w:rPr>
                <w:rStyle w:val="FootnoteReference"/>
                <w:sz w:val="24"/>
                <w:szCs w:val="24"/>
              </w:rPr>
              <w:footnoteReference w:id="3"/>
            </w:r>
            <w:r>
              <w:rPr>
                <w:sz w:val="24"/>
                <w:szCs w:val="24"/>
              </w:rPr>
              <w:t>,</w:t>
            </w:r>
          </w:p>
          <w:p w14:paraId="583A2B2A" w14:textId="4A96C239" w:rsidR="005C26B0" w:rsidRDefault="005C26B0" w:rsidP="00892747">
            <w:pPr>
              <w:rPr>
                <w:sz w:val="24"/>
                <w:szCs w:val="24"/>
              </w:rPr>
            </w:pPr>
            <w:r>
              <w:rPr>
                <w:sz w:val="24"/>
                <w:szCs w:val="24"/>
              </w:rPr>
              <w:t>Įstatymo 17 straipsnio 3 dalis</w:t>
            </w:r>
            <w:r>
              <w:rPr>
                <w:rStyle w:val="FootnoteReference"/>
                <w:sz w:val="24"/>
                <w:szCs w:val="24"/>
              </w:rPr>
              <w:footnoteReference w:id="4"/>
            </w:r>
            <w:r>
              <w:rPr>
                <w:sz w:val="24"/>
                <w:szCs w:val="24"/>
              </w:rPr>
              <w:t>,</w:t>
            </w:r>
          </w:p>
          <w:p w14:paraId="3AF90206" w14:textId="44947DD3" w:rsidR="005C26B0" w:rsidRPr="00C77C45" w:rsidRDefault="005C26B0" w:rsidP="00892747">
            <w:pPr>
              <w:rPr>
                <w:sz w:val="24"/>
                <w:szCs w:val="24"/>
              </w:rPr>
            </w:pPr>
            <w:r>
              <w:rPr>
                <w:sz w:val="24"/>
                <w:szCs w:val="24"/>
              </w:rPr>
              <w:t xml:space="preserve">Įstatymo 37 straipsnio </w:t>
            </w:r>
            <w:r w:rsidR="008B0582">
              <w:rPr>
                <w:sz w:val="24"/>
                <w:szCs w:val="24"/>
              </w:rPr>
              <w:t>3 dalis</w:t>
            </w:r>
            <w:r w:rsidR="008B0582">
              <w:rPr>
                <w:rStyle w:val="FootnoteReference"/>
                <w:sz w:val="24"/>
                <w:szCs w:val="24"/>
              </w:rPr>
              <w:footnoteReference w:id="5"/>
            </w:r>
          </w:p>
        </w:tc>
      </w:tr>
      <w:tr w:rsidR="007F39C6" w:rsidRPr="00C77C45" w14:paraId="0B88C632" w14:textId="77777777" w:rsidTr="001E1581">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BBCE0F" w14:textId="07B6E528" w:rsidR="00B31DCD" w:rsidRDefault="00B31DCD" w:rsidP="00153D72">
            <w:pPr>
              <w:ind w:firstLine="589"/>
              <w:jc w:val="both"/>
              <w:rPr>
                <w:sz w:val="24"/>
                <w:szCs w:val="24"/>
              </w:rPr>
            </w:pPr>
            <w:r w:rsidRPr="00A00DDF">
              <w:rPr>
                <w:b/>
                <w:bCs/>
                <w:i/>
                <w:iCs/>
                <w:sz w:val="24"/>
                <w:szCs w:val="24"/>
              </w:rPr>
              <w:t xml:space="preserve">Dėl tyrimo pavadinimo nurodymo </w:t>
            </w:r>
            <w:r w:rsidR="00A00DDF">
              <w:rPr>
                <w:b/>
                <w:bCs/>
                <w:i/>
                <w:iCs/>
                <w:sz w:val="24"/>
                <w:szCs w:val="24"/>
              </w:rPr>
              <w:t>P</w:t>
            </w:r>
            <w:r w:rsidRPr="00A00DDF">
              <w:rPr>
                <w:b/>
                <w:bCs/>
                <w:i/>
                <w:iCs/>
                <w:sz w:val="24"/>
                <w:szCs w:val="24"/>
              </w:rPr>
              <w:t>irkimo sąlygose</w:t>
            </w:r>
            <w:r w:rsidR="00115010" w:rsidRPr="00A00DDF">
              <w:rPr>
                <w:b/>
                <w:bCs/>
                <w:i/>
                <w:iCs/>
                <w:sz w:val="24"/>
                <w:szCs w:val="24"/>
              </w:rPr>
              <w:t xml:space="preserve"> </w:t>
            </w:r>
          </w:p>
          <w:p w14:paraId="12FADDCD" w14:textId="459DAA6B" w:rsidR="004953BB" w:rsidRDefault="00115010" w:rsidP="00153D72">
            <w:pPr>
              <w:ind w:firstLine="589"/>
              <w:jc w:val="both"/>
              <w:rPr>
                <w:sz w:val="24"/>
                <w:szCs w:val="24"/>
              </w:rPr>
            </w:pPr>
            <w:r w:rsidRPr="00115010">
              <w:rPr>
                <w:bCs/>
                <w:sz w:val="24"/>
                <w:szCs w:val="24"/>
              </w:rPr>
              <w:t xml:space="preserve">Pirkimo sąlygų </w:t>
            </w:r>
            <w:r w:rsidRPr="00115010">
              <w:rPr>
                <w:sz w:val="24"/>
                <w:szCs w:val="24"/>
              </w:rPr>
              <w:t>priede Nr. 1 „Techninė informacija. Techniniai ir kokybiniai reikalavimai“</w:t>
            </w:r>
            <w:r w:rsidRPr="00115010">
              <w:rPr>
                <w:sz w:val="24"/>
                <w:szCs w:val="24"/>
                <w:vertAlign w:val="superscript"/>
              </w:rPr>
              <w:footnoteReference w:id="6"/>
            </w:r>
            <w:r w:rsidRPr="00115010">
              <w:rPr>
                <w:sz w:val="24"/>
                <w:szCs w:val="24"/>
              </w:rPr>
              <w:t xml:space="preserve"> (toliau – Techninė specifikacija)</w:t>
            </w:r>
            <w:r>
              <w:rPr>
                <w:sz w:val="24"/>
                <w:szCs w:val="24"/>
              </w:rPr>
              <w:t xml:space="preserve">, </w:t>
            </w:r>
            <w:r w:rsidR="00B31DCD">
              <w:rPr>
                <w:sz w:val="24"/>
                <w:szCs w:val="24"/>
              </w:rPr>
              <w:t xml:space="preserve">nurodytas </w:t>
            </w:r>
            <w:r>
              <w:rPr>
                <w:sz w:val="24"/>
                <w:szCs w:val="24"/>
              </w:rPr>
              <w:t xml:space="preserve">pavadinimas – „Protrombino komplekso (PK) II-VII-X faktorių aktyvumo (ir TNS) tyrimas“. </w:t>
            </w:r>
            <w:r w:rsidR="00B31DCD">
              <w:rPr>
                <w:sz w:val="24"/>
                <w:szCs w:val="24"/>
              </w:rPr>
              <w:t xml:space="preserve">Iš Pirkimo dokumentų visumos spręstina, kad </w:t>
            </w:r>
            <w:r w:rsidR="00115D49">
              <w:rPr>
                <w:sz w:val="24"/>
                <w:szCs w:val="24"/>
              </w:rPr>
              <w:t>p</w:t>
            </w:r>
            <w:r w:rsidR="00B31DCD">
              <w:rPr>
                <w:sz w:val="24"/>
                <w:szCs w:val="24"/>
              </w:rPr>
              <w:t xml:space="preserve">erkančioji organizacija ketina įsigyti protrombino laiko tyrimui reikalingus reagentus ir priemones, tačiau nurodytas pavadinimas „protrombino </w:t>
            </w:r>
            <w:r w:rsidR="00B31DCD" w:rsidRPr="00A00DDF">
              <w:rPr>
                <w:b/>
                <w:bCs/>
                <w:sz w:val="24"/>
                <w:szCs w:val="24"/>
              </w:rPr>
              <w:t>komplekso</w:t>
            </w:r>
            <w:r w:rsidR="00B31DCD">
              <w:rPr>
                <w:sz w:val="24"/>
                <w:szCs w:val="24"/>
              </w:rPr>
              <w:t xml:space="preserve"> tyrimas“ yra specifiškas </w:t>
            </w:r>
            <w:r w:rsidR="00B31DCD" w:rsidRPr="00A00DDF">
              <w:rPr>
                <w:i/>
                <w:iCs/>
                <w:sz w:val="24"/>
                <w:szCs w:val="24"/>
              </w:rPr>
              <w:t>Owren</w:t>
            </w:r>
            <w:r w:rsidR="00B31DCD">
              <w:rPr>
                <w:sz w:val="24"/>
                <w:szCs w:val="24"/>
              </w:rPr>
              <w:t xml:space="preserve"> metodui. </w:t>
            </w:r>
            <w:r w:rsidR="00833BA8">
              <w:rPr>
                <w:sz w:val="24"/>
                <w:szCs w:val="24"/>
              </w:rPr>
              <w:t>Plačiau apie tai Tarnyba pasisak</w:t>
            </w:r>
            <w:r w:rsidR="00B31DCD">
              <w:rPr>
                <w:sz w:val="24"/>
                <w:szCs w:val="24"/>
              </w:rPr>
              <w:t>o</w:t>
            </w:r>
            <w:r w:rsidR="00833BA8">
              <w:rPr>
                <w:sz w:val="24"/>
                <w:szCs w:val="24"/>
              </w:rPr>
              <w:t xml:space="preserve"> šios vertinimo išvados dal</w:t>
            </w:r>
            <w:r w:rsidR="004953BB">
              <w:rPr>
                <w:sz w:val="24"/>
                <w:szCs w:val="24"/>
              </w:rPr>
              <w:t>yje</w:t>
            </w:r>
            <w:r w:rsidR="00833BA8">
              <w:rPr>
                <w:sz w:val="24"/>
                <w:szCs w:val="24"/>
              </w:rPr>
              <w:t xml:space="preserve"> „Pastabos“</w:t>
            </w:r>
            <w:r w:rsidR="00B31DCD">
              <w:rPr>
                <w:sz w:val="24"/>
                <w:szCs w:val="24"/>
              </w:rPr>
              <w:t xml:space="preserve">, tačiau Tarnyba nepasisako dėl  </w:t>
            </w:r>
            <w:r w:rsidR="00A00DDF">
              <w:rPr>
                <w:sz w:val="24"/>
                <w:szCs w:val="24"/>
              </w:rPr>
              <w:t>p</w:t>
            </w:r>
            <w:r w:rsidR="00B31DCD">
              <w:rPr>
                <w:sz w:val="24"/>
                <w:szCs w:val="24"/>
              </w:rPr>
              <w:t xml:space="preserve">erkančiosios organizacijos poreikio įsigyti būtent tokiu metodu atliekamų tyrimų, kadangi </w:t>
            </w:r>
            <w:r w:rsidR="004248B1">
              <w:rPr>
                <w:sz w:val="24"/>
                <w:szCs w:val="24"/>
              </w:rPr>
              <w:t>ji pati sprendžia, koks tyrimo metodas yra tinkamiausias</w:t>
            </w:r>
          </w:p>
          <w:p w14:paraId="78AA133D" w14:textId="77777777" w:rsidR="00A00DDF" w:rsidRDefault="004248B1" w:rsidP="00A00DDF">
            <w:pPr>
              <w:ind w:firstLine="589"/>
              <w:jc w:val="both"/>
              <w:rPr>
                <w:b/>
                <w:bCs/>
                <w:i/>
                <w:iCs/>
                <w:sz w:val="24"/>
                <w:szCs w:val="24"/>
              </w:rPr>
            </w:pPr>
            <w:r w:rsidRPr="00A00DDF">
              <w:rPr>
                <w:b/>
                <w:bCs/>
                <w:i/>
                <w:iCs/>
                <w:sz w:val="24"/>
                <w:szCs w:val="24"/>
              </w:rPr>
              <w:t>Dėl konkurenciją ribojančių reikalavimų nustatymo</w:t>
            </w:r>
            <w:r w:rsidR="00474E4B">
              <w:rPr>
                <w:b/>
                <w:bCs/>
                <w:i/>
                <w:iCs/>
                <w:sz w:val="24"/>
                <w:szCs w:val="24"/>
              </w:rPr>
              <w:t xml:space="preserve"> </w:t>
            </w:r>
          </w:p>
          <w:p w14:paraId="5E55E631" w14:textId="6A5C4A1B" w:rsidR="00153D72" w:rsidRPr="00A00DDF" w:rsidRDefault="00833BA8" w:rsidP="00A00DDF">
            <w:pPr>
              <w:ind w:firstLine="589"/>
              <w:jc w:val="both"/>
              <w:rPr>
                <w:b/>
                <w:bCs/>
                <w:i/>
                <w:iCs/>
                <w:sz w:val="24"/>
                <w:szCs w:val="24"/>
              </w:rPr>
            </w:pPr>
            <w:r>
              <w:rPr>
                <w:sz w:val="24"/>
                <w:szCs w:val="24"/>
              </w:rPr>
              <w:t>Pirkimo dokumentuose nustatyt</w:t>
            </w:r>
            <w:r w:rsidR="004248B1">
              <w:rPr>
                <w:sz w:val="24"/>
                <w:szCs w:val="24"/>
              </w:rPr>
              <w:t>as</w:t>
            </w:r>
            <w:r>
              <w:rPr>
                <w:sz w:val="24"/>
                <w:szCs w:val="24"/>
              </w:rPr>
              <w:t xml:space="preserve"> reikalavim</w:t>
            </w:r>
            <w:r w:rsidR="00474E4B">
              <w:rPr>
                <w:sz w:val="24"/>
                <w:szCs w:val="24"/>
              </w:rPr>
              <w:t>as</w:t>
            </w:r>
            <w:r>
              <w:rPr>
                <w:sz w:val="24"/>
                <w:szCs w:val="24"/>
              </w:rPr>
              <w:t>, kad tyrimų analizatoriai galėtų ištirti mėginius – citruotą plazmą, kuri gali būti „normali, bet kokio lipeminė, hemolizuota, ikterinė“</w:t>
            </w:r>
            <w:r w:rsidR="004953BB">
              <w:rPr>
                <w:rStyle w:val="FootnoteReference"/>
                <w:sz w:val="24"/>
                <w:szCs w:val="24"/>
              </w:rPr>
              <w:t xml:space="preserve"> </w:t>
            </w:r>
            <w:r w:rsidR="004953BB">
              <w:rPr>
                <w:rStyle w:val="FootnoteReference"/>
                <w:sz w:val="24"/>
                <w:szCs w:val="24"/>
              </w:rPr>
              <w:footnoteReference w:id="7"/>
            </w:r>
            <w:r>
              <w:rPr>
                <w:sz w:val="24"/>
                <w:szCs w:val="24"/>
              </w:rPr>
              <w:t>.</w:t>
            </w:r>
            <w:r w:rsidR="004248B1">
              <w:rPr>
                <w:sz w:val="24"/>
                <w:szCs w:val="24"/>
              </w:rPr>
              <w:t xml:space="preserve"> Pažymėtina, kad toks reikalavimas gali būti grindžiamas įstaigos poreikiu kokybiškai valdyti ikianalizinius procesus, susijusius su mėginių kokybe minimalių pastangų dėka, taip pat minimaliomis ekonominėmis sąnaudomis. Optimaliausiu atveju </w:t>
            </w:r>
            <w:r>
              <w:rPr>
                <w:sz w:val="24"/>
                <w:szCs w:val="24"/>
              </w:rPr>
              <w:t>k</w:t>
            </w:r>
            <w:r w:rsidR="00153D72" w:rsidRPr="0080489F">
              <w:rPr>
                <w:sz w:val="24"/>
                <w:szCs w:val="24"/>
              </w:rPr>
              <w:t xml:space="preserve">rešėjimo tyrimams atlikti </w:t>
            </w:r>
            <w:r w:rsidR="00153D72">
              <w:rPr>
                <w:sz w:val="24"/>
                <w:szCs w:val="24"/>
              </w:rPr>
              <w:t xml:space="preserve">naudojami </w:t>
            </w:r>
            <w:r w:rsidR="00153D72" w:rsidRPr="0080489F">
              <w:rPr>
                <w:sz w:val="24"/>
                <w:szCs w:val="24"/>
              </w:rPr>
              <w:t>prietais</w:t>
            </w:r>
            <w:r w:rsidR="00153D72">
              <w:rPr>
                <w:sz w:val="24"/>
                <w:szCs w:val="24"/>
              </w:rPr>
              <w:t xml:space="preserve">ai turi gebėti </w:t>
            </w:r>
            <w:r w:rsidR="00153D72" w:rsidRPr="0080489F">
              <w:rPr>
                <w:sz w:val="24"/>
                <w:szCs w:val="24"/>
              </w:rPr>
              <w:t>be trikdžių atlikti chronometrinius</w:t>
            </w:r>
            <w:r w:rsidR="00153D72" w:rsidRPr="0080489F">
              <w:rPr>
                <w:rStyle w:val="FootnoteReference"/>
                <w:sz w:val="24"/>
                <w:szCs w:val="24"/>
              </w:rPr>
              <w:footnoteReference w:id="8"/>
            </w:r>
            <w:r w:rsidR="00153D72" w:rsidRPr="0080489F">
              <w:rPr>
                <w:sz w:val="24"/>
                <w:szCs w:val="24"/>
              </w:rPr>
              <w:t xml:space="preserve"> tyrimus (protrombino laiko</w:t>
            </w:r>
            <w:r w:rsidR="00591750" w:rsidRPr="0080489F">
              <w:rPr>
                <w:sz w:val="24"/>
                <w:szCs w:val="24"/>
              </w:rPr>
              <w:t xml:space="preserve"> </w:t>
            </w:r>
            <w:r w:rsidR="00591750">
              <w:rPr>
                <w:sz w:val="24"/>
                <w:szCs w:val="24"/>
              </w:rPr>
              <w:t>(</w:t>
            </w:r>
            <w:r w:rsidR="00591750" w:rsidRPr="0080489F">
              <w:rPr>
                <w:sz w:val="24"/>
                <w:szCs w:val="24"/>
              </w:rPr>
              <w:t>PL</w:t>
            </w:r>
            <w:r w:rsidR="00591750">
              <w:rPr>
                <w:sz w:val="24"/>
                <w:szCs w:val="24"/>
              </w:rPr>
              <w:t>)</w:t>
            </w:r>
            <w:r>
              <w:rPr>
                <w:rStyle w:val="FootnoteReference"/>
                <w:sz w:val="24"/>
                <w:szCs w:val="24"/>
              </w:rPr>
              <w:footnoteReference w:id="9"/>
            </w:r>
            <w:r w:rsidR="00153D72" w:rsidRPr="0080489F">
              <w:rPr>
                <w:sz w:val="24"/>
                <w:szCs w:val="24"/>
              </w:rPr>
              <w:t>, aktyvinto dalinio tromboplastino laiko</w:t>
            </w:r>
            <w:r w:rsidR="00591750" w:rsidRPr="0080489F">
              <w:rPr>
                <w:sz w:val="24"/>
                <w:szCs w:val="24"/>
              </w:rPr>
              <w:t xml:space="preserve"> </w:t>
            </w:r>
            <w:r w:rsidR="00591750">
              <w:rPr>
                <w:sz w:val="24"/>
                <w:szCs w:val="24"/>
              </w:rPr>
              <w:t>(</w:t>
            </w:r>
            <w:r w:rsidR="00591750" w:rsidRPr="0080489F">
              <w:rPr>
                <w:sz w:val="24"/>
                <w:szCs w:val="24"/>
              </w:rPr>
              <w:t>ADTL</w:t>
            </w:r>
            <w:r w:rsidR="00591750">
              <w:rPr>
                <w:sz w:val="24"/>
                <w:szCs w:val="24"/>
              </w:rPr>
              <w:t>)</w:t>
            </w:r>
            <w:r>
              <w:rPr>
                <w:rStyle w:val="FootnoteReference"/>
                <w:sz w:val="24"/>
                <w:szCs w:val="24"/>
              </w:rPr>
              <w:footnoteReference w:id="10"/>
            </w:r>
            <w:r w:rsidR="00153D72" w:rsidRPr="0080489F">
              <w:rPr>
                <w:sz w:val="24"/>
                <w:szCs w:val="24"/>
              </w:rPr>
              <w:t>, fibrinogeno</w:t>
            </w:r>
            <w:r>
              <w:rPr>
                <w:rStyle w:val="FootnoteReference"/>
                <w:sz w:val="24"/>
                <w:szCs w:val="24"/>
              </w:rPr>
              <w:footnoteReference w:id="11"/>
            </w:r>
            <w:r w:rsidR="00153D72" w:rsidRPr="0080489F">
              <w:rPr>
                <w:sz w:val="24"/>
                <w:szCs w:val="24"/>
              </w:rPr>
              <w:t>)</w:t>
            </w:r>
            <w:r w:rsidR="00153D72">
              <w:rPr>
                <w:sz w:val="24"/>
                <w:szCs w:val="24"/>
              </w:rPr>
              <w:t xml:space="preserve">, tačiau </w:t>
            </w:r>
            <w:r w:rsidR="00153D72" w:rsidRPr="0080489F">
              <w:rPr>
                <w:sz w:val="24"/>
                <w:szCs w:val="24"/>
              </w:rPr>
              <w:t>rinkoje egzistuoja kelių skirtingų chronometrinių tyrimų metodų variacijos, t. y. skiriasi krešulio susidarymo nustatymo būda</w:t>
            </w:r>
            <w:r w:rsidR="00153D72">
              <w:rPr>
                <w:sz w:val="24"/>
                <w:szCs w:val="24"/>
              </w:rPr>
              <w:t xml:space="preserve">i, kurie </w:t>
            </w:r>
            <w:r w:rsidR="00153D72" w:rsidRPr="0080489F">
              <w:rPr>
                <w:sz w:val="24"/>
                <w:szCs w:val="24"/>
              </w:rPr>
              <w:t>klasifikuojami į mechaninius (arba plazmos klampumo kitimo principu pagrįstus) ir optinius (pagrįstus šviesos sklaidos kitimo principu), taip pat galimas ir šių būdų derinys – optomechaninis detekcijos būdas.</w:t>
            </w:r>
            <w:r w:rsidR="00153D72">
              <w:rPr>
                <w:sz w:val="24"/>
                <w:szCs w:val="24"/>
              </w:rPr>
              <w:t xml:space="preserve"> </w:t>
            </w:r>
            <w:r w:rsidR="00474E4B" w:rsidRPr="00A00DDF">
              <w:rPr>
                <w:sz w:val="24"/>
                <w:szCs w:val="24"/>
              </w:rPr>
              <w:t>Pažymėtina, kad visi krešulio nustatymo būdai gali būti vertinami kaip lygiaverčiai, o gaunami rezultatai – analogiški, tačiau su tam tikromis išlygomis.</w:t>
            </w:r>
            <w:r w:rsidR="00474E4B">
              <w:rPr>
                <w:sz w:val="24"/>
                <w:szCs w:val="24"/>
              </w:rPr>
              <w:t xml:space="preserve"> Moksliniais tyrimais pagrįsta, kad jei mėginyje yra bent vienas iš interferuojančių dalykų</w:t>
            </w:r>
            <w:r w:rsidR="00474E4B">
              <w:rPr>
                <w:rStyle w:val="FootnoteReference"/>
                <w:sz w:val="24"/>
                <w:szCs w:val="24"/>
              </w:rPr>
              <w:footnoteReference w:id="12"/>
            </w:r>
            <w:r w:rsidR="00474E4B">
              <w:rPr>
                <w:sz w:val="24"/>
                <w:szCs w:val="24"/>
              </w:rPr>
              <w:t>, mechaninis tyrimo būdas tampa pranašesniu už optinį</w:t>
            </w:r>
            <w:r w:rsidR="00A00DDF">
              <w:rPr>
                <w:sz w:val="24"/>
                <w:szCs w:val="24"/>
              </w:rPr>
              <w:t>,</w:t>
            </w:r>
            <w:r w:rsidR="00474E4B">
              <w:rPr>
                <w:sz w:val="24"/>
                <w:szCs w:val="24"/>
              </w:rPr>
              <w:t xml:space="preserve"> kadangi mechaniniu būd</w:t>
            </w:r>
            <w:r w:rsidR="00A00DDF">
              <w:rPr>
                <w:sz w:val="24"/>
                <w:szCs w:val="24"/>
              </w:rPr>
              <w:t>u</w:t>
            </w:r>
            <w:r w:rsidR="00474E4B">
              <w:rPr>
                <w:sz w:val="24"/>
                <w:szCs w:val="24"/>
              </w:rPr>
              <w:t xml:space="preserve"> atliekamų tyrimų rezultatai nėra paveikiami. </w:t>
            </w:r>
          </w:p>
          <w:p w14:paraId="213E9C06" w14:textId="32B47A9B" w:rsidR="003229F6" w:rsidRDefault="004F5890" w:rsidP="00BF1155">
            <w:pPr>
              <w:ind w:firstLine="589"/>
              <w:jc w:val="both"/>
              <w:rPr>
                <w:sz w:val="24"/>
                <w:szCs w:val="24"/>
              </w:rPr>
            </w:pPr>
            <w:r>
              <w:rPr>
                <w:bCs/>
                <w:sz w:val="24"/>
                <w:szCs w:val="24"/>
              </w:rPr>
              <w:lastRenderedPageBreak/>
              <w:t>V</w:t>
            </w:r>
            <w:r w:rsidR="004953BB">
              <w:rPr>
                <w:bCs/>
                <w:sz w:val="24"/>
                <w:szCs w:val="24"/>
              </w:rPr>
              <w:t>ertinamu atveju, p</w:t>
            </w:r>
            <w:r w:rsidR="009B6B6D">
              <w:rPr>
                <w:bCs/>
                <w:sz w:val="24"/>
                <w:szCs w:val="24"/>
              </w:rPr>
              <w:t xml:space="preserve">erkančioji organizacija, </w:t>
            </w:r>
            <w:r w:rsidR="00385D0A" w:rsidRPr="0080489F">
              <w:rPr>
                <w:sz w:val="24"/>
                <w:szCs w:val="24"/>
              </w:rPr>
              <w:t>Techninė</w:t>
            </w:r>
            <w:r w:rsidR="00115010">
              <w:rPr>
                <w:sz w:val="24"/>
                <w:szCs w:val="24"/>
              </w:rPr>
              <w:t>je</w:t>
            </w:r>
            <w:r w:rsidR="00385D0A" w:rsidRPr="0080489F">
              <w:rPr>
                <w:sz w:val="24"/>
                <w:szCs w:val="24"/>
              </w:rPr>
              <w:t xml:space="preserve"> specifikacij</w:t>
            </w:r>
            <w:r w:rsidR="00115010">
              <w:rPr>
                <w:sz w:val="24"/>
                <w:szCs w:val="24"/>
              </w:rPr>
              <w:t>oje</w:t>
            </w:r>
            <w:r w:rsidR="00385D0A" w:rsidRPr="0080489F">
              <w:rPr>
                <w:sz w:val="24"/>
                <w:szCs w:val="24"/>
              </w:rPr>
              <w:t xml:space="preserve"> </w:t>
            </w:r>
            <w:r w:rsidR="009B6B6D">
              <w:rPr>
                <w:sz w:val="24"/>
                <w:szCs w:val="24"/>
              </w:rPr>
              <w:t xml:space="preserve">įtvirtindama reikalavimą </w:t>
            </w:r>
            <w:r w:rsidR="00347522" w:rsidRPr="0080489F">
              <w:rPr>
                <w:sz w:val="24"/>
                <w:szCs w:val="24"/>
              </w:rPr>
              <w:t>tyrimų analizatoria</w:t>
            </w:r>
            <w:r w:rsidR="009B6B6D">
              <w:rPr>
                <w:sz w:val="24"/>
                <w:szCs w:val="24"/>
              </w:rPr>
              <w:t>ms</w:t>
            </w:r>
            <w:r w:rsidR="00347522" w:rsidRPr="0080489F">
              <w:rPr>
                <w:sz w:val="24"/>
                <w:szCs w:val="24"/>
              </w:rPr>
              <w:t xml:space="preserve"> galėti ištirti mėginius – citruotą plazmą, kuri gali būti „normali, bet kokio lygio lipeminė, hemolizuota</w:t>
            </w:r>
            <w:r w:rsidR="002E7F56" w:rsidRPr="0080489F">
              <w:rPr>
                <w:sz w:val="24"/>
                <w:szCs w:val="24"/>
              </w:rPr>
              <w:t>, ikterinė</w:t>
            </w:r>
            <w:r w:rsidR="00347522" w:rsidRPr="0080489F">
              <w:rPr>
                <w:sz w:val="24"/>
                <w:szCs w:val="24"/>
              </w:rPr>
              <w:t>“</w:t>
            </w:r>
            <w:r w:rsidR="0071460C">
              <w:rPr>
                <w:sz w:val="24"/>
                <w:szCs w:val="24"/>
              </w:rPr>
              <w:t xml:space="preserve">, </w:t>
            </w:r>
            <w:r w:rsidR="00153D72">
              <w:rPr>
                <w:sz w:val="24"/>
                <w:szCs w:val="24"/>
              </w:rPr>
              <w:t>nustatė</w:t>
            </w:r>
            <w:r w:rsidR="007E1DB8">
              <w:rPr>
                <w:sz w:val="24"/>
                <w:szCs w:val="24"/>
              </w:rPr>
              <w:t xml:space="preserve"> reikalavimą krešėjimo tyrimų analizatoriams mėginius tirti mechaniniu </w:t>
            </w:r>
            <w:r w:rsidR="009B6B6D">
              <w:rPr>
                <w:sz w:val="24"/>
                <w:szCs w:val="24"/>
              </w:rPr>
              <w:t>krešulio nustat</w:t>
            </w:r>
            <w:r w:rsidR="007E1DB8">
              <w:rPr>
                <w:sz w:val="24"/>
                <w:szCs w:val="24"/>
              </w:rPr>
              <w:t xml:space="preserve">ymo </w:t>
            </w:r>
            <w:r w:rsidR="00462749">
              <w:rPr>
                <w:sz w:val="24"/>
                <w:szCs w:val="24"/>
              </w:rPr>
              <w:t xml:space="preserve">būdu. </w:t>
            </w:r>
            <w:r>
              <w:rPr>
                <w:sz w:val="24"/>
                <w:szCs w:val="24"/>
              </w:rPr>
              <w:t>T</w:t>
            </w:r>
            <w:r w:rsidR="00462749">
              <w:rPr>
                <w:sz w:val="24"/>
                <w:szCs w:val="24"/>
              </w:rPr>
              <w:t>ok</w:t>
            </w:r>
            <w:r>
              <w:rPr>
                <w:sz w:val="24"/>
                <w:szCs w:val="24"/>
              </w:rPr>
              <w:t>s</w:t>
            </w:r>
            <w:r w:rsidR="00462749">
              <w:rPr>
                <w:sz w:val="24"/>
                <w:szCs w:val="24"/>
              </w:rPr>
              <w:t xml:space="preserve"> reikalavim</w:t>
            </w:r>
            <w:r>
              <w:rPr>
                <w:sz w:val="24"/>
                <w:szCs w:val="24"/>
              </w:rPr>
              <w:t>as buvo i</w:t>
            </w:r>
            <w:r w:rsidR="009B6B6D">
              <w:rPr>
                <w:sz w:val="24"/>
                <w:szCs w:val="24"/>
              </w:rPr>
              <w:t>šk</w:t>
            </w:r>
            <w:r>
              <w:rPr>
                <w:sz w:val="24"/>
                <w:szCs w:val="24"/>
              </w:rPr>
              <w:t xml:space="preserve">eltas, </w:t>
            </w:r>
            <w:r w:rsidR="00035FBB" w:rsidRPr="0080489F">
              <w:rPr>
                <w:sz w:val="24"/>
                <w:szCs w:val="24"/>
              </w:rPr>
              <w:t>įvertinus</w:t>
            </w:r>
            <w:r w:rsidR="00591750">
              <w:rPr>
                <w:sz w:val="24"/>
                <w:szCs w:val="24"/>
              </w:rPr>
              <w:t xml:space="preserve"> </w:t>
            </w:r>
            <w:r w:rsidR="00035FBB" w:rsidRPr="0080489F">
              <w:rPr>
                <w:sz w:val="24"/>
                <w:szCs w:val="24"/>
              </w:rPr>
              <w:t xml:space="preserve">klinikinius bei praktinius </w:t>
            </w:r>
            <w:r w:rsidR="00462749">
              <w:rPr>
                <w:sz w:val="24"/>
                <w:szCs w:val="24"/>
              </w:rPr>
              <w:t xml:space="preserve">įstaigos </w:t>
            </w:r>
            <w:r w:rsidR="00035FBB" w:rsidRPr="0080489F">
              <w:rPr>
                <w:sz w:val="24"/>
                <w:szCs w:val="24"/>
              </w:rPr>
              <w:t>poreikius</w:t>
            </w:r>
            <w:r w:rsidR="00035FBB">
              <w:rPr>
                <w:sz w:val="24"/>
                <w:szCs w:val="24"/>
              </w:rPr>
              <w:t xml:space="preserve"> bei siekį</w:t>
            </w:r>
            <w:r w:rsidR="00035FBB" w:rsidRPr="0080489F">
              <w:rPr>
                <w:sz w:val="24"/>
                <w:szCs w:val="24"/>
              </w:rPr>
              <w:t xml:space="preserve"> tinkamai vykdyti prievolę užtikrin</w:t>
            </w:r>
            <w:r w:rsidR="00035FBB">
              <w:rPr>
                <w:sz w:val="24"/>
                <w:szCs w:val="24"/>
              </w:rPr>
              <w:t xml:space="preserve">ant </w:t>
            </w:r>
            <w:r w:rsidR="00035FBB" w:rsidRPr="0080489F">
              <w:rPr>
                <w:sz w:val="24"/>
                <w:szCs w:val="24"/>
              </w:rPr>
              <w:t>maksimaliai kokybiškas paslaugas pacientams</w:t>
            </w:r>
            <w:r w:rsidR="00035FBB" w:rsidRPr="0080489F">
              <w:rPr>
                <w:rStyle w:val="FootnoteReference"/>
                <w:sz w:val="24"/>
                <w:szCs w:val="24"/>
              </w:rPr>
              <w:footnoteReference w:id="13"/>
            </w:r>
            <w:r>
              <w:rPr>
                <w:sz w:val="24"/>
                <w:szCs w:val="24"/>
              </w:rPr>
              <w:t xml:space="preserve">. Perkančioji organizacija </w:t>
            </w:r>
            <w:r w:rsidR="0059734E">
              <w:rPr>
                <w:sz w:val="24"/>
                <w:szCs w:val="24"/>
              </w:rPr>
              <w:t>taip pat n</w:t>
            </w:r>
            <w:r w:rsidR="0059734E" w:rsidRPr="0080489F">
              <w:rPr>
                <w:sz w:val="24"/>
                <w:szCs w:val="24"/>
              </w:rPr>
              <w:t xml:space="preserve">urodė, kad rinkoje egzistuoja </w:t>
            </w:r>
            <w:r w:rsidR="0059734E">
              <w:rPr>
                <w:sz w:val="24"/>
                <w:szCs w:val="24"/>
              </w:rPr>
              <w:t xml:space="preserve">nemažai </w:t>
            </w:r>
            <w:r w:rsidR="0059734E" w:rsidRPr="0080489F">
              <w:rPr>
                <w:sz w:val="24"/>
                <w:szCs w:val="24"/>
              </w:rPr>
              <w:t>gamintoj</w:t>
            </w:r>
            <w:r w:rsidR="0059734E">
              <w:rPr>
                <w:sz w:val="24"/>
                <w:szCs w:val="24"/>
              </w:rPr>
              <w:t>ų</w:t>
            </w:r>
            <w:r w:rsidR="0059734E" w:rsidRPr="0080489F">
              <w:rPr>
                <w:sz w:val="24"/>
                <w:szCs w:val="24"/>
              </w:rPr>
              <w:t xml:space="preserve"> (Succeeder; Precil; Maccura; Stago), kurių gaminamiems reagentams hemolizė, ikterija ir lipemija neturi jokio poveikio</w:t>
            </w:r>
            <w:r w:rsidR="0059734E" w:rsidRPr="0080489F">
              <w:rPr>
                <w:rStyle w:val="FootnoteReference"/>
                <w:sz w:val="24"/>
                <w:szCs w:val="24"/>
              </w:rPr>
              <w:footnoteReference w:id="14"/>
            </w:r>
            <w:r w:rsidR="00035FBB">
              <w:rPr>
                <w:sz w:val="24"/>
                <w:szCs w:val="24"/>
              </w:rPr>
              <w:t xml:space="preserve">, </w:t>
            </w:r>
            <w:r w:rsidR="00CE0BA1">
              <w:rPr>
                <w:sz w:val="24"/>
                <w:szCs w:val="24"/>
              </w:rPr>
              <w:t xml:space="preserve">tačiau, kaip </w:t>
            </w:r>
            <w:r w:rsidR="00BF1155">
              <w:rPr>
                <w:sz w:val="24"/>
                <w:szCs w:val="24"/>
              </w:rPr>
              <w:t>nustatyta</w:t>
            </w:r>
            <w:r w:rsidR="00CE0BA1">
              <w:rPr>
                <w:sz w:val="24"/>
                <w:szCs w:val="24"/>
              </w:rPr>
              <w:t xml:space="preserve"> vertinimo metu, </w:t>
            </w:r>
            <w:r w:rsidR="003229F6" w:rsidRPr="0080489F">
              <w:rPr>
                <w:sz w:val="24"/>
                <w:szCs w:val="24"/>
              </w:rPr>
              <w:t>Lietuvo</w:t>
            </w:r>
            <w:r w:rsidR="003229F6">
              <w:rPr>
                <w:sz w:val="24"/>
                <w:szCs w:val="24"/>
              </w:rPr>
              <w:t>s rinkoje atstovaujami yra tik</w:t>
            </w:r>
            <w:r w:rsidR="00BF1155">
              <w:rPr>
                <w:sz w:val="24"/>
                <w:szCs w:val="24"/>
              </w:rPr>
              <w:t xml:space="preserve"> gamintojo</w:t>
            </w:r>
            <w:r w:rsidR="003229F6">
              <w:rPr>
                <w:sz w:val="24"/>
                <w:szCs w:val="24"/>
              </w:rPr>
              <w:t xml:space="preserve"> </w:t>
            </w:r>
            <w:r w:rsidR="00D664E9">
              <w:rPr>
                <w:sz w:val="24"/>
                <w:szCs w:val="24"/>
              </w:rPr>
              <w:t xml:space="preserve">Diagnostica </w:t>
            </w:r>
            <w:r w:rsidR="003229F6">
              <w:rPr>
                <w:sz w:val="24"/>
                <w:szCs w:val="24"/>
              </w:rPr>
              <w:t xml:space="preserve">Stago </w:t>
            </w:r>
            <w:r w:rsidR="00D664E9">
              <w:rPr>
                <w:sz w:val="24"/>
                <w:szCs w:val="24"/>
              </w:rPr>
              <w:t xml:space="preserve">(Prancūzija) (toliau – Stago) </w:t>
            </w:r>
            <w:r w:rsidR="003229F6">
              <w:rPr>
                <w:sz w:val="24"/>
                <w:szCs w:val="24"/>
              </w:rPr>
              <w:t>gaminami analizatoriai</w:t>
            </w:r>
            <w:r w:rsidR="00CE0BA1">
              <w:rPr>
                <w:sz w:val="24"/>
                <w:szCs w:val="24"/>
              </w:rPr>
              <w:t>. Tokiu būdu</w:t>
            </w:r>
            <w:r w:rsidR="00BF1155">
              <w:rPr>
                <w:sz w:val="24"/>
                <w:szCs w:val="24"/>
              </w:rPr>
              <w:t>,</w:t>
            </w:r>
            <w:r w:rsidR="00CE0BA1">
              <w:rPr>
                <w:sz w:val="24"/>
                <w:szCs w:val="24"/>
              </w:rPr>
              <w:t xml:space="preserve"> </w:t>
            </w:r>
            <w:r w:rsidR="004953BB">
              <w:rPr>
                <w:sz w:val="24"/>
                <w:szCs w:val="24"/>
              </w:rPr>
              <w:t xml:space="preserve">Techninėje specifikacijoje įtvirtintą </w:t>
            </w:r>
            <w:r w:rsidR="00BF1155">
              <w:rPr>
                <w:sz w:val="24"/>
                <w:szCs w:val="24"/>
              </w:rPr>
              <w:t>reikalavim</w:t>
            </w:r>
            <w:r w:rsidR="00CE0BA1">
              <w:rPr>
                <w:sz w:val="24"/>
                <w:szCs w:val="24"/>
              </w:rPr>
              <w:t>ą</w:t>
            </w:r>
            <w:r w:rsidR="00BF1155">
              <w:rPr>
                <w:sz w:val="24"/>
                <w:szCs w:val="24"/>
              </w:rPr>
              <w:t xml:space="preserve"> </w:t>
            </w:r>
            <w:r w:rsidR="003B126A" w:rsidRPr="003B126A">
              <w:rPr>
                <w:sz w:val="24"/>
                <w:szCs w:val="24"/>
              </w:rPr>
              <w:t>gali atitikti tik vieno gamintojo pr</w:t>
            </w:r>
            <w:r w:rsidR="00F80419">
              <w:rPr>
                <w:sz w:val="24"/>
                <w:szCs w:val="24"/>
              </w:rPr>
              <w:t>ietaisai</w:t>
            </w:r>
            <w:r w:rsidR="003B126A" w:rsidRPr="003B126A">
              <w:rPr>
                <w:sz w:val="24"/>
                <w:szCs w:val="24"/>
              </w:rPr>
              <w:t>.</w:t>
            </w:r>
          </w:p>
          <w:p w14:paraId="490A8152" w14:textId="77777777" w:rsidR="00FE20C4" w:rsidRPr="004953BB" w:rsidRDefault="00E21E67" w:rsidP="00591750">
            <w:pPr>
              <w:ind w:firstLine="599"/>
              <w:jc w:val="both"/>
              <w:rPr>
                <w:b/>
                <w:bCs/>
                <w:sz w:val="24"/>
                <w:szCs w:val="24"/>
              </w:rPr>
            </w:pPr>
            <w:r w:rsidRPr="004953BB">
              <w:rPr>
                <w:b/>
                <w:bCs/>
                <w:sz w:val="24"/>
                <w:szCs w:val="24"/>
              </w:rPr>
              <w:t xml:space="preserve">Įvertinus </w:t>
            </w:r>
            <w:r w:rsidR="00B86D72" w:rsidRPr="004953BB">
              <w:rPr>
                <w:b/>
                <w:bCs/>
                <w:sz w:val="24"/>
                <w:szCs w:val="24"/>
              </w:rPr>
              <w:t>tai,</w:t>
            </w:r>
            <w:r w:rsidR="00035FBB" w:rsidRPr="004953BB">
              <w:rPr>
                <w:b/>
                <w:bCs/>
                <w:sz w:val="24"/>
                <w:szCs w:val="24"/>
              </w:rPr>
              <w:t xml:space="preserve"> kas išdėstyta,</w:t>
            </w:r>
            <w:r w:rsidR="00B86D72" w:rsidRPr="004953BB">
              <w:rPr>
                <w:b/>
                <w:bCs/>
                <w:sz w:val="24"/>
                <w:szCs w:val="24"/>
              </w:rPr>
              <w:t xml:space="preserve"> daroma išvada, kad </w:t>
            </w:r>
            <w:r w:rsidR="005D1EC3" w:rsidRPr="004953BB">
              <w:rPr>
                <w:b/>
                <w:bCs/>
                <w:sz w:val="24"/>
                <w:szCs w:val="24"/>
              </w:rPr>
              <w:t>Techninėje specifikacijoje įtvirtinusi reikalavimą</w:t>
            </w:r>
            <w:r w:rsidR="009B6B6D" w:rsidRPr="004953BB">
              <w:rPr>
                <w:b/>
                <w:bCs/>
                <w:sz w:val="24"/>
                <w:szCs w:val="24"/>
              </w:rPr>
              <w:t xml:space="preserve"> analizatoriams gebėti ištirti citruotą plazmą, kuri gali būti bet kokio lygio lipeminė, hemolizuota, ikterinė,</w:t>
            </w:r>
            <w:r w:rsidR="005D1EC3" w:rsidRPr="004953BB">
              <w:rPr>
                <w:b/>
                <w:bCs/>
                <w:sz w:val="24"/>
                <w:szCs w:val="24"/>
              </w:rPr>
              <w:t xml:space="preserve"> </w:t>
            </w:r>
            <w:r w:rsidR="003B126A" w:rsidRPr="004953BB">
              <w:rPr>
                <w:b/>
                <w:bCs/>
                <w:sz w:val="24"/>
                <w:szCs w:val="24"/>
              </w:rPr>
              <w:t>perkančioji organizacija ją</w:t>
            </w:r>
            <w:r w:rsidR="00B86D72" w:rsidRPr="004953BB">
              <w:rPr>
                <w:b/>
                <w:bCs/>
                <w:sz w:val="24"/>
                <w:szCs w:val="24"/>
              </w:rPr>
              <w:t xml:space="preserve"> </w:t>
            </w:r>
            <w:r w:rsidR="00DF5B05" w:rsidRPr="004953BB">
              <w:rPr>
                <w:b/>
                <w:bCs/>
                <w:sz w:val="24"/>
                <w:szCs w:val="24"/>
              </w:rPr>
              <w:t>pritaik</w:t>
            </w:r>
            <w:r w:rsidR="00782723" w:rsidRPr="004953BB">
              <w:rPr>
                <w:b/>
                <w:bCs/>
                <w:sz w:val="24"/>
                <w:szCs w:val="24"/>
              </w:rPr>
              <w:t>ė</w:t>
            </w:r>
            <w:r w:rsidR="00DF5B05" w:rsidRPr="004953BB">
              <w:rPr>
                <w:b/>
                <w:bCs/>
                <w:sz w:val="24"/>
                <w:szCs w:val="24"/>
              </w:rPr>
              <w:t xml:space="preserve"> konkretaus gamintojo gaminamai produkcijai</w:t>
            </w:r>
            <w:r w:rsidR="00782723" w:rsidRPr="004953BB">
              <w:rPr>
                <w:b/>
                <w:bCs/>
                <w:sz w:val="24"/>
                <w:szCs w:val="24"/>
              </w:rPr>
              <w:t xml:space="preserve">, </w:t>
            </w:r>
            <w:r w:rsidRPr="004953BB">
              <w:rPr>
                <w:b/>
                <w:bCs/>
                <w:sz w:val="24"/>
                <w:szCs w:val="24"/>
              </w:rPr>
              <w:t xml:space="preserve">tuo pažeisdama Įstatymo 37 straipsnio 3 dalies reikalavimus, nustatančius, kad „techninė specifikacija turi užtikrinti konkurenciją ir nediskriminuoti tiekėjų.“, o </w:t>
            </w:r>
            <w:r w:rsidR="00782723" w:rsidRPr="004953BB">
              <w:rPr>
                <w:b/>
                <w:bCs/>
                <w:sz w:val="24"/>
                <w:szCs w:val="24"/>
              </w:rPr>
              <w:t>apriboj</w:t>
            </w:r>
            <w:r w:rsidRPr="004953BB">
              <w:rPr>
                <w:b/>
                <w:bCs/>
                <w:sz w:val="24"/>
                <w:szCs w:val="24"/>
              </w:rPr>
              <w:t>usi</w:t>
            </w:r>
            <w:r w:rsidR="00782723" w:rsidRPr="004953BB">
              <w:rPr>
                <w:b/>
                <w:bCs/>
                <w:sz w:val="24"/>
                <w:szCs w:val="24"/>
              </w:rPr>
              <w:t xml:space="preserve"> tiekėjų </w:t>
            </w:r>
            <w:r w:rsidR="00DF5B05" w:rsidRPr="004953BB">
              <w:rPr>
                <w:b/>
                <w:bCs/>
                <w:sz w:val="24"/>
                <w:szCs w:val="24"/>
              </w:rPr>
              <w:t>konkurenciją</w:t>
            </w:r>
            <w:r w:rsidRPr="004953BB">
              <w:rPr>
                <w:b/>
                <w:bCs/>
                <w:sz w:val="24"/>
                <w:szCs w:val="24"/>
              </w:rPr>
              <w:t xml:space="preserve">, pažeidė Įstatymo 17 straipsnio 3 dalies nuostatą „&lt;...&gt; konkurencija yra dirbtinai sumažinta, kai pirkimu nepagrįstai sudaromos palankesnės ar nepalankesnės sąlygos tam tikriems tiekėjams“. Pažymėtina, kad </w:t>
            </w:r>
            <w:r w:rsidR="003B126A" w:rsidRPr="004953BB">
              <w:rPr>
                <w:b/>
                <w:bCs/>
                <w:sz w:val="24"/>
                <w:szCs w:val="24"/>
              </w:rPr>
              <w:t>p</w:t>
            </w:r>
            <w:r w:rsidRPr="004953BB">
              <w:rPr>
                <w:b/>
                <w:bCs/>
                <w:sz w:val="24"/>
                <w:szCs w:val="24"/>
              </w:rPr>
              <w:t>erkančioji organizacija nustatydama ribojančius Pirkimo Techninės specifikacijos reikalavimus ne tik dirbtinai sumažino konkurenciją, bet ir pažeidė Įstatymo 17 straipsnio 1 dalyje įtvirtintus skaidrumo, lygiateisiškumo ir nediskriminavimo principus</w:t>
            </w:r>
            <w:r w:rsidR="00AB194C" w:rsidRPr="004953BB">
              <w:rPr>
                <w:b/>
                <w:bCs/>
                <w:sz w:val="24"/>
                <w:szCs w:val="24"/>
              </w:rPr>
              <w:t xml:space="preserve"> bei </w:t>
            </w:r>
            <w:r w:rsidR="00FE2AEF" w:rsidRPr="004953BB">
              <w:rPr>
                <w:b/>
                <w:bCs/>
                <w:sz w:val="24"/>
                <w:szCs w:val="24"/>
              </w:rPr>
              <w:t>Į</w:t>
            </w:r>
            <w:r w:rsidR="00AB194C" w:rsidRPr="004953BB">
              <w:rPr>
                <w:b/>
                <w:bCs/>
                <w:sz w:val="24"/>
                <w:szCs w:val="24"/>
              </w:rPr>
              <w:t>statymo 17 straipsnio 2 dalies 1 punkte nustatytą pirkimo tikslą.</w:t>
            </w:r>
          </w:p>
          <w:p w14:paraId="18D70287" w14:textId="18209231" w:rsidR="004953BB" w:rsidRPr="0080489F" w:rsidRDefault="004953BB" w:rsidP="00591750">
            <w:pPr>
              <w:ind w:firstLine="599"/>
              <w:jc w:val="both"/>
              <w:rPr>
                <w:sz w:val="24"/>
                <w:szCs w:val="24"/>
              </w:rPr>
            </w:pPr>
            <w:r w:rsidRPr="004953BB">
              <w:rPr>
                <w:sz w:val="24"/>
                <w:szCs w:val="24"/>
              </w:rPr>
              <w:t>Siekiant išvengti techninių specifikacijų pritaikymo vienam konkrečiam gamintojui, ir užtikrinti tiekėjų konkurenciją, bei atsižvelgiant į tai, kad dabartiniai krešėjimo analizatoriai (ypač tie, kurie dirba optiniu krešulio nustatymo metodu) geba atlikti hemolizės, ikterijos ir lipemijos įvertinimą, o pritaikius specialius algoritmus, kartu su tyrimo (PL, ADTL ar kt.) rezultatais – pateikti pastabą dėl galimos interferencijos reikšmingumo, techninėse specifikacijose reikalavimas analizatoriams galėtų būti formuluojamas taip, pavyzdžiui: „Siūlomi analizatoriai turi gebėti įvertinti tiriamos citruotos plazmos hemolizės, lipemijos ir ikterijos lygmenį bei pateikti išvadą dėl hemolizės, ikterijos ir lipemijos reikšmingumo rezultatams, jeigu siūlomo prietaiso krešulio nustatymo principas yra optinis. Pastaba: reikalavimas netaikomas, jeigu siūlomo prietaiso krešulio detekcijos principas yra mechaninis“.</w:t>
            </w:r>
          </w:p>
        </w:tc>
      </w:tr>
    </w:tbl>
    <w:p w14:paraId="192814C7" w14:textId="77777777" w:rsidR="007F4A56" w:rsidRPr="00C77C45" w:rsidRDefault="007F4A56" w:rsidP="00F75F71">
      <w:pPr>
        <w:ind w:left="-113"/>
        <w:jc w:val="center"/>
        <w:rPr>
          <w:b/>
          <w:sz w:val="24"/>
          <w:szCs w:val="24"/>
        </w:rPr>
      </w:pPr>
    </w:p>
    <w:p w14:paraId="31B1DB01" w14:textId="77777777" w:rsidR="007F4A56" w:rsidRPr="00C77C45" w:rsidRDefault="007F4A56" w:rsidP="00F75F71">
      <w:pPr>
        <w:ind w:left="-113"/>
        <w:jc w:val="center"/>
        <w:rPr>
          <w:b/>
          <w:color w:val="000000"/>
          <w:sz w:val="24"/>
          <w:szCs w:val="24"/>
          <w:lang w:eastAsia="lt-LT"/>
        </w:rPr>
      </w:pPr>
      <w:r w:rsidRPr="00C77C45">
        <w:rPr>
          <w:b/>
          <w:sz w:val="24"/>
          <w:szCs w:val="24"/>
        </w:rPr>
        <w:t xml:space="preserve">III dalis. </w:t>
      </w:r>
      <w:r w:rsidRPr="00C77C45">
        <w:rPr>
          <w:b/>
          <w:color w:val="000000"/>
          <w:sz w:val="24"/>
          <w:szCs w:val="24"/>
          <w:lang w:eastAsia="lt-LT"/>
        </w:rPr>
        <w:t>Kiti nustatyti pažeidimai</w:t>
      </w:r>
    </w:p>
    <w:p w14:paraId="0F2B7E7F" w14:textId="77777777" w:rsidR="007F4A56" w:rsidRPr="00C77C45" w:rsidRDefault="007F4A56" w:rsidP="00F75F71">
      <w:pPr>
        <w:ind w:left="-113"/>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7F4A56" w:rsidRPr="00C77C45" w14:paraId="4249CA66" w14:textId="77777777" w:rsidTr="00337B9A">
        <w:tc>
          <w:tcPr>
            <w:tcW w:w="756" w:type="dxa"/>
            <w:tcBorders>
              <w:top w:val="single" w:sz="4" w:space="0" w:color="auto"/>
              <w:left w:val="single" w:sz="4" w:space="0" w:color="auto"/>
              <w:bottom w:val="single" w:sz="4" w:space="0" w:color="auto"/>
              <w:right w:val="single" w:sz="4" w:space="0" w:color="auto"/>
            </w:tcBorders>
            <w:shd w:val="clear" w:color="auto" w:fill="auto"/>
          </w:tcPr>
          <w:p w14:paraId="12A08C68" w14:textId="77777777" w:rsidR="007F4A56" w:rsidRPr="00C77C45" w:rsidRDefault="007F4A56" w:rsidP="00F75F71">
            <w:pPr>
              <w:jc w:val="center"/>
              <w:rPr>
                <w:sz w:val="24"/>
                <w:szCs w:val="24"/>
              </w:rPr>
            </w:pPr>
            <w:bookmarkStart w:id="2" w:name="_Hlk356651"/>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34372316" w14:textId="77777777" w:rsidR="007F4A56" w:rsidRPr="00C77C45" w:rsidRDefault="007F4A56" w:rsidP="00F75F71">
            <w:pPr>
              <w:ind w:left="-113"/>
              <w:jc w:val="both"/>
              <w:rPr>
                <w:sz w:val="24"/>
                <w:szCs w:val="24"/>
              </w:rPr>
            </w:pPr>
          </w:p>
        </w:tc>
      </w:tr>
      <w:bookmarkEnd w:id="2"/>
      <w:tr w:rsidR="007F4A56" w:rsidRPr="00C77C45" w14:paraId="5E1D7002" w14:textId="77777777" w:rsidTr="004652F1">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23E688DE" w14:textId="70ABBD69" w:rsidR="007F4A56" w:rsidRPr="00C77C45" w:rsidRDefault="004652F1" w:rsidP="00F0308B">
            <w:pPr>
              <w:tabs>
                <w:tab w:val="left" w:pos="993"/>
              </w:tabs>
              <w:ind w:right="49" w:firstLine="589"/>
              <w:jc w:val="both"/>
              <w:rPr>
                <w:rFonts w:eastAsia="Calibri"/>
                <w:sz w:val="24"/>
                <w:szCs w:val="24"/>
              </w:rPr>
            </w:pPr>
            <w:r>
              <w:rPr>
                <w:rFonts w:eastAsia="Calibri"/>
                <w:sz w:val="24"/>
                <w:szCs w:val="24"/>
              </w:rPr>
              <w:t>-</w:t>
            </w:r>
            <w:r w:rsidR="00F0308B" w:rsidRPr="00F0308B">
              <w:rPr>
                <w:sz w:val="24"/>
                <w:szCs w:val="24"/>
              </w:rPr>
              <w:t xml:space="preserve"> </w:t>
            </w:r>
          </w:p>
        </w:tc>
      </w:tr>
    </w:tbl>
    <w:p w14:paraId="2A5EE1E2" w14:textId="77777777" w:rsidR="007F4A56" w:rsidRPr="00C77C45" w:rsidRDefault="007F4A56" w:rsidP="00F75F71">
      <w:pPr>
        <w:jc w:val="center"/>
        <w:rPr>
          <w:b/>
          <w:sz w:val="24"/>
          <w:szCs w:val="24"/>
        </w:rPr>
      </w:pPr>
    </w:p>
    <w:p w14:paraId="150C56D3" w14:textId="77777777" w:rsidR="007F4A56" w:rsidRPr="00C77C45" w:rsidRDefault="007F4A56" w:rsidP="00F75F71">
      <w:pPr>
        <w:jc w:val="center"/>
        <w:rPr>
          <w:b/>
          <w:sz w:val="24"/>
          <w:szCs w:val="24"/>
        </w:rPr>
      </w:pPr>
      <w:r w:rsidRPr="00C77C45">
        <w:rPr>
          <w:b/>
          <w:sz w:val="24"/>
          <w:szCs w:val="24"/>
        </w:rPr>
        <w:t>IV dalis. Sprendimas</w:t>
      </w:r>
    </w:p>
    <w:p w14:paraId="156B8737" w14:textId="77777777" w:rsidR="007F4A56" w:rsidRPr="00C77C45" w:rsidRDefault="007F4A56" w:rsidP="00F75F71">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F4A56" w:rsidRPr="00C77C45" w14:paraId="189A8C1E" w14:textId="77777777" w:rsidTr="00CE7340">
        <w:tc>
          <w:tcPr>
            <w:tcW w:w="9776" w:type="dxa"/>
            <w:tcBorders>
              <w:top w:val="single" w:sz="4" w:space="0" w:color="auto"/>
              <w:left w:val="single" w:sz="4" w:space="0" w:color="auto"/>
              <w:bottom w:val="single" w:sz="4" w:space="0" w:color="auto"/>
              <w:right w:val="single" w:sz="4" w:space="0" w:color="auto"/>
            </w:tcBorders>
            <w:shd w:val="clear" w:color="auto" w:fill="auto"/>
          </w:tcPr>
          <w:p w14:paraId="557810FA" w14:textId="77777777" w:rsidR="00385D0A" w:rsidRDefault="00E41D4E" w:rsidP="00385D0A">
            <w:pPr>
              <w:ind w:firstLine="589"/>
              <w:jc w:val="both"/>
              <w:rPr>
                <w:rFonts w:eastAsia="Calibri"/>
                <w:sz w:val="24"/>
                <w:szCs w:val="24"/>
              </w:rPr>
            </w:pPr>
            <w:r>
              <w:rPr>
                <w:rFonts w:eastAsia="Calibri"/>
                <w:sz w:val="24"/>
                <w:szCs w:val="24"/>
              </w:rPr>
              <w:t xml:space="preserve">Tarnyba, atsižvelgdama į Įstatymo pažeidimus, nustatytus šios vertinimo išvados II dalyje, ir, vadovaudamasi </w:t>
            </w:r>
            <w:r w:rsidR="00556F08" w:rsidRPr="00C77C45">
              <w:rPr>
                <w:rFonts w:eastAsia="Calibri"/>
                <w:sz w:val="24"/>
                <w:szCs w:val="24"/>
              </w:rPr>
              <w:t xml:space="preserve">Įstatymo </w:t>
            </w:r>
            <w:r>
              <w:rPr>
                <w:rFonts w:eastAsia="Calibri"/>
                <w:sz w:val="24"/>
                <w:szCs w:val="24"/>
              </w:rPr>
              <w:t>95</w:t>
            </w:r>
            <w:r w:rsidR="00556F08" w:rsidRPr="00C77C45">
              <w:rPr>
                <w:rFonts w:eastAsia="Calibri"/>
                <w:sz w:val="24"/>
                <w:szCs w:val="24"/>
              </w:rPr>
              <w:t xml:space="preserve"> straipsnio </w:t>
            </w:r>
            <w:r>
              <w:rPr>
                <w:rFonts w:eastAsia="Calibri"/>
                <w:sz w:val="24"/>
                <w:szCs w:val="24"/>
              </w:rPr>
              <w:t>2</w:t>
            </w:r>
            <w:r w:rsidR="00556F08" w:rsidRPr="00C77C45">
              <w:rPr>
                <w:rFonts w:eastAsia="Calibri"/>
                <w:sz w:val="24"/>
                <w:szCs w:val="24"/>
              </w:rPr>
              <w:t xml:space="preserve"> </w:t>
            </w:r>
            <w:r w:rsidR="00A44E5E" w:rsidRPr="00C77C45">
              <w:rPr>
                <w:rFonts w:eastAsia="Calibri"/>
                <w:sz w:val="24"/>
                <w:szCs w:val="24"/>
              </w:rPr>
              <w:t>dal</w:t>
            </w:r>
            <w:r>
              <w:rPr>
                <w:rFonts w:eastAsia="Calibri"/>
                <w:sz w:val="24"/>
                <w:szCs w:val="24"/>
              </w:rPr>
              <w:t xml:space="preserve">ies 5 punktu, </w:t>
            </w:r>
            <w:r w:rsidRPr="00C77C45">
              <w:rPr>
                <w:rFonts w:eastAsia="Calibri"/>
                <w:b/>
                <w:sz w:val="24"/>
                <w:szCs w:val="24"/>
              </w:rPr>
              <w:t>įpareigoja</w:t>
            </w:r>
            <w:r>
              <w:rPr>
                <w:rFonts w:eastAsia="Calibri"/>
                <w:b/>
                <w:sz w:val="24"/>
                <w:szCs w:val="24"/>
              </w:rPr>
              <w:t xml:space="preserve"> </w:t>
            </w:r>
            <w:r>
              <w:rPr>
                <w:rFonts w:eastAsia="Calibri"/>
                <w:sz w:val="24"/>
                <w:szCs w:val="24"/>
              </w:rPr>
              <w:t>Perkančiąją organizaciją</w:t>
            </w:r>
            <w:r w:rsidR="00385D0A">
              <w:rPr>
                <w:rFonts w:eastAsia="Calibri"/>
                <w:sz w:val="24"/>
                <w:szCs w:val="24"/>
              </w:rPr>
              <w:t>:</w:t>
            </w:r>
          </w:p>
          <w:p w14:paraId="592F030C" w14:textId="3A3A3FC9" w:rsidR="00DC740F" w:rsidRDefault="00385D0A" w:rsidP="00385D0A">
            <w:pPr>
              <w:ind w:firstLine="589"/>
              <w:jc w:val="both"/>
              <w:rPr>
                <w:rFonts w:eastAsia="Calibri"/>
                <w:sz w:val="24"/>
                <w:szCs w:val="24"/>
              </w:rPr>
            </w:pPr>
            <w:r>
              <w:rPr>
                <w:rFonts w:eastAsia="Calibri"/>
                <w:sz w:val="24"/>
                <w:szCs w:val="24"/>
              </w:rPr>
              <w:t xml:space="preserve">1. </w:t>
            </w:r>
            <w:r w:rsidR="00DC740F">
              <w:rPr>
                <w:rFonts w:eastAsia="Calibri"/>
                <w:sz w:val="24"/>
                <w:szCs w:val="24"/>
              </w:rPr>
              <w:t>nutraukti supaprastinto atviro konkurso pirkimo procedūras</w:t>
            </w:r>
            <w:r>
              <w:rPr>
                <w:rFonts w:eastAsia="Calibri"/>
                <w:sz w:val="24"/>
                <w:szCs w:val="24"/>
              </w:rPr>
              <w:t>;</w:t>
            </w:r>
          </w:p>
          <w:p w14:paraId="66527D3C" w14:textId="2D9C59BE" w:rsidR="00385D0A" w:rsidRDefault="00385D0A" w:rsidP="00DC740F">
            <w:pPr>
              <w:ind w:firstLine="589"/>
              <w:jc w:val="both"/>
              <w:rPr>
                <w:rFonts w:eastAsia="Calibri"/>
                <w:sz w:val="24"/>
                <w:szCs w:val="24"/>
              </w:rPr>
            </w:pPr>
            <w:r>
              <w:rPr>
                <w:rFonts w:eastAsia="Calibri"/>
                <w:sz w:val="24"/>
                <w:szCs w:val="24"/>
              </w:rPr>
              <w:t>2. per 21 d. d. raštu informuoti Tarnybą apie įpareigojimo įvykdymą, pateikiant tai pagrindžiančius dokumentus.</w:t>
            </w:r>
          </w:p>
          <w:p w14:paraId="7B94DACB" w14:textId="77777777" w:rsidR="007F4A56" w:rsidRPr="00C77C45" w:rsidRDefault="00DC740F" w:rsidP="00DC740F">
            <w:pPr>
              <w:ind w:firstLine="589"/>
              <w:jc w:val="both"/>
              <w:rPr>
                <w:rFonts w:eastAsia="Calibri"/>
                <w:sz w:val="24"/>
                <w:szCs w:val="24"/>
              </w:rPr>
            </w:pPr>
            <w:r>
              <w:rPr>
                <w:rFonts w:eastAsia="Calibri"/>
                <w:sz w:val="24"/>
                <w:szCs w:val="24"/>
              </w:rPr>
              <w:t>V</w:t>
            </w:r>
            <w:r w:rsidR="00B35B08" w:rsidRPr="00C77C45">
              <w:rPr>
                <w:rFonts w:eastAsia="Calibri"/>
                <w:sz w:val="24"/>
                <w:szCs w:val="24"/>
              </w:rPr>
              <w:t xml:space="preserve">adovaujantis Lietuvos Respublikos administracinių bylų teisenos įstatymo 5 ir </w:t>
            </w:r>
            <w:r w:rsidR="00104980">
              <w:rPr>
                <w:rFonts w:eastAsia="Calibri"/>
                <w:sz w:val="24"/>
                <w:szCs w:val="24"/>
              </w:rPr>
              <w:t xml:space="preserve">                                  </w:t>
            </w:r>
            <w:r w:rsidR="00B35B08" w:rsidRPr="00C77C45">
              <w:rPr>
                <w:rFonts w:eastAsia="Calibri"/>
                <w:sz w:val="24"/>
                <w:szCs w:val="24"/>
              </w:rPr>
              <w:t>17 straipsniais, nesutikę su vertinimo išvada, galite ją apskųsti teismui šio įstatymo nustatyta tvarka.</w:t>
            </w:r>
          </w:p>
        </w:tc>
      </w:tr>
    </w:tbl>
    <w:p w14:paraId="7BFE23CD" w14:textId="77777777" w:rsidR="007F4A56" w:rsidRPr="00BB27D9" w:rsidRDefault="007F4A56" w:rsidP="00F75F71">
      <w:r w:rsidRPr="00BB27D9">
        <w:rPr>
          <w:b/>
        </w:rPr>
        <w:t>**</w:t>
      </w:r>
      <w:r w:rsidRPr="00BB27D9">
        <w:t>kiekvieno pirkimo/sutarties vertinimas aprašomas atskirai</w:t>
      </w:r>
    </w:p>
    <w:p w14:paraId="0D3502FB" w14:textId="77777777" w:rsidR="007F4A56" w:rsidRPr="00C77C45" w:rsidRDefault="007F4A56" w:rsidP="00F75F71">
      <w:pPr>
        <w:jc w:val="center"/>
        <w:rPr>
          <w:b/>
          <w:sz w:val="24"/>
          <w:szCs w:val="24"/>
        </w:rPr>
      </w:pPr>
      <w:r w:rsidRPr="00C77C45">
        <w:rPr>
          <w:b/>
          <w:sz w:val="24"/>
          <w:szCs w:val="24"/>
        </w:rPr>
        <w:lastRenderedPageBreak/>
        <w:t>Pastabos</w:t>
      </w:r>
    </w:p>
    <w:p w14:paraId="45C01D77" w14:textId="77777777" w:rsidR="00884B39" w:rsidRPr="00C77C45" w:rsidRDefault="00884B39" w:rsidP="00F75F71">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884B39" w:rsidRPr="00C77C45" w14:paraId="2C5F1BCC" w14:textId="77777777" w:rsidTr="00884B39">
        <w:tc>
          <w:tcPr>
            <w:tcW w:w="756" w:type="dxa"/>
            <w:tcBorders>
              <w:top w:val="single" w:sz="4" w:space="0" w:color="auto"/>
              <w:left w:val="single" w:sz="4" w:space="0" w:color="auto"/>
              <w:bottom w:val="single" w:sz="4" w:space="0" w:color="auto"/>
              <w:right w:val="single" w:sz="4" w:space="0" w:color="auto"/>
            </w:tcBorders>
            <w:shd w:val="clear" w:color="auto" w:fill="auto"/>
          </w:tcPr>
          <w:p w14:paraId="7637469A" w14:textId="77777777" w:rsidR="00884B39" w:rsidRPr="00C77C45" w:rsidRDefault="00884B39" w:rsidP="00884B39">
            <w:pPr>
              <w:jc w:val="center"/>
              <w:rPr>
                <w:sz w:val="24"/>
                <w:szCs w:val="24"/>
              </w:rPr>
            </w:pPr>
            <w:bookmarkStart w:id="3" w:name="_Hlk356675"/>
            <w:r w:rsidRPr="00C77C45">
              <w:rPr>
                <w:sz w:val="24"/>
                <w:szCs w:val="24"/>
              </w:rPr>
              <w:t>1.</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419C831F" w14:textId="57582B36" w:rsidR="00884B39" w:rsidRPr="00C77C45" w:rsidRDefault="00884B39" w:rsidP="0080489F">
            <w:pPr>
              <w:rPr>
                <w:sz w:val="24"/>
                <w:szCs w:val="24"/>
              </w:rPr>
            </w:pPr>
          </w:p>
        </w:tc>
      </w:tr>
      <w:bookmarkEnd w:id="3"/>
      <w:tr w:rsidR="004953BB" w:rsidRPr="00C77C45" w14:paraId="53D9BFF8" w14:textId="77777777" w:rsidTr="00387455">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397157" w14:textId="4892A201" w:rsidR="006A3087" w:rsidRPr="006A3087" w:rsidRDefault="006A3087" w:rsidP="006A3087">
            <w:pPr>
              <w:ind w:firstLine="589"/>
              <w:jc w:val="both"/>
              <w:rPr>
                <w:rFonts w:eastAsia="Calibri"/>
                <w:b/>
                <w:i/>
                <w:iCs/>
                <w:sz w:val="24"/>
                <w:szCs w:val="24"/>
              </w:rPr>
            </w:pPr>
            <w:r w:rsidRPr="006A3087">
              <w:rPr>
                <w:rFonts w:eastAsia="Calibri"/>
                <w:b/>
                <w:bCs/>
                <w:i/>
                <w:iCs/>
                <w:sz w:val="24"/>
                <w:szCs w:val="24"/>
              </w:rPr>
              <w:t xml:space="preserve">Dėl tyrimo pavadinimo nurodymo Pirkimo sąlygose </w:t>
            </w:r>
          </w:p>
          <w:p w14:paraId="218FE73F" w14:textId="6C8E193B" w:rsidR="004953BB" w:rsidRPr="006A3087" w:rsidRDefault="004953BB" w:rsidP="001B364E">
            <w:pPr>
              <w:ind w:firstLine="589"/>
              <w:jc w:val="both"/>
              <w:rPr>
                <w:rFonts w:eastAsia="Calibri"/>
                <w:b/>
                <w:i/>
                <w:iCs/>
                <w:sz w:val="24"/>
                <w:szCs w:val="24"/>
              </w:rPr>
            </w:pPr>
            <w:r w:rsidRPr="00C14B18">
              <w:rPr>
                <w:rFonts w:eastAsia="Calibri"/>
                <w:bCs/>
                <w:sz w:val="24"/>
                <w:szCs w:val="24"/>
              </w:rPr>
              <w:t>Techninėje specifikacijoje</w:t>
            </w:r>
            <w:r w:rsidR="004F5890">
              <w:rPr>
                <w:rStyle w:val="FootnoteReference"/>
                <w:rFonts w:eastAsia="Calibri"/>
                <w:bCs/>
                <w:sz w:val="24"/>
                <w:szCs w:val="24"/>
              </w:rPr>
              <w:footnoteReference w:id="15"/>
            </w:r>
            <w:r>
              <w:rPr>
                <w:rFonts w:eastAsia="Calibri"/>
                <w:bCs/>
                <w:sz w:val="24"/>
                <w:szCs w:val="24"/>
              </w:rPr>
              <w:t xml:space="preserve"> nurodyta, kad bus atliekamas </w:t>
            </w:r>
            <w:r w:rsidRPr="00C14B18">
              <w:rPr>
                <w:rFonts w:eastAsia="Calibri"/>
                <w:bCs/>
                <w:sz w:val="24"/>
                <w:szCs w:val="24"/>
              </w:rPr>
              <w:t>protrombino komplekso tyrimas</w:t>
            </w:r>
            <w:r w:rsidR="004F5890">
              <w:rPr>
                <w:rFonts w:eastAsia="Calibri"/>
                <w:bCs/>
                <w:sz w:val="24"/>
                <w:szCs w:val="24"/>
              </w:rPr>
              <w:t xml:space="preserve"> (</w:t>
            </w:r>
            <w:r w:rsidR="004F5890" w:rsidRPr="004F5890">
              <w:rPr>
                <w:rFonts w:eastAsia="Calibri"/>
                <w:bCs/>
                <w:sz w:val="24"/>
                <w:szCs w:val="24"/>
              </w:rPr>
              <w:t>„Protrombino komplekso (PK) II-VII-X faktorių aktyvumo (ir TNS) tyrimas“</w:t>
            </w:r>
            <w:r w:rsidR="004F5890">
              <w:rPr>
                <w:rFonts w:eastAsia="Calibri"/>
                <w:bCs/>
                <w:sz w:val="24"/>
                <w:szCs w:val="24"/>
              </w:rPr>
              <w:t>)</w:t>
            </w:r>
            <w:r>
              <w:rPr>
                <w:rFonts w:eastAsia="Calibri"/>
                <w:bCs/>
                <w:sz w:val="24"/>
                <w:szCs w:val="24"/>
              </w:rPr>
              <w:t xml:space="preserve">, tačiau </w:t>
            </w:r>
            <w:r w:rsidRPr="00594394">
              <w:rPr>
                <w:rFonts w:eastAsia="Calibri"/>
                <w:bCs/>
                <w:sz w:val="24"/>
                <w:szCs w:val="24"/>
              </w:rPr>
              <w:t xml:space="preserve">protrombino komplekso tyrimas tarptautiniuose medicinos terminų klasifikatoriuose (LOINC arba SNOMED), taip pat galiojančio Lietuvos Respublikos Sveikatos apsaugos ministerijos 2012-01-12 įsakymo </w:t>
            </w:r>
            <w:r w:rsidR="004F5890">
              <w:rPr>
                <w:rFonts w:eastAsia="Calibri"/>
                <w:bCs/>
                <w:sz w:val="24"/>
                <w:szCs w:val="24"/>
              </w:rPr>
              <w:t xml:space="preserve">              </w:t>
            </w:r>
            <w:r w:rsidRPr="00594394">
              <w:rPr>
                <w:rFonts w:eastAsia="Calibri"/>
                <w:bCs/>
                <w:sz w:val="24"/>
                <w:szCs w:val="24"/>
              </w:rPr>
              <w:t xml:space="preserve">Nr. V-17 „Dėl klinikinių laboratorinių tyrimų kokybės gerinimo programos patvirtinimo“ priedo </w:t>
            </w:r>
            <w:r w:rsidR="004F5890">
              <w:rPr>
                <w:rFonts w:eastAsia="Calibri"/>
                <w:bCs/>
                <w:sz w:val="24"/>
                <w:szCs w:val="24"/>
              </w:rPr>
              <w:t xml:space="preserve">           </w:t>
            </w:r>
            <w:r w:rsidRPr="00594394">
              <w:rPr>
                <w:rFonts w:eastAsia="Calibri"/>
                <w:bCs/>
                <w:sz w:val="24"/>
                <w:szCs w:val="24"/>
              </w:rPr>
              <w:t xml:space="preserve">Nr. 2 „Asmens sveikatos priežiūros įstaigų laboratoriniai tyrimai“ lentelėje </w:t>
            </w:r>
            <w:r>
              <w:rPr>
                <w:rFonts w:eastAsia="Calibri"/>
                <w:bCs/>
                <w:sz w:val="24"/>
                <w:szCs w:val="24"/>
              </w:rPr>
              <w:t xml:space="preserve">yra </w:t>
            </w:r>
            <w:r w:rsidRPr="00594394">
              <w:rPr>
                <w:rFonts w:eastAsia="Calibri"/>
                <w:bCs/>
                <w:sz w:val="24"/>
                <w:szCs w:val="24"/>
              </w:rPr>
              <w:t>įvardijamas kaip protrombino laiko</w:t>
            </w:r>
            <w:r w:rsidRPr="00594394">
              <w:rPr>
                <w:rFonts w:eastAsia="Calibri"/>
                <w:bCs/>
                <w:sz w:val="24"/>
                <w:szCs w:val="24"/>
                <w:vertAlign w:val="superscript"/>
              </w:rPr>
              <w:footnoteReference w:id="16"/>
            </w:r>
            <w:r w:rsidRPr="00594394">
              <w:rPr>
                <w:rFonts w:eastAsia="Calibri"/>
                <w:bCs/>
                <w:sz w:val="24"/>
                <w:szCs w:val="24"/>
              </w:rPr>
              <w:t xml:space="preserve"> (PL) tyrimas. </w:t>
            </w:r>
            <w:r>
              <w:rPr>
                <w:rFonts w:eastAsia="Calibri"/>
                <w:bCs/>
                <w:sz w:val="24"/>
                <w:szCs w:val="24"/>
              </w:rPr>
              <w:t xml:space="preserve">Protrombino komplekso tyrimo </w:t>
            </w:r>
            <w:r w:rsidRPr="00880696">
              <w:rPr>
                <w:rFonts w:eastAsia="Calibri"/>
                <w:bCs/>
                <w:sz w:val="24"/>
                <w:szCs w:val="24"/>
              </w:rPr>
              <w:t>pavadinim</w:t>
            </w:r>
            <w:r>
              <w:rPr>
                <w:rFonts w:eastAsia="Calibri"/>
                <w:bCs/>
                <w:sz w:val="24"/>
                <w:szCs w:val="24"/>
              </w:rPr>
              <w:t>as</w:t>
            </w:r>
            <w:r w:rsidRPr="00880696">
              <w:rPr>
                <w:rFonts w:eastAsia="Calibri"/>
                <w:bCs/>
                <w:sz w:val="24"/>
                <w:szCs w:val="24"/>
              </w:rPr>
              <w:t xml:space="preserve"> </w:t>
            </w:r>
            <w:r>
              <w:rPr>
                <w:rFonts w:eastAsia="Calibri"/>
                <w:bCs/>
                <w:sz w:val="24"/>
                <w:szCs w:val="24"/>
              </w:rPr>
              <w:t xml:space="preserve">būdingas konkretaus </w:t>
            </w:r>
            <w:r w:rsidRPr="000D7EE6">
              <w:rPr>
                <w:rFonts w:eastAsia="Calibri"/>
                <w:bCs/>
                <w:sz w:val="24"/>
                <w:szCs w:val="24"/>
              </w:rPr>
              <w:t>gamintoj</w:t>
            </w:r>
            <w:r>
              <w:rPr>
                <w:rFonts w:eastAsia="Calibri"/>
                <w:bCs/>
                <w:sz w:val="24"/>
                <w:szCs w:val="24"/>
              </w:rPr>
              <w:t>o (</w:t>
            </w:r>
            <w:r w:rsidRPr="000D7EE6">
              <w:rPr>
                <w:rFonts w:eastAsia="Calibri"/>
                <w:bCs/>
                <w:sz w:val="24"/>
                <w:szCs w:val="24"/>
              </w:rPr>
              <w:t>Stago</w:t>
            </w:r>
            <w:r>
              <w:rPr>
                <w:rFonts w:eastAsia="Calibri"/>
                <w:bCs/>
                <w:sz w:val="24"/>
                <w:szCs w:val="24"/>
              </w:rPr>
              <w:t xml:space="preserve">) produkcijai. Šio pavadinimo įtvirtinimui Pirkimo sąlygose galėjo turėti įtakos 2010 m. patvirtintos gydymo vitamino K antagonistais stebėsenos gairės, kuriose Owren metodas buvo pripažintas standartu, t. y. vieninteliu tinkamu metodu </w:t>
            </w:r>
            <w:r w:rsidRPr="00B26A0A">
              <w:rPr>
                <w:rFonts w:eastAsia="Calibri"/>
                <w:bCs/>
                <w:sz w:val="24"/>
                <w:szCs w:val="24"/>
              </w:rPr>
              <w:t xml:space="preserve">vitamino K antagonistais </w:t>
            </w:r>
            <w:r>
              <w:rPr>
                <w:rFonts w:eastAsia="Calibri"/>
                <w:bCs/>
                <w:sz w:val="24"/>
                <w:szCs w:val="24"/>
              </w:rPr>
              <w:t>terapijos kontrolei, o taip pat ir Lietuvos Respublikos poįstatyminiai aktai</w:t>
            </w:r>
            <w:r>
              <w:rPr>
                <w:rStyle w:val="FootnoteReference"/>
                <w:rFonts w:eastAsia="Calibri"/>
                <w:bCs/>
                <w:sz w:val="24"/>
                <w:szCs w:val="24"/>
              </w:rPr>
              <w:footnoteReference w:id="17"/>
            </w:r>
            <w:r w:rsidRPr="00AD009C">
              <w:rPr>
                <w:rFonts w:eastAsia="Calibri"/>
                <w:bCs/>
                <w:sz w:val="24"/>
                <w:szCs w:val="24"/>
              </w:rPr>
              <w:t xml:space="preserve">, kuriuose protrombino aktyvumo/laiko (INR) tyrimas apibūdinamas konkretaus gamintojo reagentų pavadinimu (SPA/INR). SPA yra </w:t>
            </w:r>
            <w:r>
              <w:rPr>
                <w:rFonts w:eastAsia="Calibri"/>
                <w:bCs/>
                <w:sz w:val="24"/>
                <w:szCs w:val="24"/>
              </w:rPr>
              <w:t xml:space="preserve">gamintojo </w:t>
            </w:r>
            <w:r w:rsidRPr="00AD009C">
              <w:rPr>
                <w:rFonts w:eastAsia="Calibri"/>
                <w:bCs/>
                <w:sz w:val="24"/>
                <w:szCs w:val="24"/>
              </w:rPr>
              <w:t>Stago gaminamų reagentų komercinis pavadinimas</w:t>
            </w:r>
            <w:r>
              <w:rPr>
                <w:rFonts w:eastAsia="Calibri"/>
                <w:bCs/>
                <w:sz w:val="24"/>
                <w:szCs w:val="24"/>
              </w:rPr>
              <w:t xml:space="preserve"> (</w:t>
            </w:r>
            <w:r w:rsidRPr="00AD009C">
              <w:rPr>
                <w:rFonts w:eastAsia="Calibri"/>
                <w:bCs/>
                <w:sz w:val="24"/>
                <w:szCs w:val="24"/>
              </w:rPr>
              <w:t>trumpinys</w:t>
            </w:r>
            <w:r>
              <w:rPr>
                <w:rFonts w:eastAsia="Calibri"/>
                <w:bCs/>
                <w:sz w:val="24"/>
                <w:szCs w:val="24"/>
              </w:rPr>
              <w:t>)</w:t>
            </w:r>
            <w:r w:rsidRPr="00AD009C">
              <w:rPr>
                <w:rFonts w:eastAsia="Calibri"/>
                <w:bCs/>
                <w:sz w:val="24"/>
                <w:szCs w:val="24"/>
              </w:rPr>
              <w:t>. Šiais reagentais protrombino aktyvumo/laiko (INR) tyrimai Stago prietaisais yra atliekami Owren metodu</w:t>
            </w:r>
            <w:r>
              <w:rPr>
                <w:rFonts w:eastAsia="Calibri"/>
                <w:bCs/>
                <w:sz w:val="24"/>
                <w:szCs w:val="24"/>
              </w:rPr>
              <w:t>.</w:t>
            </w:r>
            <w:r w:rsidR="001B364E">
              <w:rPr>
                <w:rFonts w:eastAsia="Calibri"/>
                <w:bCs/>
                <w:sz w:val="24"/>
                <w:szCs w:val="24"/>
              </w:rPr>
              <w:t xml:space="preserve"> </w:t>
            </w:r>
            <w:r w:rsidR="00A15155">
              <w:rPr>
                <w:rFonts w:eastAsia="Calibri"/>
                <w:bCs/>
                <w:sz w:val="24"/>
                <w:szCs w:val="24"/>
              </w:rPr>
              <w:t xml:space="preserve">Taigi, poįstatyminiuose aktuose įtvirtinti reikalavimai sudaro prielaidas gydymo įstaigoms Lietuvoje PL tyrimus atlikti naudojant konkretų Owren metodą. </w:t>
            </w:r>
            <w:r>
              <w:rPr>
                <w:rFonts w:eastAsia="Calibri"/>
                <w:bCs/>
                <w:sz w:val="24"/>
                <w:szCs w:val="24"/>
              </w:rPr>
              <w:t xml:space="preserve">Atsižvelgiant į tai, kas išdėstyta, </w:t>
            </w:r>
            <w:r w:rsidR="001B364E" w:rsidRPr="006A3087">
              <w:rPr>
                <w:rFonts w:eastAsia="Calibri"/>
                <w:b/>
                <w:i/>
                <w:iCs/>
                <w:sz w:val="24"/>
                <w:szCs w:val="24"/>
              </w:rPr>
              <w:t xml:space="preserve">organizuojant kitus pirkimus, </w:t>
            </w:r>
            <w:r w:rsidRPr="006A3087">
              <w:rPr>
                <w:rFonts w:eastAsia="Calibri"/>
                <w:b/>
                <w:i/>
                <w:iCs/>
                <w:sz w:val="24"/>
                <w:szCs w:val="24"/>
              </w:rPr>
              <w:t xml:space="preserve">tyrimo pavadinimas turėtų būti koreguojamas. </w:t>
            </w:r>
          </w:p>
          <w:p w14:paraId="28A72099" w14:textId="3737FA96" w:rsidR="004953BB" w:rsidRPr="006A3087" w:rsidRDefault="001B364E" w:rsidP="004953BB">
            <w:pPr>
              <w:ind w:firstLine="589"/>
              <w:jc w:val="both"/>
              <w:rPr>
                <w:rFonts w:eastAsia="Calibri"/>
                <w:b/>
                <w:i/>
                <w:iCs/>
                <w:sz w:val="24"/>
                <w:szCs w:val="24"/>
              </w:rPr>
            </w:pPr>
            <w:r w:rsidRPr="006A3087">
              <w:rPr>
                <w:rFonts w:eastAsia="Calibri"/>
                <w:b/>
                <w:i/>
                <w:iCs/>
                <w:sz w:val="24"/>
                <w:szCs w:val="24"/>
              </w:rPr>
              <w:t>Dėl tyrimo metodų pasirinkimo</w:t>
            </w:r>
          </w:p>
          <w:p w14:paraId="2E9A56B7" w14:textId="3C5DEC8F" w:rsidR="004953BB" w:rsidRDefault="001B364E" w:rsidP="004953BB">
            <w:pPr>
              <w:ind w:firstLine="589"/>
              <w:jc w:val="both"/>
              <w:rPr>
                <w:rFonts w:eastAsia="Calibri"/>
                <w:bCs/>
                <w:sz w:val="24"/>
                <w:szCs w:val="24"/>
              </w:rPr>
            </w:pPr>
            <w:r>
              <w:rPr>
                <w:rFonts w:eastAsia="Calibri"/>
                <w:bCs/>
                <w:sz w:val="24"/>
                <w:szCs w:val="24"/>
              </w:rPr>
              <w:t>I</w:t>
            </w:r>
            <w:r w:rsidR="004953BB">
              <w:rPr>
                <w:rFonts w:eastAsia="Calibri"/>
                <w:bCs/>
                <w:sz w:val="24"/>
                <w:szCs w:val="24"/>
              </w:rPr>
              <w:t xml:space="preserve">š </w:t>
            </w:r>
            <w:r w:rsidR="004953BB" w:rsidRPr="00880696">
              <w:rPr>
                <w:rFonts w:eastAsia="Calibri"/>
                <w:bCs/>
                <w:sz w:val="24"/>
                <w:szCs w:val="24"/>
              </w:rPr>
              <w:t>dokumentų visum</w:t>
            </w:r>
            <w:r w:rsidR="004953BB">
              <w:rPr>
                <w:rFonts w:eastAsia="Calibri"/>
                <w:bCs/>
                <w:sz w:val="24"/>
                <w:szCs w:val="24"/>
              </w:rPr>
              <w:t>os galima matyti</w:t>
            </w:r>
            <w:r w:rsidR="004953BB" w:rsidRPr="00880696">
              <w:rPr>
                <w:rFonts w:eastAsia="Calibri"/>
                <w:bCs/>
                <w:sz w:val="24"/>
                <w:szCs w:val="24"/>
              </w:rPr>
              <w:t xml:space="preserve">, kad perkančioji organizacija siekia įsigyti </w:t>
            </w:r>
            <w:r w:rsidR="004953BB">
              <w:rPr>
                <w:rFonts w:eastAsia="Calibri"/>
                <w:bCs/>
                <w:sz w:val="24"/>
                <w:szCs w:val="24"/>
              </w:rPr>
              <w:t>protrombino laiko (</w:t>
            </w:r>
            <w:r w:rsidR="004953BB" w:rsidRPr="00880696">
              <w:rPr>
                <w:rFonts w:eastAsia="Calibri"/>
                <w:bCs/>
                <w:sz w:val="24"/>
                <w:szCs w:val="24"/>
              </w:rPr>
              <w:t>PL</w:t>
            </w:r>
            <w:r w:rsidR="004953BB">
              <w:rPr>
                <w:rFonts w:eastAsia="Calibri"/>
                <w:bCs/>
                <w:sz w:val="24"/>
                <w:szCs w:val="24"/>
              </w:rPr>
              <w:t>)</w:t>
            </w:r>
            <w:r w:rsidR="004953BB" w:rsidRPr="00880696">
              <w:rPr>
                <w:rFonts w:eastAsia="Calibri"/>
                <w:bCs/>
                <w:sz w:val="24"/>
                <w:szCs w:val="24"/>
              </w:rPr>
              <w:t xml:space="preserve"> tyrimui reikalingus reagentus ir priemones</w:t>
            </w:r>
            <w:r w:rsidR="004953BB">
              <w:rPr>
                <w:rFonts w:eastAsia="Calibri"/>
                <w:bCs/>
                <w:sz w:val="24"/>
                <w:szCs w:val="24"/>
              </w:rPr>
              <w:t>. Šis</w:t>
            </w:r>
            <w:r w:rsidR="004953BB" w:rsidRPr="00AB194C">
              <w:rPr>
                <w:rFonts w:eastAsia="Calibri"/>
                <w:bCs/>
                <w:sz w:val="24"/>
                <w:szCs w:val="24"/>
              </w:rPr>
              <w:t xml:space="preserve"> tyrim</w:t>
            </w:r>
            <w:r w:rsidR="004953BB">
              <w:rPr>
                <w:rFonts w:eastAsia="Calibri"/>
                <w:bCs/>
                <w:sz w:val="24"/>
                <w:szCs w:val="24"/>
              </w:rPr>
              <w:t xml:space="preserve">as gali būti atliekamas dviem skirtingais metodais: Owren ir Quick, t. y. </w:t>
            </w:r>
            <w:r w:rsidR="004953BB" w:rsidRPr="00AB194C">
              <w:rPr>
                <w:rFonts w:eastAsia="Calibri"/>
                <w:bCs/>
                <w:sz w:val="24"/>
                <w:szCs w:val="24"/>
              </w:rPr>
              <w:t xml:space="preserve">abu metodai yra tinkami gydymo antikoaguliantais </w:t>
            </w:r>
            <w:r w:rsidR="004953BB">
              <w:rPr>
                <w:rFonts w:eastAsia="Calibri"/>
                <w:bCs/>
                <w:sz w:val="24"/>
                <w:szCs w:val="24"/>
              </w:rPr>
              <w:t xml:space="preserve">stebėsenai, o tyrimo </w:t>
            </w:r>
            <w:r w:rsidR="004953BB" w:rsidRPr="00AB194C">
              <w:rPr>
                <w:rFonts w:eastAsia="Calibri"/>
                <w:bCs/>
                <w:sz w:val="24"/>
                <w:szCs w:val="24"/>
              </w:rPr>
              <w:t>rezultatai sekundėmis yra pagrindinis tyrimo matas</w:t>
            </w:r>
            <w:r w:rsidR="004953BB">
              <w:rPr>
                <w:rFonts w:eastAsia="Calibri"/>
                <w:bCs/>
                <w:sz w:val="24"/>
                <w:szCs w:val="24"/>
              </w:rPr>
              <w:t>: i</w:t>
            </w:r>
            <w:r w:rsidR="004953BB" w:rsidRPr="00AB194C">
              <w:rPr>
                <w:rFonts w:eastAsia="Calibri"/>
                <w:bCs/>
                <w:sz w:val="24"/>
                <w:szCs w:val="24"/>
              </w:rPr>
              <w:t>š atsakymų sekundėmis matematiniais modeliais apskaičiuojami kiti klinikinėje praktikoje naudojami parametrai: protrombino aktyvumas (PA) procentais (kas iš esmės atitiktų protrombino komplekso tyrimo rezultatus</w:t>
            </w:r>
            <w:r w:rsidR="004953BB">
              <w:rPr>
                <w:rFonts w:eastAsia="Calibri"/>
                <w:bCs/>
                <w:sz w:val="24"/>
                <w:szCs w:val="24"/>
              </w:rPr>
              <w:t>)</w:t>
            </w:r>
            <w:r w:rsidR="004953BB" w:rsidRPr="00AB194C">
              <w:rPr>
                <w:rFonts w:eastAsia="Calibri"/>
                <w:bCs/>
                <w:sz w:val="24"/>
                <w:szCs w:val="24"/>
              </w:rPr>
              <w:t>; tarptautinis normalizuotas santykis (TNS</w:t>
            </w:r>
            <w:r w:rsidR="004953BB">
              <w:rPr>
                <w:rFonts w:eastAsia="Calibri"/>
                <w:bCs/>
                <w:sz w:val="24"/>
                <w:szCs w:val="24"/>
              </w:rPr>
              <w:t>/INR</w:t>
            </w:r>
            <w:r w:rsidR="004953BB">
              <w:rPr>
                <w:rStyle w:val="FootnoteReference"/>
                <w:rFonts w:eastAsia="Calibri"/>
                <w:bCs/>
                <w:sz w:val="24"/>
                <w:szCs w:val="24"/>
              </w:rPr>
              <w:footnoteReference w:id="18"/>
            </w:r>
            <w:r w:rsidR="004953BB">
              <w:rPr>
                <w:rFonts w:eastAsia="Calibri"/>
                <w:bCs/>
                <w:sz w:val="24"/>
                <w:szCs w:val="24"/>
              </w:rPr>
              <w:t>)</w:t>
            </w:r>
            <w:r w:rsidR="004953BB" w:rsidRPr="00AB194C">
              <w:rPr>
                <w:rFonts w:eastAsia="Calibri"/>
                <w:bCs/>
                <w:sz w:val="24"/>
                <w:szCs w:val="24"/>
              </w:rPr>
              <w:t xml:space="preserve">. </w:t>
            </w:r>
            <w:r w:rsidR="004953BB">
              <w:rPr>
                <w:rFonts w:eastAsia="Calibri"/>
                <w:bCs/>
                <w:sz w:val="24"/>
                <w:szCs w:val="24"/>
              </w:rPr>
              <w:t xml:space="preserve">Taigi, tiek </w:t>
            </w:r>
            <w:r w:rsidR="004953BB" w:rsidRPr="00C570C5">
              <w:rPr>
                <w:rFonts w:eastAsia="Calibri"/>
                <w:bCs/>
                <w:sz w:val="24"/>
                <w:szCs w:val="24"/>
              </w:rPr>
              <w:t xml:space="preserve">Owren, </w:t>
            </w:r>
            <w:r w:rsidR="004953BB">
              <w:rPr>
                <w:rFonts w:eastAsia="Calibri"/>
                <w:bCs/>
                <w:sz w:val="24"/>
                <w:szCs w:val="24"/>
              </w:rPr>
              <w:t xml:space="preserve">tiek </w:t>
            </w:r>
            <w:r w:rsidR="004953BB" w:rsidRPr="00C570C5">
              <w:rPr>
                <w:rFonts w:eastAsia="Calibri"/>
                <w:bCs/>
                <w:sz w:val="24"/>
                <w:szCs w:val="24"/>
              </w:rPr>
              <w:t>Quick</w:t>
            </w:r>
            <w:r w:rsidR="004953BB" w:rsidRPr="00AB194C">
              <w:rPr>
                <w:rFonts w:eastAsia="Calibri"/>
                <w:bCs/>
                <w:sz w:val="24"/>
                <w:szCs w:val="24"/>
              </w:rPr>
              <w:t xml:space="preserve"> metodais yra gaunamos paminėtos trys skaitinės </w:t>
            </w:r>
            <w:r w:rsidR="004953BB">
              <w:rPr>
                <w:rFonts w:eastAsia="Calibri"/>
                <w:bCs/>
                <w:sz w:val="24"/>
                <w:szCs w:val="24"/>
              </w:rPr>
              <w:t>PL</w:t>
            </w:r>
            <w:r w:rsidR="004953BB" w:rsidRPr="00AB194C">
              <w:rPr>
                <w:rFonts w:eastAsia="Calibri"/>
                <w:bCs/>
                <w:sz w:val="24"/>
                <w:szCs w:val="24"/>
              </w:rPr>
              <w:t xml:space="preserve"> tyrimo išraiškos (laikas, PA ir INR)</w:t>
            </w:r>
            <w:r w:rsidR="004953BB">
              <w:rPr>
                <w:rFonts w:eastAsia="Calibri"/>
                <w:bCs/>
                <w:sz w:val="24"/>
                <w:szCs w:val="24"/>
              </w:rPr>
              <w:t xml:space="preserve">, </w:t>
            </w:r>
            <w:r w:rsidR="004953BB" w:rsidRPr="00AB194C">
              <w:rPr>
                <w:rFonts w:eastAsia="Calibri"/>
                <w:bCs/>
                <w:sz w:val="24"/>
                <w:szCs w:val="24"/>
              </w:rPr>
              <w:t xml:space="preserve">tačiau kiekvienas metodas turi savo privalumų ir </w:t>
            </w:r>
            <w:r w:rsidR="004953BB">
              <w:rPr>
                <w:rFonts w:eastAsia="Calibri"/>
                <w:bCs/>
                <w:sz w:val="24"/>
                <w:szCs w:val="24"/>
              </w:rPr>
              <w:t xml:space="preserve">skirtumų. </w:t>
            </w:r>
          </w:p>
          <w:p w14:paraId="71FD68BE" w14:textId="77777777" w:rsidR="004953BB" w:rsidRPr="006A3087" w:rsidRDefault="004953BB" w:rsidP="004953BB">
            <w:pPr>
              <w:ind w:firstLine="589"/>
              <w:jc w:val="both"/>
              <w:rPr>
                <w:rFonts w:eastAsia="Calibri"/>
                <w:b/>
                <w:i/>
                <w:iCs/>
                <w:sz w:val="24"/>
                <w:szCs w:val="24"/>
              </w:rPr>
            </w:pPr>
            <w:r>
              <w:rPr>
                <w:rFonts w:eastAsia="Calibri"/>
                <w:bCs/>
                <w:sz w:val="24"/>
                <w:szCs w:val="24"/>
              </w:rPr>
              <w:t>Perkančioji organizacija T</w:t>
            </w:r>
            <w:r w:rsidRPr="00AD009C">
              <w:rPr>
                <w:rFonts w:eastAsia="Calibri"/>
                <w:bCs/>
                <w:sz w:val="24"/>
                <w:szCs w:val="24"/>
              </w:rPr>
              <w:t>echninė</w:t>
            </w:r>
            <w:r>
              <w:rPr>
                <w:rFonts w:eastAsia="Calibri"/>
                <w:bCs/>
                <w:sz w:val="24"/>
                <w:szCs w:val="24"/>
              </w:rPr>
              <w:t>je</w:t>
            </w:r>
            <w:r w:rsidRPr="00AD009C">
              <w:rPr>
                <w:rFonts w:eastAsia="Calibri"/>
                <w:bCs/>
                <w:sz w:val="24"/>
                <w:szCs w:val="24"/>
              </w:rPr>
              <w:t xml:space="preserve"> specifikacij</w:t>
            </w:r>
            <w:r>
              <w:rPr>
                <w:rFonts w:eastAsia="Calibri"/>
                <w:bCs/>
                <w:sz w:val="24"/>
                <w:szCs w:val="24"/>
              </w:rPr>
              <w:t>oje įtvirtino, k</w:t>
            </w:r>
            <w:r w:rsidRPr="00AD009C">
              <w:rPr>
                <w:rFonts w:eastAsia="Calibri"/>
                <w:bCs/>
                <w:sz w:val="24"/>
                <w:szCs w:val="24"/>
              </w:rPr>
              <w:t xml:space="preserve">ad </w:t>
            </w:r>
            <w:r>
              <w:rPr>
                <w:rFonts w:eastAsia="Calibri"/>
                <w:bCs/>
                <w:sz w:val="24"/>
                <w:szCs w:val="24"/>
              </w:rPr>
              <w:t>PL</w:t>
            </w:r>
            <w:r w:rsidRPr="00AD009C">
              <w:rPr>
                <w:rFonts w:eastAsia="Calibri"/>
                <w:sz w:val="24"/>
                <w:szCs w:val="24"/>
              </w:rPr>
              <w:t xml:space="preserve"> tyrimas turi būti atliekamas Owren metodu.</w:t>
            </w:r>
            <w:r>
              <w:rPr>
                <w:rFonts w:eastAsia="Calibri"/>
                <w:sz w:val="24"/>
                <w:szCs w:val="24"/>
              </w:rPr>
              <w:t xml:space="preserve"> </w:t>
            </w:r>
            <w:r>
              <w:rPr>
                <w:rFonts w:eastAsia="Calibri"/>
                <w:bCs/>
                <w:sz w:val="24"/>
                <w:szCs w:val="24"/>
              </w:rPr>
              <w:t xml:space="preserve">Šis reikalavimas pats savaime </w:t>
            </w:r>
            <w:r w:rsidRPr="00C14977">
              <w:rPr>
                <w:rFonts w:eastAsia="Calibri"/>
                <w:bCs/>
                <w:sz w:val="24"/>
                <w:szCs w:val="24"/>
              </w:rPr>
              <w:t>konkurencijos n</w:t>
            </w:r>
            <w:r>
              <w:rPr>
                <w:rFonts w:eastAsia="Calibri"/>
                <w:bCs/>
                <w:sz w:val="24"/>
                <w:szCs w:val="24"/>
              </w:rPr>
              <w:t>e</w:t>
            </w:r>
            <w:r w:rsidRPr="00C14977">
              <w:rPr>
                <w:rFonts w:eastAsia="Calibri"/>
                <w:bCs/>
                <w:sz w:val="24"/>
                <w:szCs w:val="24"/>
              </w:rPr>
              <w:t xml:space="preserve">riboja, </w:t>
            </w:r>
            <w:r>
              <w:rPr>
                <w:rFonts w:eastAsia="Calibri"/>
                <w:bCs/>
                <w:sz w:val="24"/>
                <w:szCs w:val="24"/>
              </w:rPr>
              <w:t>kadangi</w:t>
            </w:r>
            <w:r w:rsidRPr="00C14977">
              <w:rPr>
                <w:rFonts w:eastAsia="Calibri"/>
                <w:bCs/>
                <w:sz w:val="24"/>
                <w:szCs w:val="24"/>
              </w:rPr>
              <w:t xml:space="preserve"> </w:t>
            </w:r>
            <w:r>
              <w:rPr>
                <w:rFonts w:eastAsia="Calibri"/>
                <w:bCs/>
                <w:sz w:val="24"/>
                <w:szCs w:val="24"/>
              </w:rPr>
              <w:t xml:space="preserve">reikalingus </w:t>
            </w:r>
            <w:r w:rsidRPr="00C14977">
              <w:rPr>
                <w:rFonts w:eastAsia="Calibri"/>
                <w:bCs/>
                <w:sz w:val="24"/>
                <w:szCs w:val="24"/>
              </w:rPr>
              <w:t>re</w:t>
            </w:r>
            <w:r>
              <w:rPr>
                <w:rFonts w:eastAsia="Calibri"/>
                <w:bCs/>
                <w:sz w:val="24"/>
                <w:szCs w:val="24"/>
              </w:rPr>
              <w:t>a</w:t>
            </w:r>
            <w:r w:rsidRPr="00C14977">
              <w:rPr>
                <w:rFonts w:eastAsia="Calibri"/>
                <w:bCs/>
                <w:sz w:val="24"/>
                <w:szCs w:val="24"/>
              </w:rPr>
              <w:t>gentų rinkinius gali pasiūlyti kel</w:t>
            </w:r>
            <w:r>
              <w:rPr>
                <w:rFonts w:eastAsia="Calibri"/>
                <w:bCs/>
                <w:sz w:val="24"/>
                <w:szCs w:val="24"/>
              </w:rPr>
              <w:t>etas</w:t>
            </w:r>
            <w:r w:rsidRPr="00C14977">
              <w:rPr>
                <w:rFonts w:eastAsia="Calibri"/>
                <w:bCs/>
                <w:sz w:val="24"/>
                <w:szCs w:val="24"/>
              </w:rPr>
              <w:t xml:space="preserve"> </w:t>
            </w:r>
            <w:r w:rsidRPr="00C14977">
              <w:rPr>
                <w:rFonts w:eastAsia="Calibri"/>
                <w:bCs/>
                <w:i/>
                <w:iCs/>
                <w:sz w:val="24"/>
                <w:szCs w:val="24"/>
              </w:rPr>
              <w:t>in vitro</w:t>
            </w:r>
            <w:r w:rsidRPr="00C14977">
              <w:rPr>
                <w:rFonts w:eastAsia="Calibri"/>
                <w:bCs/>
                <w:sz w:val="24"/>
                <w:szCs w:val="24"/>
              </w:rPr>
              <w:t xml:space="preserve"> </w:t>
            </w:r>
            <w:r>
              <w:rPr>
                <w:rFonts w:eastAsia="Calibri"/>
                <w:bCs/>
                <w:sz w:val="24"/>
                <w:szCs w:val="24"/>
              </w:rPr>
              <w:t>gamintojų, be to, yra sutariama</w:t>
            </w:r>
            <w:r w:rsidRPr="000D7EE6">
              <w:rPr>
                <w:rFonts w:eastAsia="Calibri"/>
                <w:bCs/>
                <w:sz w:val="24"/>
                <w:szCs w:val="24"/>
              </w:rPr>
              <w:t xml:space="preserve">, kad </w:t>
            </w:r>
            <w:r w:rsidRPr="00FE3CA1">
              <w:rPr>
                <w:rFonts w:eastAsia="Calibri"/>
                <w:bCs/>
                <w:sz w:val="24"/>
                <w:szCs w:val="24"/>
              </w:rPr>
              <w:t xml:space="preserve">Owren </w:t>
            </w:r>
            <w:r w:rsidRPr="000D7EE6">
              <w:rPr>
                <w:rFonts w:eastAsia="Calibri"/>
                <w:bCs/>
                <w:sz w:val="24"/>
                <w:szCs w:val="24"/>
              </w:rPr>
              <w:t xml:space="preserve">metodas yra tinkamiausias </w:t>
            </w:r>
            <w:r w:rsidRPr="00FE3CA1">
              <w:rPr>
                <w:rFonts w:eastAsia="Calibri"/>
                <w:bCs/>
                <w:sz w:val="24"/>
                <w:szCs w:val="24"/>
              </w:rPr>
              <w:t xml:space="preserve">gydymo vitamino K antagonistais </w:t>
            </w:r>
            <w:r w:rsidRPr="000D7EE6">
              <w:rPr>
                <w:rFonts w:eastAsia="Calibri"/>
                <w:bCs/>
                <w:sz w:val="24"/>
                <w:szCs w:val="24"/>
              </w:rPr>
              <w:t xml:space="preserve">stebėsenos tikslui pasiekti, o </w:t>
            </w:r>
            <w:r w:rsidRPr="00FE3CA1">
              <w:rPr>
                <w:rFonts w:eastAsia="Calibri"/>
                <w:bCs/>
                <w:sz w:val="24"/>
                <w:szCs w:val="24"/>
              </w:rPr>
              <w:t xml:space="preserve">Quick </w:t>
            </w:r>
            <w:r>
              <w:rPr>
                <w:rFonts w:eastAsia="Calibri"/>
                <w:bCs/>
                <w:sz w:val="24"/>
                <w:szCs w:val="24"/>
              </w:rPr>
              <w:t xml:space="preserve">– </w:t>
            </w:r>
            <w:r w:rsidRPr="000D7EE6">
              <w:rPr>
                <w:rFonts w:eastAsia="Calibri"/>
                <w:bCs/>
                <w:sz w:val="24"/>
                <w:szCs w:val="24"/>
              </w:rPr>
              <w:t>naudingas atrankiniams ir</w:t>
            </w:r>
            <w:r>
              <w:rPr>
                <w:rFonts w:eastAsia="Calibri"/>
                <w:bCs/>
                <w:sz w:val="24"/>
                <w:szCs w:val="24"/>
              </w:rPr>
              <w:t xml:space="preserve"> (</w:t>
            </w:r>
            <w:r w:rsidRPr="000D7EE6">
              <w:rPr>
                <w:rFonts w:eastAsia="Calibri"/>
                <w:bCs/>
                <w:sz w:val="24"/>
                <w:szCs w:val="24"/>
              </w:rPr>
              <w:t>arba</w:t>
            </w:r>
            <w:r>
              <w:rPr>
                <w:rFonts w:eastAsia="Calibri"/>
                <w:bCs/>
                <w:sz w:val="24"/>
                <w:szCs w:val="24"/>
              </w:rPr>
              <w:t>)</w:t>
            </w:r>
            <w:r w:rsidRPr="000D7EE6">
              <w:rPr>
                <w:rFonts w:eastAsia="Calibri"/>
                <w:bCs/>
                <w:sz w:val="24"/>
                <w:szCs w:val="24"/>
              </w:rPr>
              <w:t xml:space="preserve"> diagnostiniams tikslams</w:t>
            </w:r>
            <w:r>
              <w:rPr>
                <w:rFonts w:eastAsia="Calibri"/>
                <w:bCs/>
                <w:sz w:val="24"/>
                <w:szCs w:val="24"/>
              </w:rPr>
              <w:t xml:space="preserve">, tačiau kiekvienu konkrečiu atveju perkančioji organizacija prieš pasirinkdama, </w:t>
            </w:r>
            <w:r w:rsidRPr="00AB194C">
              <w:rPr>
                <w:rFonts w:eastAsia="Calibri"/>
                <w:bCs/>
                <w:sz w:val="24"/>
                <w:szCs w:val="24"/>
              </w:rPr>
              <w:t>kok</w:t>
            </w:r>
            <w:r>
              <w:rPr>
                <w:rFonts w:eastAsia="Calibri"/>
                <w:bCs/>
                <w:sz w:val="24"/>
                <w:szCs w:val="24"/>
              </w:rPr>
              <w:t>į</w:t>
            </w:r>
            <w:r w:rsidRPr="00AB194C">
              <w:rPr>
                <w:rFonts w:eastAsia="Calibri"/>
                <w:bCs/>
                <w:sz w:val="24"/>
                <w:szCs w:val="24"/>
              </w:rPr>
              <w:t xml:space="preserve"> metod</w:t>
            </w:r>
            <w:r>
              <w:rPr>
                <w:rFonts w:eastAsia="Calibri"/>
                <w:bCs/>
                <w:sz w:val="24"/>
                <w:szCs w:val="24"/>
              </w:rPr>
              <w:t>ą</w:t>
            </w:r>
            <w:r w:rsidRPr="00AB194C">
              <w:rPr>
                <w:rFonts w:eastAsia="Calibri"/>
                <w:bCs/>
                <w:sz w:val="24"/>
                <w:szCs w:val="24"/>
              </w:rPr>
              <w:t xml:space="preserve"> </w:t>
            </w:r>
            <w:r>
              <w:rPr>
                <w:rFonts w:eastAsia="Calibri"/>
                <w:bCs/>
                <w:sz w:val="24"/>
                <w:szCs w:val="24"/>
              </w:rPr>
              <w:t>PL tyrimų atlikimui įtvirtins pirkimo sąlygose</w:t>
            </w:r>
            <w:r w:rsidRPr="00AB194C">
              <w:rPr>
                <w:rFonts w:eastAsia="Calibri"/>
                <w:bCs/>
                <w:sz w:val="24"/>
                <w:szCs w:val="24"/>
              </w:rPr>
              <w:t>: Owren, Quick ar abiem metodais</w:t>
            </w:r>
            <w:r>
              <w:rPr>
                <w:rFonts w:eastAsia="Calibri"/>
                <w:bCs/>
                <w:sz w:val="24"/>
                <w:szCs w:val="24"/>
              </w:rPr>
              <w:t xml:space="preserve">, </w:t>
            </w:r>
            <w:r w:rsidRPr="006A3087">
              <w:rPr>
                <w:rFonts w:eastAsia="Calibri"/>
                <w:b/>
                <w:i/>
                <w:iCs/>
                <w:sz w:val="24"/>
                <w:szCs w:val="24"/>
              </w:rPr>
              <w:t>turi įvertinti savo kaip asmens sveikatos priežiūros įstaigos specialiuosius poreikius tiriant pacientus ir išnagrinėti PL tyrimo taikymo tikslus, Owren ir Quick metodų skirtumus, jų teikiamą naudą skirtingiems tikslams pasiekti.</w:t>
            </w:r>
          </w:p>
          <w:p w14:paraId="21A83F0E" w14:textId="77777777" w:rsidR="004953BB" w:rsidRPr="003B7907" w:rsidRDefault="004953BB" w:rsidP="004953BB">
            <w:pPr>
              <w:ind w:firstLine="589"/>
              <w:jc w:val="both"/>
              <w:rPr>
                <w:rFonts w:eastAsia="Calibri"/>
                <w:bCs/>
                <w:sz w:val="24"/>
                <w:szCs w:val="24"/>
              </w:rPr>
            </w:pPr>
            <w:r>
              <w:rPr>
                <w:rFonts w:eastAsia="Calibri"/>
                <w:bCs/>
                <w:sz w:val="24"/>
                <w:szCs w:val="24"/>
              </w:rPr>
              <w:t xml:space="preserve">Šiuo atveju, perkančioji organizacija </w:t>
            </w:r>
            <w:r w:rsidRPr="00AD009C">
              <w:rPr>
                <w:rFonts w:eastAsia="Calibri"/>
                <w:bCs/>
                <w:sz w:val="24"/>
                <w:szCs w:val="24"/>
              </w:rPr>
              <w:t>Owren metod</w:t>
            </w:r>
            <w:r>
              <w:rPr>
                <w:rFonts w:eastAsia="Calibri"/>
                <w:bCs/>
                <w:sz w:val="24"/>
                <w:szCs w:val="24"/>
              </w:rPr>
              <w:t>o pasirinkimą PL tyrimo atlikimui grindė tuo, kad</w:t>
            </w:r>
            <w:r>
              <w:rPr>
                <w:rFonts w:eastAsia="Calibri"/>
              </w:rPr>
              <w:t xml:space="preserve"> </w:t>
            </w:r>
            <w:r w:rsidRPr="003B7907">
              <w:rPr>
                <w:rFonts w:eastAsia="Calibri"/>
                <w:bCs/>
                <w:sz w:val="24"/>
                <w:szCs w:val="24"/>
              </w:rPr>
              <w:t>daugiau nei 60 proc. perkančiosios organizacijos pacientų, kuriems atliekamas minėtas tyrimas, vartoja ar ką tik vartojo vitamino K antagonistus;</w:t>
            </w:r>
            <w:r>
              <w:rPr>
                <w:rFonts w:eastAsia="Calibri"/>
                <w:bCs/>
                <w:sz w:val="24"/>
                <w:szCs w:val="24"/>
              </w:rPr>
              <w:t xml:space="preserve"> </w:t>
            </w:r>
            <w:r w:rsidRPr="003B7907">
              <w:rPr>
                <w:rFonts w:eastAsia="Calibri"/>
                <w:bCs/>
                <w:sz w:val="24"/>
                <w:szCs w:val="24"/>
              </w:rPr>
              <w:t xml:space="preserve">apie 5 proc. pacientų, kuriems atliekamas nurodytas tyrimas, nustatyti kepenų funkcijos sutrikimai, o tokiems pacientams Owren metodu atlikti </w:t>
            </w:r>
            <w:r w:rsidRPr="003B7907">
              <w:rPr>
                <w:rFonts w:eastAsia="Calibri"/>
                <w:bCs/>
                <w:sz w:val="24"/>
                <w:szCs w:val="24"/>
              </w:rPr>
              <w:lastRenderedPageBreak/>
              <w:t>tyrimai yra tikslesni;</w:t>
            </w:r>
            <w:r>
              <w:rPr>
                <w:rFonts w:eastAsia="Calibri"/>
                <w:bCs/>
                <w:sz w:val="24"/>
                <w:szCs w:val="24"/>
              </w:rPr>
              <w:t xml:space="preserve"> taip pat ir </w:t>
            </w:r>
            <w:r w:rsidRPr="003B7907">
              <w:rPr>
                <w:rFonts w:eastAsia="Calibri"/>
                <w:bCs/>
                <w:sz w:val="24"/>
                <w:szCs w:val="24"/>
              </w:rPr>
              <w:t>dėl vienodo tyrimo rezultatų, atliktų naudojant tą patį tyrimo metodą, interpretavimo.</w:t>
            </w:r>
          </w:p>
          <w:p w14:paraId="6762C984" w14:textId="5FCC9AEA" w:rsidR="004953BB" w:rsidRPr="00C77C45" w:rsidRDefault="004953BB" w:rsidP="004953BB">
            <w:pPr>
              <w:ind w:firstLine="589"/>
              <w:jc w:val="both"/>
              <w:rPr>
                <w:rFonts w:eastAsia="Calibri"/>
                <w:sz w:val="24"/>
                <w:szCs w:val="24"/>
              </w:rPr>
            </w:pPr>
            <w:r>
              <w:rPr>
                <w:rFonts w:eastAsia="Calibri"/>
                <w:bCs/>
                <w:sz w:val="24"/>
                <w:szCs w:val="24"/>
              </w:rPr>
              <w:t>Sie</w:t>
            </w:r>
            <w:r w:rsidRPr="000D7EE6">
              <w:rPr>
                <w:rFonts w:eastAsia="Calibri"/>
                <w:bCs/>
                <w:sz w:val="24"/>
                <w:szCs w:val="24"/>
              </w:rPr>
              <w:t xml:space="preserve">kiant </w:t>
            </w:r>
            <w:r>
              <w:rPr>
                <w:rFonts w:eastAsia="Calibri"/>
                <w:bCs/>
                <w:sz w:val="24"/>
                <w:szCs w:val="24"/>
              </w:rPr>
              <w:t>geriausiai</w:t>
            </w:r>
            <w:r w:rsidRPr="000D7EE6">
              <w:rPr>
                <w:rFonts w:eastAsia="Calibri"/>
                <w:bCs/>
                <w:sz w:val="24"/>
                <w:szCs w:val="24"/>
              </w:rPr>
              <w:t xml:space="preserve"> išnaudoti abiejų metodų </w:t>
            </w:r>
            <w:r w:rsidRPr="00FE3CA1">
              <w:rPr>
                <w:rFonts w:eastAsia="Calibri"/>
                <w:bCs/>
                <w:sz w:val="24"/>
                <w:szCs w:val="24"/>
              </w:rPr>
              <w:t>(Owren ir Quick)</w:t>
            </w:r>
            <w:r w:rsidRPr="000D7EE6">
              <w:rPr>
                <w:rFonts w:eastAsia="Calibri"/>
                <w:bCs/>
                <w:sz w:val="24"/>
                <w:szCs w:val="24"/>
              </w:rPr>
              <w:t xml:space="preserve"> galimybes, PL tyrimas </w:t>
            </w:r>
            <w:r>
              <w:rPr>
                <w:rFonts w:eastAsia="Calibri"/>
                <w:bCs/>
                <w:sz w:val="24"/>
                <w:szCs w:val="24"/>
              </w:rPr>
              <w:t>galėtų</w:t>
            </w:r>
            <w:r w:rsidRPr="000D7EE6">
              <w:rPr>
                <w:rFonts w:eastAsia="Calibri"/>
                <w:bCs/>
                <w:sz w:val="24"/>
                <w:szCs w:val="24"/>
              </w:rPr>
              <w:t xml:space="preserve"> būti skiriamas dviem pacientų grupėms arba dviem tikslais</w:t>
            </w:r>
            <w:r>
              <w:rPr>
                <w:rFonts w:eastAsia="Calibri"/>
                <w:bCs/>
                <w:sz w:val="24"/>
                <w:szCs w:val="24"/>
              </w:rPr>
              <w:t xml:space="preserve">: </w:t>
            </w:r>
            <w:r w:rsidRPr="000D7EE6">
              <w:rPr>
                <w:rFonts w:eastAsia="Calibri"/>
                <w:bCs/>
                <w:sz w:val="24"/>
                <w:szCs w:val="24"/>
              </w:rPr>
              <w:t>gydymo vitamino K antagonistais (p</w:t>
            </w:r>
            <w:r>
              <w:rPr>
                <w:rFonts w:eastAsia="Calibri"/>
                <w:bCs/>
                <w:sz w:val="24"/>
                <w:szCs w:val="24"/>
              </w:rPr>
              <w:t>avyzdžiui,</w:t>
            </w:r>
            <w:r w:rsidRPr="000D7EE6">
              <w:rPr>
                <w:rFonts w:eastAsia="Calibri"/>
                <w:bCs/>
                <w:sz w:val="24"/>
                <w:szCs w:val="24"/>
              </w:rPr>
              <w:t xml:space="preserve"> varfarinu) stebėsenai</w:t>
            </w:r>
            <w:r>
              <w:rPr>
                <w:rFonts w:eastAsia="Calibri"/>
                <w:bCs/>
                <w:sz w:val="24"/>
                <w:szCs w:val="24"/>
              </w:rPr>
              <w:t xml:space="preserve"> ir pacientų atrankai / </w:t>
            </w:r>
            <w:r w:rsidRPr="000D7EE6">
              <w:rPr>
                <w:rFonts w:eastAsia="Calibri"/>
                <w:bCs/>
                <w:sz w:val="24"/>
                <w:szCs w:val="24"/>
              </w:rPr>
              <w:t>diagnosti</w:t>
            </w:r>
            <w:r>
              <w:rPr>
                <w:rFonts w:eastAsia="Calibri"/>
                <w:bCs/>
                <w:sz w:val="24"/>
                <w:szCs w:val="24"/>
              </w:rPr>
              <w:t>kai, tokiu būdu užtikrinant</w:t>
            </w:r>
            <w:r w:rsidRPr="000D7EE6">
              <w:rPr>
                <w:rFonts w:eastAsia="Calibri"/>
                <w:bCs/>
                <w:sz w:val="24"/>
                <w:szCs w:val="24"/>
              </w:rPr>
              <w:t xml:space="preserve"> pacientų saugum</w:t>
            </w:r>
            <w:r>
              <w:rPr>
                <w:rFonts w:eastAsia="Calibri"/>
                <w:bCs/>
                <w:sz w:val="24"/>
                <w:szCs w:val="24"/>
              </w:rPr>
              <w:t>ą, gerinant</w:t>
            </w:r>
            <w:r w:rsidRPr="000D7EE6">
              <w:rPr>
                <w:rFonts w:eastAsia="Calibri"/>
                <w:bCs/>
                <w:sz w:val="24"/>
                <w:szCs w:val="24"/>
              </w:rPr>
              <w:t xml:space="preserve"> diagnostik</w:t>
            </w:r>
            <w:r>
              <w:rPr>
                <w:rFonts w:eastAsia="Calibri"/>
                <w:bCs/>
                <w:sz w:val="24"/>
                <w:szCs w:val="24"/>
              </w:rPr>
              <w:t>os</w:t>
            </w:r>
            <w:r w:rsidRPr="000D7EE6">
              <w:rPr>
                <w:rFonts w:eastAsia="Calibri"/>
                <w:bCs/>
                <w:sz w:val="24"/>
                <w:szCs w:val="24"/>
              </w:rPr>
              <w:t xml:space="preserve"> ir gydymo kokyb</w:t>
            </w:r>
            <w:r>
              <w:rPr>
                <w:rFonts w:eastAsia="Calibri"/>
                <w:bCs/>
                <w:sz w:val="24"/>
                <w:szCs w:val="24"/>
              </w:rPr>
              <w:t>ę.</w:t>
            </w:r>
          </w:p>
        </w:tc>
      </w:tr>
      <w:tr w:rsidR="004953BB" w:rsidRPr="00C77C45" w14:paraId="4913151B" w14:textId="77777777" w:rsidTr="00572739">
        <w:tc>
          <w:tcPr>
            <w:tcW w:w="756" w:type="dxa"/>
            <w:tcBorders>
              <w:top w:val="single" w:sz="4" w:space="0" w:color="auto"/>
              <w:left w:val="single" w:sz="4" w:space="0" w:color="auto"/>
              <w:bottom w:val="single" w:sz="4" w:space="0" w:color="auto"/>
              <w:right w:val="single" w:sz="4" w:space="0" w:color="auto"/>
            </w:tcBorders>
            <w:shd w:val="clear" w:color="auto" w:fill="auto"/>
          </w:tcPr>
          <w:p w14:paraId="2ECC9C22" w14:textId="3A548962" w:rsidR="004953BB" w:rsidRPr="00C77C45" w:rsidRDefault="004953BB" w:rsidP="004953BB">
            <w:pPr>
              <w:jc w:val="center"/>
              <w:rPr>
                <w:sz w:val="24"/>
                <w:szCs w:val="24"/>
              </w:rPr>
            </w:pPr>
            <w:r>
              <w:rPr>
                <w:sz w:val="24"/>
                <w:szCs w:val="24"/>
              </w:rPr>
              <w:lastRenderedPageBreak/>
              <w:t>2</w:t>
            </w:r>
            <w:r w:rsidRPr="00C77C45">
              <w:rPr>
                <w:sz w:val="24"/>
                <w:szCs w:val="24"/>
              </w:rPr>
              <w:t>.</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7A8E8862" w14:textId="77777777" w:rsidR="004953BB" w:rsidRPr="00C77C45" w:rsidRDefault="004953BB" w:rsidP="004953BB">
            <w:pPr>
              <w:jc w:val="center"/>
              <w:rPr>
                <w:sz w:val="24"/>
                <w:szCs w:val="24"/>
              </w:rPr>
            </w:pPr>
          </w:p>
        </w:tc>
      </w:tr>
      <w:tr w:rsidR="004953BB" w:rsidRPr="00C77C45" w14:paraId="15334F6D" w14:textId="77777777" w:rsidTr="00572739">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1D903C" w14:textId="23054767" w:rsidR="004953BB" w:rsidRPr="00F452C8" w:rsidRDefault="004953BB" w:rsidP="004953BB">
            <w:pPr>
              <w:ind w:firstLine="589"/>
              <w:jc w:val="both"/>
              <w:rPr>
                <w:rFonts w:eastAsia="Calibri"/>
                <w:bCs/>
                <w:sz w:val="24"/>
                <w:szCs w:val="24"/>
              </w:rPr>
            </w:pPr>
            <w:r w:rsidRPr="00DC740F">
              <w:rPr>
                <w:bCs/>
                <w:sz w:val="24"/>
                <w:szCs w:val="24"/>
              </w:rPr>
              <w:t>Nustatyta, kad Perkančiosios organizacijos direktoriaus įsakymu</w:t>
            </w:r>
            <w:r w:rsidRPr="00DC740F">
              <w:rPr>
                <w:bCs/>
                <w:sz w:val="24"/>
                <w:szCs w:val="24"/>
                <w:vertAlign w:val="superscript"/>
              </w:rPr>
              <w:footnoteReference w:id="19"/>
            </w:r>
            <w:r w:rsidRPr="00DC740F">
              <w:rPr>
                <w:bCs/>
                <w:sz w:val="24"/>
                <w:szCs w:val="24"/>
              </w:rPr>
              <w:t xml:space="preserve"> paskirti Pirkimo komisijos nariai </w:t>
            </w:r>
            <w:r>
              <w:rPr>
                <w:bCs/>
                <w:sz w:val="24"/>
                <w:szCs w:val="24"/>
              </w:rPr>
              <w:t xml:space="preserve">J. K., V. M. ir R. L. </w:t>
            </w:r>
            <w:r w:rsidRPr="00547ECB">
              <w:rPr>
                <w:bCs/>
                <w:sz w:val="24"/>
                <w:szCs w:val="24"/>
              </w:rPr>
              <w:t xml:space="preserve">Vyriausiajai tarnybinės etikos komisijai (toliau – VTEK) </w:t>
            </w:r>
            <w:r w:rsidRPr="00547ECB">
              <w:rPr>
                <w:sz w:val="24"/>
                <w:szCs w:val="24"/>
              </w:rPr>
              <w:t xml:space="preserve">nėra pateikę privačių interesų deklaracijų, o </w:t>
            </w:r>
            <w:r>
              <w:rPr>
                <w:sz w:val="24"/>
                <w:szCs w:val="24"/>
              </w:rPr>
              <w:t xml:space="preserve">D. D., J. S., S. N. ir L. S. VTEK pateiktose privačių interesų deklaracijose </w:t>
            </w:r>
            <w:r w:rsidRPr="00547ECB">
              <w:rPr>
                <w:sz w:val="24"/>
                <w:szCs w:val="24"/>
              </w:rPr>
              <w:t>nėra deklaravę savo kaip viešųjų pirkimų komisijos nario</w:t>
            </w:r>
            <w:r>
              <w:rPr>
                <w:sz w:val="24"/>
                <w:szCs w:val="24"/>
              </w:rPr>
              <w:t>/eksperto</w:t>
            </w:r>
            <w:r w:rsidRPr="00547ECB">
              <w:rPr>
                <w:sz w:val="24"/>
                <w:szCs w:val="24"/>
              </w:rPr>
              <w:t xml:space="preserve"> statuso</w:t>
            </w:r>
            <w:r>
              <w:rPr>
                <w:sz w:val="24"/>
                <w:szCs w:val="24"/>
              </w:rPr>
              <w:t>.</w:t>
            </w:r>
          </w:p>
        </w:tc>
      </w:tr>
    </w:tbl>
    <w:p w14:paraId="28EB4D71" w14:textId="42913C75" w:rsidR="00053BC5" w:rsidRDefault="00053BC5" w:rsidP="00F452C8">
      <w:pPr>
        <w:rPr>
          <w:rFonts w:eastAsia="Calibri"/>
          <w:b/>
          <w:sz w:val="24"/>
          <w:szCs w:val="24"/>
        </w:rPr>
      </w:pPr>
    </w:p>
    <w:p w14:paraId="58C93F93" w14:textId="3B98D9E5" w:rsidR="00C16301" w:rsidRDefault="00C16301" w:rsidP="00F452C8">
      <w:pPr>
        <w:rPr>
          <w:rFonts w:eastAsia="Calibri"/>
          <w:b/>
          <w:sz w:val="24"/>
          <w:szCs w:val="24"/>
        </w:rPr>
      </w:pPr>
    </w:p>
    <w:p w14:paraId="71EC0AD1" w14:textId="77777777" w:rsidR="00C16301" w:rsidRDefault="00C16301" w:rsidP="00F452C8">
      <w:pPr>
        <w:rPr>
          <w:rFonts w:eastAsia="Calibri"/>
          <w:b/>
          <w:sz w:val="24"/>
          <w:szCs w:val="24"/>
        </w:rPr>
      </w:pPr>
    </w:p>
    <w:p w14:paraId="384633D9" w14:textId="338CC4C7" w:rsidR="00022115" w:rsidRDefault="003F3E7B" w:rsidP="00F75F71">
      <w:pPr>
        <w:rPr>
          <w:rFonts w:eastAsia="Calibri"/>
          <w:bCs/>
          <w:sz w:val="24"/>
          <w:szCs w:val="24"/>
        </w:rPr>
      </w:pPr>
      <w:r w:rsidRPr="00C77C45">
        <w:rPr>
          <w:rFonts w:eastAsia="Calibri"/>
          <w:bCs/>
          <w:sz w:val="24"/>
          <w:szCs w:val="24"/>
        </w:rPr>
        <w:t>Direktor</w:t>
      </w:r>
      <w:r w:rsidR="00547ECB">
        <w:rPr>
          <w:rFonts w:eastAsia="Calibri"/>
          <w:bCs/>
          <w:sz w:val="24"/>
          <w:szCs w:val="24"/>
        </w:rPr>
        <w:t>ė</w:t>
      </w:r>
      <w:r w:rsidR="00547ECB">
        <w:rPr>
          <w:rFonts w:eastAsia="Calibri"/>
          <w:bCs/>
          <w:sz w:val="24"/>
          <w:szCs w:val="24"/>
        </w:rPr>
        <w:tab/>
      </w:r>
      <w:r w:rsidR="00547ECB">
        <w:rPr>
          <w:rFonts w:eastAsia="Calibri"/>
          <w:bCs/>
          <w:sz w:val="24"/>
          <w:szCs w:val="24"/>
        </w:rPr>
        <w:tab/>
      </w:r>
      <w:r w:rsidR="000F5D9B">
        <w:rPr>
          <w:rFonts w:eastAsia="Calibri"/>
          <w:bCs/>
          <w:sz w:val="24"/>
          <w:szCs w:val="24"/>
        </w:rPr>
        <w:tab/>
      </w:r>
      <w:r w:rsidR="000F5D9B">
        <w:rPr>
          <w:rFonts w:eastAsia="Calibri"/>
          <w:bCs/>
          <w:sz w:val="24"/>
          <w:szCs w:val="24"/>
        </w:rPr>
        <w:tab/>
      </w:r>
      <w:r w:rsidR="000F5D9B">
        <w:rPr>
          <w:rFonts w:eastAsia="Calibri"/>
          <w:bCs/>
          <w:sz w:val="24"/>
          <w:szCs w:val="24"/>
        </w:rPr>
        <w:tab/>
        <w:t xml:space="preserve"> </w:t>
      </w:r>
      <w:r w:rsidR="00B10AD1">
        <w:rPr>
          <w:rFonts w:eastAsia="Calibri"/>
          <w:bCs/>
          <w:sz w:val="24"/>
          <w:szCs w:val="24"/>
        </w:rPr>
        <w:tab/>
      </w:r>
      <w:r w:rsidR="00B10AD1">
        <w:rPr>
          <w:rFonts w:eastAsia="Calibri"/>
          <w:bCs/>
          <w:sz w:val="24"/>
          <w:szCs w:val="24"/>
        </w:rPr>
        <w:tab/>
      </w:r>
      <w:r w:rsidR="00B10AD1">
        <w:rPr>
          <w:rFonts w:eastAsia="Calibri"/>
          <w:bCs/>
          <w:sz w:val="24"/>
          <w:szCs w:val="24"/>
        </w:rPr>
        <w:tab/>
      </w:r>
      <w:r w:rsidR="00B10AD1">
        <w:rPr>
          <w:rFonts w:eastAsia="Calibri"/>
          <w:bCs/>
          <w:sz w:val="24"/>
          <w:szCs w:val="24"/>
        </w:rPr>
        <w:tab/>
      </w:r>
      <w:r w:rsidR="00547ECB">
        <w:rPr>
          <w:rFonts w:eastAsia="Calibri"/>
          <w:bCs/>
          <w:sz w:val="24"/>
          <w:szCs w:val="24"/>
        </w:rPr>
        <w:tab/>
        <w:t xml:space="preserve">        Diana Vilyt</w:t>
      </w:r>
      <w:r w:rsidR="007C3363">
        <w:rPr>
          <w:rFonts w:eastAsia="Calibri"/>
          <w:bCs/>
          <w:sz w:val="24"/>
          <w:szCs w:val="24"/>
        </w:rPr>
        <w:t>ė</w:t>
      </w:r>
    </w:p>
    <w:p w14:paraId="2A2BDEC9" w14:textId="77777777" w:rsidR="007C3363" w:rsidRDefault="007C3363" w:rsidP="00F75F71">
      <w:pPr>
        <w:rPr>
          <w:rFonts w:eastAsia="Calibri"/>
          <w:bCs/>
          <w:sz w:val="24"/>
          <w:szCs w:val="24"/>
        </w:rPr>
      </w:pPr>
    </w:p>
    <w:p w14:paraId="39BA0B90" w14:textId="66B33487" w:rsidR="00C16301" w:rsidRDefault="00C16301" w:rsidP="00F75F71">
      <w:pPr>
        <w:rPr>
          <w:rFonts w:eastAsia="Calibri"/>
          <w:bCs/>
          <w:sz w:val="24"/>
          <w:szCs w:val="24"/>
        </w:rPr>
      </w:pPr>
    </w:p>
    <w:p w14:paraId="16411BF9" w14:textId="3D677B31" w:rsidR="005207C3" w:rsidRDefault="005207C3" w:rsidP="00F75F71">
      <w:pPr>
        <w:rPr>
          <w:rFonts w:eastAsia="Calibri"/>
          <w:bCs/>
          <w:sz w:val="24"/>
          <w:szCs w:val="24"/>
        </w:rPr>
      </w:pPr>
    </w:p>
    <w:p w14:paraId="45EDEDE7" w14:textId="53CC8E5C" w:rsidR="005D1EC3" w:rsidRDefault="005D1EC3" w:rsidP="00F75F71">
      <w:pPr>
        <w:rPr>
          <w:rFonts w:eastAsia="Calibri"/>
          <w:bCs/>
          <w:sz w:val="24"/>
          <w:szCs w:val="24"/>
        </w:rPr>
      </w:pPr>
    </w:p>
    <w:p w14:paraId="697E3849" w14:textId="5FDD3836" w:rsidR="005D1EC3" w:rsidRDefault="005D1EC3" w:rsidP="00F75F71">
      <w:pPr>
        <w:rPr>
          <w:rFonts w:eastAsia="Calibri"/>
          <w:bCs/>
          <w:sz w:val="24"/>
          <w:szCs w:val="24"/>
        </w:rPr>
      </w:pPr>
    </w:p>
    <w:p w14:paraId="44C26687" w14:textId="70E42CFF" w:rsidR="004F5890" w:rsidRDefault="004F5890" w:rsidP="00F75F71">
      <w:pPr>
        <w:rPr>
          <w:rFonts w:eastAsia="Calibri"/>
          <w:bCs/>
          <w:sz w:val="24"/>
          <w:szCs w:val="24"/>
        </w:rPr>
      </w:pPr>
    </w:p>
    <w:p w14:paraId="7C9F1850" w14:textId="7E74A1A1" w:rsidR="004F5890" w:rsidRDefault="004F5890" w:rsidP="00F75F71">
      <w:pPr>
        <w:rPr>
          <w:rFonts w:eastAsia="Calibri"/>
          <w:bCs/>
          <w:sz w:val="24"/>
          <w:szCs w:val="24"/>
        </w:rPr>
      </w:pPr>
    </w:p>
    <w:p w14:paraId="5B69A555" w14:textId="7EF893DA" w:rsidR="004F5890" w:rsidRDefault="004F5890" w:rsidP="00F75F71">
      <w:pPr>
        <w:rPr>
          <w:rFonts w:eastAsia="Calibri"/>
          <w:bCs/>
          <w:sz w:val="24"/>
          <w:szCs w:val="24"/>
        </w:rPr>
      </w:pPr>
    </w:p>
    <w:p w14:paraId="214D1A91" w14:textId="2600F6A2" w:rsidR="004F5890" w:rsidRDefault="004F5890" w:rsidP="00F75F71">
      <w:pPr>
        <w:rPr>
          <w:rFonts w:eastAsia="Calibri"/>
          <w:bCs/>
          <w:sz w:val="24"/>
          <w:szCs w:val="24"/>
        </w:rPr>
      </w:pPr>
    </w:p>
    <w:p w14:paraId="0E02630C" w14:textId="0C9E6DB3" w:rsidR="004F5890" w:rsidRDefault="004F5890" w:rsidP="00F75F71">
      <w:pPr>
        <w:rPr>
          <w:rFonts w:eastAsia="Calibri"/>
          <w:bCs/>
          <w:sz w:val="24"/>
          <w:szCs w:val="24"/>
        </w:rPr>
      </w:pPr>
    </w:p>
    <w:p w14:paraId="34E31131" w14:textId="0617623D" w:rsidR="004F5890" w:rsidRDefault="004F5890" w:rsidP="00F75F71">
      <w:pPr>
        <w:rPr>
          <w:rFonts w:eastAsia="Calibri"/>
          <w:bCs/>
          <w:sz w:val="24"/>
          <w:szCs w:val="24"/>
        </w:rPr>
      </w:pPr>
    </w:p>
    <w:p w14:paraId="4A20850B" w14:textId="5C9CCA64" w:rsidR="004F5890" w:rsidRDefault="004F5890" w:rsidP="00F75F71">
      <w:pPr>
        <w:rPr>
          <w:rFonts w:eastAsia="Calibri"/>
          <w:bCs/>
          <w:sz w:val="24"/>
          <w:szCs w:val="24"/>
        </w:rPr>
      </w:pPr>
    </w:p>
    <w:p w14:paraId="5006178B" w14:textId="5F18D662" w:rsidR="004F5890" w:rsidRDefault="004F5890" w:rsidP="00F75F71">
      <w:pPr>
        <w:rPr>
          <w:rFonts w:eastAsia="Calibri"/>
          <w:bCs/>
          <w:sz w:val="24"/>
          <w:szCs w:val="24"/>
        </w:rPr>
      </w:pPr>
    </w:p>
    <w:p w14:paraId="56E5578D" w14:textId="375C9B62" w:rsidR="006A3087" w:rsidRDefault="006A3087" w:rsidP="00F75F71">
      <w:pPr>
        <w:rPr>
          <w:rFonts w:eastAsia="Calibri"/>
          <w:bCs/>
          <w:sz w:val="24"/>
          <w:szCs w:val="24"/>
        </w:rPr>
      </w:pPr>
    </w:p>
    <w:p w14:paraId="76C1CC4D" w14:textId="77777777" w:rsidR="006A3087" w:rsidRDefault="006A3087" w:rsidP="00F75F71">
      <w:pPr>
        <w:rPr>
          <w:rFonts w:eastAsia="Calibri"/>
          <w:bCs/>
          <w:sz w:val="24"/>
          <w:szCs w:val="24"/>
        </w:rPr>
      </w:pPr>
    </w:p>
    <w:p w14:paraId="7237E20F" w14:textId="64E85049" w:rsidR="004F5890" w:rsidRDefault="004F5890" w:rsidP="00F75F71">
      <w:pPr>
        <w:rPr>
          <w:rFonts w:eastAsia="Calibri"/>
          <w:bCs/>
          <w:sz w:val="24"/>
          <w:szCs w:val="24"/>
        </w:rPr>
      </w:pPr>
    </w:p>
    <w:p w14:paraId="3F5CDDA8" w14:textId="1992E850" w:rsidR="004F5890" w:rsidRDefault="004F5890" w:rsidP="00F75F71">
      <w:pPr>
        <w:rPr>
          <w:rFonts w:eastAsia="Calibri"/>
          <w:bCs/>
          <w:sz w:val="24"/>
          <w:szCs w:val="24"/>
        </w:rPr>
      </w:pPr>
    </w:p>
    <w:p w14:paraId="33E6FCF6" w14:textId="3F83302D" w:rsidR="006A3087" w:rsidRDefault="006A3087" w:rsidP="00F75F71">
      <w:pPr>
        <w:rPr>
          <w:rFonts w:eastAsia="Calibri"/>
          <w:bCs/>
          <w:sz w:val="24"/>
          <w:szCs w:val="24"/>
        </w:rPr>
      </w:pPr>
    </w:p>
    <w:p w14:paraId="26DBFAC7" w14:textId="77777777" w:rsidR="006A3087" w:rsidRDefault="006A3087" w:rsidP="00F75F71">
      <w:pPr>
        <w:rPr>
          <w:rFonts w:eastAsia="Calibri"/>
          <w:bCs/>
          <w:sz w:val="24"/>
          <w:szCs w:val="24"/>
        </w:rPr>
      </w:pPr>
    </w:p>
    <w:p w14:paraId="7823473E" w14:textId="7C7116B2" w:rsidR="004F5890" w:rsidRDefault="004F5890" w:rsidP="00F75F71">
      <w:pPr>
        <w:rPr>
          <w:rFonts w:eastAsia="Calibri"/>
          <w:bCs/>
          <w:sz w:val="24"/>
          <w:szCs w:val="24"/>
        </w:rPr>
      </w:pPr>
    </w:p>
    <w:p w14:paraId="1980B090" w14:textId="79024E90" w:rsidR="004F5890" w:rsidRDefault="004F5890" w:rsidP="00F75F71">
      <w:pPr>
        <w:rPr>
          <w:rFonts w:eastAsia="Calibri"/>
          <w:bCs/>
          <w:sz w:val="24"/>
          <w:szCs w:val="24"/>
        </w:rPr>
      </w:pPr>
    </w:p>
    <w:p w14:paraId="688CEABD" w14:textId="01163B64" w:rsidR="004F5890" w:rsidRDefault="004F5890" w:rsidP="00F75F71">
      <w:pPr>
        <w:rPr>
          <w:rFonts w:eastAsia="Calibri"/>
          <w:bCs/>
          <w:sz w:val="24"/>
          <w:szCs w:val="24"/>
        </w:rPr>
      </w:pPr>
    </w:p>
    <w:p w14:paraId="4CF11FED" w14:textId="5962B491" w:rsidR="004F5890" w:rsidRDefault="004F5890" w:rsidP="00F75F71">
      <w:pPr>
        <w:rPr>
          <w:rFonts w:eastAsia="Calibri"/>
          <w:bCs/>
          <w:sz w:val="24"/>
          <w:szCs w:val="24"/>
        </w:rPr>
      </w:pPr>
    </w:p>
    <w:p w14:paraId="3AB61271" w14:textId="75EE44E0" w:rsidR="004F5890" w:rsidRDefault="004F5890" w:rsidP="00F75F71">
      <w:pPr>
        <w:rPr>
          <w:rFonts w:eastAsia="Calibri"/>
          <w:bCs/>
          <w:sz w:val="24"/>
          <w:szCs w:val="24"/>
        </w:rPr>
      </w:pPr>
    </w:p>
    <w:p w14:paraId="50D53EAF" w14:textId="1FD29C6A" w:rsidR="004F5890" w:rsidRDefault="004F5890" w:rsidP="00F75F71">
      <w:pPr>
        <w:rPr>
          <w:rFonts w:eastAsia="Calibri"/>
          <w:bCs/>
          <w:sz w:val="24"/>
          <w:szCs w:val="24"/>
        </w:rPr>
      </w:pPr>
    </w:p>
    <w:p w14:paraId="6DC74401" w14:textId="1088CEBB" w:rsidR="004F5890" w:rsidRDefault="004F5890" w:rsidP="00F75F71">
      <w:pPr>
        <w:rPr>
          <w:rFonts w:eastAsia="Calibri"/>
          <w:bCs/>
          <w:sz w:val="24"/>
          <w:szCs w:val="24"/>
        </w:rPr>
      </w:pPr>
    </w:p>
    <w:p w14:paraId="6B6F92DB" w14:textId="3261BADE" w:rsidR="004F5890" w:rsidRDefault="004F5890" w:rsidP="00F75F71">
      <w:pPr>
        <w:rPr>
          <w:rFonts w:eastAsia="Calibri"/>
          <w:bCs/>
          <w:sz w:val="24"/>
          <w:szCs w:val="24"/>
        </w:rPr>
      </w:pPr>
    </w:p>
    <w:p w14:paraId="6A4AB249" w14:textId="4EA679FA" w:rsidR="004F5890" w:rsidRDefault="004F5890" w:rsidP="00F75F71">
      <w:pPr>
        <w:rPr>
          <w:rFonts w:eastAsia="Calibri"/>
          <w:bCs/>
          <w:sz w:val="24"/>
          <w:szCs w:val="24"/>
        </w:rPr>
      </w:pPr>
    </w:p>
    <w:p w14:paraId="63A25564" w14:textId="65B2DAE8" w:rsidR="004F5890" w:rsidRDefault="004F5890" w:rsidP="00F75F71">
      <w:pPr>
        <w:rPr>
          <w:rFonts w:eastAsia="Calibri"/>
          <w:bCs/>
          <w:sz w:val="24"/>
          <w:szCs w:val="24"/>
        </w:rPr>
      </w:pPr>
    </w:p>
    <w:p w14:paraId="1984E09B" w14:textId="19A96A7C" w:rsidR="004F5890" w:rsidRDefault="004F5890" w:rsidP="00F75F71">
      <w:pPr>
        <w:rPr>
          <w:rFonts w:eastAsia="Calibri"/>
          <w:bCs/>
          <w:sz w:val="24"/>
          <w:szCs w:val="24"/>
        </w:rPr>
      </w:pPr>
    </w:p>
    <w:p w14:paraId="1366D82A" w14:textId="6B7F70D0" w:rsidR="004F5890" w:rsidRDefault="004F5890" w:rsidP="00F75F71">
      <w:pPr>
        <w:rPr>
          <w:rFonts w:eastAsia="Calibri"/>
          <w:bCs/>
          <w:sz w:val="24"/>
          <w:szCs w:val="24"/>
        </w:rPr>
      </w:pPr>
    </w:p>
    <w:p w14:paraId="1317C630" w14:textId="121AE533" w:rsidR="004F5890" w:rsidRDefault="004F5890" w:rsidP="00F75F71">
      <w:pPr>
        <w:rPr>
          <w:rFonts w:eastAsia="Calibri"/>
          <w:bCs/>
          <w:sz w:val="24"/>
          <w:szCs w:val="24"/>
        </w:rPr>
      </w:pPr>
    </w:p>
    <w:p w14:paraId="1998D4D0" w14:textId="77777777" w:rsidR="004F5890" w:rsidRDefault="004F5890" w:rsidP="00F75F71">
      <w:pPr>
        <w:rPr>
          <w:rFonts w:eastAsia="Calibri"/>
          <w:bCs/>
          <w:sz w:val="24"/>
          <w:szCs w:val="24"/>
        </w:rPr>
      </w:pPr>
      <w:bookmarkStart w:id="4" w:name="_GoBack"/>
      <w:bookmarkEnd w:id="4"/>
    </w:p>
    <w:p w14:paraId="489F98E7" w14:textId="77777777" w:rsidR="005D1EC3" w:rsidRDefault="005D1EC3" w:rsidP="00F75F71">
      <w:pPr>
        <w:rPr>
          <w:rFonts w:eastAsia="Calibri"/>
          <w:bCs/>
          <w:sz w:val="24"/>
          <w:szCs w:val="24"/>
        </w:rPr>
      </w:pPr>
    </w:p>
    <w:p w14:paraId="1D2EC4C9" w14:textId="77777777" w:rsidR="0088148E" w:rsidRPr="00CE173A" w:rsidRDefault="0094388C" w:rsidP="00F75F71">
      <w:pPr>
        <w:rPr>
          <w:rFonts w:eastAsia="Calibri"/>
          <w:bCs/>
        </w:rPr>
      </w:pPr>
      <w:r w:rsidRPr="00CE173A">
        <w:rPr>
          <w:rFonts w:eastAsia="Calibri"/>
          <w:bCs/>
        </w:rPr>
        <w:t>H</w:t>
      </w:r>
      <w:r w:rsidR="0088148E" w:rsidRPr="00CE173A">
        <w:rPr>
          <w:rFonts w:eastAsia="Calibri"/>
          <w:bCs/>
        </w:rPr>
        <w:t xml:space="preserve">. Šileikė, tel. (8 5) 219 7034, el. p. Henrika.Sileike@vpt.lt </w:t>
      </w:r>
    </w:p>
    <w:sectPr w:rsidR="0088148E" w:rsidRPr="00CE173A" w:rsidSect="00246496">
      <w:headerReference w:type="even" r:id="rId10"/>
      <w:headerReference w:type="default" r:id="rId11"/>
      <w:footerReference w:type="default" r:id="rId12"/>
      <w:footerReference w:type="first" r:id="rId13"/>
      <w:pgSz w:w="11907" w:h="16840" w:code="9"/>
      <w:pgMar w:top="1134" w:right="567"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ABBFF" w14:textId="77777777" w:rsidR="0051771C" w:rsidRDefault="0051771C">
      <w:r>
        <w:separator/>
      </w:r>
    </w:p>
  </w:endnote>
  <w:endnote w:type="continuationSeparator" w:id="0">
    <w:p w14:paraId="572A81E8" w14:textId="77777777" w:rsidR="0051771C" w:rsidRDefault="0051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B292E" w14:textId="77777777" w:rsidR="00F81F8B" w:rsidRDefault="00F81F8B">
    <w:pPr>
      <w:pStyle w:val="Footer"/>
    </w:pPr>
  </w:p>
  <w:p w14:paraId="7297ABA4" w14:textId="77777777" w:rsidR="00F81F8B" w:rsidRDefault="00F81F8B">
    <w:pPr>
      <w:pStyle w:val="Footer"/>
    </w:pPr>
  </w:p>
  <w:p w14:paraId="3FA09BED" w14:textId="77777777" w:rsidR="00F81F8B" w:rsidRDefault="00F81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2AFE" w14:textId="77777777" w:rsidR="00F81F8B" w:rsidRPr="00BB2F72" w:rsidRDefault="00F81F8B" w:rsidP="004545DE">
    <w:pPr>
      <w:pBdr>
        <w:top w:val="single" w:sz="4" w:space="1" w:color="auto"/>
      </w:pBdr>
      <w:jc w:val="both"/>
      <w:rPr>
        <w:sz w:val="18"/>
      </w:rPr>
    </w:pPr>
    <w:r>
      <w:rPr>
        <w:sz w:val="18"/>
      </w:rPr>
      <w:t xml:space="preserve">Biudžetinė įstaiga                                 </w:t>
    </w:r>
    <w:r>
      <w:rPr>
        <w:sz w:val="18"/>
      </w:rPr>
      <w:tab/>
    </w:r>
    <w:r>
      <w:rPr>
        <w:sz w:val="18"/>
      </w:rPr>
      <w:tab/>
      <w:t xml:space="preserve">Tel.  (8 5) 219 7001            </w:t>
    </w:r>
    <w:r>
      <w:rPr>
        <w:sz w:val="18"/>
      </w:rPr>
      <w:tab/>
    </w:r>
    <w:r>
      <w:rPr>
        <w:sz w:val="18"/>
      </w:rPr>
      <w:tab/>
    </w:r>
    <w:r>
      <w:rPr>
        <w:sz w:val="18"/>
      </w:rPr>
      <w:tab/>
    </w:r>
    <w:r w:rsidRPr="00E9516F">
      <w:rPr>
        <w:sz w:val="18"/>
      </w:rPr>
      <w:t>Duomenys kaupiami ir saugomi</w:t>
    </w:r>
    <w:r w:rsidRPr="00BB2F72">
      <w:rPr>
        <w:sz w:val="18"/>
      </w:rPr>
      <w:t> </w:t>
    </w:r>
  </w:p>
  <w:p w14:paraId="49763F72" w14:textId="77777777" w:rsidR="00F81F8B" w:rsidRPr="00BB2F72" w:rsidRDefault="00F81F8B" w:rsidP="004545DE">
    <w:pPr>
      <w:pBdr>
        <w:top w:val="single" w:sz="4" w:space="1" w:color="auto"/>
      </w:pBdr>
      <w:jc w:val="both"/>
      <w:rPr>
        <w:sz w:val="18"/>
      </w:rPr>
    </w:pPr>
    <w:r>
      <w:rPr>
        <w:sz w:val="18"/>
      </w:rPr>
      <w:t>Kareivių g. 1,</w:t>
    </w:r>
    <w:r w:rsidR="00746686">
      <w:rPr>
        <w:sz w:val="18"/>
      </w:rPr>
      <w:t xml:space="preserve"> </w:t>
    </w:r>
    <w:r>
      <w:rPr>
        <w:sz w:val="18"/>
      </w:rPr>
      <w:t xml:space="preserve">08221 Vilnius         </w:t>
    </w:r>
    <w:r>
      <w:rPr>
        <w:sz w:val="18"/>
      </w:rPr>
      <w:tab/>
    </w:r>
    <w:r>
      <w:rPr>
        <w:sz w:val="18"/>
      </w:rPr>
      <w:tab/>
      <w:t xml:space="preserve">Faks. (8 5) 213 6213          </w:t>
    </w:r>
    <w:r>
      <w:rPr>
        <w:sz w:val="18"/>
      </w:rPr>
      <w:tab/>
    </w:r>
    <w:r>
      <w:rPr>
        <w:sz w:val="18"/>
      </w:rPr>
      <w:tab/>
    </w:r>
    <w:r>
      <w:rPr>
        <w:sz w:val="18"/>
      </w:rPr>
      <w:tab/>
    </w:r>
    <w:r w:rsidRPr="00BB2F72">
      <w:rPr>
        <w:sz w:val="18"/>
      </w:rPr>
      <w:t xml:space="preserve">Juridinių asmenų registre </w:t>
    </w:r>
  </w:p>
  <w:p w14:paraId="586CC4D7" w14:textId="77777777" w:rsidR="00F81F8B" w:rsidRPr="00BB2F72" w:rsidRDefault="00F81F8B" w:rsidP="004545DE">
    <w:pPr>
      <w:pBdr>
        <w:top w:val="single" w:sz="4" w:space="1" w:color="auto"/>
      </w:pBdr>
      <w:jc w:val="both"/>
      <w:rPr>
        <w:sz w:val="18"/>
      </w:rPr>
    </w:pPr>
    <w:r w:rsidRPr="00FD7CCD">
      <w:rPr>
        <w:sz w:val="18"/>
      </w:rPr>
      <w:t>http://www.vpt.l</w:t>
    </w:r>
    <w:r>
      <w:rPr>
        <w:sz w:val="18"/>
      </w:rPr>
      <w:t xml:space="preserve">t                                 </w:t>
    </w:r>
    <w:r>
      <w:rPr>
        <w:sz w:val="18"/>
      </w:rPr>
      <w:tab/>
    </w:r>
    <w:r>
      <w:rPr>
        <w:sz w:val="18"/>
      </w:rPr>
      <w:tab/>
      <w:t xml:space="preserve">El. p. info@vpt.lt       </w:t>
    </w:r>
    <w:r w:rsidRPr="00BB2F72">
      <w:rPr>
        <w:sz w:val="18"/>
      </w:rPr>
      <w:t xml:space="preserve">   </w:t>
    </w:r>
    <w:r>
      <w:rPr>
        <w:sz w:val="18"/>
      </w:rPr>
      <w:t xml:space="preserve"> </w:t>
    </w:r>
    <w:r w:rsidRPr="00BB2F72">
      <w:rPr>
        <w:sz w:val="18"/>
      </w:rPr>
      <w:t xml:space="preserve">     </w:t>
    </w:r>
    <w:r>
      <w:rPr>
        <w:sz w:val="18"/>
      </w:rPr>
      <w:tab/>
    </w:r>
    <w:r>
      <w:rPr>
        <w:sz w:val="18"/>
      </w:rPr>
      <w:tab/>
    </w:r>
    <w:r>
      <w:rPr>
        <w:sz w:val="18"/>
      </w:rPr>
      <w:tab/>
      <w:t>Kodas 188656261</w:t>
    </w:r>
  </w:p>
  <w:p w14:paraId="5FC8506F" w14:textId="77777777" w:rsidR="00F81F8B" w:rsidRPr="008F10BE" w:rsidRDefault="00F81F8B" w:rsidP="00225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E6B5C" w14:textId="77777777" w:rsidR="0051771C" w:rsidRDefault="0051771C">
      <w:r>
        <w:separator/>
      </w:r>
    </w:p>
  </w:footnote>
  <w:footnote w:type="continuationSeparator" w:id="0">
    <w:p w14:paraId="3EC280B1" w14:textId="77777777" w:rsidR="0051771C" w:rsidRDefault="0051771C">
      <w:r>
        <w:continuationSeparator/>
      </w:r>
    </w:p>
  </w:footnote>
  <w:footnote w:id="1">
    <w:p w14:paraId="4B03345A" w14:textId="77798A16" w:rsidR="00153D72" w:rsidRDefault="00153D72" w:rsidP="007E1DB8">
      <w:pPr>
        <w:pStyle w:val="FootnoteText"/>
        <w:jc w:val="both"/>
      </w:pPr>
      <w:r>
        <w:rPr>
          <w:rStyle w:val="FootnoteReference"/>
        </w:rPr>
        <w:footnoteRef/>
      </w:r>
      <w:r>
        <w:t xml:space="preserve"> </w:t>
      </w:r>
      <w:r w:rsidRPr="00153D72">
        <w:t>Pirkimą vykdė VšĮ Utenos ligoninės direktoriaus 2016-04-26 įsakymu Nr. V-41 sudaryta viešojo pirkimo komisija.</w:t>
      </w:r>
    </w:p>
  </w:footnote>
  <w:footnote w:id="2">
    <w:p w14:paraId="77ED85B6" w14:textId="02E886A4" w:rsidR="00892747" w:rsidRDefault="00892747" w:rsidP="007E1DB8">
      <w:pPr>
        <w:pStyle w:val="FootnoteText"/>
        <w:jc w:val="both"/>
      </w:pPr>
      <w:r>
        <w:rPr>
          <w:rStyle w:val="FootnoteReference"/>
        </w:rPr>
        <w:footnoteRef/>
      </w:r>
      <w:r>
        <w:t xml:space="preserve"> „</w:t>
      </w:r>
      <w:r w:rsidRPr="00FC0F64">
        <w:t>P</w:t>
      </w:r>
      <w:r>
        <w:t xml:space="preserve">erkančioji organizacija </w:t>
      </w:r>
      <w:r w:rsidR="004652F1">
        <w:t>užtikrina, kad vykdant pirkimą būtų laikomasi lygiateisiškumo, nediskriminavimo, abipusio pripažinimo, proporcingumo, skaidrumo principų</w:t>
      </w:r>
      <w:r>
        <w:t>“</w:t>
      </w:r>
      <w:r w:rsidR="00076C32">
        <w:t>.</w:t>
      </w:r>
    </w:p>
  </w:footnote>
  <w:footnote w:id="3">
    <w:p w14:paraId="05758DF0" w14:textId="11402067" w:rsidR="00AB194C" w:rsidRDefault="00AB194C" w:rsidP="007E1DB8">
      <w:pPr>
        <w:pStyle w:val="FootnoteText"/>
        <w:jc w:val="both"/>
      </w:pPr>
      <w:r>
        <w:rPr>
          <w:rStyle w:val="FootnoteReference"/>
        </w:rPr>
        <w:footnoteRef/>
      </w:r>
      <w:r>
        <w:t xml:space="preserve"> Įstatymo 17 straipsnio 2 dalis: „Perkančioji organizacija turi siekti, kad 1) prekėms, paslaugoms, ar darbams įsigyti skirtos lėšos būtų naudojamos racionaliai.“</w:t>
      </w:r>
    </w:p>
  </w:footnote>
  <w:footnote w:id="4">
    <w:p w14:paraId="14A5E7FD" w14:textId="29937FC8" w:rsidR="005C26B0" w:rsidRDefault="005C26B0" w:rsidP="007E1DB8">
      <w:pPr>
        <w:pStyle w:val="FootnoteText"/>
        <w:jc w:val="both"/>
      </w:pPr>
      <w:r>
        <w:rPr>
          <w:rStyle w:val="FootnoteReference"/>
        </w:rPr>
        <w:footnoteRef/>
      </w:r>
      <w:r>
        <w:t xml:space="preserve"> „Planuojant pirkimus ir jiems rengiantis negali būti siekiama &lt;...&gt; dirbtinai sumažinti konkurenciją. Laikoma, kad konkurencija yra dirbtinai sumažinta, kai pirkimu nepagrįstai sudaromos palankesnės ar nepalankesnės sąlygos tam tikriems tiekėjams.“</w:t>
      </w:r>
    </w:p>
  </w:footnote>
  <w:footnote w:id="5">
    <w:p w14:paraId="0FABD787" w14:textId="6F3E420B" w:rsidR="008B0582" w:rsidRDefault="008B0582" w:rsidP="007E1DB8">
      <w:pPr>
        <w:pStyle w:val="FootnoteText"/>
        <w:jc w:val="both"/>
      </w:pPr>
      <w:r>
        <w:rPr>
          <w:rStyle w:val="FootnoteReference"/>
        </w:rPr>
        <w:footnoteRef/>
      </w:r>
      <w:r>
        <w:t xml:space="preserve"> „Techninė specifikacija turi užtikrinti konkurenciją ir nediskriminuoti tiekėjų.“</w:t>
      </w:r>
    </w:p>
  </w:footnote>
  <w:footnote w:id="6">
    <w:p w14:paraId="145BE879" w14:textId="7637BD8D" w:rsidR="00115010" w:rsidRDefault="00115010" w:rsidP="007E1DB8">
      <w:pPr>
        <w:pStyle w:val="FootnoteText"/>
        <w:jc w:val="both"/>
      </w:pPr>
      <w:r>
        <w:rPr>
          <w:rStyle w:val="FootnoteReference"/>
        </w:rPr>
        <w:footnoteRef/>
      </w:r>
      <w:r>
        <w:t xml:space="preserve"> </w:t>
      </w:r>
      <w:r w:rsidRPr="00153D72">
        <w:rPr>
          <w:bCs/>
        </w:rPr>
        <w:t xml:space="preserve">Pirkimo sąlygų </w:t>
      </w:r>
      <w:r w:rsidRPr="00153D72">
        <w:t>priedo Nr. 1 „Techninė informacija. Techniniai ir kokybiniai reikalavimai“ 1.3 lentelės „Reagentai ir papildomos priemonės kraujo krešėjimo tyrimų analizatoriams (2 vnt.)“ 1 eilutė</w:t>
      </w:r>
      <w:r>
        <w:t>.</w:t>
      </w:r>
    </w:p>
  </w:footnote>
  <w:footnote w:id="7">
    <w:p w14:paraId="3B95AF0E" w14:textId="77777777" w:rsidR="004953BB" w:rsidRDefault="004953BB" w:rsidP="007E1DB8">
      <w:pPr>
        <w:pStyle w:val="FootnoteText"/>
        <w:jc w:val="both"/>
      </w:pPr>
      <w:r>
        <w:rPr>
          <w:rStyle w:val="FootnoteReference"/>
        </w:rPr>
        <w:footnoteRef/>
      </w:r>
      <w:r>
        <w:t xml:space="preserve"> </w:t>
      </w:r>
      <w:r w:rsidRPr="00115010">
        <w:rPr>
          <w:bCs/>
        </w:rPr>
        <w:t xml:space="preserve">Pirkimo sąlygų </w:t>
      </w:r>
      <w:r w:rsidRPr="00115010">
        <w:t>priedo Nr. 1 „Techninė informacija. Techniniai ir kokybiniai reikalavimai“ 1.2 lentelės „Techniniai ir kokybiniai reikalavimai kraujo krešėjimo tyrimų analizatoriams (2 vnt.) arba lygiaverčiams“ 5 eilutė bei 1.3 lentelės „Reagentai ir papildomos priemonės kraujo krešėjimo tyrimų analizatoriams (2 vnt.)“ 1, 2 ir 3 eilutės.</w:t>
      </w:r>
    </w:p>
  </w:footnote>
  <w:footnote w:id="8">
    <w:p w14:paraId="206CC689" w14:textId="77777777" w:rsidR="00153D72" w:rsidRDefault="00153D72" w:rsidP="007E1DB8">
      <w:pPr>
        <w:pStyle w:val="FootnoteText"/>
        <w:jc w:val="both"/>
      </w:pPr>
      <w:r>
        <w:rPr>
          <w:rStyle w:val="FootnoteReference"/>
        </w:rPr>
        <w:footnoteRef/>
      </w:r>
      <w:r>
        <w:t xml:space="preserve"> Chronometras (chrono + metras) – laikrodis, tiksliai matuojantis laiko intervalus (minutes, sekundes ir jų dalis), su paleidimo ir sustabdymo įtaisu. Chronometrinių metodų ypatumas yra apskaičiuoti laiką, per kurį įvyksta mus dominantis veiksmas / procesas (šiuo atveju, krešulio susidarymas).</w:t>
      </w:r>
    </w:p>
  </w:footnote>
  <w:footnote w:id="9">
    <w:p w14:paraId="736FBDBC" w14:textId="3DD7D5D2" w:rsidR="00833BA8" w:rsidRDefault="00833BA8" w:rsidP="007E1DB8">
      <w:pPr>
        <w:pStyle w:val="FootnoteText"/>
        <w:jc w:val="both"/>
      </w:pPr>
      <w:r>
        <w:rPr>
          <w:rStyle w:val="FootnoteReference"/>
        </w:rPr>
        <w:footnoteRef/>
      </w:r>
      <w:r>
        <w:t xml:space="preserve"> </w:t>
      </w:r>
      <w:r w:rsidRPr="00833BA8">
        <w:rPr>
          <w:bCs/>
        </w:rPr>
        <w:t xml:space="preserve">Pirkimo sąlygų </w:t>
      </w:r>
      <w:r w:rsidRPr="00833BA8">
        <w:t>priedo Nr. 1 „Techninė informacija. Techniniai ir kokybiniai reikalavimai“ 1.3 lentelės „Reagentai ir papildomos priemonės kraujo krešėjimo tyrimų analizatoriams (2 vnt.)“ 1 eilutė.</w:t>
      </w:r>
    </w:p>
  </w:footnote>
  <w:footnote w:id="10">
    <w:p w14:paraId="34878FF5" w14:textId="61803A00" w:rsidR="00833BA8" w:rsidRDefault="00833BA8" w:rsidP="007E1DB8">
      <w:pPr>
        <w:pStyle w:val="FootnoteText"/>
        <w:jc w:val="both"/>
      </w:pPr>
      <w:r>
        <w:rPr>
          <w:rStyle w:val="FootnoteReference"/>
        </w:rPr>
        <w:footnoteRef/>
      </w:r>
      <w:r>
        <w:t xml:space="preserve"> </w:t>
      </w:r>
      <w:r w:rsidRPr="00833BA8">
        <w:rPr>
          <w:bCs/>
        </w:rPr>
        <w:t xml:space="preserve">Pirkimo sąlygų </w:t>
      </w:r>
      <w:r w:rsidRPr="00833BA8">
        <w:t xml:space="preserve">priedo Nr. 1 „Techninė informacija. Techniniai ir kokybiniai reikalavimai“ 1.3 lentelės „Reagentai ir papildomos priemonės kraujo krešėjimo tyrimų analizatoriams (2 vnt.)“ </w:t>
      </w:r>
      <w:r>
        <w:t>2</w:t>
      </w:r>
      <w:r w:rsidRPr="00833BA8">
        <w:t xml:space="preserve"> eilutė.</w:t>
      </w:r>
    </w:p>
  </w:footnote>
  <w:footnote w:id="11">
    <w:p w14:paraId="58C383CA" w14:textId="018138D3" w:rsidR="00833BA8" w:rsidRDefault="00833BA8" w:rsidP="007E1DB8">
      <w:pPr>
        <w:pStyle w:val="FootnoteText"/>
        <w:jc w:val="both"/>
      </w:pPr>
      <w:r>
        <w:rPr>
          <w:rStyle w:val="FootnoteReference"/>
        </w:rPr>
        <w:footnoteRef/>
      </w:r>
      <w:r>
        <w:t xml:space="preserve"> </w:t>
      </w:r>
      <w:r w:rsidRPr="00833BA8">
        <w:rPr>
          <w:bCs/>
        </w:rPr>
        <w:t xml:space="preserve">Pirkimo sąlygų </w:t>
      </w:r>
      <w:r w:rsidRPr="00833BA8">
        <w:t xml:space="preserve">priedo Nr. 1 „Techninė informacija. Techniniai ir kokybiniai reikalavimai“ 1.3 lentelės „Reagentai ir papildomos priemonės kraujo krešėjimo tyrimų analizatoriams (2 vnt.)“ </w:t>
      </w:r>
      <w:r>
        <w:t>3</w:t>
      </w:r>
      <w:r w:rsidRPr="00833BA8">
        <w:t xml:space="preserve"> eilutė.</w:t>
      </w:r>
    </w:p>
  </w:footnote>
  <w:footnote w:id="12">
    <w:p w14:paraId="02151E2F" w14:textId="0E674986" w:rsidR="00474E4B" w:rsidRDefault="00474E4B">
      <w:pPr>
        <w:pStyle w:val="FootnoteText"/>
      </w:pPr>
      <w:r>
        <w:rPr>
          <w:rStyle w:val="FootnoteReference"/>
        </w:rPr>
        <w:footnoteRef/>
      </w:r>
      <w:r>
        <w:t xml:space="preserve"> Hemolizės, lipemijos, bilirubimenijos, padidėjusios plazmos baltymų koncentracijos, plazmos drumstumo.</w:t>
      </w:r>
    </w:p>
  </w:footnote>
  <w:footnote w:id="13">
    <w:p w14:paraId="4B9CA967" w14:textId="77777777" w:rsidR="00035FBB" w:rsidRDefault="00035FBB" w:rsidP="007E1DB8">
      <w:pPr>
        <w:pStyle w:val="FootnoteText"/>
        <w:jc w:val="both"/>
      </w:pPr>
      <w:r>
        <w:rPr>
          <w:rStyle w:val="FootnoteReference"/>
        </w:rPr>
        <w:footnoteRef/>
      </w:r>
      <w:r>
        <w:t xml:space="preserve"> VšĮ Utenos ligoninės 2019-04-29 raštas Nr. (7.75)VP-51 „Dėl atviro konkurso „Reagentai ir papildomos priemonės kraujo krešėjimo tyrimams su analizatorių panauda“ (pirkimo Nr. 418821) atsakymo į pretenziją“.</w:t>
      </w:r>
    </w:p>
  </w:footnote>
  <w:footnote w:id="14">
    <w:p w14:paraId="2E8D8936" w14:textId="77777777" w:rsidR="0059734E" w:rsidRDefault="0059734E" w:rsidP="007E1DB8">
      <w:pPr>
        <w:pStyle w:val="FootnoteText"/>
        <w:jc w:val="both"/>
      </w:pPr>
      <w:r>
        <w:rPr>
          <w:rStyle w:val="FootnoteReference"/>
        </w:rPr>
        <w:footnoteRef/>
      </w:r>
      <w:r>
        <w:t xml:space="preserve"> VšĮ Utenos ligoninės 2019-06-10 raštas Nr. (7.75)VP-80 „Dėl informacijos ir dokumentų parteikimo“.</w:t>
      </w:r>
    </w:p>
  </w:footnote>
  <w:footnote w:id="15">
    <w:p w14:paraId="58CF9FC9" w14:textId="03C78DAD" w:rsidR="004F5890" w:rsidRDefault="004F5890" w:rsidP="007E1DB8">
      <w:pPr>
        <w:pStyle w:val="FootnoteText"/>
        <w:jc w:val="both"/>
      </w:pPr>
      <w:r>
        <w:rPr>
          <w:rStyle w:val="FootnoteReference"/>
        </w:rPr>
        <w:footnoteRef/>
      </w:r>
      <w:r>
        <w:t xml:space="preserve"> </w:t>
      </w:r>
      <w:r w:rsidRPr="004F5890">
        <w:rPr>
          <w:bCs/>
        </w:rPr>
        <w:t xml:space="preserve">Pirkimo sąlygų </w:t>
      </w:r>
      <w:r w:rsidRPr="004F5890">
        <w:t>priedo Nr. 1 „Techninė informacija. Techniniai ir kokybiniai reikalavimai“ 1.3 lentelės „Reagentai ir papildomos priemonės kraujo krešėjimo tyrimų analizatoriams (2 vnt.)“ 1 eilutė.</w:t>
      </w:r>
    </w:p>
  </w:footnote>
  <w:footnote w:id="16">
    <w:p w14:paraId="49695653" w14:textId="77777777" w:rsidR="004953BB" w:rsidRDefault="004953BB" w:rsidP="007E1DB8">
      <w:pPr>
        <w:pStyle w:val="FootnoteText"/>
        <w:jc w:val="both"/>
      </w:pPr>
      <w:r>
        <w:rPr>
          <w:rStyle w:val="FootnoteReference"/>
        </w:rPr>
        <w:footnoteRef/>
      </w:r>
      <w:r>
        <w:t xml:space="preserve"> A</w:t>
      </w:r>
      <w:r w:rsidRPr="000B0727">
        <w:rPr>
          <w:bCs/>
        </w:rPr>
        <w:t xml:space="preserve">ngl. </w:t>
      </w:r>
      <w:r>
        <w:rPr>
          <w:bCs/>
        </w:rPr>
        <w:t>P</w:t>
      </w:r>
      <w:r w:rsidRPr="000B0727">
        <w:rPr>
          <w:bCs/>
        </w:rPr>
        <w:t xml:space="preserve">rothrombin </w:t>
      </w:r>
      <w:r>
        <w:rPr>
          <w:bCs/>
        </w:rPr>
        <w:t>T</w:t>
      </w:r>
      <w:r w:rsidRPr="000B0727">
        <w:rPr>
          <w:bCs/>
        </w:rPr>
        <w:t xml:space="preserve">ime </w:t>
      </w:r>
      <w:r>
        <w:rPr>
          <w:bCs/>
        </w:rPr>
        <w:t>(</w:t>
      </w:r>
      <w:r w:rsidRPr="000B0727">
        <w:rPr>
          <w:bCs/>
        </w:rPr>
        <w:t>PT)</w:t>
      </w:r>
      <w:r>
        <w:rPr>
          <w:bCs/>
        </w:rPr>
        <w:t>.</w:t>
      </w:r>
    </w:p>
  </w:footnote>
  <w:footnote w:id="17">
    <w:p w14:paraId="69218FA2" w14:textId="77777777" w:rsidR="004953BB" w:rsidRDefault="004953BB" w:rsidP="007E1DB8">
      <w:pPr>
        <w:pStyle w:val="FootnoteText"/>
        <w:jc w:val="both"/>
      </w:pPr>
      <w:r>
        <w:rPr>
          <w:rStyle w:val="FootnoteReference"/>
        </w:rPr>
        <w:footnoteRef/>
      </w:r>
      <w:r>
        <w:t xml:space="preserve"> </w:t>
      </w:r>
      <w:r w:rsidRPr="000A4904">
        <w:t>V</w:t>
      </w:r>
      <w:r>
        <w:t xml:space="preserve">alstybinės ligonių kasos </w:t>
      </w:r>
      <w:r w:rsidRPr="000A4904">
        <w:t>prie S</w:t>
      </w:r>
      <w:r>
        <w:t>veikatos apsaugos ministerijos d</w:t>
      </w:r>
      <w:r w:rsidRPr="000A4904">
        <w:t>irektoriaus 20</w:t>
      </w:r>
      <w:r>
        <w:t xml:space="preserve">15-11-27 </w:t>
      </w:r>
      <w:r w:rsidRPr="000A4904">
        <w:t>įsakymas Nr. 1K-</w:t>
      </w:r>
      <w:r>
        <w:t>343</w:t>
      </w:r>
      <w:r w:rsidRPr="000A4904">
        <w:t xml:space="preserve"> „D</w:t>
      </w:r>
      <w:r>
        <w:t xml:space="preserve">ėl </w:t>
      </w:r>
      <w:r w:rsidRPr="00705886">
        <w:t>Valstybinės ligonių kasos prie Sveikatos apsaugos ministerijos direktoriaus 2005-06-30 įsakym</w:t>
      </w:r>
      <w:r>
        <w:t>o</w:t>
      </w:r>
      <w:r w:rsidRPr="00705886">
        <w:t xml:space="preserve"> Nr. 1K-81 </w:t>
      </w:r>
      <w:r>
        <w:t>„Dėl asmens sveikatos priežiūros paslaugų ir sveikatos programose numatytų paslaugų</w:t>
      </w:r>
      <w:r w:rsidRPr="000A4904">
        <w:t>,</w:t>
      </w:r>
      <w:r>
        <w:t xml:space="preserve"> už kurias mokama iš privalomojo sveikatos draudimo fondo biudžeto, klasifikatoriaus patvirtinimo</w:t>
      </w:r>
      <w:r w:rsidRPr="000A4904">
        <w:t>“</w:t>
      </w:r>
      <w:r>
        <w:t xml:space="preserve"> pakeitimo“; </w:t>
      </w:r>
      <w:r w:rsidRPr="000A4904">
        <w:t>L</w:t>
      </w:r>
      <w:r>
        <w:t xml:space="preserve">ietuvos </w:t>
      </w:r>
      <w:r w:rsidRPr="000A4904">
        <w:t>R</w:t>
      </w:r>
      <w:r>
        <w:t xml:space="preserve">espublikos </w:t>
      </w:r>
      <w:r w:rsidRPr="000A4904">
        <w:t>Sveikatos apsaugos ministro 2002</w:t>
      </w:r>
      <w:r>
        <w:t xml:space="preserve">-08-14 </w:t>
      </w:r>
      <w:r w:rsidRPr="000A4904">
        <w:t>įsakymas  Nr. 422 „D</w:t>
      </w:r>
      <w:r>
        <w:t>ėl ligų diagnostikos bei ambulatorinio gydymo, kompensuojamo iš privalomojo sveikatos draudimo fondo biudžeto, metodikų patvirtinimo“.</w:t>
      </w:r>
    </w:p>
  </w:footnote>
  <w:footnote w:id="18">
    <w:p w14:paraId="47901FC1" w14:textId="77777777" w:rsidR="004953BB" w:rsidRDefault="004953BB" w:rsidP="007E1DB8">
      <w:pPr>
        <w:pStyle w:val="FootnoteText"/>
        <w:jc w:val="both"/>
      </w:pPr>
      <w:r>
        <w:rPr>
          <w:rStyle w:val="FootnoteReference"/>
        </w:rPr>
        <w:footnoteRef/>
      </w:r>
      <w:r>
        <w:t xml:space="preserve"> A</w:t>
      </w:r>
      <w:r w:rsidRPr="00C570C5">
        <w:rPr>
          <w:bCs/>
        </w:rPr>
        <w:t xml:space="preserve">ngl. International </w:t>
      </w:r>
      <w:r>
        <w:rPr>
          <w:bCs/>
        </w:rPr>
        <w:t>N</w:t>
      </w:r>
      <w:r w:rsidRPr="00C570C5">
        <w:rPr>
          <w:bCs/>
        </w:rPr>
        <w:t xml:space="preserve">ormalized </w:t>
      </w:r>
      <w:r>
        <w:rPr>
          <w:bCs/>
        </w:rPr>
        <w:t>R</w:t>
      </w:r>
      <w:r w:rsidRPr="00C570C5">
        <w:rPr>
          <w:bCs/>
        </w:rPr>
        <w:t xml:space="preserve">atio </w:t>
      </w:r>
      <w:r>
        <w:rPr>
          <w:bCs/>
        </w:rPr>
        <w:t>(</w:t>
      </w:r>
      <w:r w:rsidRPr="00C570C5">
        <w:rPr>
          <w:bCs/>
        </w:rPr>
        <w:t>INR</w:t>
      </w:r>
      <w:r>
        <w:rPr>
          <w:bCs/>
        </w:rPr>
        <w:t>).</w:t>
      </w:r>
    </w:p>
  </w:footnote>
  <w:footnote w:id="19">
    <w:p w14:paraId="1C9103ED" w14:textId="77777777" w:rsidR="004953BB" w:rsidRDefault="004953BB" w:rsidP="007E1DB8">
      <w:pPr>
        <w:pStyle w:val="FootnoteText"/>
        <w:jc w:val="both"/>
      </w:pPr>
      <w:r>
        <w:rPr>
          <w:rStyle w:val="FootnoteReference"/>
        </w:rPr>
        <w:footnoteRef/>
      </w:r>
      <w:r>
        <w:t xml:space="preserve"> VšĮ Utenos ligoninės direktoriaus </w:t>
      </w:r>
      <w:r w:rsidRPr="00E90AD3">
        <w:rPr>
          <w:bCs/>
        </w:rPr>
        <w:t>20</w:t>
      </w:r>
      <w:r>
        <w:rPr>
          <w:bCs/>
        </w:rPr>
        <w:t>16-04-26</w:t>
      </w:r>
      <w:r w:rsidRPr="00E90AD3">
        <w:rPr>
          <w:bCs/>
        </w:rPr>
        <w:t xml:space="preserve"> įsakymas „Dėl </w:t>
      </w:r>
      <w:r>
        <w:rPr>
          <w:bCs/>
        </w:rPr>
        <w:t>viešojo pirkimo komisijos sudarymo</w:t>
      </w:r>
      <w:r w:rsidRPr="00E90AD3">
        <w:rPr>
          <w:bCs/>
        </w:rPr>
        <w:t>“</w:t>
      </w:r>
      <w:r>
        <w:rPr>
          <w:bCs/>
        </w:rPr>
        <w:t xml:space="preserve"> Nr. V-41.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5A148" w14:textId="77777777" w:rsidR="00F81F8B" w:rsidRDefault="00F81F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98FF48" w14:textId="77777777" w:rsidR="00F81F8B" w:rsidRDefault="00F81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6954A" w14:textId="77777777" w:rsidR="00F81F8B" w:rsidRDefault="00F81F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2299">
      <w:rPr>
        <w:rStyle w:val="PageNumber"/>
        <w:noProof/>
      </w:rPr>
      <w:t>4</w:t>
    </w:r>
    <w:r>
      <w:rPr>
        <w:rStyle w:val="PageNumber"/>
      </w:rPr>
      <w:fldChar w:fldCharType="end"/>
    </w:r>
  </w:p>
  <w:p w14:paraId="17FA1D57" w14:textId="77777777" w:rsidR="00F81F8B" w:rsidRDefault="00F81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6D96496"/>
    <w:multiLevelType w:val="hybridMultilevel"/>
    <w:tmpl w:val="3CC6DE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727CF"/>
    <w:multiLevelType w:val="hybridMultilevel"/>
    <w:tmpl w:val="DCFAF7FE"/>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8"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C266E"/>
    <w:multiLevelType w:val="hybridMultilevel"/>
    <w:tmpl w:val="E9480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1"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F33AEF"/>
    <w:multiLevelType w:val="hybridMultilevel"/>
    <w:tmpl w:val="0308A2C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E41DA8"/>
    <w:multiLevelType w:val="hybridMultilevel"/>
    <w:tmpl w:val="DED893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095080"/>
    <w:multiLevelType w:val="hybridMultilevel"/>
    <w:tmpl w:val="0A3AAEC6"/>
    <w:lvl w:ilvl="0" w:tplc="EB886FF2">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5597C72"/>
    <w:multiLevelType w:val="hybridMultilevel"/>
    <w:tmpl w:val="05E2FC40"/>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3" w15:restartNumberingAfterBreak="0">
    <w:nsid w:val="5DEA2822"/>
    <w:multiLevelType w:val="hybridMultilevel"/>
    <w:tmpl w:val="61020EC4"/>
    <w:lvl w:ilvl="0" w:tplc="FC6A0BF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6"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9D6E90"/>
    <w:multiLevelType w:val="multilevel"/>
    <w:tmpl w:val="8CF2825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2"/>
  </w:num>
  <w:num w:numId="2">
    <w:abstractNumId w:val="30"/>
  </w:num>
  <w:num w:numId="3">
    <w:abstractNumId w:val="19"/>
  </w:num>
  <w:num w:numId="4">
    <w:abstractNumId w:val="22"/>
  </w:num>
  <w:num w:numId="5">
    <w:abstractNumId w:val="13"/>
  </w:num>
  <w:num w:numId="6">
    <w:abstractNumId w:val="10"/>
  </w:num>
  <w:num w:numId="7">
    <w:abstractNumId w:val="21"/>
  </w:num>
  <w:num w:numId="8">
    <w:abstractNumId w:val="29"/>
  </w:num>
  <w:num w:numId="9">
    <w:abstractNumId w:val="24"/>
  </w:num>
  <w:num w:numId="10">
    <w:abstractNumId w:val="32"/>
  </w:num>
  <w:num w:numId="11">
    <w:abstractNumId w:val="15"/>
  </w:num>
  <w:num w:numId="12">
    <w:abstractNumId w:val="26"/>
  </w:num>
  <w:num w:numId="13">
    <w:abstractNumId w:val="17"/>
  </w:num>
  <w:num w:numId="14">
    <w:abstractNumId w:val="4"/>
  </w:num>
  <w:num w:numId="15">
    <w:abstractNumId w:val="31"/>
  </w:num>
  <w:num w:numId="16">
    <w:abstractNumId w:val="5"/>
  </w:num>
  <w:num w:numId="17">
    <w:abstractNumId w:val="25"/>
  </w:num>
  <w:num w:numId="18">
    <w:abstractNumId w:val="28"/>
  </w:num>
  <w:num w:numId="19">
    <w:abstractNumId w:val="1"/>
  </w:num>
  <w:num w:numId="20">
    <w:abstractNumId w:val="0"/>
  </w:num>
  <w:num w:numId="21">
    <w:abstractNumId w:val="8"/>
  </w:num>
  <w:num w:numId="22">
    <w:abstractNumId w:val="6"/>
  </w:num>
  <w:num w:numId="23">
    <w:abstractNumId w:val="11"/>
  </w:num>
  <w:num w:numId="24">
    <w:abstractNumId w:val="2"/>
  </w:num>
  <w:num w:numId="25">
    <w:abstractNumId w:val="9"/>
  </w:num>
  <w:num w:numId="26">
    <w:abstractNumId w:val="27"/>
  </w:num>
  <w:num w:numId="27">
    <w:abstractNumId w:val="14"/>
  </w:num>
  <w:num w:numId="28">
    <w:abstractNumId w:val="7"/>
  </w:num>
  <w:num w:numId="29">
    <w:abstractNumId w:val="16"/>
  </w:num>
  <w:num w:numId="30">
    <w:abstractNumId w:val="20"/>
  </w:num>
  <w:num w:numId="31">
    <w:abstractNumId w:val="18"/>
  </w:num>
  <w:num w:numId="32">
    <w:abstractNumId w:val="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4F1F"/>
    <w:rsid w:val="000051DA"/>
    <w:rsid w:val="00005373"/>
    <w:rsid w:val="00007372"/>
    <w:rsid w:val="00010DAE"/>
    <w:rsid w:val="00012A03"/>
    <w:rsid w:val="00012ADC"/>
    <w:rsid w:val="00012CF3"/>
    <w:rsid w:val="00013C26"/>
    <w:rsid w:val="00020C7E"/>
    <w:rsid w:val="00021053"/>
    <w:rsid w:val="000220AE"/>
    <w:rsid w:val="00022115"/>
    <w:rsid w:val="00023B43"/>
    <w:rsid w:val="00030490"/>
    <w:rsid w:val="00032628"/>
    <w:rsid w:val="000327A3"/>
    <w:rsid w:val="00033A32"/>
    <w:rsid w:val="00033CC7"/>
    <w:rsid w:val="00035B85"/>
    <w:rsid w:val="00035EB7"/>
    <w:rsid w:val="00035FBB"/>
    <w:rsid w:val="00036B71"/>
    <w:rsid w:val="0004185D"/>
    <w:rsid w:val="00044AFE"/>
    <w:rsid w:val="000476AC"/>
    <w:rsid w:val="000506A7"/>
    <w:rsid w:val="00051CAB"/>
    <w:rsid w:val="00052C07"/>
    <w:rsid w:val="000536CD"/>
    <w:rsid w:val="00053BC5"/>
    <w:rsid w:val="00062FC5"/>
    <w:rsid w:val="00063476"/>
    <w:rsid w:val="0006795B"/>
    <w:rsid w:val="00071704"/>
    <w:rsid w:val="000717C1"/>
    <w:rsid w:val="00072251"/>
    <w:rsid w:val="00075D3A"/>
    <w:rsid w:val="00076C32"/>
    <w:rsid w:val="0008682A"/>
    <w:rsid w:val="00087CE3"/>
    <w:rsid w:val="00092283"/>
    <w:rsid w:val="0009375D"/>
    <w:rsid w:val="0009689A"/>
    <w:rsid w:val="00097718"/>
    <w:rsid w:val="00097A68"/>
    <w:rsid w:val="00097F19"/>
    <w:rsid w:val="000A1C7A"/>
    <w:rsid w:val="000A449F"/>
    <w:rsid w:val="000A4904"/>
    <w:rsid w:val="000A4E9C"/>
    <w:rsid w:val="000A5052"/>
    <w:rsid w:val="000B0727"/>
    <w:rsid w:val="000B16A4"/>
    <w:rsid w:val="000B2B62"/>
    <w:rsid w:val="000B32CC"/>
    <w:rsid w:val="000B4F30"/>
    <w:rsid w:val="000B6318"/>
    <w:rsid w:val="000B6B7A"/>
    <w:rsid w:val="000B6C1C"/>
    <w:rsid w:val="000B711A"/>
    <w:rsid w:val="000B7F6D"/>
    <w:rsid w:val="000C00B5"/>
    <w:rsid w:val="000C1BD8"/>
    <w:rsid w:val="000C453D"/>
    <w:rsid w:val="000C469A"/>
    <w:rsid w:val="000C7CB3"/>
    <w:rsid w:val="000D0AAE"/>
    <w:rsid w:val="000D197A"/>
    <w:rsid w:val="000D2534"/>
    <w:rsid w:val="000D3CB1"/>
    <w:rsid w:val="000D6ED2"/>
    <w:rsid w:val="000D7EE6"/>
    <w:rsid w:val="000E0200"/>
    <w:rsid w:val="000E09D7"/>
    <w:rsid w:val="000E0F48"/>
    <w:rsid w:val="000E44B4"/>
    <w:rsid w:val="000E5D45"/>
    <w:rsid w:val="000F219F"/>
    <w:rsid w:val="000F259D"/>
    <w:rsid w:val="000F3A51"/>
    <w:rsid w:val="000F4816"/>
    <w:rsid w:val="000F5D9B"/>
    <w:rsid w:val="001038D6"/>
    <w:rsid w:val="00103DFB"/>
    <w:rsid w:val="00104980"/>
    <w:rsid w:val="0011054C"/>
    <w:rsid w:val="001135D1"/>
    <w:rsid w:val="00115010"/>
    <w:rsid w:val="00115D49"/>
    <w:rsid w:val="00117AAD"/>
    <w:rsid w:val="00124DA9"/>
    <w:rsid w:val="001261CB"/>
    <w:rsid w:val="00127BAE"/>
    <w:rsid w:val="001316D9"/>
    <w:rsid w:val="0014246C"/>
    <w:rsid w:val="001530D4"/>
    <w:rsid w:val="00153D28"/>
    <w:rsid w:val="00153D72"/>
    <w:rsid w:val="00154DED"/>
    <w:rsid w:val="00161F9F"/>
    <w:rsid w:val="0016460B"/>
    <w:rsid w:val="00166628"/>
    <w:rsid w:val="0017077F"/>
    <w:rsid w:val="001709FB"/>
    <w:rsid w:val="00174911"/>
    <w:rsid w:val="00175CAB"/>
    <w:rsid w:val="00187999"/>
    <w:rsid w:val="00193F9C"/>
    <w:rsid w:val="001947C6"/>
    <w:rsid w:val="001962D7"/>
    <w:rsid w:val="001964F4"/>
    <w:rsid w:val="00197B6B"/>
    <w:rsid w:val="001A02BA"/>
    <w:rsid w:val="001A1436"/>
    <w:rsid w:val="001A2A3C"/>
    <w:rsid w:val="001A334E"/>
    <w:rsid w:val="001A368C"/>
    <w:rsid w:val="001B1233"/>
    <w:rsid w:val="001B1AE6"/>
    <w:rsid w:val="001B364E"/>
    <w:rsid w:val="001B5EDC"/>
    <w:rsid w:val="001B5FAA"/>
    <w:rsid w:val="001B762A"/>
    <w:rsid w:val="001C3E95"/>
    <w:rsid w:val="001C573C"/>
    <w:rsid w:val="001C64A9"/>
    <w:rsid w:val="001D5209"/>
    <w:rsid w:val="001D56C0"/>
    <w:rsid w:val="001E268A"/>
    <w:rsid w:val="001E4D19"/>
    <w:rsid w:val="001F0331"/>
    <w:rsid w:val="001F3C79"/>
    <w:rsid w:val="001F556E"/>
    <w:rsid w:val="00200A06"/>
    <w:rsid w:val="002011C3"/>
    <w:rsid w:val="0020247F"/>
    <w:rsid w:val="002104CD"/>
    <w:rsid w:val="00210A4E"/>
    <w:rsid w:val="00222572"/>
    <w:rsid w:val="00223E47"/>
    <w:rsid w:val="00224523"/>
    <w:rsid w:val="00225780"/>
    <w:rsid w:val="00225A91"/>
    <w:rsid w:val="00227A94"/>
    <w:rsid w:val="00233F9E"/>
    <w:rsid w:val="00234FC6"/>
    <w:rsid w:val="002361F7"/>
    <w:rsid w:val="00236A08"/>
    <w:rsid w:val="00244987"/>
    <w:rsid w:val="0024531A"/>
    <w:rsid w:val="00246496"/>
    <w:rsid w:val="00246B9A"/>
    <w:rsid w:val="00246C3A"/>
    <w:rsid w:val="002563D1"/>
    <w:rsid w:val="00256CEF"/>
    <w:rsid w:val="002571B3"/>
    <w:rsid w:val="00264928"/>
    <w:rsid w:val="00264A33"/>
    <w:rsid w:val="00267D5D"/>
    <w:rsid w:val="00271D37"/>
    <w:rsid w:val="00276B60"/>
    <w:rsid w:val="00282A9C"/>
    <w:rsid w:val="002859C8"/>
    <w:rsid w:val="00287365"/>
    <w:rsid w:val="002878B6"/>
    <w:rsid w:val="00297410"/>
    <w:rsid w:val="002A0391"/>
    <w:rsid w:val="002A06B0"/>
    <w:rsid w:val="002A06B3"/>
    <w:rsid w:val="002A670A"/>
    <w:rsid w:val="002B00C7"/>
    <w:rsid w:val="002B0D9C"/>
    <w:rsid w:val="002B32D4"/>
    <w:rsid w:val="002B52E1"/>
    <w:rsid w:val="002B5FFD"/>
    <w:rsid w:val="002B64E0"/>
    <w:rsid w:val="002B6A22"/>
    <w:rsid w:val="002B6E25"/>
    <w:rsid w:val="002C4875"/>
    <w:rsid w:val="002C4A68"/>
    <w:rsid w:val="002D1F71"/>
    <w:rsid w:val="002D2221"/>
    <w:rsid w:val="002D5292"/>
    <w:rsid w:val="002D54A2"/>
    <w:rsid w:val="002E7F56"/>
    <w:rsid w:val="002F2B58"/>
    <w:rsid w:val="002F566D"/>
    <w:rsid w:val="002F6A88"/>
    <w:rsid w:val="00300CAD"/>
    <w:rsid w:val="00301B74"/>
    <w:rsid w:val="003073A0"/>
    <w:rsid w:val="00313832"/>
    <w:rsid w:val="00313FC6"/>
    <w:rsid w:val="003146FA"/>
    <w:rsid w:val="00315AFD"/>
    <w:rsid w:val="00317CC0"/>
    <w:rsid w:val="003229F6"/>
    <w:rsid w:val="00323923"/>
    <w:rsid w:val="00337B9A"/>
    <w:rsid w:val="003406A1"/>
    <w:rsid w:val="0034536A"/>
    <w:rsid w:val="00347522"/>
    <w:rsid w:val="003507C5"/>
    <w:rsid w:val="00351E8D"/>
    <w:rsid w:val="00354B61"/>
    <w:rsid w:val="00355ABF"/>
    <w:rsid w:val="0035640A"/>
    <w:rsid w:val="00356A47"/>
    <w:rsid w:val="00357A1F"/>
    <w:rsid w:val="003601D5"/>
    <w:rsid w:val="003603C0"/>
    <w:rsid w:val="00362EC3"/>
    <w:rsid w:val="00363575"/>
    <w:rsid w:val="00364784"/>
    <w:rsid w:val="00365628"/>
    <w:rsid w:val="00366A1E"/>
    <w:rsid w:val="00372DC1"/>
    <w:rsid w:val="0037497F"/>
    <w:rsid w:val="00380130"/>
    <w:rsid w:val="00381A38"/>
    <w:rsid w:val="00383B2D"/>
    <w:rsid w:val="00383D8E"/>
    <w:rsid w:val="00383E99"/>
    <w:rsid w:val="00385D0A"/>
    <w:rsid w:val="00392CE3"/>
    <w:rsid w:val="00394BAF"/>
    <w:rsid w:val="00396B0F"/>
    <w:rsid w:val="003A034D"/>
    <w:rsid w:val="003A4571"/>
    <w:rsid w:val="003B006E"/>
    <w:rsid w:val="003B126A"/>
    <w:rsid w:val="003B1CB8"/>
    <w:rsid w:val="003B3873"/>
    <w:rsid w:val="003B61F5"/>
    <w:rsid w:val="003B6F14"/>
    <w:rsid w:val="003B7907"/>
    <w:rsid w:val="003B7FA3"/>
    <w:rsid w:val="003C4F5A"/>
    <w:rsid w:val="003D132C"/>
    <w:rsid w:val="003D210D"/>
    <w:rsid w:val="003D2BA3"/>
    <w:rsid w:val="003D366B"/>
    <w:rsid w:val="003D3D13"/>
    <w:rsid w:val="003D4521"/>
    <w:rsid w:val="003D5878"/>
    <w:rsid w:val="003E1B2B"/>
    <w:rsid w:val="003E52A1"/>
    <w:rsid w:val="003E6522"/>
    <w:rsid w:val="003F1797"/>
    <w:rsid w:val="003F2AFD"/>
    <w:rsid w:val="003F3E7B"/>
    <w:rsid w:val="003F5351"/>
    <w:rsid w:val="003F6798"/>
    <w:rsid w:val="003F7ECB"/>
    <w:rsid w:val="004001AE"/>
    <w:rsid w:val="00400419"/>
    <w:rsid w:val="004025E4"/>
    <w:rsid w:val="00403221"/>
    <w:rsid w:val="004036E3"/>
    <w:rsid w:val="00403F35"/>
    <w:rsid w:val="00407574"/>
    <w:rsid w:val="00411B20"/>
    <w:rsid w:val="00412169"/>
    <w:rsid w:val="00413ACA"/>
    <w:rsid w:val="0041421A"/>
    <w:rsid w:val="004171BA"/>
    <w:rsid w:val="004248B1"/>
    <w:rsid w:val="004306E5"/>
    <w:rsid w:val="00433CCA"/>
    <w:rsid w:val="0043638A"/>
    <w:rsid w:val="004434D2"/>
    <w:rsid w:val="00445FF1"/>
    <w:rsid w:val="0044729E"/>
    <w:rsid w:val="0045154A"/>
    <w:rsid w:val="00451FD8"/>
    <w:rsid w:val="004529AC"/>
    <w:rsid w:val="004545DE"/>
    <w:rsid w:val="00454D65"/>
    <w:rsid w:val="004567A8"/>
    <w:rsid w:val="00462749"/>
    <w:rsid w:val="00462A10"/>
    <w:rsid w:val="00462D1D"/>
    <w:rsid w:val="00464D09"/>
    <w:rsid w:val="004652F1"/>
    <w:rsid w:val="004653D9"/>
    <w:rsid w:val="00465640"/>
    <w:rsid w:val="004672AB"/>
    <w:rsid w:val="004726CF"/>
    <w:rsid w:val="00474E4B"/>
    <w:rsid w:val="00475E85"/>
    <w:rsid w:val="00476668"/>
    <w:rsid w:val="0047691F"/>
    <w:rsid w:val="004807C7"/>
    <w:rsid w:val="0048148B"/>
    <w:rsid w:val="00485AE2"/>
    <w:rsid w:val="00491154"/>
    <w:rsid w:val="00492330"/>
    <w:rsid w:val="00493E4F"/>
    <w:rsid w:val="004953BB"/>
    <w:rsid w:val="004962D1"/>
    <w:rsid w:val="004A2BDD"/>
    <w:rsid w:val="004A32E9"/>
    <w:rsid w:val="004A37DB"/>
    <w:rsid w:val="004A6E8F"/>
    <w:rsid w:val="004A701F"/>
    <w:rsid w:val="004A78DE"/>
    <w:rsid w:val="004B127C"/>
    <w:rsid w:val="004B57A9"/>
    <w:rsid w:val="004B5DD6"/>
    <w:rsid w:val="004B7F6F"/>
    <w:rsid w:val="004C09D3"/>
    <w:rsid w:val="004C39B1"/>
    <w:rsid w:val="004C44D9"/>
    <w:rsid w:val="004C6F2E"/>
    <w:rsid w:val="004D03A6"/>
    <w:rsid w:val="004D1BAD"/>
    <w:rsid w:val="004D2891"/>
    <w:rsid w:val="004D46F3"/>
    <w:rsid w:val="004D4EA3"/>
    <w:rsid w:val="004D50DD"/>
    <w:rsid w:val="004D68DB"/>
    <w:rsid w:val="004D6A5A"/>
    <w:rsid w:val="004E0A92"/>
    <w:rsid w:val="004E5F16"/>
    <w:rsid w:val="004F070D"/>
    <w:rsid w:val="004F19BD"/>
    <w:rsid w:val="004F2642"/>
    <w:rsid w:val="004F2FEC"/>
    <w:rsid w:val="004F4852"/>
    <w:rsid w:val="004F5890"/>
    <w:rsid w:val="004F6B07"/>
    <w:rsid w:val="004F733B"/>
    <w:rsid w:val="00507BFA"/>
    <w:rsid w:val="00510C55"/>
    <w:rsid w:val="00510D7D"/>
    <w:rsid w:val="00512E4F"/>
    <w:rsid w:val="00514B13"/>
    <w:rsid w:val="00515C07"/>
    <w:rsid w:val="00516079"/>
    <w:rsid w:val="00516788"/>
    <w:rsid w:val="0051771C"/>
    <w:rsid w:val="005207C3"/>
    <w:rsid w:val="00526AD2"/>
    <w:rsid w:val="00532610"/>
    <w:rsid w:val="00537663"/>
    <w:rsid w:val="00537E91"/>
    <w:rsid w:val="005428DC"/>
    <w:rsid w:val="00542910"/>
    <w:rsid w:val="00542FAC"/>
    <w:rsid w:val="00547ECB"/>
    <w:rsid w:val="00547EE2"/>
    <w:rsid w:val="0055274D"/>
    <w:rsid w:val="00552A27"/>
    <w:rsid w:val="0055324A"/>
    <w:rsid w:val="00554E90"/>
    <w:rsid w:val="00554FF6"/>
    <w:rsid w:val="00556F08"/>
    <w:rsid w:val="00557217"/>
    <w:rsid w:val="00557570"/>
    <w:rsid w:val="00563EBC"/>
    <w:rsid w:val="00564D4D"/>
    <w:rsid w:val="005700DD"/>
    <w:rsid w:val="00572D66"/>
    <w:rsid w:val="005811EC"/>
    <w:rsid w:val="00582298"/>
    <w:rsid w:val="00582F9E"/>
    <w:rsid w:val="00583103"/>
    <w:rsid w:val="005832AB"/>
    <w:rsid w:val="0058572D"/>
    <w:rsid w:val="00586530"/>
    <w:rsid w:val="0058683E"/>
    <w:rsid w:val="005872B5"/>
    <w:rsid w:val="00591750"/>
    <w:rsid w:val="00594394"/>
    <w:rsid w:val="00595157"/>
    <w:rsid w:val="00596E69"/>
    <w:rsid w:val="0059734E"/>
    <w:rsid w:val="00597D0F"/>
    <w:rsid w:val="005A1DFA"/>
    <w:rsid w:val="005A3C6F"/>
    <w:rsid w:val="005B073E"/>
    <w:rsid w:val="005B088B"/>
    <w:rsid w:val="005B0F81"/>
    <w:rsid w:val="005B6914"/>
    <w:rsid w:val="005B6FCB"/>
    <w:rsid w:val="005C07E0"/>
    <w:rsid w:val="005C26B0"/>
    <w:rsid w:val="005C31BC"/>
    <w:rsid w:val="005C4A0B"/>
    <w:rsid w:val="005D1EC3"/>
    <w:rsid w:val="005D3300"/>
    <w:rsid w:val="005E0BDC"/>
    <w:rsid w:val="005E61D1"/>
    <w:rsid w:val="005E7486"/>
    <w:rsid w:val="005F3063"/>
    <w:rsid w:val="005F580D"/>
    <w:rsid w:val="005F5F70"/>
    <w:rsid w:val="00601D8F"/>
    <w:rsid w:val="006020F8"/>
    <w:rsid w:val="0060312D"/>
    <w:rsid w:val="0060413D"/>
    <w:rsid w:val="00604645"/>
    <w:rsid w:val="0060688B"/>
    <w:rsid w:val="00606BB3"/>
    <w:rsid w:val="006130F2"/>
    <w:rsid w:val="00617673"/>
    <w:rsid w:val="006201DC"/>
    <w:rsid w:val="006216A1"/>
    <w:rsid w:val="00626943"/>
    <w:rsid w:val="00626FFB"/>
    <w:rsid w:val="006309B0"/>
    <w:rsid w:val="00633E2F"/>
    <w:rsid w:val="00634CB0"/>
    <w:rsid w:val="006358E2"/>
    <w:rsid w:val="00636C2D"/>
    <w:rsid w:val="00636F1B"/>
    <w:rsid w:val="006416BA"/>
    <w:rsid w:val="006416BB"/>
    <w:rsid w:val="00641920"/>
    <w:rsid w:val="0064412D"/>
    <w:rsid w:val="00647BE6"/>
    <w:rsid w:val="00650A6B"/>
    <w:rsid w:val="00653884"/>
    <w:rsid w:val="00654627"/>
    <w:rsid w:val="00654BAE"/>
    <w:rsid w:val="006576F9"/>
    <w:rsid w:val="006579F4"/>
    <w:rsid w:val="00657DCF"/>
    <w:rsid w:val="006608AC"/>
    <w:rsid w:val="00661BA7"/>
    <w:rsid w:val="00661FF8"/>
    <w:rsid w:val="00663222"/>
    <w:rsid w:val="00664877"/>
    <w:rsid w:val="0066527A"/>
    <w:rsid w:val="00665CE3"/>
    <w:rsid w:val="006725F0"/>
    <w:rsid w:val="006746AE"/>
    <w:rsid w:val="00677F3B"/>
    <w:rsid w:val="00681F41"/>
    <w:rsid w:val="0068575F"/>
    <w:rsid w:val="00686FB9"/>
    <w:rsid w:val="00691084"/>
    <w:rsid w:val="0069169D"/>
    <w:rsid w:val="00692322"/>
    <w:rsid w:val="006935D2"/>
    <w:rsid w:val="00693D78"/>
    <w:rsid w:val="00693F43"/>
    <w:rsid w:val="00694EC5"/>
    <w:rsid w:val="0069667B"/>
    <w:rsid w:val="006A0D66"/>
    <w:rsid w:val="006A189E"/>
    <w:rsid w:val="006A2877"/>
    <w:rsid w:val="006A3087"/>
    <w:rsid w:val="006A58F0"/>
    <w:rsid w:val="006A7541"/>
    <w:rsid w:val="006B5383"/>
    <w:rsid w:val="006B699B"/>
    <w:rsid w:val="006B6AB1"/>
    <w:rsid w:val="006B6EF5"/>
    <w:rsid w:val="006B7199"/>
    <w:rsid w:val="006B7885"/>
    <w:rsid w:val="006B7D68"/>
    <w:rsid w:val="006C1776"/>
    <w:rsid w:val="006C69AD"/>
    <w:rsid w:val="006C6A4E"/>
    <w:rsid w:val="006C6D10"/>
    <w:rsid w:val="006C6FDB"/>
    <w:rsid w:val="006D30CE"/>
    <w:rsid w:val="006D44EB"/>
    <w:rsid w:val="006D6F78"/>
    <w:rsid w:val="006D7E8A"/>
    <w:rsid w:val="006E2104"/>
    <w:rsid w:val="006E299F"/>
    <w:rsid w:val="006E49E8"/>
    <w:rsid w:val="006E77DE"/>
    <w:rsid w:val="006F06A6"/>
    <w:rsid w:val="006F40CE"/>
    <w:rsid w:val="006F70D4"/>
    <w:rsid w:val="00700508"/>
    <w:rsid w:val="00700704"/>
    <w:rsid w:val="007013A5"/>
    <w:rsid w:val="00702DFF"/>
    <w:rsid w:val="007033BC"/>
    <w:rsid w:val="007039AE"/>
    <w:rsid w:val="00705886"/>
    <w:rsid w:val="007064C6"/>
    <w:rsid w:val="00707161"/>
    <w:rsid w:val="00710079"/>
    <w:rsid w:val="007122AA"/>
    <w:rsid w:val="0071380F"/>
    <w:rsid w:val="007139FB"/>
    <w:rsid w:val="007142D2"/>
    <w:rsid w:val="0071460C"/>
    <w:rsid w:val="0072074D"/>
    <w:rsid w:val="007226D1"/>
    <w:rsid w:val="007241FC"/>
    <w:rsid w:val="007265B1"/>
    <w:rsid w:val="00727A68"/>
    <w:rsid w:val="00727CA6"/>
    <w:rsid w:val="00727CB0"/>
    <w:rsid w:val="007317E1"/>
    <w:rsid w:val="00733D75"/>
    <w:rsid w:val="0073429E"/>
    <w:rsid w:val="0074461E"/>
    <w:rsid w:val="00744E44"/>
    <w:rsid w:val="00746686"/>
    <w:rsid w:val="007500D9"/>
    <w:rsid w:val="00760CBC"/>
    <w:rsid w:val="0076578D"/>
    <w:rsid w:val="00765ED2"/>
    <w:rsid w:val="00776F8B"/>
    <w:rsid w:val="007777A8"/>
    <w:rsid w:val="00782635"/>
    <w:rsid w:val="00782723"/>
    <w:rsid w:val="00782C55"/>
    <w:rsid w:val="0078414A"/>
    <w:rsid w:val="007876D0"/>
    <w:rsid w:val="007903D4"/>
    <w:rsid w:val="00792F77"/>
    <w:rsid w:val="00793418"/>
    <w:rsid w:val="00793677"/>
    <w:rsid w:val="007964FA"/>
    <w:rsid w:val="007A0C75"/>
    <w:rsid w:val="007A3192"/>
    <w:rsid w:val="007A3CE6"/>
    <w:rsid w:val="007A7BE4"/>
    <w:rsid w:val="007A7FEC"/>
    <w:rsid w:val="007B5C2E"/>
    <w:rsid w:val="007B7485"/>
    <w:rsid w:val="007C1A5D"/>
    <w:rsid w:val="007C3363"/>
    <w:rsid w:val="007C3867"/>
    <w:rsid w:val="007C762B"/>
    <w:rsid w:val="007D0FBD"/>
    <w:rsid w:val="007D147A"/>
    <w:rsid w:val="007D4ED7"/>
    <w:rsid w:val="007D5459"/>
    <w:rsid w:val="007E1DB8"/>
    <w:rsid w:val="007E3EAF"/>
    <w:rsid w:val="007E5744"/>
    <w:rsid w:val="007E61A0"/>
    <w:rsid w:val="007E66B0"/>
    <w:rsid w:val="007E7008"/>
    <w:rsid w:val="007F0950"/>
    <w:rsid w:val="007F39C6"/>
    <w:rsid w:val="007F39CC"/>
    <w:rsid w:val="007F4A56"/>
    <w:rsid w:val="007F4BB1"/>
    <w:rsid w:val="007F62F4"/>
    <w:rsid w:val="00801D0A"/>
    <w:rsid w:val="0080489F"/>
    <w:rsid w:val="00806986"/>
    <w:rsid w:val="00806AB7"/>
    <w:rsid w:val="00810BEB"/>
    <w:rsid w:val="008124CA"/>
    <w:rsid w:val="00813E6B"/>
    <w:rsid w:val="00814619"/>
    <w:rsid w:val="00814A4F"/>
    <w:rsid w:val="00814D7C"/>
    <w:rsid w:val="0081658B"/>
    <w:rsid w:val="008175E3"/>
    <w:rsid w:val="00821EDB"/>
    <w:rsid w:val="00824381"/>
    <w:rsid w:val="0082781F"/>
    <w:rsid w:val="00832DBE"/>
    <w:rsid w:val="00833BA8"/>
    <w:rsid w:val="00835A10"/>
    <w:rsid w:val="0083695F"/>
    <w:rsid w:val="00836AAA"/>
    <w:rsid w:val="00840688"/>
    <w:rsid w:val="00845929"/>
    <w:rsid w:val="008465EF"/>
    <w:rsid w:val="00846E64"/>
    <w:rsid w:val="008477DD"/>
    <w:rsid w:val="008509D4"/>
    <w:rsid w:val="0085286E"/>
    <w:rsid w:val="00853C52"/>
    <w:rsid w:val="00854F66"/>
    <w:rsid w:val="008602CD"/>
    <w:rsid w:val="00861C52"/>
    <w:rsid w:val="008624A9"/>
    <w:rsid w:val="008631DC"/>
    <w:rsid w:val="00863D04"/>
    <w:rsid w:val="00864E0F"/>
    <w:rsid w:val="00865642"/>
    <w:rsid w:val="0086654E"/>
    <w:rsid w:val="00871491"/>
    <w:rsid w:val="008714CB"/>
    <w:rsid w:val="00877384"/>
    <w:rsid w:val="00877617"/>
    <w:rsid w:val="00877740"/>
    <w:rsid w:val="00880696"/>
    <w:rsid w:val="0088148E"/>
    <w:rsid w:val="00883593"/>
    <w:rsid w:val="00884B39"/>
    <w:rsid w:val="0089022E"/>
    <w:rsid w:val="00892747"/>
    <w:rsid w:val="00896D85"/>
    <w:rsid w:val="00897965"/>
    <w:rsid w:val="00897B60"/>
    <w:rsid w:val="008A03FE"/>
    <w:rsid w:val="008A2D6C"/>
    <w:rsid w:val="008A30B2"/>
    <w:rsid w:val="008A3AD7"/>
    <w:rsid w:val="008A4DB1"/>
    <w:rsid w:val="008A5A7B"/>
    <w:rsid w:val="008B0582"/>
    <w:rsid w:val="008B223F"/>
    <w:rsid w:val="008B369B"/>
    <w:rsid w:val="008B3E09"/>
    <w:rsid w:val="008B3EA4"/>
    <w:rsid w:val="008B4AF6"/>
    <w:rsid w:val="008C06E5"/>
    <w:rsid w:val="008C08DC"/>
    <w:rsid w:val="008C14FB"/>
    <w:rsid w:val="008C2F12"/>
    <w:rsid w:val="008D1273"/>
    <w:rsid w:val="008D4BA8"/>
    <w:rsid w:val="008E2C34"/>
    <w:rsid w:val="008E620F"/>
    <w:rsid w:val="008E6CDE"/>
    <w:rsid w:val="008E6EDF"/>
    <w:rsid w:val="008E74DB"/>
    <w:rsid w:val="008E7D4C"/>
    <w:rsid w:val="008F10BE"/>
    <w:rsid w:val="008F2652"/>
    <w:rsid w:val="008F2919"/>
    <w:rsid w:val="008F3BF6"/>
    <w:rsid w:val="008F5F10"/>
    <w:rsid w:val="008F68FF"/>
    <w:rsid w:val="00900135"/>
    <w:rsid w:val="009012E7"/>
    <w:rsid w:val="00905AAC"/>
    <w:rsid w:val="00907C82"/>
    <w:rsid w:val="00912672"/>
    <w:rsid w:val="00924869"/>
    <w:rsid w:val="00926AC0"/>
    <w:rsid w:val="009310AB"/>
    <w:rsid w:val="00932984"/>
    <w:rsid w:val="0094388C"/>
    <w:rsid w:val="00943DBD"/>
    <w:rsid w:val="00944479"/>
    <w:rsid w:val="00945641"/>
    <w:rsid w:val="00946648"/>
    <w:rsid w:val="00947987"/>
    <w:rsid w:val="009511FF"/>
    <w:rsid w:val="009516BB"/>
    <w:rsid w:val="00951BF7"/>
    <w:rsid w:val="00951DC3"/>
    <w:rsid w:val="0095689C"/>
    <w:rsid w:val="00956B26"/>
    <w:rsid w:val="00957B72"/>
    <w:rsid w:val="009607FC"/>
    <w:rsid w:val="00960990"/>
    <w:rsid w:val="00961067"/>
    <w:rsid w:val="00961D2E"/>
    <w:rsid w:val="00962A1E"/>
    <w:rsid w:val="00963CCD"/>
    <w:rsid w:val="00964056"/>
    <w:rsid w:val="009647F1"/>
    <w:rsid w:val="009704A9"/>
    <w:rsid w:val="00970AF5"/>
    <w:rsid w:val="00972EEC"/>
    <w:rsid w:val="00973092"/>
    <w:rsid w:val="0097361A"/>
    <w:rsid w:val="00980C60"/>
    <w:rsid w:val="00980F37"/>
    <w:rsid w:val="009831BF"/>
    <w:rsid w:val="0098540E"/>
    <w:rsid w:val="0098570E"/>
    <w:rsid w:val="00987111"/>
    <w:rsid w:val="0098735F"/>
    <w:rsid w:val="00987795"/>
    <w:rsid w:val="00987B4C"/>
    <w:rsid w:val="00987F7F"/>
    <w:rsid w:val="00990937"/>
    <w:rsid w:val="0099427E"/>
    <w:rsid w:val="009954E9"/>
    <w:rsid w:val="00995603"/>
    <w:rsid w:val="00995D7D"/>
    <w:rsid w:val="009A08FD"/>
    <w:rsid w:val="009A7CC2"/>
    <w:rsid w:val="009B0E76"/>
    <w:rsid w:val="009B4276"/>
    <w:rsid w:val="009B6B6D"/>
    <w:rsid w:val="009B709B"/>
    <w:rsid w:val="009C217A"/>
    <w:rsid w:val="009D0C0F"/>
    <w:rsid w:val="009D3EC8"/>
    <w:rsid w:val="009E040A"/>
    <w:rsid w:val="009E06D3"/>
    <w:rsid w:val="009E5AF1"/>
    <w:rsid w:val="009F1576"/>
    <w:rsid w:val="009F6CB9"/>
    <w:rsid w:val="00A00DDF"/>
    <w:rsid w:val="00A0309D"/>
    <w:rsid w:val="00A06D15"/>
    <w:rsid w:val="00A07134"/>
    <w:rsid w:val="00A07FB5"/>
    <w:rsid w:val="00A10430"/>
    <w:rsid w:val="00A1431E"/>
    <w:rsid w:val="00A15155"/>
    <w:rsid w:val="00A15ECC"/>
    <w:rsid w:val="00A16A3B"/>
    <w:rsid w:val="00A22E0E"/>
    <w:rsid w:val="00A24190"/>
    <w:rsid w:val="00A24A4A"/>
    <w:rsid w:val="00A24D9A"/>
    <w:rsid w:val="00A26FAE"/>
    <w:rsid w:val="00A31B09"/>
    <w:rsid w:val="00A4030A"/>
    <w:rsid w:val="00A41F79"/>
    <w:rsid w:val="00A43254"/>
    <w:rsid w:val="00A44E5E"/>
    <w:rsid w:val="00A4740E"/>
    <w:rsid w:val="00A479D8"/>
    <w:rsid w:val="00A57306"/>
    <w:rsid w:val="00A57E64"/>
    <w:rsid w:val="00A62D1A"/>
    <w:rsid w:val="00A630A8"/>
    <w:rsid w:val="00A73A36"/>
    <w:rsid w:val="00A74A8A"/>
    <w:rsid w:val="00A74C7C"/>
    <w:rsid w:val="00A76B1A"/>
    <w:rsid w:val="00A76D45"/>
    <w:rsid w:val="00A77BDD"/>
    <w:rsid w:val="00A82ADC"/>
    <w:rsid w:val="00A82D4A"/>
    <w:rsid w:val="00A8540A"/>
    <w:rsid w:val="00A85D78"/>
    <w:rsid w:val="00A919C1"/>
    <w:rsid w:val="00AA150F"/>
    <w:rsid w:val="00AA2AEA"/>
    <w:rsid w:val="00AA3802"/>
    <w:rsid w:val="00AA6776"/>
    <w:rsid w:val="00AA6E20"/>
    <w:rsid w:val="00AB00E9"/>
    <w:rsid w:val="00AB194C"/>
    <w:rsid w:val="00AB25FD"/>
    <w:rsid w:val="00AB3B99"/>
    <w:rsid w:val="00AB46D2"/>
    <w:rsid w:val="00AB7516"/>
    <w:rsid w:val="00AC0902"/>
    <w:rsid w:val="00AC14C2"/>
    <w:rsid w:val="00AC24AE"/>
    <w:rsid w:val="00AC3287"/>
    <w:rsid w:val="00AC3848"/>
    <w:rsid w:val="00AC5EAA"/>
    <w:rsid w:val="00AC720E"/>
    <w:rsid w:val="00AD009C"/>
    <w:rsid w:val="00AD28C2"/>
    <w:rsid w:val="00AD4A96"/>
    <w:rsid w:val="00AD4FCC"/>
    <w:rsid w:val="00AD6B9F"/>
    <w:rsid w:val="00AE1A79"/>
    <w:rsid w:val="00AE30AD"/>
    <w:rsid w:val="00AF0EB1"/>
    <w:rsid w:val="00AF2D97"/>
    <w:rsid w:val="00AF3FBD"/>
    <w:rsid w:val="00AF77D9"/>
    <w:rsid w:val="00B00DD6"/>
    <w:rsid w:val="00B01FD9"/>
    <w:rsid w:val="00B10AD1"/>
    <w:rsid w:val="00B11757"/>
    <w:rsid w:val="00B1182C"/>
    <w:rsid w:val="00B129AB"/>
    <w:rsid w:val="00B13D09"/>
    <w:rsid w:val="00B211EC"/>
    <w:rsid w:val="00B23540"/>
    <w:rsid w:val="00B24DEE"/>
    <w:rsid w:val="00B26A0A"/>
    <w:rsid w:val="00B27426"/>
    <w:rsid w:val="00B2761C"/>
    <w:rsid w:val="00B31DCD"/>
    <w:rsid w:val="00B32EA2"/>
    <w:rsid w:val="00B33E49"/>
    <w:rsid w:val="00B34117"/>
    <w:rsid w:val="00B3543E"/>
    <w:rsid w:val="00B35B08"/>
    <w:rsid w:val="00B36DDA"/>
    <w:rsid w:val="00B50E45"/>
    <w:rsid w:val="00B53DC4"/>
    <w:rsid w:val="00B550EB"/>
    <w:rsid w:val="00B55C56"/>
    <w:rsid w:val="00B55CDA"/>
    <w:rsid w:val="00B56BF4"/>
    <w:rsid w:val="00B56EB0"/>
    <w:rsid w:val="00B61E88"/>
    <w:rsid w:val="00B62719"/>
    <w:rsid w:val="00B62F9D"/>
    <w:rsid w:val="00B63385"/>
    <w:rsid w:val="00B64871"/>
    <w:rsid w:val="00B67F07"/>
    <w:rsid w:val="00B734E3"/>
    <w:rsid w:val="00B75CE1"/>
    <w:rsid w:val="00B77328"/>
    <w:rsid w:val="00B82040"/>
    <w:rsid w:val="00B8270C"/>
    <w:rsid w:val="00B85F0B"/>
    <w:rsid w:val="00B86D72"/>
    <w:rsid w:val="00B8724F"/>
    <w:rsid w:val="00B9449C"/>
    <w:rsid w:val="00B94EAA"/>
    <w:rsid w:val="00BA0E7B"/>
    <w:rsid w:val="00BA13EE"/>
    <w:rsid w:val="00BA4F02"/>
    <w:rsid w:val="00BA51B7"/>
    <w:rsid w:val="00BB0636"/>
    <w:rsid w:val="00BB1BBF"/>
    <w:rsid w:val="00BB2299"/>
    <w:rsid w:val="00BB27D9"/>
    <w:rsid w:val="00BB3371"/>
    <w:rsid w:val="00BB4296"/>
    <w:rsid w:val="00BB5278"/>
    <w:rsid w:val="00BB6D51"/>
    <w:rsid w:val="00BC2A65"/>
    <w:rsid w:val="00BC319D"/>
    <w:rsid w:val="00BC6417"/>
    <w:rsid w:val="00BD6365"/>
    <w:rsid w:val="00BE5F43"/>
    <w:rsid w:val="00BF0BDE"/>
    <w:rsid w:val="00BF0BE6"/>
    <w:rsid w:val="00BF1155"/>
    <w:rsid w:val="00BF30D4"/>
    <w:rsid w:val="00BF5913"/>
    <w:rsid w:val="00C00D92"/>
    <w:rsid w:val="00C014D0"/>
    <w:rsid w:val="00C02C89"/>
    <w:rsid w:val="00C03C21"/>
    <w:rsid w:val="00C03CE6"/>
    <w:rsid w:val="00C04AB2"/>
    <w:rsid w:val="00C11535"/>
    <w:rsid w:val="00C14977"/>
    <w:rsid w:val="00C14B18"/>
    <w:rsid w:val="00C16301"/>
    <w:rsid w:val="00C17B58"/>
    <w:rsid w:val="00C20630"/>
    <w:rsid w:val="00C21C19"/>
    <w:rsid w:val="00C2514D"/>
    <w:rsid w:val="00C267ED"/>
    <w:rsid w:val="00C3102D"/>
    <w:rsid w:val="00C32451"/>
    <w:rsid w:val="00C347DD"/>
    <w:rsid w:val="00C3564A"/>
    <w:rsid w:val="00C43F70"/>
    <w:rsid w:val="00C45C85"/>
    <w:rsid w:val="00C53E72"/>
    <w:rsid w:val="00C55F76"/>
    <w:rsid w:val="00C570C5"/>
    <w:rsid w:val="00C60E43"/>
    <w:rsid w:val="00C63037"/>
    <w:rsid w:val="00C63366"/>
    <w:rsid w:val="00C66721"/>
    <w:rsid w:val="00C66CE8"/>
    <w:rsid w:val="00C677BE"/>
    <w:rsid w:val="00C71B4A"/>
    <w:rsid w:val="00C7210E"/>
    <w:rsid w:val="00C7371C"/>
    <w:rsid w:val="00C73CF2"/>
    <w:rsid w:val="00C76A98"/>
    <w:rsid w:val="00C77C45"/>
    <w:rsid w:val="00C90612"/>
    <w:rsid w:val="00C911B9"/>
    <w:rsid w:val="00C93AF9"/>
    <w:rsid w:val="00C9438A"/>
    <w:rsid w:val="00C950D7"/>
    <w:rsid w:val="00C95B7C"/>
    <w:rsid w:val="00C96CAB"/>
    <w:rsid w:val="00CA09B7"/>
    <w:rsid w:val="00CA181A"/>
    <w:rsid w:val="00CA2CB2"/>
    <w:rsid w:val="00CA2CC5"/>
    <w:rsid w:val="00CB1DBF"/>
    <w:rsid w:val="00CC1551"/>
    <w:rsid w:val="00CC41E7"/>
    <w:rsid w:val="00CC5CDB"/>
    <w:rsid w:val="00CC7615"/>
    <w:rsid w:val="00CD0D68"/>
    <w:rsid w:val="00CD3767"/>
    <w:rsid w:val="00CD5036"/>
    <w:rsid w:val="00CD6CA7"/>
    <w:rsid w:val="00CE09C2"/>
    <w:rsid w:val="00CE0BA1"/>
    <w:rsid w:val="00CE173A"/>
    <w:rsid w:val="00CE2D44"/>
    <w:rsid w:val="00CE4739"/>
    <w:rsid w:val="00CE6C99"/>
    <w:rsid w:val="00CF04CE"/>
    <w:rsid w:val="00CF1569"/>
    <w:rsid w:val="00CF6ED4"/>
    <w:rsid w:val="00D0127C"/>
    <w:rsid w:val="00D021FE"/>
    <w:rsid w:val="00D040CF"/>
    <w:rsid w:val="00D04BBF"/>
    <w:rsid w:val="00D10D48"/>
    <w:rsid w:val="00D11A4A"/>
    <w:rsid w:val="00D11D82"/>
    <w:rsid w:val="00D12EBB"/>
    <w:rsid w:val="00D21001"/>
    <w:rsid w:val="00D212C0"/>
    <w:rsid w:val="00D21367"/>
    <w:rsid w:val="00D215F6"/>
    <w:rsid w:val="00D22153"/>
    <w:rsid w:val="00D23637"/>
    <w:rsid w:val="00D24288"/>
    <w:rsid w:val="00D24A8E"/>
    <w:rsid w:val="00D26C7E"/>
    <w:rsid w:val="00D26C9F"/>
    <w:rsid w:val="00D306F0"/>
    <w:rsid w:val="00D30739"/>
    <w:rsid w:val="00D31E5E"/>
    <w:rsid w:val="00D33019"/>
    <w:rsid w:val="00D37AE0"/>
    <w:rsid w:val="00D37F0F"/>
    <w:rsid w:val="00D405C3"/>
    <w:rsid w:val="00D40D40"/>
    <w:rsid w:val="00D45402"/>
    <w:rsid w:val="00D479B7"/>
    <w:rsid w:val="00D47BF2"/>
    <w:rsid w:val="00D5057E"/>
    <w:rsid w:val="00D57EA6"/>
    <w:rsid w:val="00D62AC2"/>
    <w:rsid w:val="00D63143"/>
    <w:rsid w:val="00D664E9"/>
    <w:rsid w:val="00D73086"/>
    <w:rsid w:val="00D73CF3"/>
    <w:rsid w:val="00D74661"/>
    <w:rsid w:val="00D85623"/>
    <w:rsid w:val="00D86429"/>
    <w:rsid w:val="00D87661"/>
    <w:rsid w:val="00D917BE"/>
    <w:rsid w:val="00D93ED9"/>
    <w:rsid w:val="00D944B0"/>
    <w:rsid w:val="00D96926"/>
    <w:rsid w:val="00D96A6B"/>
    <w:rsid w:val="00DA5DA7"/>
    <w:rsid w:val="00DA6540"/>
    <w:rsid w:val="00DA6733"/>
    <w:rsid w:val="00DB2F39"/>
    <w:rsid w:val="00DB377D"/>
    <w:rsid w:val="00DB3D63"/>
    <w:rsid w:val="00DB715B"/>
    <w:rsid w:val="00DC6CB9"/>
    <w:rsid w:val="00DC740F"/>
    <w:rsid w:val="00DD083B"/>
    <w:rsid w:val="00DD0A6D"/>
    <w:rsid w:val="00DD11A7"/>
    <w:rsid w:val="00DD2C9A"/>
    <w:rsid w:val="00DD6B1F"/>
    <w:rsid w:val="00DD7006"/>
    <w:rsid w:val="00DD75A6"/>
    <w:rsid w:val="00DE351A"/>
    <w:rsid w:val="00DE6EA9"/>
    <w:rsid w:val="00DE7300"/>
    <w:rsid w:val="00DF184E"/>
    <w:rsid w:val="00DF2C6A"/>
    <w:rsid w:val="00DF3810"/>
    <w:rsid w:val="00DF3E94"/>
    <w:rsid w:val="00DF5B05"/>
    <w:rsid w:val="00E00CCF"/>
    <w:rsid w:val="00E01216"/>
    <w:rsid w:val="00E01475"/>
    <w:rsid w:val="00E01F7C"/>
    <w:rsid w:val="00E02E4F"/>
    <w:rsid w:val="00E031E0"/>
    <w:rsid w:val="00E0334F"/>
    <w:rsid w:val="00E03CAA"/>
    <w:rsid w:val="00E05C3E"/>
    <w:rsid w:val="00E0756A"/>
    <w:rsid w:val="00E1020E"/>
    <w:rsid w:val="00E10488"/>
    <w:rsid w:val="00E117ED"/>
    <w:rsid w:val="00E11AC6"/>
    <w:rsid w:val="00E1271F"/>
    <w:rsid w:val="00E13347"/>
    <w:rsid w:val="00E1506E"/>
    <w:rsid w:val="00E15AB1"/>
    <w:rsid w:val="00E1788F"/>
    <w:rsid w:val="00E200F6"/>
    <w:rsid w:val="00E21E67"/>
    <w:rsid w:val="00E244C5"/>
    <w:rsid w:val="00E3200B"/>
    <w:rsid w:val="00E3256A"/>
    <w:rsid w:val="00E34852"/>
    <w:rsid w:val="00E34C4E"/>
    <w:rsid w:val="00E41D4E"/>
    <w:rsid w:val="00E44ECF"/>
    <w:rsid w:val="00E47799"/>
    <w:rsid w:val="00E50AEE"/>
    <w:rsid w:val="00E52303"/>
    <w:rsid w:val="00E52781"/>
    <w:rsid w:val="00E54082"/>
    <w:rsid w:val="00E57CC2"/>
    <w:rsid w:val="00E57E4F"/>
    <w:rsid w:val="00E60FDD"/>
    <w:rsid w:val="00E63BD5"/>
    <w:rsid w:val="00E67ED1"/>
    <w:rsid w:val="00E7655B"/>
    <w:rsid w:val="00E8449C"/>
    <w:rsid w:val="00E8611F"/>
    <w:rsid w:val="00E912C2"/>
    <w:rsid w:val="00E921DD"/>
    <w:rsid w:val="00E93062"/>
    <w:rsid w:val="00E96493"/>
    <w:rsid w:val="00E96545"/>
    <w:rsid w:val="00EA465B"/>
    <w:rsid w:val="00EA68EB"/>
    <w:rsid w:val="00EB0641"/>
    <w:rsid w:val="00EB1882"/>
    <w:rsid w:val="00EB7DCC"/>
    <w:rsid w:val="00EC1185"/>
    <w:rsid w:val="00EC1432"/>
    <w:rsid w:val="00EC1779"/>
    <w:rsid w:val="00EC3B31"/>
    <w:rsid w:val="00EC648C"/>
    <w:rsid w:val="00EC7D09"/>
    <w:rsid w:val="00ED335A"/>
    <w:rsid w:val="00ED3CEF"/>
    <w:rsid w:val="00ED55F5"/>
    <w:rsid w:val="00EE0581"/>
    <w:rsid w:val="00EE277F"/>
    <w:rsid w:val="00EE2F54"/>
    <w:rsid w:val="00EE378D"/>
    <w:rsid w:val="00EE5618"/>
    <w:rsid w:val="00EE5CA5"/>
    <w:rsid w:val="00EE6BF4"/>
    <w:rsid w:val="00EF133B"/>
    <w:rsid w:val="00EF2B12"/>
    <w:rsid w:val="00EF34FA"/>
    <w:rsid w:val="00F00C24"/>
    <w:rsid w:val="00F0230B"/>
    <w:rsid w:val="00F0308B"/>
    <w:rsid w:val="00F060A9"/>
    <w:rsid w:val="00F06805"/>
    <w:rsid w:val="00F139D9"/>
    <w:rsid w:val="00F15688"/>
    <w:rsid w:val="00F157AA"/>
    <w:rsid w:val="00F170B2"/>
    <w:rsid w:val="00F17B34"/>
    <w:rsid w:val="00F2125E"/>
    <w:rsid w:val="00F21E4E"/>
    <w:rsid w:val="00F244B9"/>
    <w:rsid w:val="00F30B28"/>
    <w:rsid w:val="00F317D1"/>
    <w:rsid w:val="00F31903"/>
    <w:rsid w:val="00F31AC1"/>
    <w:rsid w:val="00F31EE1"/>
    <w:rsid w:val="00F327BB"/>
    <w:rsid w:val="00F34035"/>
    <w:rsid w:val="00F40A0B"/>
    <w:rsid w:val="00F40EE3"/>
    <w:rsid w:val="00F452C8"/>
    <w:rsid w:val="00F51022"/>
    <w:rsid w:val="00F51331"/>
    <w:rsid w:val="00F52B4B"/>
    <w:rsid w:val="00F56D62"/>
    <w:rsid w:val="00F5710E"/>
    <w:rsid w:val="00F606BC"/>
    <w:rsid w:val="00F60AED"/>
    <w:rsid w:val="00F70E44"/>
    <w:rsid w:val="00F71158"/>
    <w:rsid w:val="00F71D16"/>
    <w:rsid w:val="00F72A76"/>
    <w:rsid w:val="00F75C32"/>
    <w:rsid w:val="00F75CB5"/>
    <w:rsid w:val="00F75D57"/>
    <w:rsid w:val="00F75F71"/>
    <w:rsid w:val="00F80419"/>
    <w:rsid w:val="00F812B1"/>
    <w:rsid w:val="00F81F8B"/>
    <w:rsid w:val="00F822F1"/>
    <w:rsid w:val="00F83BCF"/>
    <w:rsid w:val="00F84319"/>
    <w:rsid w:val="00F90553"/>
    <w:rsid w:val="00F90D16"/>
    <w:rsid w:val="00F91A5F"/>
    <w:rsid w:val="00F92E34"/>
    <w:rsid w:val="00F93201"/>
    <w:rsid w:val="00F94496"/>
    <w:rsid w:val="00F948CD"/>
    <w:rsid w:val="00FA0294"/>
    <w:rsid w:val="00FA0C34"/>
    <w:rsid w:val="00FA1BEC"/>
    <w:rsid w:val="00FA1EF3"/>
    <w:rsid w:val="00FA3073"/>
    <w:rsid w:val="00FA3B94"/>
    <w:rsid w:val="00FA76E1"/>
    <w:rsid w:val="00FB200E"/>
    <w:rsid w:val="00FB431A"/>
    <w:rsid w:val="00FB5435"/>
    <w:rsid w:val="00FB5E9C"/>
    <w:rsid w:val="00FB7CBA"/>
    <w:rsid w:val="00FC0559"/>
    <w:rsid w:val="00FC1324"/>
    <w:rsid w:val="00FC233C"/>
    <w:rsid w:val="00FC3335"/>
    <w:rsid w:val="00FC6632"/>
    <w:rsid w:val="00FE20C4"/>
    <w:rsid w:val="00FE2AEF"/>
    <w:rsid w:val="00FE3CA1"/>
    <w:rsid w:val="00FE4695"/>
    <w:rsid w:val="00FE6F4D"/>
    <w:rsid w:val="00FE72D9"/>
    <w:rsid w:val="00FF013B"/>
    <w:rsid w:val="00FF0E24"/>
    <w:rsid w:val="00FF7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985576A"/>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F9F"/>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uiPriority w:val="99"/>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basedOn w:val="Normal"/>
    <w:link w:val="FootnoteTextChar"/>
    <w:uiPriority w:val="99"/>
    <w:unhideWhenUsed/>
    <w:rsid w:val="0088148E"/>
  </w:style>
  <w:style w:type="character" w:customStyle="1" w:styleId="FootnoteTextChar">
    <w:name w:val="Footnote Text Char"/>
    <w:basedOn w:val="DefaultParagraphFont"/>
    <w:link w:val="FootnoteText"/>
    <w:uiPriority w:val="99"/>
    <w:rsid w:val="0088148E"/>
    <w:rPr>
      <w:lang w:eastAsia="en-US"/>
    </w:rPr>
  </w:style>
  <w:style w:type="character" w:styleId="FootnoteReference">
    <w:name w:val="footnote reference"/>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6746AE"/>
    <w:rPr>
      <w:color w:val="605E5C"/>
      <w:shd w:val="clear" w:color="auto" w:fill="E1DFDD"/>
    </w:rPr>
  </w:style>
  <w:style w:type="paragraph" w:styleId="BodyTextIndent3">
    <w:name w:val="Body Text Indent 3"/>
    <w:basedOn w:val="Normal"/>
    <w:link w:val="BodyTextIndent3Char"/>
    <w:semiHidden/>
    <w:unhideWhenUsed/>
    <w:rsid w:val="009E040A"/>
    <w:pPr>
      <w:spacing w:after="120"/>
      <w:ind w:left="283"/>
    </w:pPr>
    <w:rPr>
      <w:sz w:val="16"/>
      <w:szCs w:val="16"/>
    </w:rPr>
  </w:style>
  <w:style w:type="character" w:customStyle="1" w:styleId="BodyTextIndent3Char">
    <w:name w:val="Body Text Indent 3 Char"/>
    <w:basedOn w:val="DefaultParagraphFont"/>
    <w:link w:val="BodyTextIndent3"/>
    <w:semiHidden/>
    <w:rsid w:val="009E040A"/>
    <w:rPr>
      <w:sz w:val="16"/>
      <w:szCs w:val="16"/>
      <w:lang w:eastAsia="en-US"/>
    </w:rPr>
  </w:style>
  <w:style w:type="character" w:styleId="UnresolvedMention">
    <w:name w:val="Unresolved Mention"/>
    <w:basedOn w:val="DefaultParagraphFont"/>
    <w:uiPriority w:val="99"/>
    <w:semiHidden/>
    <w:unhideWhenUsed/>
    <w:rsid w:val="00E96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90724">
      <w:bodyDiv w:val="1"/>
      <w:marLeft w:val="0"/>
      <w:marRight w:val="0"/>
      <w:marTop w:val="0"/>
      <w:marBottom w:val="0"/>
      <w:divBdr>
        <w:top w:val="none" w:sz="0" w:space="0" w:color="auto"/>
        <w:left w:val="none" w:sz="0" w:space="0" w:color="auto"/>
        <w:bottom w:val="none" w:sz="0" w:space="0" w:color="auto"/>
        <w:right w:val="none" w:sz="0" w:space="0" w:color="auto"/>
      </w:divBdr>
    </w:div>
    <w:div w:id="458038368">
      <w:bodyDiv w:val="1"/>
      <w:marLeft w:val="0"/>
      <w:marRight w:val="0"/>
      <w:marTop w:val="0"/>
      <w:marBottom w:val="0"/>
      <w:divBdr>
        <w:top w:val="none" w:sz="0" w:space="0" w:color="auto"/>
        <w:left w:val="none" w:sz="0" w:space="0" w:color="auto"/>
        <w:bottom w:val="none" w:sz="0" w:space="0" w:color="auto"/>
        <w:right w:val="none" w:sz="0" w:space="0" w:color="auto"/>
      </w:divBdr>
    </w:div>
    <w:div w:id="51512027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74268069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1547251296">
      <w:bodyDiv w:val="1"/>
      <w:marLeft w:val="0"/>
      <w:marRight w:val="0"/>
      <w:marTop w:val="0"/>
      <w:marBottom w:val="0"/>
      <w:divBdr>
        <w:top w:val="none" w:sz="0" w:space="0" w:color="auto"/>
        <w:left w:val="none" w:sz="0" w:space="0" w:color="auto"/>
        <w:bottom w:val="none" w:sz="0" w:space="0" w:color="auto"/>
        <w:right w:val="none" w:sz="0" w:space="0" w:color="auto"/>
      </w:divBdr>
      <w:divsChild>
        <w:div w:id="1509641230">
          <w:marLeft w:val="0"/>
          <w:marRight w:val="0"/>
          <w:marTop w:val="0"/>
          <w:marBottom w:val="0"/>
          <w:divBdr>
            <w:top w:val="none" w:sz="0" w:space="0" w:color="auto"/>
            <w:left w:val="none" w:sz="0" w:space="0" w:color="auto"/>
            <w:bottom w:val="none" w:sz="0" w:space="0" w:color="auto"/>
            <w:right w:val="none" w:sz="0" w:space="0" w:color="auto"/>
          </w:divBdr>
        </w:div>
        <w:div w:id="1386760311">
          <w:marLeft w:val="0"/>
          <w:marRight w:val="0"/>
          <w:marTop w:val="0"/>
          <w:marBottom w:val="0"/>
          <w:divBdr>
            <w:top w:val="none" w:sz="0" w:space="0" w:color="auto"/>
            <w:left w:val="none" w:sz="0" w:space="0" w:color="auto"/>
            <w:bottom w:val="none" w:sz="0" w:space="0" w:color="auto"/>
            <w:right w:val="none" w:sz="0" w:space="0" w:color="auto"/>
          </w:divBdr>
        </w:div>
        <w:div w:id="664208226">
          <w:marLeft w:val="0"/>
          <w:marRight w:val="0"/>
          <w:marTop w:val="0"/>
          <w:marBottom w:val="0"/>
          <w:divBdr>
            <w:top w:val="none" w:sz="0" w:space="0" w:color="auto"/>
            <w:left w:val="none" w:sz="0" w:space="0" w:color="auto"/>
            <w:bottom w:val="none" w:sz="0" w:space="0" w:color="auto"/>
            <w:right w:val="none" w:sz="0" w:space="0" w:color="auto"/>
          </w:divBdr>
        </w:div>
        <w:div w:id="1256089684">
          <w:marLeft w:val="0"/>
          <w:marRight w:val="0"/>
          <w:marTop w:val="0"/>
          <w:marBottom w:val="0"/>
          <w:divBdr>
            <w:top w:val="none" w:sz="0" w:space="0" w:color="auto"/>
            <w:left w:val="none" w:sz="0" w:space="0" w:color="auto"/>
            <w:bottom w:val="none" w:sz="0" w:space="0" w:color="auto"/>
            <w:right w:val="none" w:sz="0" w:space="0" w:color="auto"/>
          </w:divBdr>
        </w:div>
        <w:div w:id="281769587">
          <w:marLeft w:val="0"/>
          <w:marRight w:val="0"/>
          <w:marTop w:val="0"/>
          <w:marBottom w:val="0"/>
          <w:divBdr>
            <w:top w:val="none" w:sz="0" w:space="0" w:color="auto"/>
            <w:left w:val="none" w:sz="0" w:space="0" w:color="auto"/>
            <w:bottom w:val="none" w:sz="0" w:space="0" w:color="auto"/>
            <w:right w:val="none" w:sz="0" w:space="0" w:color="auto"/>
          </w:divBdr>
        </w:div>
        <w:div w:id="996109090">
          <w:marLeft w:val="0"/>
          <w:marRight w:val="0"/>
          <w:marTop w:val="0"/>
          <w:marBottom w:val="0"/>
          <w:divBdr>
            <w:top w:val="none" w:sz="0" w:space="0" w:color="auto"/>
            <w:left w:val="none" w:sz="0" w:space="0" w:color="auto"/>
            <w:bottom w:val="none" w:sz="0" w:space="0" w:color="auto"/>
            <w:right w:val="none" w:sz="0" w:space="0" w:color="auto"/>
          </w:divBdr>
        </w:div>
        <w:div w:id="582647605">
          <w:marLeft w:val="0"/>
          <w:marRight w:val="0"/>
          <w:marTop w:val="0"/>
          <w:marBottom w:val="0"/>
          <w:divBdr>
            <w:top w:val="none" w:sz="0" w:space="0" w:color="auto"/>
            <w:left w:val="none" w:sz="0" w:space="0" w:color="auto"/>
            <w:bottom w:val="none" w:sz="0" w:space="0" w:color="auto"/>
            <w:right w:val="none" w:sz="0" w:space="0" w:color="auto"/>
          </w:divBdr>
        </w:div>
        <w:div w:id="1043360544">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8100947">
      <w:bodyDiv w:val="1"/>
      <w:marLeft w:val="0"/>
      <w:marRight w:val="0"/>
      <w:marTop w:val="0"/>
      <w:marBottom w:val="0"/>
      <w:divBdr>
        <w:top w:val="none" w:sz="0" w:space="0" w:color="auto"/>
        <w:left w:val="none" w:sz="0" w:space="0" w:color="auto"/>
        <w:bottom w:val="none" w:sz="0" w:space="0" w:color="auto"/>
        <w:right w:val="none" w:sz="0" w:space="0" w:color="auto"/>
      </w:divBdr>
      <w:divsChild>
        <w:div w:id="1016925838">
          <w:marLeft w:val="0"/>
          <w:marRight w:val="0"/>
          <w:marTop w:val="0"/>
          <w:marBottom w:val="0"/>
          <w:divBdr>
            <w:top w:val="none" w:sz="0" w:space="0" w:color="auto"/>
            <w:left w:val="none" w:sz="0" w:space="0" w:color="auto"/>
            <w:bottom w:val="none" w:sz="0" w:space="0" w:color="auto"/>
            <w:right w:val="none" w:sz="0" w:space="0" w:color="auto"/>
          </w:divBdr>
        </w:div>
        <w:div w:id="1485970845">
          <w:marLeft w:val="0"/>
          <w:marRight w:val="0"/>
          <w:marTop w:val="0"/>
          <w:marBottom w:val="0"/>
          <w:divBdr>
            <w:top w:val="none" w:sz="0" w:space="0" w:color="auto"/>
            <w:left w:val="none" w:sz="0" w:space="0" w:color="auto"/>
            <w:bottom w:val="none" w:sz="0" w:space="0" w:color="auto"/>
            <w:right w:val="none" w:sz="0" w:space="0" w:color="auto"/>
          </w:divBdr>
        </w:div>
        <w:div w:id="443110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A7830-FAAB-44B2-8075-F77EC5C7B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37</TotalTime>
  <Pages>5</Pages>
  <Words>1503</Words>
  <Characters>11223</Characters>
  <Application>Microsoft Office Word</Application>
  <DocSecurity>0</DocSecurity>
  <Lines>93</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Henrika Šileikė</cp:lastModifiedBy>
  <cp:revision>4</cp:revision>
  <cp:lastPrinted>2019-08-02T11:02:00Z</cp:lastPrinted>
  <dcterms:created xsi:type="dcterms:W3CDTF">2019-08-02T10:57:00Z</dcterms:created>
  <dcterms:modified xsi:type="dcterms:W3CDTF">2019-08-02T11:32:00Z</dcterms:modified>
</cp:coreProperties>
</file>