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A5C" w:rsidRDefault="00DF1A5C" w:rsidP="00DF1A5C">
      <w:pPr>
        <w:jc w:val="center"/>
        <w:rPr>
          <w:rFonts w:ascii="CG Times" w:hAnsi="CG Times"/>
          <w:sz w:val="24"/>
          <w:szCs w:val="24"/>
        </w:rPr>
      </w:pPr>
      <w:r>
        <w:rPr>
          <w:rFonts w:ascii="CG Times" w:hAnsi="CG Times"/>
          <w:sz w:val="24"/>
          <w:szCs w:val="24"/>
        </w:rPr>
        <w:object w:dxaOrig="90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pt;height:48pt" o:ole="" fillcolor="window">
            <v:imagedata r:id="rId8" o:title=""/>
          </v:shape>
          <o:OLEObject Type="Embed" ProgID="Word.Picture.8" ShapeID="_x0000_i1025" DrawAspect="Content" ObjectID="_1515994506" r:id="rId9"/>
        </w:object>
      </w:r>
    </w:p>
    <w:p w:rsidR="00DF1A5C" w:rsidRDefault="00DF1A5C" w:rsidP="00DF1A5C">
      <w:pPr>
        <w:jc w:val="center"/>
        <w:rPr>
          <w:sz w:val="24"/>
          <w:szCs w:val="24"/>
        </w:rPr>
      </w:pPr>
    </w:p>
    <w:p w:rsidR="00DF1A5C" w:rsidRDefault="00DF1A5C" w:rsidP="00DF1A5C">
      <w:pPr>
        <w:pStyle w:val="Antrat1"/>
        <w:tabs>
          <w:tab w:val="left" w:pos="900"/>
        </w:tabs>
        <w:jc w:val="center"/>
        <w:rPr>
          <w:sz w:val="24"/>
          <w:szCs w:val="24"/>
        </w:rPr>
      </w:pPr>
      <w:r>
        <w:rPr>
          <w:sz w:val="24"/>
          <w:szCs w:val="24"/>
        </w:rPr>
        <w:t>VIEŠŲJŲ PIRKIMŲ TARNYBA</w:t>
      </w:r>
    </w:p>
    <w:p w:rsidR="00DF1A5C" w:rsidRDefault="00DF1A5C" w:rsidP="00DF1A5C">
      <w:pPr>
        <w:pStyle w:val="Antrat1"/>
        <w:tabs>
          <w:tab w:val="left" w:pos="900"/>
        </w:tabs>
        <w:jc w:val="center"/>
        <w:rPr>
          <w:sz w:val="24"/>
          <w:szCs w:val="24"/>
        </w:rPr>
      </w:pPr>
      <w:r>
        <w:rPr>
          <w:sz w:val="24"/>
          <w:szCs w:val="24"/>
        </w:rPr>
        <w:t>KONTROLĖS SKYRIUS</w:t>
      </w:r>
    </w:p>
    <w:p w:rsidR="00DF1A5C" w:rsidRDefault="00DF1A5C" w:rsidP="00DF1A5C">
      <w:pPr>
        <w:pStyle w:val="Antrat1"/>
        <w:tabs>
          <w:tab w:val="left" w:pos="900"/>
        </w:tabs>
        <w:rPr>
          <w:b w:val="0"/>
          <w:bCs w:val="0"/>
          <w:sz w:val="24"/>
          <w:szCs w:val="24"/>
        </w:rPr>
      </w:pPr>
    </w:p>
    <w:p w:rsidR="00DF1A5C" w:rsidRDefault="00DF1A5C" w:rsidP="00DF1A5C">
      <w:pPr>
        <w:pStyle w:val="Antrat1"/>
        <w:tabs>
          <w:tab w:val="left" w:pos="900"/>
        </w:tabs>
        <w:jc w:val="center"/>
        <w:rPr>
          <w:sz w:val="24"/>
          <w:szCs w:val="24"/>
        </w:rPr>
      </w:pPr>
      <w:r>
        <w:rPr>
          <w:sz w:val="24"/>
          <w:szCs w:val="24"/>
        </w:rPr>
        <w:t>VIEŠŲJŲ PIRKIMŲ VERTINIMO IŠVADA</w:t>
      </w:r>
    </w:p>
    <w:p w:rsidR="00DF1A5C" w:rsidRDefault="00DF1A5C" w:rsidP="00DF1A5C">
      <w:pPr>
        <w:rPr>
          <w:sz w:val="24"/>
          <w:szCs w:val="24"/>
        </w:rPr>
      </w:pPr>
    </w:p>
    <w:p w:rsidR="00DF1A5C" w:rsidRDefault="00DF1A5C" w:rsidP="00DF1A5C">
      <w:pPr>
        <w:pStyle w:val="Default"/>
        <w:rPr>
          <w:lang w:val="lt-LT"/>
        </w:rPr>
      </w:pPr>
    </w:p>
    <w:p w:rsidR="00DF1A5C" w:rsidRDefault="00DF1A5C" w:rsidP="00DF1A5C">
      <w:pPr>
        <w:pStyle w:val="Default"/>
        <w:jc w:val="center"/>
        <w:rPr>
          <w:lang w:val="lt-LT"/>
        </w:rPr>
      </w:pPr>
      <w:r>
        <w:rPr>
          <w:lang w:val="lt-LT"/>
        </w:rPr>
        <w:t>2016-02-     Nr. 4S-</w:t>
      </w:r>
    </w:p>
    <w:p w:rsidR="00DF1A5C" w:rsidRDefault="00DF1A5C" w:rsidP="00DF1A5C">
      <w:pPr>
        <w:pStyle w:val="Default"/>
        <w:jc w:val="center"/>
        <w:rPr>
          <w:lang w:val="lt-LT"/>
        </w:rPr>
      </w:pPr>
    </w:p>
    <w:p w:rsidR="00DF1A5C" w:rsidRDefault="00DF1A5C" w:rsidP="00DF1A5C">
      <w:pPr>
        <w:pStyle w:val="Default"/>
        <w:jc w:val="center"/>
        <w:rPr>
          <w:lang w:val="lt-LT"/>
        </w:rPr>
      </w:pPr>
      <w:r>
        <w:rPr>
          <w:lang w:val="lt-LT"/>
        </w:rPr>
        <w:t>Vilnius</w:t>
      </w:r>
    </w:p>
    <w:p w:rsidR="00DF1A5C" w:rsidRDefault="00DF1A5C" w:rsidP="00DF1A5C">
      <w:pPr>
        <w:tabs>
          <w:tab w:val="left" w:pos="900"/>
        </w:tabs>
        <w:rPr>
          <w:bCs/>
          <w:sz w:val="24"/>
          <w:szCs w:val="24"/>
        </w:rPr>
      </w:pPr>
    </w:p>
    <w:p w:rsidR="00DF1A5C" w:rsidRDefault="00DF1A5C" w:rsidP="00DF1A5C">
      <w:pPr>
        <w:tabs>
          <w:tab w:val="left" w:pos="900"/>
        </w:tabs>
        <w:ind w:firstLine="709"/>
        <w:jc w:val="both"/>
        <w:rPr>
          <w:bCs/>
          <w:sz w:val="24"/>
          <w:szCs w:val="24"/>
        </w:rPr>
      </w:pPr>
    </w:p>
    <w:p w:rsidR="00DF1A5C" w:rsidRDefault="00DF1A5C" w:rsidP="000A114F">
      <w:pPr>
        <w:ind w:firstLine="709"/>
        <w:jc w:val="both"/>
        <w:rPr>
          <w:bCs/>
          <w:sz w:val="24"/>
          <w:szCs w:val="24"/>
        </w:rPr>
      </w:pPr>
      <w:r>
        <w:rPr>
          <w:sz w:val="24"/>
          <w:szCs w:val="24"/>
        </w:rPr>
        <w:t>Viešųjų pirkimų tarnyba (toliau – Tarnyba), vadovaudamasi Lietuvos Respublikos viešųjų pirkimų įstatymo 8</w:t>
      </w:r>
      <w:r>
        <w:rPr>
          <w:sz w:val="24"/>
          <w:szCs w:val="24"/>
          <w:vertAlign w:val="superscript"/>
        </w:rPr>
        <w:t>2</w:t>
      </w:r>
      <w:r>
        <w:rPr>
          <w:sz w:val="24"/>
          <w:szCs w:val="24"/>
        </w:rPr>
        <w:t xml:space="preserve"> straipsnio 1 dalies 2 punktu, atliko Valstybinės kelių transporto inspekcijos prie Susisiekimo ministerijos (toliau – Perkančioji organizacija) vykdomo supaprastinto mažos vertės pirkimo </w:t>
      </w:r>
      <w:r>
        <w:rPr>
          <w:i/>
          <w:sz w:val="24"/>
          <w:szCs w:val="24"/>
        </w:rPr>
        <w:t>„Kelių transporto veiklos pažangių elektroninių paslaugų teikimo, konsultavimo ir sistemos sukūrimo investicijų projekto ir susijusių viešųjų pirkimų bei kitų dokumentų parengimo paslaugos“</w:t>
      </w:r>
      <w:r>
        <w:rPr>
          <w:sz w:val="24"/>
          <w:szCs w:val="24"/>
        </w:rPr>
        <w:t xml:space="preserve"> (skelbtas 2015 m. lapkričio 20 d. Centrinėje viešųjų pirkimų informacinėje sistemoje (toliau – CVP IS); toliau – Pirkimas) vertinimą</w:t>
      </w:r>
      <w:r>
        <w:rPr>
          <w:bCs/>
          <w:sz w:val="24"/>
          <w:szCs w:val="24"/>
        </w:rPr>
        <w:t>.</w:t>
      </w:r>
    </w:p>
    <w:p w:rsidR="008D364C" w:rsidRDefault="00DF1A5C" w:rsidP="000A114F">
      <w:pPr>
        <w:ind w:firstLine="709"/>
        <w:jc w:val="both"/>
        <w:rPr>
          <w:bCs/>
          <w:sz w:val="24"/>
          <w:szCs w:val="24"/>
        </w:rPr>
      </w:pPr>
      <w:r>
        <w:rPr>
          <w:bCs/>
          <w:sz w:val="24"/>
          <w:szCs w:val="24"/>
        </w:rPr>
        <w:t xml:space="preserve">Perkančioji organizacija Pirkimą atliko pagal Lietuvos Respublikos viešųjų pirkimų įstatymo (redakcija nuo 2015 m. liepos 2 d.; toliau – Įstatymas) nuostatas, Perkančiosios organizacijos supaprastintų pirkimų taisyklių, patvirtintų Perkančiosios organizacijos viršininko 2015 m. balandžio 17 d. įsakymu Nr. 2B-79 (toliau – Taisyklės) ir Pirkimo sąlygas, </w:t>
      </w:r>
      <w:r w:rsidR="008D364C">
        <w:rPr>
          <w:bCs/>
          <w:sz w:val="24"/>
          <w:szCs w:val="24"/>
        </w:rPr>
        <w:t xml:space="preserve">                       </w:t>
      </w:r>
      <w:r w:rsidRPr="007D4712">
        <w:rPr>
          <w:bCs/>
          <w:sz w:val="24"/>
          <w:szCs w:val="24"/>
        </w:rPr>
        <w:t>2015 m. lapkričio 19 d. patvirtintas Viešojo pirkimo komisijos posėdžio protokolu Nr. 19B-144 (toliau – Pirkimo sąlygos).</w:t>
      </w:r>
    </w:p>
    <w:p w:rsidR="00DF1A5C" w:rsidRDefault="00DF1A5C" w:rsidP="000A114F">
      <w:pPr>
        <w:ind w:firstLine="709"/>
        <w:jc w:val="both"/>
        <w:rPr>
          <w:bCs/>
          <w:sz w:val="24"/>
          <w:szCs w:val="24"/>
        </w:rPr>
      </w:pPr>
      <w:r>
        <w:rPr>
          <w:bCs/>
          <w:sz w:val="24"/>
          <w:szCs w:val="24"/>
        </w:rPr>
        <w:t xml:space="preserve">Atsižvelgiant į tai, kad Tarnyba 2015 m. gruodžio 11 d. raštu „Dėl pirkimo dokumentų pateikimo įvertinti“ (Nr. 4S-4111) įpareigojo Perkančiąją organizaciją sustabdyti Pirkimo </w:t>
      </w:r>
      <w:r w:rsidRPr="00A200EC">
        <w:rPr>
          <w:bCs/>
          <w:sz w:val="24"/>
          <w:szCs w:val="24"/>
        </w:rPr>
        <w:t>sutarties sudarymo procedūrą</w:t>
      </w:r>
      <w:r>
        <w:rPr>
          <w:bCs/>
          <w:sz w:val="24"/>
          <w:szCs w:val="24"/>
        </w:rPr>
        <w:t xml:space="preserve">, kol Tarnyba nepateiks Perkančiosios organizacijos pateiktų dokumentų ir sprendimų įvertinimo ir į tai, kad Perkančioji organizacija Pirkimo dokumentus pateikė po </w:t>
      </w:r>
      <w:r w:rsidR="00E54659">
        <w:rPr>
          <w:bCs/>
          <w:sz w:val="24"/>
          <w:szCs w:val="24"/>
        </w:rPr>
        <w:t>tiekėjų kvalifikacijos atitikties</w:t>
      </w:r>
      <w:r w:rsidR="006A3F6E">
        <w:rPr>
          <w:bCs/>
          <w:sz w:val="24"/>
          <w:szCs w:val="24"/>
        </w:rPr>
        <w:t xml:space="preserve"> nustatytiems reikalavimams patikrinimo</w:t>
      </w:r>
      <w:r w:rsidR="00E54659">
        <w:rPr>
          <w:bCs/>
          <w:sz w:val="24"/>
          <w:szCs w:val="24"/>
        </w:rPr>
        <w:t xml:space="preserve"> (Viešųjų pirkimų komisijos        2015 m. gruodžio 8 d. posėdžio protokolas Nr. 19B-158), bet neatlikusi tiekėjų techninių pasiūlymų duomenų vertinimo</w:t>
      </w:r>
      <w:r>
        <w:rPr>
          <w:bCs/>
          <w:sz w:val="24"/>
          <w:szCs w:val="24"/>
        </w:rPr>
        <w:t xml:space="preserve">, todėl </w:t>
      </w:r>
      <w:r w:rsidR="006A3F6E">
        <w:rPr>
          <w:bCs/>
          <w:sz w:val="24"/>
          <w:szCs w:val="24"/>
        </w:rPr>
        <w:t>Tarnyba Pirkimo vertinimą atlik</w:t>
      </w:r>
      <w:r>
        <w:rPr>
          <w:bCs/>
          <w:sz w:val="24"/>
          <w:szCs w:val="24"/>
        </w:rPr>
        <w:t xml:space="preserve">o </w:t>
      </w:r>
      <w:r w:rsidR="00EF41A4">
        <w:rPr>
          <w:bCs/>
          <w:sz w:val="24"/>
          <w:szCs w:val="24"/>
        </w:rPr>
        <w:t>iki tiekėjų pasiūlymų vertinimo procedūros</w:t>
      </w:r>
      <w:r>
        <w:rPr>
          <w:bCs/>
          <w:sz w:val="24"/>
          <w:szCs w:val="24"/>
        </w:rPr>
        <w:t xml:space="preserve">. </w:t>
      </w:r>
    </w:p>
    <w:p w:rsidR="00DF1A5C" w:rsidRDefault="00DF1A5C" w:rsidP="000A114F">
      <w:pPr>
        <w:ind w:firstLine="709"/>
        <w:jc w:val="both"/>
        <w:rPr>
          <w:sz w:val="24"/>
          <w:szCs w:val="24"/>
        </w:rPr>
      </w:pPr>
      <w:r>
        <w:rPr>
          <w:sz w:val="24"/>
          <w:szCs w:val="24"/>
        </w:rPr>
        <w:t>Tarnyba, įvertinusi su Pirkimu susijusius dokumentus ir CVP IS pateiktą Pirkimo informaciją, nenustatė Įstatymo nuostatų pažeidimų, galėjusių turėti įtakos Pirkimo rezultatams, tačiau Tarnyba teikia pastabas, į kurias Perkančioji organizacija turėtų atsižvelgti vykdydama kitus viešuosius pirkimus:</w:t>
      </w:r>
    </w:p>
    <w:p w:rsidR="00DF1A5C" w:rsidRPr="0081294A" w:rsidRDefault="00DF1A5C" w:rsidP="000A114F">
      <w:pPr>
        <w:pStyle w:val="Sraopastraipa"/>
        <w:numPr>
          <w:ilvl w:val="0"/>
          <w:numId w:val="5"/>
        </w:numPr>
        <w:ind w:left="0" w:firstLine="709"/>
        <w:jc w:val="both"/>
        <w:rPr>
          <w:sz w:val="24"/>
          <w:szCs w:val="24"/>
        </w:rPr>
      </w:pPr>
      <w:r>
        <w:rPr>
          <w:sz w:val="24"/>
          <w:szCs w:val="24"/>
        </w:rPr>
        <w:t xml:space="preserve">Perkančioji organizacija nesilaikė Taisyklių 61 punkto nuostatos, kurioje nurodoma, kad </w:t>
      </w:r>
      <w:r>
        <w:rPr>
          <w:i/>
          <w:sz w:val="24"/>
          <w:szCs w:val="24"/>
        </w:rPr>
        <w:t>„Siekiant įsitikinti, ar tiekėjas bus pajėgus įvykdyti supaprastinto pirkimo sutartį, vadovaujanti</w:t>
      </w:r>
      <w:r w:rsidR="007E7467">
        <w:rPr>
          <w:i/>
          <w:sz w:val="24"/>
          <w:szCs w:val="24"/>
        </w:rPr>
        <w:t>s</w:t>
      </w:r>
      <w:r>
        <w:rPr>
          <w:i/>
          <w:sz w:val="24"/>
          <w:szCs w:val="24"/>
        </w:rPr>
        <w:t xml:space="preserve"> Viešųjų pirkimų įstatymu ir kitais viešuosius p</w:t>
      </w:r>
      <w:r w:rsidR="007E7467">
        <w:rPr>
          <w:i/>
          <w:sz w:val="24"/>
          <w:szCs w:val="24"/>
        </w:rPr>
        <w:t>irkimus reglamentuojančiais teis</w:t>
      </w:r>
      <w:r>
        <w:rPr>
          <w:i/>
          <w:sz w:val="24"/>
          <w:szCs w:val="24"/>
        </w:rPr>
        <w:t>ės aktais, pirkimo sąlygose nustatomi tiekėjų kvalifikacijos reikalavimai ir tinkama tiekėjų kvalifikacija“</w:t>
      </w:r>
      <w:r>
        <w:rPr>
          <w:sz w:val="24"/>
          <w:szCs w:val="24"/>
        </w:rPr>
        <w:t>, nes</w:t>
      </w:r>
      <w:r>
        <w:rPr>
          <w:i/>
          <w:sz w:val="24"/>
          <w:szCs w:val="24"/>
        </w:rPr>
        <w:t xml:space="preserve"> </w:t>
      </w:r>
      <w:r>
        <w:rPr>
          <w:sz w:val="24"/>
          <w:szCs w:val="24"/>
        </w:rPr>
        <w:t>Pirkimo sąlygų III dalies „Tiekėjų kvalifika</w:t>
      </w:r>
      <w:r w:rsidR="007E7467">
        <w:rPr>
          <w:sz w:val="24"/>
          <w:szCs w:val="24"/>
        </w:rPr>
        <w:t>cijos reikalavimai“ 15.9 punkte</w:t>
      </w:r>
      <w:r>
        <w:rPr>
          <w:sz w:val="24"/>
          <w:szCs w:val="24"/>
        </w:rPr>
        <w:t xml:space="preserve"> nustatytas kvalifikacinis reikalavimas </w:t>
      </w:r>
      <w:r w:rsidRPr="00886C53">
        <w:rPr>
          <w:i/>
          <w:sz w:val="24"/>
          <w:szCs w:val="24"/>
        </w:rPr>
        <w:t xml:space="preserve">(„Tiekėjas </w:t>
      </w:r>
      <w:r w:rsidRPr="00886C53">
        <w:rPr>
          <w:i/>
          <w:sz w:val="24"/>
          <w:szCs w:val="24"/>
          <w:u w:val="single"/>
        </w:rPr>
        <w:t>per pastaruosius 5 (penkis) metus</w:t>
      </w:r>
      <w:r w:rsidRPr="00886C53">
        <w:rPr>
          <w:i/>
          <w:sz w:val="24"/>
          <w:szCs w:val="24"/>
        </w:rPr>
        <w:t xml:space="preserve"> &lt;...&gt; yra tinkamai įvykdęs ne mažiau nei 1 (vieną) sutartį &lt;...&gt;“)</w:t>
      </w:r>
      <w:r>
        <w:rPr>
          <w:sz w:val="24"/>
          <w:szCs w:val="24"/>
        </w:rPr>
        <w:t xml:space="preserve"> neužtikrina Įstatymo 36 straipsnio 1 dalies 2 punkto nuostatos, jog </w:t>
      </w:r>
      <w:r>
        <w:rPr>
          <w:i/>
          <w:sz w:val="24"/>
          <w:szCs w:val="24"/>
        </w:rPr>
        <w:t xml:space="preserve">„Perkančioji organizacija, atsižvelgdama į &lt;...&gt; paslaugų &lt;...&gt; pobūdį, </w:t>
      </w:r>
      <w:r>
        <w:rPr>
          <w:i/>
          <w:sz w:val="24"/>
          <w:szCs w:val="24"/>
        </w:rPr>
        <w:lastRenderedPageBreak/>
        <w:t xml:space="preserve">kiekį, svarbą ir paskirtį, turi teisę įvertinti ir patikrinti kandidatų ir dalyvių techninį ir profesinį pajėgumą &lt;...&gt; nurodytais būdais ir pirkimo dokumentuose nurodyti, kokius techninio ir (ar) profesinio pajėgumo </w:t>
      </w:r>
      <w:proofErr w:type="spellStart"/>
      <w:r>
        <w:rPr>
          <w:i/>
          <w:sz w:val="24"/>
          <w:szCs w:val="24"/>
        </w:rPr>
        <w:t>įrodymus</w:t>
      </w:r>
      <w:proofErr w:type="spellEnd"/>
      <w:r>
        <w:rPr>
          <w:i/>
          <w:sz w:val="24"/>
          <w:szCs w:val="24"/>
        </w:rPr>
        <w:t xml:space="preserve"> turi pateikti tiekėjas: pagrindinių </w:t>
      </w:r>
      <w:r w:rsidRPr="0081294A">
        <w:rPr>
          <w:i/>
          <w:sz w:val="24"/>
          <w:szCs w:val="24"/>
          <w:u w:val="single"/>
        </w:rPr>
        <w:t>per paskutinius 3 metus</w:t>
      </w:r>
      <w:r>
        <w:rPr>
          <w:i/>
          <w:sz w:val="24"/>
          <w:szCs w:val="24"/>
        </w:rPr>
        <w:t xml:space="preserve"> pateiktų prekių ar </w:t>
      </w:r>
      <w:r w:rsidRPr="00E35A48">
        <w:rPr>
          <w:i/>
          <w:sz w:val="24"/>
          <w:szCs w:val="24"/>
          <w:u w:val="single"/>
        </w:rPr>
        <w:t>suteiktų paslaugų</w:t>
      </w:r>
      <w:r>
        <w:rPr>
          <w:i/>
          <w:sz w:val="24"/>
          <w:szCs w:val="24"/>
        </w:rPr>
        <w:t xml:space="preserve"> sąrašus, nurodant prekių ar paslaugų bendras sumas, datas ir prekių ar paslaugų gavėjus &lt;...&gt;“</w:t>
      </w:r>
    </w:p>
    <w:p w:rsidR="00DF1A5C" w:rsidRDefault="00DF1A5C" w:rsidP="000A114F">
      <w:pPr>
        <w:pStyle w:val="Sraopastraipa"/>
        <w:numPr>
          <w:ilvl w:val="0"/>
          <w:numId w:val="5"/>
        </w:numPr>
        <w:ind w:left="0" w:firstLine="709"/>
        <w:jc w:val="both"/>
        <w:rPr>
          <w:sz w:val="24"/>
          <w:szCs w:val="24"/>
        </w:rPr>
      </w:pPr>
      <w:r>
        <w:rPr>
          <w:sz w:val="24"/>
          <w:szCs w:val="24"/>
        </w:rPr>
        <w:t xml:space="preserve">Pirkimo sąlygų III dalies „Tiekėjų kvalifikacijos reikalavimai“ 17 punkte nustatytas reikalavimas </w:t>
      </w:r>
      <w:r>
        <w:rPr>
          <w:i/>
          <w:sz w:val="24"/>
          <w:szCs w:val="24"/>
        </w:rPr>
        <w:t>„Jei bendrą pasiūlymą pateikia ūkio subjektų grupė (ūkio subjektų grupė laikoma Tiekėju), veikianti</w:t>
      </w:r>
      <w:r w:rsidR="007E7467">
        <w:rPr>
          <w:i/>
          <w:sz w:val="24"/>
          <w:szCs w:val="24"/>
        </w:rPr>
        <w:t>s</w:t>
      </w:r>
      <w:r>
        <w:rPr>
          <w:i/>
          <w:sz w:val="24"/>
          <w:szCs w:val="24"/>
        </w:rPr>
        <w:t xml:space="preserve"> jungtinės veiklos sutarties pagrindu, 15.1-15.6 punktuose nustatytus kvalifikacijos reikalavimus turi atitikti ir pateikti nurodytus dokumentus kiekvienas ūkio subjektų grupės narys atskirai, o šio pirkimo sąlygų 15.7 – 15.10 punktuose nustatytus kvalifikacijos reikalavimus turi atitikti ir pateikti nurodytus dokumentus visi ūkio subjektų grupės nariai kartu sudėjus“</w:t>
      </w:r>
      <w:r>
        <w:rPr>
          <w:sz w:val="24"/>
          <w:szCs w:val="24"/>
        </w:rPr>
        <w:t xml:space="preserve">, Tarnyba rekomenduoja ateityje vykdant viešuosius pirkimus panašaus pobūdžio pirkimo sąlygas formuluoti vadovaujanti Tiekėjų kvalifikacijos vertinimo metodinių rekomendacijų, patvirtintų Viešųjų pirkimų tarnybos direktoriaus 2003 m. spalio 20 d. įsakymu Nr. 1S-100 18 ir 21 punktais, t. y. nurodyti, kad </w:t>
      </w:r>
      <w:r>
        <w:rPr>
          <w:i/>
          <w:sz w:val="24"/>
          <w:szCs w:val="24"/>
        </w:rPr>
        <w:t>„&lt;...&gt; reikalavimus turi atitikti ūkio subjektų grupės narys (-</w:t>
      </w:r>
      <w:proofErr w:type="spellStart"/>
      <w:r>
        <w:rPr>
          <w:i/>
          <w:sz w:val="24"/>
          <w:szCs w:val="24"/>
        </w:rPr>
        <w:t>iai</w:t>
      </w:r>
      <w:proofErr w:type="spellEnd"/>
      <w:r>
        <w:rPr>
          <w:i/>
          <w:sz w:val="24"/>
          <w:szCs w:val="24"/>
        </w:rPr>
        <w:t>), atsižvelgiant į jų prisiimamus įsipareigojimus pirkimo sutarčiai vykdyti“</w:t>
      </w:r>
      <w:r>
        <w:rPr>
          <w:sz w:val="24"/>
          <w:szCs w:val="24"/>
        </w:rPr>
        <w:t>.</w:t>
      </w:r>
    </w:p>
    <w:p w:rsidR="00DF1A5C" w:rsidRPr="00813B79" w:rsidRDefault="00DF1A5C" w:rsidP="000A114F">
      <w:pPr>
        <w:pStyle w:val="Sraopastraipa"/>
        <w:numPr>
          <w:ilvl w:val="0"/>
          <w:numId w:val="5"/>
        </w:numPr>
        <w:ind w:left="0" w:firstLine="709"/>
        <w:jc w:val="both"/>
        <w:rPr>
          <w:sz w:val="24"/>
          <w:szCs w:val="24"/>
        </w:rPr>
      </w:pPr>
      <w:r>
        <w:rPr>
          <w:sz w:val="24"/>
          <w:szCs w:val="24"/>
        </w:rPr>
        <w:t xml:space="preserve">Perkančioji organizacija nesivadovavo Pirkimo sąlygų IV dalies „Pirkimo sąlygų paaiškinimas ir patikslinimas“ 38 punkto reikalavimu, kad </w:t>
      </w:r>
      <w:r>
        <w:rPr>
          <w:i/>
          <w:sz w:val="24"/>
          <w:szCs w:val="24"/>
        </w:rPr>
        <w:t>„Atsakydama į kiekvieną Tiekėjo CVP IS priemonėmis pateiktą prašymą  paaiškinti pirkimo sąlygas, jeigu jis buvo paskelbtas ne vėliau kaip 4 darbo dienos iki pirkimo pasiūlymų pateikimo termino pabaigos, Perkančioji organizacija atsako ne vėliau kaip per 3 darbo dienas nuo jo gavimo dienos ir paskelbia paaiškinimus CVP IS priemonėmis. Perkančioji organizacija, atsakydama į Tiekėjo prašymą paaiškinti pirkimo sąlygas, kartu siu</w:t>
      </w:r>
      <w:r w:rsidR="007E7467">
        <w:rPr>
          <w:i/>
          <w:sz w:val="24"/>
          <w:szCs w:val="24"/>
        </w:rPr>
        <w:t>nčia paaiškinimus ir visiems ki</w:t>
      </w:r>
      <w:bookmarkStart w:id="0" w:name="_GoBack"/>
      <w:bookmarkEnd w:id="0"/>
      <w:r>
        <w:rPr>
          <w:i/>
          <w:sz w:val="24"/>
          <w:szCs w:val="24"/>
        </w:rPr>
        <w:t>tiems Tiekėjams, kuriems ji pateikė pirkimo dokumentus, nenurodydama iš ko gautas prašymas paaiškinti“</w:t>
      </w:r>
      <w:r>
        <w:rPr>
          <w:sz w:val="24"/>
          <w:szCs w:val="24"/>
        </w:rPr>
        <w:t xml:space="preserve">. Perkančioji organizacija 2015 m. lapkričio 26 d. CVP IS priemonėmis Pirkimo dalyvius informavo apie iš tiekėjo gautą prašymą tikslinti Pirkimo sąlygas, tačiau informacija nebuvo paskelbta viešai, tuo Perkančioji organizacija neužtikrino Įstatymo 85 straipsnio 1 dalies nuostatos, kad </w:t>
      </w:r>
      <w:r>
        <w:rPr>
          <w:i/>
          <w:sz w:val="24"/>
          <w:szCs w:val="24"/>
        </w:rPr>
        <w:t>„Perkančioji organizacija &lt;...&gt; privalo vadovautis šio įstatymo &lt;...&gt; 27 straipsnio 1 dalies &lt;...&gt; reikalavimais &lt;...&gt;“.</w:t>
      </w:r>
    </w:p>
    <w:p w:rsidR="00DF1A5C" w:rsidRDefault="00DF1A5C" w:rsidP="000A114F">
      <w:pPr>
        <w:pStyle w:val="Sraopastraipa"/>
        <w:numPr>
          <w:ilvl w:val="0"/>
          <w:numId w:val="5"/>
        </w:numPr>
        <w:ind w:left="0" w:firstLine="709"/>
        <w:jc w:val="both"/>
        <w:rPr>
          <w:sz w:val="24"/>
          <w:szCs w:val="24"/>
        </w:rPr>
      </w:pPr>
      <w:r>
        <w:rPr>
          <w:sz w:val="24"/>
          <w:szCs w:val="24"/>
        </w:rPr>
        <w:t xml:space="preserve">Pirkimo sąlygų XII dalies „Pretenzijų ir skundų nagrinėjimo tvarka“ 86 punkte nustatyta, kad </w:t>
      </w:r>
      <w:r>
        <w:rPr>
          <w:i/>
          <w:sz w:val="24"/>
          <w:szCs w:val="24"/>
        </w:rPr>
        <w:t>„Jeigu Tiekėjas pretenziją pateikia ne CVP IS priemonėmis, o raštu, Tiekėjas taip pat privalo pateikti pretenziją ir CVP IS priemonėmis &lt;...&gt;“</w:t>
      </w:r>
      <w:r>
        <w:rPr>
          <w:sz w:val="24"/>
          <w:szCs w:val="24"/>
        </w:rPr>
        <w:t xml:space="preserve">, Perkančioji organizacija nesivadovavo Taisyklių 124 punkto nuostata, jog </w:t>
      </w:r>
      <w:r>
        <w:rPr>
          <w:i/>
          <w:sz w:val="24"/>
          <w:szCs w:val="24"/>
        </w:rPr>
        <w:t xml:space="preserve">”Ginčų nagrinėjimas &lt;...&gt; atliekamas vadovaujantis Viešųjų pirkimų įstatymo V skyriaus nuostatomis“ </w:t>
      </w:r>
      <w:r>
        <w:rPr>
          <w:sz w:val="24"/>
          <w:szCs w:val="24"/>
        </w:rPr>
        <w:t xml:space="preserve">ir </w:t>
      </w:r>
      <w:r w:rsidRPr="00DC66B7">
        <w:rPr>
          <w:sz w:val="24"/>
          <w:szCs w:val="24"/>
        </w:rPr>
        <w:t xml:space="preserve">Tarnyba atkreipia dėmesį, kad Įstatymo 93 straipsnio 3 dalyje nustatyta, </w:t>
      </w:r>
      <w:r>
        <w:rPr>
          <w:sz w:val="24"/>
          <w:szCs w:val="24"/>
        </w:rPr>
        <w:t>jog</w:t>
      </w:r>
      <w:r w:rsidRPr="00DC66B7">
        <w:rPr>
          <w:sz w:val="24"/>
          <w:szCs w:val="24"/>
        </w:rPr>
        <w:t xml:space="preserve"> </w:t>
      </w:r>
      <w:r w:rsidRPr="00DC66B7">
        <w:rPr>
          <w:i/>
          <w:sz w:val="24"/>
          <w:szCs w:val="24"/>
        </w:rPr>
        <w:t xml:space="preserve">„&lt;...&gt; Pretenzija </w:t>
      </w:r>
      <w:r w:rsidRPr="00DC66B7">
        <w:rPr>
          <w:i/>
          <w:sz w:val="24"/>
          <w:szCs w:val="24"/>
          <w:u w:val="single"/>
        </w:rPr>
        <w:t>turi būti pateikta faksu, elektroninėmis priemonėmis ar pasirašytinai per kurjerį</w:t>
      </w:r>
      <w:r w:rsidRPr="00DC66B7">
        <w:rPr>
          <w:i/>
          <w:sz w:val="24"/>
          <w:szCs w:val="24"/>
        </w:rPr>
        <w:t xml:space="preserve"> &lt;...&gt;“</w:t>
      </w:r>
      <w:r w:rsidRPr="00DC66B7">
        <w:rPr>
          <w:sz w:val="24"/>
          <w:szCs w:val="24"/>
        </w:rPr>
        <w:t>, todėl Perkančioji organizacija negali riboti tiekėjų teisių dėl pretenzijos pateikimo būdų ir privalo nagrinėti bei priimti sprendimus dėl visų gautų pretenzijų.</w:t>
      </w:r>
    </w:p>
    <w:p w:rsidR="000C1A5F" w:rsidRDefault="00DF1A5C" w:rsidP="000A114F">
      <w:pPr>
        <w:pStyle w:val="Sraopastraipa"/>
        <w:numPr>
          <w:ilvl w:val="0"/>
          <w:numId w:val="5"/>
        </w:numPr>
        <w:ind w:left="0" w:firstLine="709"/>
        <w:jc w:val="both"/>
        <w:rPr>
          <w:sz w:val="24"/>
          <w:szCs w:val="24"/>
        </w:rPr>
      </w:pPr>
      <w:r w:rsidRPr="00866E19">
        <w:rPr>
          <w:sz w:val="24"/>
          <w:szCs w:val="24"/>
        </w:rPr>
        <w:t xml:space="preserve">Pirkimo sąlygų 2 priedo </w:t>
      </w:r>
      <w:r w:rsidRPr="00866E19">
        <w:rPr>
          <w:i/>
          <w:sz w:val="24"/>
          <w:szCs w:val="24"/>
        </w:rPr>
        <w:t>„Pasiūlymas &lt;...&gt; A dalis. Techninė informacija ir duomenys apie tiekėją“</w:t>
      </w:r>
      <w:r w:rsidRPr="00866E19">
        <w:rPr>
          <w:sz w:val="24"/>
          <w:szCs w:val="24"/>
        </w:rPr>
        <w:t xml:space="preserve"> formoje </w:t>
      </w:r>
      <w:r w:rsidRPr="00866E19">
        <w:rPr>
          <w:sz w:val="24"/>
          <w:szCs w:val="24"/>
          <w:u w:val="single"/>
        </w:rPr>
        <w:t>nenumatyta galimybė nurodyti pagrindines techninių pasiūlymų charakteristikas</w:t>
      </w:r>
      <w:r w:rsidRPr="00866E19">
        <w:rPr>
          <w:sz w:val="24"/>
          <w:szCs w:val="24"/>
        </w:rPr>
        <w:t xml:space="preserve">, kurios privalo būti paskelbtos, atsižvelgiant į tai, kad Pirkimas vykdomas pagal ekonominio naudingumo pasiūlymų vertinimo kriterijų. </w:t>
      </w:r>
    </w:p>
    <w:p w:rsidR="00DF1A5C" w:rsidRPr="00F35EC2" w:rsidRDefault="00ED6730" w:rsidP="00EF41A4">
      <w:pPr>
        <w:pStyle w:val="Sraopastraipa"/>
        <w:numPr>
          <w:ilvl w:val="0"/>
          <w:numId w:val="5"/>
        </w:numPr>
        <w:ind w:left="0" w:firstLine="709"/>
        <w:jc w:val="both"/>
        <w:rPr>
          <w:sz w:val="24"/>
          <w:szCs w:val="24"/>
        </w:rPr>
      </w:pPr>
      <w:r w:rsidRPr="00866E19">
        <w:rPr>
          <w:sz w:val="24"/>
          <w:szCs w:val="24"/>
        </w:rPr>
        <w:t>Tarnyba pastebi</w:t>
      </w:r>
      <w:r w:rsidR="00DF1A5C" w:rsidRPr="00866E19">
        <w:rPr>
          <w:sz w:val="24"/>
          <w:szCs w:val="24"/>
        </w:rPr>
        <w:t xml:space="preserve">, kad į Perkančiąją organizaciją 2015 m. lapkričio 25 d. per CVP IS kreipėsi tiekėjas su prašymu pratęsti pasiūlymų pateikimo terminą. Viešųjų pirkimų komisija         2015 m. lapkričio 26 d. posėdyje (protokolas Nr. 19B-148) priėmė sprendimą neatsižvelgti į potencialaus tiekėjo prašymą pratęsti pasiūlymo pateikimo terminą, kadangi </w:t>
      </w:r>
      <w:r w:rsidR="00DF1A5C" w:rsidRPr="00866E19">
        <w:rPr>
          <w:i/>
          <w:sz w:val="24"/>
          <w:szCs w:val="24"/>
        </w:rPr>
        <w:t>„&lt;...&gt; Inspekcijos nustatytas pasiūlymų pateikimo terminas (7 darbo dienos) atitinka Viešųjų pirkimų įstatymo reikalavimus, tiek ir Inspekcijos pasitvirtintų supaprastintų viešųjų pirkimų vykdymo taisyklių nuostatas &lt;...&gt;“</w:t>
      </w:r>
      <w:r w:rsidR="00DF1A5C" w:rsidRPr="00866E19">
        <w:rPr>
          <w:sz w:val="24"/>
          <w:szCs w:val="24"/>
        </w:rPr>
        <w:t xml:space="preserve">. </w:t>
      </w:r>
      <w:r w:rsidRPr="00866E19">
        <w:rPr>
          <w:sz w:val="24"/>
          <w:szCs w:val="24"/>
        </w:rPr>
        <w:t xml:space="preserve">Tarnyba rekomenduoja Perkančiajai organizacijai nustatant pasiūlymų pateikimo terminą, atsižvelgti </w:t>
      </w:r>
      <w:r w:rsidR="00DF1A5C" w:rsidRPr="00866E19">
        <w:rPr>
          <w:sz w:val="24"/>
          <w:szCs w:val="24"/>
        </w:rPr>
        <w:t>į Pirkimo objekto sudėtingumą</w:t>
      </w:r>
      <w:r w:rsidR="00EF41A4">
        <w:rPr>
          <w:sz w:val="24"/>
          <w:szCs w:val="24"/>
        </w:rPr>
        <w:t>, pasiūlymų vertinimo kriterijus</w:t>
      </w:r>
      <w:r w:rsidR="009E0D44">
        <w:rPr>
          <w:sz w:val="24"/>
          <w:szCs w:val="24"/>
        </w:rPr>
        <w:t xml:space="preserve"> ir</w:t>
      </w:r>
      <w:r w:rsidR="00EF41A4">
        <w:rPr>
          <w:sz w:val="24"/>
          <w:szCs w:val="24"/>
        </w:rPr>
        <w:t xml:space="preserve"> reikalaujamas pasiūlymų sudėtines dalis.</w:t>
      </w:r>
      <w:r w:rsidR="00DF1A5C" w:rsidRPr="00866E19">
        <w:rPr>
          <w:sz w:val="24"/>
          <w:szCs w:val="24"/>
        </w:rPr>
        <w:t xml:space="preserve"> </w:t>
      </w:r>
      <w:r w:rsidR="00F35EC2">
        <w:rPr>
          <w:sz w:val="24"/>
          <w:szCs w:val="24"/>
        </w:rPr>
        <w:t xml:space="preserve">Tarnyba atkreipia dėmesį, kad </w:t>
      </w:r>
      <w:r w:rsidR="00EF41A4" w:rsidRPr="00866E19">
        <w:rPr>
          <w:sz w:val="24"/>
          <w:szCs w:val="24"/>
        </w:rPr>
        <w:t xml:space="preserve">Pirkimas vykdomas pagal </w:t>
      </w:r>
      <w:r w:rsidR="00EF41A4" w:rsidRPr="00866E19">
        <w:rPr>
          <w:sz w:val="24"/>
          <w:szCs w:val="24"/>
        </w:rPr>
        <w:lastRenderedPageBreak/>
        <w:t>ekonominio naudingum</w:t>
      </w:r>
      <w:r w:rsidR="00EF41A4">
        <w:rPr>
          <w:sz w:val="24"/>
          <w:szCs w:val="24"/>
        </w:rPr>
        <w:t>o pasiūlymų vertinimo kriterijų, P</w:t>
      </w:r>
      <w:r w:rsidR="00F35EC2">
        <w:rPr>
          <w:sz w:val="24"/>
          <w:szCs w:val="24"/>
        </w:rPr>
        <w:t>erkančio</w:t>
      </w:r>
      <w:r w:rsidR="00EF41A4">
        <w:rPr>
          <w:sz w:val="24"/>
          <w:szCs w:val="24"/>
        </w:rPr>
        <w:t xml:space="preserve">ji </w:t>
      </w:r>
      <w:r w:rsidR="00F35EC2">
        <w:rPr>
          <w:sz w:val="24"/>
          <w:szCs w:val="24"/>
        </w:rPr>
        <w:t>organizacij</w:t>
      </w:r>
      <w:r w:rsidR="00EF41A4">
        <w:rPr>
          <w:sz w:val="24"/>
          <w:szCs w:val="24"/>
        </w:rPr>
        <w:t xml:space="preserve">a Pirkimo sąlygų 69 punkte nustatė </w:t>
      </w:r>
      <w:r w:rsidR="00EF41A4" w:rsidRPr="009C6780">
        <w:rPr>
          <w:sz w:val="24"/>
          <w:szCs w:val="24"/>
        </w:rPr>
        <w:t>kokybini</w:t>
      </w:r>
      <w:r w:rsidR="00EF41A4">
        <w:rPr>
          <w:sz w:val="24"/>
          <w:szCs w:val="24"/>
        </w:rPr>
        <w:t>u</w:t>
      </w:r>
      <w:r w:rsidR="00EF41A4" w:rsidRPr="009C6780">
        <w:rPr>
          <w:sz w:val="24"/>
          <w:szCs w:val="24"/>
        </w:rPr>
        <w:t>s kriterij</w:t>
      </w:r>
      <w:r w:rsidR="00EF41A4">
        <w:rPr>
          <w:sz w:val="24"/>
          <w:szCs w:val="24"/>
        </w:rPr>
        <w:t>u</w:t>
      </w:r>
      <w:r w:rsidR="00EF41A4" w:rsidRPr="009C6780">
        <w:rPr>
          <w:sz w:val="24"/>
          <w:szCs w:val="24"/>
        </w:rPr>
        <w:t>s (ir paramet</w:t>
      </w:r>
      <w:r w:rsidR="00EF41A4">
        <w:rPr>
          <w:sz w:val="24"/>
          <w:szCs w:val="24"/>
        </w:rPr>
        <w:t>ru</w:t>
      </w:r>
      <w:r w:rsidR="00EF41A4" w:rsidRPr="009C6780">
        <w:rPr>
          <w:sz w:val="24"/>
          <w:szCs w:val="24"/>
        </w:rPr>
        <w:t>s), kurie yra subjektyvūs, reikalaujantys specifinių žinių ir supra</w:t>
      </w:r>
      <w:r w:rsidR="00EF41A4">
        <w:rPr>
          <w:sz w:val="24"/>
          <w:szCs w:val="24"/>
        </w:rPr>
        <w:t>timo,</w:t>
      </w:r>
      <w:r w:rsidR="00F35EC2">
        <w:rPr>
          <w:sz w:val="24"/>
          <w:szCs w:val="24"/>
        </w:rPr>
        <w:t xml:space="preserve"> </w:t>
      </w:r>
      <w:r w:rsidR="00EF41A4">
        <w:rPr>
          <w:sz w:val="24"/>
          <w:szCs w:val="24"/>
        </w:rPr>
        <w:t>t. y., kad tiekėjo pasiūlymai būtų įvertinti gerai ar puikiai tiekėjai pasiūlyme turi „</w:t>
      </w:r>
      <w:r w:rsidR="00F35EC2">
        <w:rPr>
          <w:i/>
          <w:sz w:val="24"/>
          <w:szCs w:val="24"/>
        </w:rPr>
        <w:t>išsamiai ir aiškiai</w:t>
      </w:r>
      <w:r w:rsidR="00EF41A4">
        <w:rPr>
          <w:i/>
          <w:sz w:val="24"/>
          <w:szCs w:val="24"/>
        </w:rPr>
        <w:t>“</w:t>
      </w:r>
      <w:r w:rsidR="00F35EC2">
        <w:rPr>
          <w:i/>
          <w:sz w:val="24"/>
          <w:szCs w:val="24"/>
        </w:rPr>
        <w:t xml:space="preserve"> </w:t>
      </w:r>
      <w:r w:rsidR="00F35EC2" w:rsidRPr="00EF41A4">
        <w:rPr>
          <w:sz w:val="24"/>
          <w:szCs w:val="24"/>
        </w:rPr>
        <w:t xml:space="preserve">aprašyti </w:t>
      </w:r>
      <w:r w:rsidR="00EF41A4" w:rsidRPr="00EF41A4">
        <w:rPr>
          <w:sz w:val="24"/>
          <w:szCs w:val="24"/>
        </w:rPr>
        <w:t>tikslus ir rezultatus, jų pasiekiamumo strategiją, planuojamas paslaugų kryptis ir užduotis, veiklų aprašymus</w:t>
      </w:r>
      <w:r w:rsidR="00F35EC2" w:rsidRPr="00EF41A4">
        <w:rPr>
          <w:sz w:val="24"/>
          <w:szCs w:val="24"/>
        </w:rPr>
        <w:t xml:space="preserve">, </w:t>
      </w:r>
      <w:r w:rsidR="009E0D44">
        <w:rPr>
          <w:sz w:val="24"/>
          <w:szCs w:val="24"/>
        </w:rPr>
        <w:t xml:space="preserve">o </w:t>
      </w:r>
      <w:r w:rsidR="00EF41A4">
        <w:rPr>
          <w:sz w:val="24"/>
          <w:szCs w:val="24"/>
        </w:rPr>
        <w:t>tiekėjų techniniai pasiūlymai sudarė nuo 154 iki 210 lapų</w:t>
      </w:r>
      <w:r w:rsidR="009E0D44">
        <w:rPr>
          <w:sz w:val="24"/>
          <w:szCs w:val="24"/>
        </w:rPr>
        <w:t>.</w:t>
      </w:r>
      <w:r w:rsidR="00EF41A4">
        <w:rPr>
          <w:sz w:val="24"/>
          <w:szCs w:val="24"/>
        </w:rPr>
        <w:t xml:space="preserve"> </w:t>
      </w:r>
      <w:r w:rsidR="009E0D44">
        <w:rPr>
          <w:sz w:val="24"/>
          <w:szCs w:val="24"/>
        </w:rPr>
        <w:t>T</w:t>
      </w:r>
      <w:r w:rsidRPr="00EF41A4">
        <w:rPr>
          <w:sz w:val="24"/>
          <w:szCs w:val="24"/>
        </w:rPr>
        <w:t>odėl</w:t>
      </w:r>
      <w:r w:rsidRPr="00F35EC2">
        <w:rPr>
          <w:sz w:val="24"/>
          <w:szCs w:val="24"/>
        </w:rPr>
        <w:t xml:space="preserve"> </w:t>
      </w:r>
      <w:r w:rsidR="00EF41A4">
        <w:rPr>
          <w:sz w:val="24"/>
          <w:szCs w:val="24"/>
        </w:rPr>
        <w:t xml:space="preserve">Tarnybos </w:t>
      </w:r>
      <w:r w:rsidR="009E0D44">
        <w:rPr>
          <w:sz w:val="24"/>
          <w:szCs w:val="24"/>
        </w:rPr>
        <w:t>nuomone</w:t>
      </w:r>
      <w:r w:rsidR="00EF41A4">
        <w:rPr>
          <w:sz w:val="24"/>
          <w:szCs w:val="24"/>
        </w:rPr>
        <w:t xml:space="preserve">, net jei nustatytas pasiūlymų pateikimo terminas formaliai ir atitinka Įstatymo 89 straipsnio nuostatas, tačiau jei jis </w:t>
      </w:r>
      <w:r w:rsidR="009E0D44">
        <w:rPr>
          <w:sz w:val="24"/>
          <w:szCs w:val="24"/>
        </w:rPr>
        <w:t xml:space="preserve">yra </w:t>
      </w:r>
      <w:r w:rsidR="00EF41A4">
        <w:rPr>
          <w:sz w:val="24"/>
          <w:szCs w:val="24"/>
        </w:rPr>
        <w:t xml:space="preserve">neproporcingas, </w:t>
      </w:r>
      <w:r w:rsidR="009E0D44">
        <w:rPr>
          <w:sz w:val="24"/>
          <w:szCs w:val="24"/>
        </w:rPr>
        <w:t xml:space="preserve">tai </w:t>
      </w:r>
      <w:r w:rsidR="00EF41A4">
        <w:rPr>
          <w:sz w:val="24"/>
          <w:szCs w:val="24"/>
        </w:rPr>
        <w:t xml:space="preserve">gali neužtikrinti Įstatymo 3 straipsnio 1 dalyje nustatytų pirkimo principų laikymosi ir </w:t>
      </w:r>
      <w:r w:rsidR="009E0D44">
        <w:rPr>
          <w:sz w:val="24"/>
          <w:szCs w:val="24"/>
        </w:rPr>
        <w:t>2</w:t>
      </w:r>
      <w:r w:rsidR="00EF41A4">
        <w:rPr>
          <w:sz w:val="24"/>
          <w:szCs w:val="24"/>
        </w:rPr>
        <w:t xml:space="preserve"> dalyje nustatyto Pirkimo tikslo pasiekimo. </w:t>
      </w:r>
    </w:p>
    <w:p w:rsidR="00DF1A5C" w:rsidRPr="00866E19" w:rsidRDefault="00DF1A5C" w:rsidP="000A114F">
      <w:pPr>
        <w:pStyle w:val="Sraopastraipa"/>
        <w:numPr>
          <w:ilvl w:val="0"/>
          <w:numId w:val="5"/>
        </w:numPr>
        <w:ind w:left="0" w:firstLine="709"/>
        <w:jc w:val="both"/>
        <w:rPr>
          <w:sz w:val="24"/>
          <w:szCs w:val="24"/>
        </w:rPr>
      </w:pPr>
      <w:r>
        <w:rPr>
          <w:sz w:val="24"/>
          <w:szCs w:val="24"/>
        </w:rPr>
        <w:t xml:space="preserve">Pirkimo sąlygų XIII dalies „Pirkimo sutarties sąlygos“ 93.8.1. punkto nuostata, kad </w:t>
      </w:r>
      <w:r>
        <w:rPr>
          <w:i/>
          <w:sz w:val="24"/>
          <w:szCs w:val="24"/>
        </w:rPr>
        <w:t xml:space="preserve">„&lt;...&gt; Tuo atveju, jei pagal tiekėjo parengtą investicinį projektą </w:t>
      </w:r>
      <w:r w:rsidRPr="00FD2BF4">
        <w:rPr>
          <w:i/>
          <w:sz w:val="24"/>
          <w:szCs w:val="24"/>
          <w:u w:val="single"/>
        </w:rPr>
        <w:t>finansavimas nebūtų gautas</w:t>
      </w:r>
      <w:r>
        <w:rPr>
          <w:i/>
          <w:sz w:val="24"/>
          <w:szCs w:val="24"/>
        </w:rPr>
        <w:t xml:space="preserve">, </w:t>
      </w:r>
      <w:r w:rsidRPr="00FD2BF4">
        <w:rPr>
          <w:i/>
          <w:sz w:val="24"/>
          <w:szCs w:val="24"/>
          <w:u w:val="single"/>
        </w:rPr>
        <w:t>sudaryta sutartis nutraukiama</w:t>
      </w:r>
      <w:r>
        <w:rPr>
          <w:i/>
          <w:sz w:val="24"/>
          <w:szCs w:val="24"/>
        </w:rPr>
        <w:t>, o Tiekėjas atsisako visų pretenzijų, mokėjimų ir kitų reikalavimų už atliktą darbą“</w:t>
      </w:r>
      <w:r>
        <w:rPr>
          <w:sz w:val="24"/>
          <w:szCs w:val="24"/>
        </w:rPr>
        <w:t xml:space="preserve"> yra netinkama, kadangi</w:t>
      </w:r>
      <w:r>
        <w:rPr>
          <w:i/>
          <w:sz w:val="24"/>
          <w:szCs w:val="24"/>
        </w:rPr>
        <w:t xml:space="preserve">, </w:t>
      </w:r>
      <w:r>
        <w:rPr>
          <w:sz w:val="24"/>
          <w:szCs w:val="24"/>
        </w:rPr>
        <w:t xml:space="preserve">atsižvelgiant į 93.4 punktą, kuriame pateikiama, jog </w:t>
      </w:r>
      <w:r>
        <w:rPr>
          <w:i/>
          <w:sz w:val="24"/>
          <w:szCs w:val="24"/>
        </w:rPr>
        <w:t>„Tarpiniai ir galutiniai paslaugų rezultatai bus derinami ne daugiau kaip trimis derinimo ciklais &lt;...&gt;“</w:t>
      </w:r>
      <w:r>
        <w:rPr>
          <w:sz w:val="24"/>
          <w:szCs w:val="24"/>
        </w:rPr>
        <w:t>, mokėjimai vyks tarpinių atsiskait</w:t>
      </w:r>
      <w:r w:rsidR="00E15A59">
        <w:rPr>
          <w:sz w:val="24"/>
          <w:szCs w:val="24"/>
        </w:rPr>
        <w:t>ymų būdu, o</w:t>
      </w:r>
      <w:r>
        <w:rPr>
          <w:sz w:val="24"/>
          <w:szCs w:val="24"/>
        </w:rPr>
        <w:t xml:space="preserve"> atsižvelgiant į </w:t>
      </w:r>
      <w:r w:rsidR="00866E19">
        <w:rPr>
          <w:sz w:val="24"/>
          <w:szCs w:val="24"/>
        </w:rPr>
        <w:t xml:space="preserve">Įstatymo 2 straipsnio 34 dalies nuostatą, kad </w:t>
      </w:r>
      <w:r w:rsidR="00866E19">
        <w:rPr>
          <w:i/>
          <w:sz w:val="24"/>
          <w:szCs w:val="24"/>
        </w:rPr>
        <w:t xml:space="preserve">„viešojo pirkimo – pardavimo sutartis – šio įstatymo nustatyta tvarka </w:t>
      </w:r>
      <w:r w:rsidR="00866E19" w:rsidRPr="00866E19">
        <w:rPr>
          <w:i/>
          <w:sz w:val="24"/>
          <w:szCs w:val="24"/>
          <w:u w:val="single"/>
        </w:rPr>
        <w:t>dėl ekonominės naudos</w:t>
      </w:r>
      <w:r w:rsidR="00866E19">
        <w:rPr>
          <w:i/>
          <w:sz w:val="24"/>
          <w:szCs w:val="24"/>
        </w:rPr>
        <w:t xml:space="preserve"> vieno ar daugiau tiekėjų ir vienos ar kelių perkančiųjų organizacijų raštu &lt;...&gt; sudaryta sutartis, kurios dalykas yra prekės, paslaugos ar darbai“, </w:t>
      </w:r>
      <w:r w:rsidRPr="00866E19">
        <w:rPr>
          <w:sz w:val="24"/>
          <w:szCs w:val="24"/>
        </w:rPr>
        <w:t>taigi tiekėjai vykdydami savo prisiimtus sutartinius įsipareigojimus tikisi gauti visą atlygį už prisiimtus ir atliktus sutartinius įsipareigojimus.</w:t>
      </w:r>
    </w:p>
    <w:p w:rsidR="00DF1A5C" w:rsidRPr="003D40B3" w:rsidRDefault="00DF1A5C" w:rsidP="000A114F">
      <w:pPr>
        <w:pStyle w:val="Sraopastraipa"/>
        <w:numPr>
          <w:ilvl w:val="0"/>
          <w:numId w:val="5"/>
        </w:numPr>
        <w:ind w:left="0" w:firstLine="709"/>
        <w:jc w:val="both"/>
        <w:rPr>
          <w:sz w:val="24"/>
          <w:szCs w:val="24"/>
        </w:rPr>
      </w:pPr>
      <w:r>
        <w:rPr>
          <w:sz w:val="24"/>
          <w:szCs w:val="24"/>
        </w:rPr>
        <w:t xml:space="preserve">Pirkimo sąlygų XIII dalies „Pirkimo sutarties sąlygos“ 93.8.1. punkte nustatyta, kad </w:t>
      </w:r>
      <w:r>
        <w:rPr>
          <w:i/>
          <w:sz w:val="24"/>
          <w:szCs w:val="24"/>
        </w:rPr>
        <w:t>„&lt;...&gt; Už tinkamai pagal sutarties nuostatas suteiktas paslaugas Perkančioji organizacija apmoka pagal Tiekėjo pateiktą PVM sąskaitą faktūrą, kuri pateikiama po paslaugų priėmimo – perdavimo akto pasirašymo, per 30 kalendorinių dienų ir kai projektui skirtos projekto finansavimo lėšos projektų administravimo taisyklėse nustatyta tvarka pervedamos į Perkančiosios organizacijos sąskaitą, bet ne vėliau kaip per 60 kalendorinių dienų nuo sąskaitos faktūros gavimo dienos &lt;...&gt;“</w:t>
      </w:r>
      <w:r>
        <w:rPr>
          <w:sz w:val="24"/>
          <w:szCs w:val="24"/>
        </w:rPr>
        <w:t xml:space="preserve">. Pažymėtina, kad </w:t>
      </w:r>
      <w:r w:rsidRPr="003D40B3">
        <w:rPr>
          <w:sz w:val="24"/>
          <w:szCs w:val="24"/>
        </w:rPr>
        <w:t xml:space="preserve">sutartyje tarp ūkio subjektų ir viešųjų subjektų nustatytas mokėjimo laikotarpis negali būti ilgesnis negu Lietuvos Respublikos mokėjimų, atliekamų pagal komercines sutartis, vėlavimo prevencijos įstatymo 5 straipsnio 1 dalyje nustatytas </w:t>
      </w:r>
      <w:r w:rsidRPr="003D40B3">
        <w:rPr>
          <w:sz w:val="24"/>
          <w:szCs w:val="24"/>
          <w:u w:val="single"/>
        </w:rPr>
        <w:t>30 kalendorinių dienų</w:t>
      </w:r>
      <w:r w:rsidRPr="003D40B3">
        <w:rPr>
          <w:sz w:val="24"/>
          <w:szCs w:val="24"/>
        </w:rPr>
        <w:t xml:space="preserve"> laikotarpis, išskyrus šio įstatymo 5 straipsnio 3 dalyje nustatytus išimtinius atvejus, kuomet šis laikotarpis gali siekti 60 kalendorinių dienų nuo prekių gavimo, paslaugų suteikimo ar darbų atlikimo dienos.</w:t>
      </w:r>
    </w:p>
    <w:p w:rsidR="00DF1A5C" w:rsidRPr="003D40B3" w:rsidRDefault="00DF1A5C" w:rsidP="00DF1A5C">
      <w:pPr>
        <w:jc w:val="center"/>
        <w:rPr>
          <w:sz w:val="24"/>
          <w:szCs w:val="24"/>
        </w:rPr>
      </w:pPr>
    </w:p>
    <w:p w:rsidR="00DF1A5C" w:rsidRPr="00D44E77" w:rsidRDefault="00DF1A5C" w:rsidP="00DF1A5C">
      <w:pPr>
        <w:jc w:val="both"/>
        <w:rPr>
          <w:sz w:val="24"/>
          <w:szCs w:val="24"/>
        </w:rPr>
      </w:pPr>
    </w:p>
    <w:p w:rsidR="00DF1A5C" w:rsidRDefault="00DF1A5C" w:rsidP="00DF1A5C">
      <w:pPr>
        <w:spacing w:line="276" w:lineRule="auto"/>
        <w:jc w:val="both"/>
        <w:rPr>
          <w:sz w:val="24"/>
          <w:szCs w:val="24"/>
        </w:rPr>
      </w:pPr>
    </w:p>
    <w:p w:rsidR="00ED6730" w:rsidRDefault="00ED6730" w:rsidP="00DF1A5C">
      <w:pPr>
        <w:spacing w:line="276" w:lineRule="auto"/>
        <w:jc w:val="both"/>
        <w:rPr>
          <w:sz w:val="24"/>
          <w:szCs w:val="24"/>
        </w:rPr>
      </w:pPr>
    </w:p>
    <w:tbl>
      <w:tblPr>
        <w:tblW w:w="5000" w:type="pct"/>
        <w:tblLook w:val="01E0" w:firstRow="1" w:lastRow="1" w:firstColumn="1" w:lastColumn="1" w:noHBand="0" w:noVBand="0"/>
      </w:tblPr>
      <w:tblGrid>
        <w:gridCol w:w="4666"/>
        <w:gridCol w:w="4688"/>
      </w:tblGrid>
      <w:tr w:rsidR="00DF1A5C" w:rsidTr="00364ED4">
        <w:tc>
          <w:tcPr>
            <w:tcW w:w="4927" w:type="dxa"/>
            <w:hideMark/>
          </w:tcPr>
          <w:p w:rsidR="00DF1A5C" w:rsidRDefault="00DF1A5C" w:rsidP="00364ED4">
            <w:pPr>
              <w:tabs>
                <w:tab w:val="left" w:pos="900"/>
              </w:tabs>
              <w:spacing w:line="254" w:lineRule="auto"/>
              <w:ind w:left="-108"/>
              <w:rPr>
                <w:sz w:val="24"/>
                <w:szCs w:val="24"/>
              </w:rPr>
            </w:pPr>
            <w:r>
              <w:rPr>
                <w:sz w:val="24"/>
                <w:szCs w:val="24"/>
              </w:rPr>
              <w:t>Kontrolės skyriaus vyriausioji specialistė</w:t>
            </w:r>
          </w:p>
        </w:tc>
        <w:tc>
          <w:tcPr>
            <w:tcW w:w="4928" w:type="dxa"/>
            <w:hideMark/>
          </w:tcPr>
          <w:p w:rsidR="00DF1A5C" w:rsidRDefault="00DF1A5C" w:rsidP="00364ED4">
            <w:pPr>
              <w:tabs>
                <w:tab w:val="left" w:pos="900"/>
              </w:tabs>
              <w:spacing w:line="254" w:lineRule="auto"/>
              <w:jc w:val="right"/>
              <w:rPr>
                <w:sz w:val="24"/>
                <w:szCs w:val="24"/>
              </w:rPr>
            </w:pPr>
            <w:r>
              <w:rPr>
                <w:sz w:val="24"/>
                <w:szCs w:val="24"/>
              </w:rPr>
              <w:t>Justina Juškauskaitė</w:t>
            </w:r>
          </w:p>
        </w:tc>
      </w:tr>
    </w:tbl>
    <w:p w:rsidR="00DF1A5C" w:rsidRDefault="00DF1A5C" w:rsidP="00DF1A5C">
      <w:pPr>
        <w:tabs>
          <w:tab w:val="left" w:pos="900"/>
        </w:tabs>
        <w:rPr>
          <w:bCs/>
          <w:sz w:val="24"/>
          <w:szCs w:val="24"/>
        </w:rPr>
      </w:pPr>
    </w:p>
    <w:p w:rsidR="00DF1A5C" w:rsidRDefault="00DF1A5C" w:rsidP="00DF1A5C">
      <w:pPr>
        <w:tabs>
          <w:tab w:val="left" w:pos="900"/>
        </w:tabs>
        <w:rPr>
          <w:bCs/>
          <w:sz w:val="24"/>
          <w:szCs w:val="24"/>
        </w:rPr>
      </w:pPr>
    </w:p>
    <w:p w:rsidR="00ED6730" w:rsidRDefault="00ED6730" w:rsidP="00DF1A5C">
      <w:pPr>
        <w:tabs>
          <w:tab w:val="left" w:pos="900"/>
        </w:tabs>
        <w:rPr>
          <w:bCs/>
          <w:sz w:val="24"/>
          <w:szCs w:val="24"/>
        </w:rPr>
      </w:pPr>
    </w:p>
    <w:p w:rsidR="00ED6730" w:rsidRDefault="00ED6730" w:rsidP="00DF1A5C">
      <w:pPr>
        <w:tabs>
          <w:tab w:val="left" w:pos="900"/>
        </w:tabs>
        <w:rPr>
          <w:bCs/>
          <w:sz w:val="24"/>
          <w:szCs w:val="24"/>
        </w:rPr>
      </w:pPr>
    </w:p>
    <w:p w:rsidR="00ED6730" w:rsidRDefault="00ED6730" w:rsidP="00DF1A5C">
      <w:pPr>
        <w:tabs>
          <w:tab w:val="left" w:pos="900"/>
        </w:tabs>
        <w:rPr>
          <w:bCs/>
          <w:sz w:val="24"/>
          <w:szCs w:val="24"/>
        </w:rPr>
      </w:pPr>
    </w:p>
    <w:p w:rsidR="00ED6730" w:rsidRDefault="00ED6730" w:rsidP="00DF1A5C">
      <w:pPr>
        <w:tabs>
          <w:tab w:val="left" w:pos="900"/>
        </w:tabs>
        <w:rPr>
          <w:bCs/>
          <w:sz w:val="24"/>
          <w:szCs w:val="24"/>
        </w:rPr>
      </w:pPr>
    </w:p>
    <w:p w:rsidR="009E0D44" w:rsidRDefault="009E0D44" w:rsidP="00DF1A5C">
      <w:pPr>
        <w:tabs>
          <w:tab w:val="left" w:pos="900"/>
        </w:tabs>
        <w:rPr>
          <w:bCs/>
          <w:sz w:val="24"/>
          <w:szCs w:val="24"/>
        </w:rPr>
      </w:pPr>
    </w:p>
    <w:p w:rsidR="009E0D44" w:rsidRDefault="009E0D44" w:rsidP="00DF1A5C">
      <w:pPr>
        <w:tabs>
          <w:tab w:val="left" w:pos="900"/>
        </w:tabs>
        <w:rPr>
          <w:bCs/>
          <w:sz w:val="24"/>
          <w:szCs w:val="24"/>
        </w:rPr>
      </w:pPr>
    </w:p>
    <w:p w:rsidR="00ED6730" w:rsidRDefault="00ED6730" w:rsidP="00DF1A5C">
      <w:pPr>
        <w:tabs>
          <w:tab w:val="left" w:pos="900"/>
        </w:tabs>
        <w:rPr>
          <w:bCs/>
          <w:sz w:val="24"/>
          <w:szCs w:val="24"/>
        </w:rPr>
      </w:pPr>
    </w:p>
    <w:p w:rsidR="00ED6730" w:rsidRDefault="00ED6730" w:rsidP="00DF1A5C">
      <w:pPr>
        <w:tabs>
          <w:tab w:val="left" w:pos="900"/>
        </w:tabs>
        <w:rPr>
          <w:bCs/>
          <w:sz w:val="24"/>
          <w:szCs w:val="24"/>
        </w:rPr>
      </w:pPr>
    </w:p>
    <w:p w:rsidR="00ED6730" w:rsidRDefault="00ED6730" w:rsidP="00DF1A5C">
      <w:pPr>
        <w:tabs>
          <w:tab w:val="left" w:pos="900"/>
        </w:tabs>
        <w:rPr>
          <w:bCs/>
          <w:sz w:val="24"/>
          <w:szCs w:val="24"/>
        </w:rPr>
      </w:pPr>
    </w:p>
    <w:p w:rsidR="00ED6730" w:rsidRPr="00ED6730" w:rsidRDefault="00ED6730" w:rsidP="00DF1A5C">
      <w:pPr>
        <w:tabs>
          <w:tab w:val="left" w:pos="900"/>
        </w:tabs>
        <w:rPr>
          <w:bCs/>
          <w:sz w:val="24"/>
          <w:szCs w:val="24"/>
        </w:rPr>
      </w:pPr>
    </w:p>
    <w:p w:rsidR="008C5F1C" w:rsidRPr="00ED6730" w:rsidRDefault="00DF1A5C" w:rsidP="008D364C">
      <w:pPr>
        <w:tabs>
          <w:tab w:val="left" w:pos="900"/>
        </w:tabs>
        <w:rPr>
          <w:bCs/>
          <w:sz w:val="24"/>
          <w:szCs w:val="24"/>
        </w:rPr>
      </w:pPr>
      <w:r w:rsidRPr="00ED6730">
        <w:rPr>
          <w:bCs/>
          <w:sz w:val="24"/>
          <w:szCs w:val="24"/>
        </w:rPr>
        <w:t>Justina Juškauskaitė, tel. (8 5) 219 7014, el. p. Justina.Juskausakite@vpt.lt</w:t>
      </w:r>
    </w:p>
    <w:sectPr w:rsidR="008C5F1C" w:rsidRPr="00ED6730" w:rsidSect="001A0EB3">
      <w:headerReference w:type="default" r:id="rId10"/>
      <w:footerReference w:type="first" r:id="rId11"/>
      <w:pgSz w:w="11906" w:h="16838"/>
      <w:pgMar w:top="1701"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3BC" w:rsidRDefault="00B933BC" w:rsidP="001A0EB3">
      <w:r>
        <w:separator/>
      </w:r>
    </w:p>
  </w:endnote>
  <w:endnote w:type="continuationSeparator" w:id="0">
    <w:p w:rsidR="00B933BC" w:rsidRDefault="00B933BC" w:rsidP="001A0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G Times">
    <w:altName w:val="Times New Roman"/>
    <w:charset w:val="BA"/>
    <w:family w:val="roman"/>
    <w:pitch w:val="variable"/>
    <w:sig w:usb0="00000007" w:usb1="00000000" w:usb2="00000000" w:usb3="00000000" w:csb0="00000093"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135"/>
      <w:gridCol w:w="3110"/>
      <w:gridCol w:w="3109"/>
    </w:tblGrid>
    <w:tr w:rsidR="001A0EB3" w:rsidRPr="008F10BE" w:rsidTr="000821BC">
      <w:tc>
        <w:tcPr>
          <w:tcW w:w="3225" w:type="dxa"/>
        </w:tcPr>
        <w:p w:rsidR="001A0EB3" w:rsidRPr="008F10BE" w:rsidRDefault="001A0EB3" w:rsidP="001A0EB3">
          <w:pPr>
            <w:pStyle w:val="Porat"/>
          </w:pPr>
          <w:r w:rsidRPr="008F10BE">
            <w:t>Biudžetinė įstaiga</w:t>
          </w:r>
        </w:p>
        <w:p w:rsidR="001A0EB3" w:rsidRPr="008F10BE" w:rsidRDefault="001A0EB3" w:rsidP="001A0EB3">
          <w:pPr>
            <w:pStyle w:val="Porat"/>
          </w:pPr>
          <w:r w:rsidRPr="008F10BE">
            <w:t>Kareivių g. 1, 08221 Vilnius</w:t>
          </w:r>
        </w:p>
        <w:p w:rsidR="001A0EB3" w:rsidRPr="008F10BE" w:rsidRDefault="001A0EB3" w:rsidP="001A0EB3">
          <w:pPr>
            <w:pStyle w:val="Porat"/>
          </w:pPr>
          <w:r w:rsidRPr="008F10BE">
            <w:t>http://www.vpt.lt</w:t>
          </w:r>
        </w:p>
      </w:tc>
      <w:tc>
        <w:tcPr>
          <w:tcW w:w="3225" w:type="dxa"/>
        </w:tcPr>
        <w:p w:rsidR="001A0EB3" w:rsidRPr="008F10BE" w:rsidRDefault="001A0EB3" w:rsidP="001A0EB3">
          <w:pPr>
            <w:pStyle w:val="Porat"/>
          </w:pPr>
          <w:r w:rsidRPr="008F10BE">
            <w:t>Tel. (8 5) 219 7001</w:t>
          </w:r>
        </w:p>
        <w:p w:rsidR="001A0EB3" w:rsidRPr="008F10BE" w:rsidRDefault="001A0EB3" w:rsidP="001A0EB3">
          <w:pPr>
            <w:pStyle w:val="Porat"/>
          </w:pPr>
          <w:r w:rsidRPr="008F10BE">
            <w:t>Faks. (8 5) 213 6213</w:t>
          </w:r>
        </w:p>
        <w:p w:rsidR="001A0EB3" w:rsidRPr="008F10BE" w:rsidRDefault="001A0EB3" w:rsidP="001A0EB3">
          <w:pPr>
            <w:pStyle w:val="Porat"/>
          </w:pPr>
          <w:r w:rsidRPr="008F10BE">
            <w:t>El. p. info@vpt.lt</w:t>
          </w:r>
        </w:p>
      </w:tc>
      <w:tc>
        <w:tcPr>
          <w:tcW w:w="3225" w:type="dxa"/>
        </w:tcPr>
        <w:p w:rsidR="001A0EB3" w:rsidRPr="008F10BE" w:rsidRDefault="001A0EB3" w:rsidP="001A0EB3">
          <w:pPr>
            <w:pStyle w:val="Porat"/>
          </w:pPr>
          <w:r w:rsidRPr="008F10BE">
            <w:t>Duomenys kaupiami ir saugomi</w:t>
          </w:r>
        </w:p>
        <w:p w:rsidR="001A0EB3" w:rsidRPr="008F10BE" w:rsidRDefault="001A0EB3" w:rsidP="001A0EB3">
          <w:pPr>
            <w:pStyle w:val="Porat"/>
          </w:pPr>
          <w:r w:rsidRPr="008F10BE">
            <w:t>Juridinių asmenų registre</w:t>
          </w:r>
        </w:p>
        <w:p w:rsidR="001A0EB3" w:rsidRPr="008F10BE" w:rsidRDefault="001A0EB3" w:rsidP="001A0EB3">
          <w:pPr>
            <w:pStyle w:val="Porat"/>
          </w:pPr>
          <w:r w:rsidRPr="008F10BE">
            <w:t>Kodas 188656261</w:t>
          </w:r>
        </w:p>
      </w:tc>
    </w:tr>
  </w:tbl>
  <w:p w:rsidR="001A0EB3" w:rsidRDefault="001A0EB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3BC" w:rsidRDefault="00B933BC" w:rsidP="001A0EB3">
      <w:r>
        <w:separator/>
      </w:r>
    </w:p>
  </w:footnote>
  <w:footnote w:type="continuationSeparator" w:id="0">
    <w:p w:rsidR="00B933BC" w:rsidRDefault="00B933BC" w:rsidP="001A0E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1844990"/>
      <w:docPartObj>
        <w:docPartGallery w:val="Page Numbers (Top of Page)"/>
        <w:docPartUnique/>
      </w:docPartObj>
    </w:sdtPr>
    <w:sdtEndPr/>
    <w:sdtContent>
      <w:p w:rsidR="001A50AB" w:rsidRDefault="001A50AB">
        <w:pPr>
          <w:pStyle w:val="Antrats"/>
          <w:jc w:val="center"/>
        </w:pPr>
        <w:r>
          <w:fldChar w:fldCharType="begin"/>
        </w:r>
        <w:r>
          <w:instrText>PAGE   \* MERGEFORMAT</w:instrText>
        </w:r>
        <w:r>
          <w:fldChar w:fldCharType="separate"/>
        </w:r>
        <w:r w:rsidR="007E7467">
          <w:rPr>
            <w:noProof/>
          </w:rPr>
          <w:t>3</w:t>
        </w:r>
        <w:r>
          <w:fldChar w:fldCharType="end"/>
        </w:r>
      </w:p>
    </w:sdtContent>
  </w:sdt>
  <w:p w:rsidR="001A50AB" w:rsidRDefault="001A50A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A141D"/>
    <w:multiLevelType w:val="hybridMultilevel"/>
    <w:tmpl w:val="3B0E0356"/>
    <w:lvl w:ilvl="0" w:tplc="9F8EB0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11D10C5"/>
    <w:multiLevelType w:val="hybridMultilevel"/>
    <w:tmpl w:val="86249518"/>
    <w:lvl w:ilvl="0" w:tplc="2CF64356">
      <w:start w:val="1"/>
      <w:numFmt w:val="decimal"/>
      <w:lvlText w:val="%1."/>
      <w:lvlJc w:val="left"/>
      <w:pPr>
        <w:ind w:left="1657" w:hanging="360"/>
      </w:pPr>
      <w:rPr>
        <w:rFonts w:hint="default"/>
      </w:rPr>
    </w:lvl>
    <w:lvl w:ilvl="1" w:tplc="04270019" w:tentative="1">
      <w:start w:val="1"/>
      <w:numFmt w:val="lowerLetter"/>
      <w:lvlText w:val="%2."/>
      <w:lvlJc w:val="left"/>
      <w:pPr>
        <w:ind w:left="2377" w:hanging="360"/>
      </w:pPr>
    </w:lvl>
    <w:lvl w:ilvl="2" w:tplc="0427001B" w:tentative="1">
      <w:start w:val="1"/>
      <w:numFmt w:val="lowerRoman"/>
      <w:lvlText w:val="%3."/>
      <w:lvlJc w:val="right"/>
      <w:pPr>
        <w:ind w:left="3097" w:hanging="180"/>
      </w:pPr>
    </w:lvl>
    <w:lvl w:ilvl="3" w:tplc="0427000F" w:tentative="1">
      <w:start w:val="1"/>
      <w:numFmt w:val="decimal"/>
      <w:lvlText w:val="%4."/>
      <w:lvlJc w:val="left"/>
      <w:pPr>
        <w:ind w:left="3817" w:hanging="360"/>
      </w:pPr>
    </w:lvl>
    <w:lvl w:ilvl="4" w:tplc="04270019" w:tentative="1">
      <w:start w:val="1"/>
      <w:numFmt w:val="lowerLetter"/>
      <w:lvlText w:val="%5."/>
      <w:lvlJc w:val="left"/>
      <w:pPr>
        <w:ind w:left="4537" w:hanging="360"/>
      </w:pPr>
    </w:lvl>
    <w:lvl w:ilvl="5" w:tplc="0427001B" w:tentative="1">
      <w:start w:val="1"/>
      <w:numFmt w:val="lowerRoman"/>
      <w:lvlText w:val="%6."/>
      <w:lvlJc w:val="right"/>
      <w:pPr>
        <w:ind w:left="5257" w:hanging="180"/>
      </w:pPr>
    </w:lvl>
    <w:lvl w:ilvl="6" w:tplc="0427000F" w:tentative="1">
      <w:start w:val="1"/>
      <w:numFmt w:val="decimal"/>
      <w:lvlText w:val="%7."/>
      <w:lvlJc w:val="left"/>
      <w:pPr>
        <w:ind w:left="5977" w:hanging="360"/>
      </w:pPr>
    </w:lvl>
    <w:lvl w:ilvl="7" w:tplc="04270019" w:tentative="1">
      <w:start w:val="1"/>
      <w:numFmt w:val="lowerLetter"/>
      <w:lvlText w:val="%8."/>
      <w:lvlJc w:val="left"/>
      <w:pPr>
        <w:ind w:left="6697" w:hanging="360"/>
      </w:pPr>
    </w:lvl>
    <w:lvl w:ilvl="8" w:tplc="0427001B" w:tentative="1">
      <w:start w:val="1"/>
      <w:numFmt w:val="lowerRoman"/>
      <w:lvlText w:val="%9."/>
      <w:lvlJc w:val="right"/>
      <w:pPr>
        <w:ind w:left="7417" w:hanging="180"/>
      </w:pPr>
    </w:lvl>
  </w:abstractNum>
  <w:abstractNum w:abstractNumId="2" w15:restartNumberingAfterBreak="0">
    <w:nsid w:val="2CBC7260"/>
    <w:multiLevelType w:val="multilevel"/>
    <w:tmpl w:val="C9C06A4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52717EC2"/>
    <w:multiLevelType w:val="multilevel"/>
    <w:tmpl w:val="41D61C7C"/>
    <w:lvl w:ilvl="0">
      <w:start w:val="1"/>
      <w:numFmt w:val="decimal"/>
      <w:lvlText w:val="%1."/>
      <w:lvlJc w:val="left"/>
      <w:pPr>
        <w:ind w:left="1495" w:hanging="360"/>
      </w:pPr>
      <w:rPr>
        <w:i w:val="0"/>
      </w:rPr>
    </w:lvl>
    <w:lvl w:ilvl="1">
      <w:start w:val="1"/>
      <w:numFmt w:val="decimal"/>
      <w:isLgl/>
      <w:lvlText w:val="%1.%2."/>
      <w:lvlJc w:val="left"/>
      <w:pPr>
        <w:ind w:left="1495" w:hanging="360"/>
      </w:pPr>
      <w:rPr>
        <w:color w:val="auto"/>
      </w:rPr>
    </w:lvl>
    <w:lvl w:ilvl="2">
      <w:start w:val="1"/>
      <w:numFmt w:val="decimal"/>
      <w:isLgl/>
      <w:lvlText w:val="%1.%2.%3."/>
      <w:lvlJc w:val="left"/>
      <w:pPr>
        <w:ind w:left="1855" w:hanging="720"/>
      </w:pPr>
      <w:rPr>
        <w:color w:val="FF0000"/>
      </w:rPr>
    </w:lvl>
    <w:lvl w:ilvl="3">
      <w:start w:val="1"/>
      <w:numFmt w:val="decimal"/>
      <w:isLgl/>
      <w:lvlText w:val="%1.%2.%3.%4."/>
      <w:lvlJc w:val="left"/>
      <w:pPr>
        <w:ind w:left="1855" w:hanging="720"/>
      </w:pPr>
      <w:rPr>
        <w:color w:val="FF0000"/>
      </w:rPr>
    </w:lvl>
    <w:lvl w:ilvl="4">
      <w:start w:val="1"/>
      <w:numFmt w:val="decimal"/>
      <w:isLgl/>
      <w:lvlText w:val="%1.%2.%3.%4.%5."/>
      <w:lvlJc w:val="left"/>
      <w:pPr>
        <w:ind w:left="2215" w:hanging="1080"/>
      </w:pPr>
      <w:rPr>
        <w:color w:val="FF0000"/>
      </w:rPr>
    </w:lvl>
    <w:lvl w:ilvl="5">
      <w:start w:val="1"/>
      <w:numFmt w:val="decimal"/>
      <w:isLgl/>
      <w:lvlText w:val="%1.%2.%3.%4.%5.%6."/>
      <w:lvlJc w:val="left"/>
      <w:pPr>
        <w:ind w:left="2215" w:hanging="1080"/>
      </w:pPr>
      <w:rPr>
        <w:color w:val="FF0000"/>
      </w:rPr>
    </w:lvl>
    <w:lvl w:ilvl="6">
      <w:start w:val="1"/>
      <w:numFmt w:val="decimal"/>
      <w:isLgl/>
      <w:lvlText w:val="%1.%2.%3.%4.%5.%6.%7."/>
      <w:lvlJc w:val="left"/>
      <w:pPr>
        <w:ind w:left="2575" w:hanging="1440"/>
      </w:pPr>
      <w:rPr>
        <w:color w:val="FF0000"/>
      </w:rPr>
    </w:lvl>
    <w:lvl w:ilvl="7">
      <w:start w:val="1"/>
      <w:numFmt w:val="decimal"/>
      <w:isLgl/>
      <w:lvlText w:val="%1.%2.%3.%4.%5.%6.%7.%8."/>
      <w:lvlJc w:val="left"/>
      <w:pPr>
        <w:ind w:left="2575" w:hanging="1440"/>
      </w:pPr>
      <w:rPr>
        <w:color w:val="FF0000"/>
      </w:rPr>
    </w:lvl>
    <w:lvl w:ilvl="8">
      <w:start w:val="1"/>
      <w:numFmt w:val="decimal"/>
      <w:isLgl/>
      <w:lvlText w:val="%1.%2.%3.%4.%5.%6.%7.%8.%9."/>
      <w:lvlJc w:val="left"/>
      <w:pPr>
        <w:ind w:left="2935" w:hanging="1800"/>
      </w:pPr>
      <w:rPr>
        <w:color w:val="FF0000"/>
      </w:rPr>
    </w:lvl>
  </w:abstractNum>
  <w:abstractNum w:abstractNumId="4" w15:restartNumberingAfterBreak="0">
    <w:nsid w:val="5C2D7B27"/>
    <w:multiLevelType w:val="hybridMultilevel"/>
    <w:tmpl w:val="4E5440DC"/>
    <w:lvl w:ilvl="0" w:tplc="AFCA7D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DAE"/>
    <w:rsid w:val="00022C2B"/>
    <w:rsid w:val="00044E40"/>
    <w:rsid w:val="0004650D"/>
    <w:rsid w:val="00073CEE"/>
    <w:rsid w:val="00097DCF"/>
    <w:rsid w:val="000A114F"/>
    <w:rsid w:val="000A2977"/>
    <w:rsid w:val="000B2892"/>
    <w:rsid w:val="000C1A5F"/>
    <w:rsid w:val="000D3146"/>
    <w:rsid w:val="000F4FCE"/>
    <w:rsid w:val="00121AF4"/>
    <w:rsid w:val="001346FB"/>
    <w:rsid w:val="001756DF"/>
    <w:rsid w:val="00176C5B"/>
    <w:rsid w:val="001A0EB3"/>
    <w:rsid w:val="001A50AB"/>
    <w:rsid w:val="001A6A1A"/>
    <w:rsid w:val="001B2960"/>
    <w:rsid w:val="001C51B0"/>
    <w:rsid w:val="001C6559"/>
    <w:rsid w:val="001D3D78"/>
    <w:rsid w:val="001E5C94"/>
    <w:rsid w:val="00203985"/>
    <w:rsid w:val="00222FAB"/>
    <w:rsid w:val="00257630"/>
    <w:rsid w:val="002669A4"/>
    <w:rsid w:val="00274922"/>
    <w:rsid w:val="002849BF"/>
    <w:rsid w:val="0029144D"/>
    <w:rsid w:val="002A3612"/>
    <w:rsid w:val="002A57A4"/>
    <w:rsid w:val="002E0267"/>
    <w:rsid w:val="002E1F09"/>
    <w:rsid w:val="002E5A3F"/>
    <w:rsid w:val="0033669E"/>
    <w:rsid w:val="003477F1"/>
    <w:rsid w:val="00352BBD"/>
    <w:rsid w:val="0035415D"/>
    <w:rsid w:val="003666DC"/>
    <w:rsid w:val="003736CF"/>
    <w:rsid w:val="00381D03"/>
    <w:rsid w:val="003C79DE"/>
    <w:rsid w:val="003D4952"/>
    <w:rsid w:val="003E6071"/>
    <w:rsid w:val="00412E8D"/>
    <w:rsid w:val="00437B52"/>
    <w:rsid w:val="0044394B"/>
    <w:rsid w:val="0045448C"/>
    <w:rsid w:val="004908C9"/>
    <w:rsid w:val="004958F8"/>
    <w:rsid w:val="004A432C"/>
    <w:rsid w:val="004B0017"/>
    <w:rsid w:val="004B72A2"/>
    <w:rsid w:val="004E22DE"/>
    <w:rsid w:val="00511D73"/>
    <w:rsid w:val="005326A0"/>
    <w:rsid w:val="00551F1E"/>
    <w:rsid w:val="005A725F"/>
    <w:rsid w:val="005C415C"/>
    <w:rsid w:val="005D4127"/>
    <w:rsid w:val="005D79BF"/>
    <w:rsid w:val="005E2BF7"/>
    <w:rsid w:val="006047AA"/>
    <w:rsid w:val="0062270D"/>
    <w:rsid w:val="0063622B"/>
    <w:rsid w:val="00637A92"/>
    <w:rsid w:val="00651570"/>
    <w:rsid w:val="00653BC8"/>
    <w:rsid w:val="006567C9"/>
    <w:rsid w:val="006A3F6E"/>
    <w:rsid w:val="006B2928"/>
    <w:rsid w:val="006B3A0A"/>
    <w:rsid w:val="006C5F17"/>
    <w:rsid w:val="006D5DAE"/>
    <w:rsid w:val="006D6A03"/>
    <w:rsid w:val="006E04FF"/>
    <w:rsid w:val="0072580A"/>
    <w:rsid w:val="007664D5"/>
    <w:rsid w:val="007720D0"/>
    <w:rsid w:val="00773EE9"/>
    <w:rsid w:val="00790A47"/>
    <w:rsid w:val="007971AD"/>
    <w:rsid w:val="007B4872"/>
    <w:rsid w:val="007C36A9"/>
    <w:rsid w:val="007D5C11"/>
    <w:rsid w:val="007E7467"/>
    <w:rsid w:val="00831EE1"/>
    <w:rsid w:val="00831EF9"/>
    <w:rsid w:val="008376DC"/>
    <w:rsid w:val="00866E19"/>
    <w:rsid w:val="00872D16"/>
    <w:rsid w:val="0089509D"/>
    <w:rsid w:val="008A35B3"/>
    <w:rsid w:val="008C5F1C"/>
    <w:rsid w:val="008D2218"/>
    <w:rsid w:val="008D364C"/>
    <w:rsid w:val="008E72AD"/>
    <w:rsid w:val="00917B2A"/>
    <w:rsid w:val="00923EEF"/>
    <w:rsid w:val="00984797"/>
    <w:rsid w:val="009C6CFE"/>
    <w:rsid w:val="009D7B74"/>
    <w:rsid w:val="009E0D44"/>
    <w:rsid w:val="009E4494"/>
    <w:rsid w:val="00A1722D"/>
    <w:rsid w:val="00A234DD"/>
    <w:rsid w:val="00A366C3"/>
    <w:rsid w:val="00A41D1D"/>
    <w:rsid w:val="00A529B4"/>
    <w:rsid w:val="00A81756"/>
    <w:rsid w:val="00AA4F52"/>
    <w:rsid w:val="00AB7738"/>
    <w:rsid w:val="00AD26ED"/>
    <w:rsid w:val="00AE189D"/>
    <w:rsid w:val="00AE45C6"/>
    <w:rsid w:val="00B07CAF"/>
    <w:rsid w:val="00B101CD"/>
    <w:rsid w:val="00B1382A"/>
    <w:rsid w:val="00B255BD"/>
    <w:rsid w:val="00B933BC"/>
    <w:rsid w:val="00BA2DEE"/>
    <w:rsid w:val="00BA3388"/>
    <w:rsid w:val="00BB41F6"/>
    <w:rsid w:val="00BC3773"/>
    <w:rsid w:val="00BC69D4"/>
    <w:rsid w:val="00BD4A6C"/>
    <w:rsid w:val="00BD55ED"/>
    <w:rsid w:val="00BE7943"/>
    <w:rsid w:val="00BF3F74"/>
    <w:rsid w:val="00CC6C7A"/>
    <w:rsid w:val="00CF5001"/>
    <w:rsid w:val="00D04CC0"/>
    <w:rsid w:val="00D1500A"/>
    <w:rsid w:val="00D241BD"/>
    <w:rsid w:val="00D33114"/>
    <w:rsid w:val="00D44B06"/>
    <w:rsid w:val="00D51C68"/>
    <w:rsid w:val="00D76BC9"/>
    <w:rsid w:val="00DC5654"/>
    <w:rsid w:val="00DE71F2"/>
    <w:rsid w:val="00DF1A5C"/>
    <w:rsid w:val="00E0232E"/>
    <w:rsid w:val="00E15A59"/>
    <w:rsid w:val="00E41D69"/>
    <w:rsid w:val="00E54659"/>
    <w:rsid w:val="00E56C90"/>
    <w:rsid w:val="00E57AF4"/>
    <w:rsid w:val="00E93072"/>
    <w:rsid w:val="00EC2715"/>
    <w:rsid w:val="00EC73A3"/>
    <w:rsid w:val="00ED6730"/>
    <w:rsid w:val="00EF41A4"/>
    <w:rsid w:val="00F17791"/>
    <w:rsid w:val="00F17DBF"/>
    <w:rsid w:val="00F2791C"/>
    <w:rsid w:val="00F3146C"/>
    <w:rsid w:val="00F35EC2"/>
    <w:rsid w:val="00F51E14"/>
    <w:rsid w:val="00F521FC"/>
    <w:rsid w:val="00F71E32"/>
    <w:rsid w:val="00F73875"/>
    <w:rsid w:val="00F816DA"/>
    <w:rsid w:val="00F818F5"/>
    <w:rsid w:val="00FB1CE5"/>
    <w:rsid w:val="00FC29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5912968-6F61-48FA-86CC-3A411F44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5DAE"/>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6D5DAE"/>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D5DAE"/>
    <w:rPr>
      <w:rFonts w:ascii="Times New Roman" w:eastAsia="Times New Roman" w:hAnsi="Times New Roman" w:cs="Times New Roman"/>
      <w:b/>
      <w:bCs/>
      <w:sz w:val="32"/>
      <w:szCs w:val="32"/>
    </w:rPr>
  </w:style>
  <w:style w:type="paragraph" w:styleId="Sraopastraipa">
    <w:name w:val="List Paragraph"/>
    <w:basedOn w:val="prastasis"/>
    <w:uiPriority w:val="34"/>
    <w:qFormat/>
    <w:rsid w:val="006D5DAE"/>
    <w:pPr>
      <w:ind w:left="720"/>
      <w:contextualSpacing/>
    </w:pPr>
  </w:style>
  <w:style w:type="paragraph" w:customStyle="1" w:styleId="Default">
    <w:name w:val="Default"/>
    <w:rsid w:val="006D5DAE"/>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customStyle="1" w:styleId="Normal12ptChar">
    <w:name w:val="Normal + 12 pt Char"/>
    <w:basedOn w:val="Numatytasispastraiposriftas"/>
    <w:link w:val="Normal12pt"/>
    <w:locked/>
    <w:rsid w:val="00773EE9"/>
  </w:style>
  <w:style w:type="paragraph" w:customStyle="1" w:styleId="Normal12pt">
    <w:name w:val="Normal + 12 pt"/>
    <w:basedOn w:val="prastasis"/>
    <w:link w:val="Normal12ptChar"/>
    <w:rsid w:val="00773EE9"/>
    <w:pPr>
      <w:ind w:right="-283"/>
      <w:jc w:val="both"/>
    </w:pPr>
    <w:rPr>
      <w:rFonts w:asciiTheme="minorHAnsi" w:eastAsiaTheme="minorHAnsi" w:hAnsiTheme="minorHAnsi" w:cstheme="minorBidi"/>
      <w:sz w:val="22"/>
      <w:szCs w:val="22"/>
    </w:rPr>
  </w:style>
  <w:style w:type="paragraph" w:styleId="Debesliotekstas">
    <w:name w:val="Balloon Text"/>
    <w:basedOn w:val="prastasis"/>
    <w:link w:val="DebesliotekstasDiagrama"/>
    <w:uiPriority w:val="99"/>
    <w:semiHidden/>
    <w:unhideWhenUsed/>
    <w:rsid w:val="001A0EB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A0EB3"/>
    <w:rPr>
      <w:rFonts w:ascii="Segoe UI" w:eastAsia="Times New Roman" w:hAnsi="Segoe UI" w:cs="Segoe UI"/>
      <w:sz w:val="18"/>
      <w:szCs w:val="18"/>
    </w:rPr>
  </w:style>
  <w:style w:type="paragraph" w:styleId="Antrats">
    <w:name w:val="header"/>
    <w:basedOn w:val="prastasis"/>
    <w:link w:val="AntratsDiagrama"/>
    <w:uiPriority w:val="99"/>
    <w:unhideWhenUsed/>
    <w:rsid w:val="001A0EB3"/>
    <w:pPr>
      <w:tabs>
        <w:tab w:val="center" w:pos="4819"/>
        <w:tab w:val="right" w:pos="9638"/>
      </w:tabs>
    </w:pPr>
  </w:style>
  <w:style w:type="character" w:customStyle="1" w:styleId="AntratsDiagrama">
    <w:name w:val="Antraštės Diagrama"/>
    <w:basedOn w:val="Numatytasispastraiposriftas"/>
    <w:link w:val="Antrats"/>
    <w:uiPriority w:val="99"/>
    <w:rsid w:val="001A0EB3"/>
    <w:rPr>
      <w:rFonts w:ascii="Times New Roman" w:eastAsia="Times New Roman" w:hAnsi="Times New Roman" w:cs="Times New Roman"/>
      <w:sz w:val="20"/>
      <w:szCs w:val="20"/>
    </w:rPr>
  </w:style>
  <w:style w:type="paragraph" w:styleId="Porat">
    <w:name w:val="footer"/>
    <w:basedOn w:val="prastasis"/>
    <w:link w:val="PoratDiagrama"/>
    <w:unhideWhenUsed/>
    <w:rsid w:val="001A0EB3"/>
    <w:pPr>
      <w:tabs>
        <w:tab w:val="center" w:pos="4819"/>
        <w:tab w:val="right" w:pos="9638"/>
      </w:tabs>
    </w:pPr>
  </w:style>
  <w:style w:type="character" w:customStyle="1" w:styleId="PoratDiagrama">
    <w:name w:val="Poraštė Diagrama"/>
    <w:basedOn w:val="Numatytasispastraiposriftas"/>
    <w:link w:val="Porat"/>
    <w:rsid w:val="001A0EB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779544">
      <w:bodyDiv w:val="1"/>
      <w:marLeft w:val="0"/>
      <w:marRight w:val="0"/>
      <w:marTop w:val="0"/>
      <w:marBottom w:val="0"/>
      <w:divBdr>
        <w:top w:val="none" w:sz="0" w:space="0" w:color="auto"/>
        <w:left w:val="none" w:sz="0" w:space="0" w:color="auto"/>
        <w:bottom w:val="none" w:sz="0" w:space="0" w:color="auto"/>
        <w:right w:val="none" w:sz="0" w:space="0" w:color="auto"/>
      </w:divBdr>
    </w:div>
    <w:div w:id="11917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1C469-7C84-4520-A331-8C8F511A4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6637</Words>
  <Characters>3784</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Juškauskaitė</dc:creator>
  <cp:keywords/>
  <dc:description/>
  <cp:lastModifiedBy>Justina Juškauskaitė</cp:lastModifiedBy>
  <cp:revision>12</cp:revision>
  <cp:lastPrinted>2016-02-02T12:45:00Z</cp:lastPrinted>
  <dcterms:created xsi:type="dcterms:W3CDTF">2016-02-02T09:29:00Z</dcterms:created>
  <dcterms:modified xsi:type="dcterms:W3CDTF">2016-02-03T06:49:00Z</dcterms:modified>
</cp:coreProperties>
</file>