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D8" w:rsidRDefault="00E848D8" w:rsidP="00E848D8">
      <w:pPr>
        <w:jc w:val="center"/>
        <w:rPr>
          <w:rFonts w:ascii="Times New Roman" w:hAnsi="Times New Roman" w:cs="Times New Roman"/>
          <w:b/>
          <w:sz w:val="24"/>
          <w:szCs w:val="24"/>
          <w:lang w:val="lt-LT"/>
        </w:rPr>
      </w:pPr>
      <w:r w:rsidRPr="00143243">
        <w:rPr>
          <w:rFonts w:ascii="Times New Roman" w:eastAsia="Calibri" w:hAnsi="Times New Roman" w:cs="Times New Roman"/>
          <w:noProof/>
          <w:sz w:val="24"/>
          <w:szCs w:val="24"/>
          <w:lang w:val="lt-LT" w:eastAsia="lt-LT"/>
        </w:rPr>
        <w:drawing>
          <wp:inline distT="0" distB="0" distL="0" distR="0">
            <wp:extent cx="552450" cy="5651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747F45" w:rsidRPr="00143243" w:rsidRDefault="00747F45" w:rsidP="00E848D8">
      <w:pPr>
        <w:jc w:val="center"/>
        <w:rPr>
          <w:rFonts w:ascii="Times New Roman" w:hAnsi="Times New Roman" w:cs="Times New Roman"/>
          <w:b/>
          <w:sz w:val="24"/>
          <w:szCs w:val="24"/>
          <w:lang w:val="lt-LT"/>
        </w:rPr>
      </w:pPr>
    </w:p>
    <w:p w:rsidR="00E848D8" w:rsidRPr="00143243" w:rsidRDefault="00E848D8" w:rsidP="00E848D8">
      <w:pPr>
        <w:jc w:val="center"/>
        <w:rPr>
          <w:rFonts w:ascii="Times New Roman" w:hAnsi="Times New Roman" w:cs="Times New Roman"/>
          <w:b/>
          <w:bCs/>
          <w:sz w:val="24"/>
          <w:szCs w:val="24"/>
          <w:lang w:val="lt-LT"/>
        </w:rPr>
      </w:pPr>
      <w:r w:rsidRPr="00143243">
        <w:rPr>
          <w:rFonts w:ascii="Times New Roman" w:hAnsi="Times New Roman" w:cs="Times New Roman"/>
          <w:b/>
          <w:bCs/>
          <w:sz w:val="24"/>
          <w:szCs w:val="24"/>
          <w:lang w:val="lt-LT"/>
        </w:rPr>
        <w:t>VIEŠŲJŲ PIRKIMŲ TARNYBA</w:t>
      </w:r>
    </w:p>
    <w:p w:rsidR="00E848D8" w:rsidRPr="00143243" w:rsidRDefault="00E848D8" w:rsidP="00E848D8">
      <w:pPr>
        <w:jc w:val="center"/>
        <w:rPr>
          <w:rFonts w:ascii="Times New Roman" w:hAnsi="Times New Roman" w:cs="Times New Roman"/>
          <w:b/>
          <w:bCs/>
          <w:sz w:val="24"/>
          <w:szCs w:val="24"/>
          <w:lang w:val="lt-LT"/>
        </w:rPr>
      </w:pPr>
      <w:r w:rsidRPr="00143243">
        <w:rPr>
          <w:rFonts w:ascii="Times New Roman" w:hAnsi="Times New Roman" w:cs="Times New Roman"/>
          <w:b/>
          <w:bCs/>
          <w:sz w:val="24"/>
          <w:szCs w:val="24"/>
          <w:lang w:val="lt-LT"/>
        </w:rPr>
        <w:t>KONTROLĖS SKYRIUS</w:t>
      </w:r>
    </w:p>
    <w:p w:rsidR="00E848D8" w:rsidRPr="00143243" w:rsidRDefault="00E848D8" w:rsidP="00E848D8">
      <w:pPr>
        <w:jc w:val="center"/>
        <w:rPr>
          <w:rFonts w:ascii="Times New Roman" w:hAnsi="Times New Roman" w:cs="Times New Roman"/>
          <w:b/>
          <w:bCs/>
          <w:sz w:val="24"/>
          <w:szCs w:val="24"/>
          <w:lang w:val="lt-LT"/>
        </w:rPr>
      </w:pPr>
      <w:r w:rsidRPr="00143243">
        <w:rPr>
          <w:rFonts w:ascii="Times New Roman" w:hAnsi="Times New Roman" w:cs="Times New Roman"/>
          <w:b/>
          <w:bCs/>
          <w:sz w:val="24"/>
          <w:szCs w:val="24"/>
          <w:lang w:val="lt-LT"/>
        </w:rPr>
        <w:t>PIRKIMŲ VERTINIMO IŠVADA</w:t>
      </w:r>
    </w:p>
    <w:p w:rsidR="00E848D8" w:rsidRPr="00143243" w:rsidRDefault="00213D12" w:rsidP="00213D12">
      <w:pPr>
        <w:spacing w:after="0"/>
        <w:jc w:val="center"/>
        <w:rPr>
          <w:rFonts w:ascii="Times New Roman" w:hAnsi="Times New Roman" w:cs="Times New Roman"/>
          <w:sz w:val="24"/>
          <w:szCs w:val="24"/>
          <w:lang w:val="lt-LT"/>
        </w:rPr>
      </w:pPr>
      <w:r w:rsidRPr="00213D12">
        <w:rPr>
          <w:rFonts w:ascii="Times New Roman" w:hAnsi="Times New Roman" w:cs="Times New Roman"/>
          <w:sz w:val="24"/>
          <w:szCs w:val="24"/>
          <w:u w:val="single"/>
          <w:lang w:val="lt-LT"/>
        </w:rPr>
        <w:t>2016-06-</w:t>
      </w:r>
      <w:r>
        <w:rPr>
          <w:rFonts w:ascii="Times New Roman" w:hAnsi="Times New Roman" w:cs="Times New Roman"/>
          <w:sz w:val="24"/>
          <w:szCs w:val="24"/>
          <w:u w:val="single"/>
          <w:lang w:val="lt-LT"/>
        </w:rPr>
        <w:t xml:space="preserve">      </w:t>
      </w:r>
      <w:r w:rsidR="00E848D8" w:rsidRPr="00143243">
        <w:rPr>
          <w:rFonts w:ascii="Times New Roman" w:hAnsi="Times New Roman" w:cs="Times New Roman"/>
          <w:sz w:val="24"/>
          <w:szCs w:val="24"/>
          <w:lang w:val="lt-LT"/>
        </w:rPr>
        <w:t>Nr. 4S-_________</w:t>
      </w:r>
    </w:p>
    <w:p w:rsidR="00E848D8" w:rsidRPr="00143243" w:rsidRDefault="00E848D8" w:rsidP="00213D12">
      <w:pPr>
        <w:spacing w:after="0"/>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(data)                  (numeris)</w:t>
      </w:r>
    </w:p>
    <w:p w:rsidR="00E848D8" w:rsidRPr="00143243" w:rsidRDefault="00E848D8" w:rsidP="00E848D8">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Vilnius</w:t>
      </w:r>
    </w:p>
    <w:p w:rsidR="00E848D8" w:rsidRDefault="00E848D8" w:rsidP="00E848D8">
      <w:pPr>
        <w:jc w:val="center"/>
        <w:rPr>
          <w:rFonts w:ascii="Times New Roman" w:hAnsi="Times New Roman" w:cs="Times New Roman"/>
          <w:sz w:val="16"/>
          <w:szCs w:val="16"/>
          <w:lang w:val="lt-LT"/>
        </w:rPr>
      </w:pPr>
    </w:p>
    <w:p w:rsidR="00AD3F69" w:rsidRPr="00747F45" w:rsidRDefault="00AD3F69" w:rsidP="00E848D8">
      <w:pPr>
        <w:jc w:val="center"/>
        <w:rPr>
          <w:rFonts w:ascii="Times New Roman" w:hAnsi="Times New Roman" w:cs="Times New Roman"/>
          <w:sz w:val="16"/>
          <w:szCs w:val="16"/>
          <w:lang w:val="lt-LT"/>
        </w:rPr>
      </w:pPr>
    </w:p>
    <w:p w:rsidR="003777E3" w:rsidRPr="003777E3" w:rsidRDefault="003777E3" w:rsidP="003777E3">
      <w:pPr>
        <w:spacing w:after="0" w:line="240" w:lineRule="auto"/>
        <w:ind w:firstLine="709"/>
        <w:jc w:val="both"/>
        <w:rPr>
          <w:rFonts w:ascii="Times New Roman" w:hAnsi="Times New Roman"/>
          <w:sz w:val="24"/>
          <w:szCs w:val="24"/>
          <w:lang w:val="lt-LT"/>
        </w:rPr>
      </w:pPr>
      <w:r w:rsidRPr="003777E3">
        <w:rPr>
          <w:rFonts w:ascii="Times New Roman" w:hAnsi="Times New Roman"/>
          <w:bCs/>
          <w:sz w:val="24"/>
          <w:szCs w:val="24"/>
          <w:lang w:val="lt-LT"/>
        </w:rPr>
        <w:t xml:space="preserve">Viešųjų pirkimų tarnyba (toliau – Tarnyba), vadovaudamasi Lietuvos Respublikos viešųjų pirkimų įstatymo 8² straipsnio 1 dalies 2 punktu, įvertino </w:t>
      </w:r>
      <w:r w:rsidR="00B91BA2">
        <w:rPr>
          <w:rFonts w:ascii="Times New Roman" w:hAnsi="Times New Roman"/>
          <w:bCs/>
          <w:sz w:val="24"/>
          <w:szCs w:val="24"/>
          <w:lang w:val="lt-LT"/>
        </w:rPr>
        <w:t>UAB „Trakų paslaugos“</w:t>
      </w:r>
      <w:r w:rsidRPr="003777E3">
        <w:rPr>
          <w:rFonts w:ascii="Times New Roman" w:hAnsi="Times New Roman"/>
          <w:bCs/>
          <w:sz w:val="24"/>
          <w:szCs w:val="24"/>
          <w:lang w:val="lt-LT"/>
        </w:rPr>
        <w:t xml:space="preserve"> (toliau – Perkančioji organizacija) pateiktus d</w:t>
      </w:r>
      <w:r w:rsidR="00BE324D">
        <w:rPr>
          <w:rFonts w:ascii="Times New Roman" w:hAnsi="Times New Roman"/>
          <w:bCs/>
          <w:sz w:val="24"/>
          <w:szCs w:val="24"/>
          <w:lang w:val="lt-LT"/>
        </w:rPr>
        <w:t>okumentus, susijusius su vykdytais</w:t>
      </w:r>
      <w:r w:rsidRPr="003777E3">
        <w:rPr>
          <w:rFonts w:ascii="Times New Roman" w:hAnsi="Times New Roman"/>
          <w:bCs/>
          <w:sz w:val="24"/>
          <w:szCs w:val="24"/>
          <w:lang w:val="lt-LT"/>
        </w:rPr>
        <w:t xml:space="preserve"> vieš</w:t>
      </w:r>
      <w:r w:rsidR="00BE324D">
        <w:rPr>
          <w:rFonts w:ascii="Times New Roman" w:hAnsi="Times New Roman"/>
          <w:bCs/>
          <w:sz w:val="24"/>
          <w:szCs w:val="24"/>
          <w:lang w:val="lt-LT"/>
        </w:rPr>
        <w:t>aisiais pirkimais</w:t>
      </w:r>
      <w:r w:rsidRPr="003777E3">
        <w:rPr>
          <w:rFonts w:ascii="Times New Roman" w:hAnsi="Times New Roman"/>
          <w:bCs/>
          <w:sz w:val="24"/>
          <w:szCs w:val="24"/>
          <w:lang w:val="lt-LT"/>
        </w:rPr>
        <w:t>.</w:t>
      </w:r>
    </w:p>
    <w:p w:rsidR="003777E3" w:rsidRPr="003777E3" w:rsidRDefault="003777E3" w:rsidP="003777E3">
      <w:pPr>
        <w:spacing w:after="0" w:line="240" w:lineRule="auto"/>
        <w:rPr>
          <w:rFonts w:ascii="Times New Roman" w:hAnsi="Times New Roman"/>
          <w:sz w:val="24"/>
          <w:szCs w:val="24"/>
          <w:lang w:val="lt-LT"/>
        </w:rPr>
      </w:pPr>
    </w:p>
    <w:p w:rsidR="00BE324D" w:rsidRPr="00BC735C" w:rsidRDefault="00BE324D" w:rsidP="00BE324D">
      <w:pPr>
        <w:tabs>
          <w:tab w:val="left" w:pos="0"/>
        </w:tabs>
        <w:spacing w:after="0" w:line="240" w:lineRule="auto"/>
        <w:jc w:val="center"/>
        <w:rPr>
          <w:rFonts w:ascii="Times New Roman" w:hAnsi="Times New Roman"/>
          <w:b/>
          <w:bCs/>
          <w:sz w:val="24"/>
          <w:szCs w:val="24"/>
          <w:lang w:val="en-US"/>
        </w:rPr>
      </w:pPr>
      <w:r w:rsidRPr="00BC735C">
        <w:rPr>
          <w:rFonts w:ascii="Times New Roman" w:hAnsi="Times New Roman" w:cs="Times New Roman"/>
          <w:b/>
          <w:sz w:val="24"/>
          <w:szCs w:val="24"/>
          <w:lang w:val="lt-LT"/>
        </w:rPr>
        <w:t xml:space="preserve">Valdymo ir veiklos audito paslaugos </w:t>
      </w:r>
      <w:r w:rsidRPr="00BC735C">
        <w:rPr>
          <w:rFonts w:ascii="Times New Roman" w:hAnsi="Times New Roman"/>
          <w:b/>
          <w:bCs/>
          <w:sz w:val="24"/>
          <w:szCs w:val="24"/>
          <w:lang w:val="en-US"/>
        </w:rPr>
        <w:t xml:space="preserve">(I </w:t>
      </w:r>
      <w:proofErr w:type="spellStart"/>
      <w:r w:rsidRPr="00BC735C">
        <w:rPr>
          <w:rFonts w:ascii="Times New Roman" w:hAnsi="Times New Roman"/>
          <w:b/>
          <w:bCs/>
          <w:sz w:val="24"/>
          <w:szCs w:val="24"/>
          <w:lang w:val="en-US"/>
        </w:rPr>
        <w:t>Pirkimas</w:t>
      </w:r>
      <w:proofErr w:type="spellEnd"/>
      <w:r w:rsidRPr="00BC735C">
        <w:rPr>
          <w:rFonts w:ascii="Times New Roman" w:hAnsi="Times New Roman"/>
          <w:b/>
          <w:bCs/>
          <w:sz w:val="24"/>
          <w:szCs w:val="24"/>
          <w:lang w:val="en-US"/>
        </w:rPr>
        <w:t>)</w:t>
      </w:r>
    </w:p>
    <w:p w:rsidR="00BE324D" w:rsidRPr="00BE324D" w:rsidRDefault="00BE324D" w:rsidP="00BE324D">
      <w:pPr>
        <w:spacing w:after="0" w:line="240" w:lineRule="auto"/>
        <w:rPr>
          <w:rFonts w:ascii="Times New Roman" w:hAnsi="Times New Roman"/>
          <w:sz w:val="24"/>
          <w:szCs w:val="24"/>
          <w:lang w:val="en-US"/>
        </w:rPr>
      </w:pPr>
    </w:p>
    <w:p w:rsidR="00BE324D" w:rsidRPr="009F1224" w:rsidRDefault="00BE324D" w:rsidP="00BE324D">
      <w:pPr>
        <w:spacing w:after="0" w:line="240" w:lineRule="auto"/>
        <w:jc w:val="center"/>
        <w:rPr>
          <w:rFonts w:ascii="Times New Roman" w:hAnsi="Times New Roman"/>
          <w:b/>
          <w:sz w:val="24"/>
          <w:szCs w:val="24"/>
          <w:lang w:val="lt-LT"/>
        </w:rPr>
      </w:pPr>
      <w:r w:rsidRPr="009F1224">
        <w:rPr>
          <w:rFonts w:ascii="Times New Roman" w:hAnsi="Times New Roman"/>
          <w:b/>
          <w:sz w:val="24"/>
          <w:szCs w:val="24"/>
          <w:lang w:val="lt-LT"/>
        </w:rPr>
        <w:t>I dalis. Bendra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934"/>
      </w:tblGrid>
      <w:tr w:rsidR="00BE324D" w:rsidRPr="00BE3276" w:rsidTr="00BE324D">
        <w:tc>
          <w:tcPr>
            <w:tcW w:w="4672"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Pirkimo pavadinimas, numeris (jeigu skelbtas), pirkimo paskelbimo (kvietimo pateikti pasiūlymą) data</w:t>
            </w:r>
          </w:p>
        </w:tc>
        <w:tc>
          <w:tcPr>
            <w:tcW w:w="4934" w:type="dxa"/>
            <w:shd w:val="clear" w:color="auto" w:fill="auto"/>
            <w:vAlign w:val="center"/>
          </w:tcPr>
          <w:p w:rsidR="00BE324D" w:rsidRPr="009F1224" w:rsidRDefault="00BE324D" w:rsidP="00AA3442">
            <w:pPr>
              <w:spacing w:after="0" w:line="240" w:lineRule="auto"/>
              <w:jc w:val="both"/>
              <w:rPr>
                <w:rFonts w:ascii="Times New Roman" w:hAnsi="Times New Roman"/>
                <w:sz w:val="24"/>
                <w:szCs w:val="24"/>
                <w:lang w:val="lt-LT"/>
              </w:rPr>
            </w:pPr>
            <w:r w:rsidRPr="009F1224">
              <w:rPr>
                <w:rFonts w:ascii="Times New Roman" w:hAnsi="Times New Roman" w:cs="Times New Roman"/>
                <w:sz w:val="24"/>
                <w:szCs w:val="24"/>
                <w:lang w:val="lt-LT"/>
              </w:rPr>
              <w:t xml:space="preserve">Valdymo ir veiklos audito paslaugos (Kvietimai 22 tiekėjams išsiųsti </w:t>
            </w:r>
            <w:r w:rsidR="00AA3442">
              <w:rPr>
                <w:rFonts w:ascii="Times New Roman" w:hAnsi="Times New Roman" w:cs="Times New Roman"/>
                <w:sz w:val="24"/>
                <w:szCs w:val="24"/>
                <w:lang w:val="lt-LT"/>
              </w:rPr>
              <w:t>2016-02-23</w:t>
            </w:r>
            <w:r w:rsidRPr="009F1224">
              <w:rPr>
                <w:rFonts w:ascii="Times New Roman" w:hAnsi="Times New Roman" w:cs="Times New Roman"/>
                <w:sz w:val="24"/>
                <w:szCs w:val="24"/>
                <w:lang w:val="lt-LT"/>
              </w:rPr>
              <w:t>) (toliau –  Pirkimas Nr. 1)</w:t>
            </w:r>
          </w:p>
        </w:tc>
      </w:tr>
      <w:tr w:rsidR="00BE324D" w:rsidRPr="009F1224" w:rsidTr="00BE324D">
        <w:tc>
          <w:tcPr>
            <w:tcW w:w="4672"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Pirkimo būdas</w:t>
            </w:r>
          </w:p>
        </w:tc>
        <w:tc>
          <w:tcPr>
            <w:tcW w:w="4934"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bCs/>
                <w:sz w:val="24"/>
                <w:szCs w:val="24"/>
                <w:lang w:val="lt-LT"/>
              </w:rPr>
              <w:t>Apklausa raštu.</w:t>
            </w:r>
          </w:p>
        </w:tc>
      </w:tr>
      <w:tr w:rsidR="00BE324D" w:rsidRPr="00C929EA" w:rsidTr="00BE324D">
        <w:tc>
          <w:tcPr>
            <w:tcW w:w="4672"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Planuojama (nenurodoma, jeigu pirkimas vertinamas iki vokų su pasiūlymais atplėšimo procedūros) pirkimo sutarties vertė, su PVM/be PVM</w:t>
            </w:r>
          </w:p>
        </w:tc>
        <w:tc>
          <w:tcPr>
            <w:tcW w:w="4934"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p>
        </w:tc>
      </w:tr>
      <w:tr w:rsidR="00BE324D" w:rsidRPr="009F1224" w:rsidTr="00BE324D">
        <w:tc>
          <w:tcPr>
            <w:tcW w:w="4672"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Pirkimas finansuojamas ES lėšomis, projekto pavadinimas, Įgyvendinančioji institucija</w:t>
            </w:r>
          </w:p>
        </w:tc>
        <w:tc>
          <w:tcPr>
            <w:tcW w:w="4934"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w:t>
            </w:r>
          </w:p>
        </w:tc>
      </w:tr>
      <w:tr w:rsidR="00BE324D" w:rsidRPr="00BE3276" w:rsidTr="00BE324D">
        <w:trPr>
          <w:trHeight w:val="1565"/>
        </w:trPr>
        <w:tc>
          <w:tcPr>
            <w:tcW w:w="4672"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Pirkimo vykdymo teisinis pagrindas (pirkimui taikomo įstatymo, supaprastintų pirkimų taisyklių redakcija)</w:t>
            </w:r>
          </w:p>
        </w:tc>
        <w:tc>
          <w:tcPr>
            <w:tcW w:w="4934" w:type="dxa"/>
            <w:shd w:val="clear" w:color="auto" w:fill="auto"/>
            <w:vAlign w:val="center"/>
          </w:tcPr>
          <w:p w:rsidR="00BE324D" w:rsidRPr="009F1224" w:rsidRDefault="00BE324D" w:rsidP="005679BE">
            <w:pPr>
              <w:spacing w:after="0" w:line="240" w:lineRule="auto"/>
              <w:jc w:val="both"/>
              <w:rPr>
                <w:rFonts w:ascii="Times New Roman" w:hAnsi="Times New Roman"/>
                <w:sz w:val="24"/>
                <w:szCs w:val="24"/>
                <w:lang w:val="lt-LT"/>
              </w:rPr>
            </w:pPr>
            <w:r w:rsidRPr="009F1224">
              <w:rPr>
                <w:rFonts w:ascii="Times New Roman" w:hAnsi="Times New Roman"/>
                <w:bCs/>
                <w:sz w:val="24"/>
                <w:szCs w:val="24"/>
                <w:lang w:val="lt-LT"/>
              </w:rPr>
              <w:t>Lietuvos Respublikos viešųjų pirkimų įstatymas (redakcija nuo 201</w:t>
            </w:r>
            <w:r w:rsidR="005679BE" w:rsidRPr="009F1224">
              <w:rPr>
                <w:rFonts w:ascii="Times New Roman" w:hAnsi="Times New Roman"/>
                <w:bCs/>
                <w:sz w:val="24"/>
                <w:szCs w:val="24"/>
                <w:lang w:val="lt-LT"/>
              </w:rPr>
              <w:t>6</w:t>
            </w:r>
            <w:r w:rsidRPr="009F1224">
              <w:rPr>
                <w:rFonts w:ascii="Times New Roman" w:hAnsi="Times New Roman"/>
                <w:bCs/>
                <w:sz w:val="24"/>
                <w:szCs w:val="24"/>
                <w:lang w:val="lt-LT"/>
              </w:rPr>
              <w:t>-01-01) (toliau – Įstatymas) ir</w:t>
            </w:r>
            <w:r w:rsidR="005679BE" w:rsidRPr="009F1224">
              <w:rPr>
                <w:rFonts w:ascii="Times New Roman" w:hAnsi="Times New Roman" w:cs="Times New Roman"/>
                <w:sz w:val="24"/>
                <w:szCs w:val="24"/>
                <w:lang w:val="lt-LT"/>
              </w:rPr>
              <w:t xml:space="preserve"> UAB „Trakų paslaugos“ direktoriaus 2012-04-10 įsakymu Nr. 04-G patvirtintos UAB „Trakų paslaugos“ supaprastintų viešųjų pirkimų taisyklės (toliau – Taisyklės)</w:t>
            </w:r>
            <w:r w:rsidRPr="009F1224">
              <w:rPr>
                <w:rFonts w:ascii="Times New Roman" w:hAnsi="Times New Roman"/>
                <w:bCs/>
                <w:sz w:val="24"/>
                <w:szCs w:val="24"/>
                <w:lang w:val="lt-LT"/>
              </w:rPr>
              <w:t>.</w:t>
            </w:r>
          </w:p>
        </w:tc>
      </w:tr>
      <w:tr w:rsidR="00BE324D" w:rsidRPr="00BE3276" w:rsidTr="00BE324D">
        <w:tc>
          <w:tcPr>
            <w:tcW w:w="4672"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Vertinimo apimtys/etapas</w:t>
            </w:r>
          </w:p>
        </w:tc>
        <w:tc>
          <w:tcPr>
            <w:tcW w:w="4934" w:type="dxa"/>
            <w:shd w:val="clear" w:color="auto" w:fill="auto"/>
            <w:vAlign w:val="center"/>
          </w:tcPr>
          <w:p w:rsidR="00BE324D" w:rsidRPr="009F1224" w:rsidRDefault="00BE324D" w:rsidP="00BE324D">
            <w:pPr>
              <w:spacing w:after="0" w:line="240" w:lineRule="auto"/>
              <w:jc w:val="both"/>
              <w:rPr>
                <w:rFonts w:ascii="Times New Roman" w:hAnsi="Times New Roman"/>
                <w:sz w:val="24"/>
                <w:szCs w:val="24"/>
                <w:lang w:val="lt-LT"/>
              </w:rPr>
            </w:pPr>
            <w:r w:rsidRPr="009F1224">
              <w:rPr>
                <w:rFonts w:ascii="Times New Roman" w:hAnsi="Times New Roman"/>
                <w:sz w:val="24"/>
                <w:szCs w:val="24"/>
                <w:lang w:val="lt-LT"/>
              </w:rPr>
              <w:t>Išsamus vertinimas / Pirkimo procedūrų vertinimas po sutarties įvykdymo.</w:t>
            </w:r>
          </w:p>
        </w:tc>
      </w:tr>
      <w:tr w:rsidR="00BE324D" w:rsidRPr="009F1224" w:rsidTr="00BE324D">
        <w:tc>
          <w:tcPr>
            <w:tcW w:w="4672"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shd w:val="clear" w:color="auto" w:fill="auto"/>
            <w:vAlign w:val="center"/>
          </w:tcPr>
          <w:p w:rsidR="00BE324D" w:rsidRPr="009F1224" w:rsidRDefault="00BE324D" w:rsidP="00BE324D">
            <w:pPr>
              <w:spacing w:after="0" w:line="240" w:lineRule="auto"/>
              <w:rPr>
                <w:rFonts w:ascii="Times New Roman" w:hAnsi="Times New Roman"/>
                <w:sz w:val="24"/>
                <w:szCs w:val="24"/>
                <w:lang w:val="lt-LT"/>
              </w:rPr>
            </w:pPr>
            <w:r w:rsidRPr="009F1224">
              <w:rPr>
                <w:rFonts w:ascii="Times New Roman" w:hAnsi="Times New Roman"/>
                <w:sz w:val="24"/>
                <w:szCs w:val="24"/>
                <w:lang w:val="lt-LT"/>
              </w:rPr>
              <w:t>-</w:t>
            </w:r>
          </w:p>
        </w:tc>
      </w:tr>
    </w:tbl>
    <w:p w:rsidR="00BE324D" w:rsidRDefault="00BE324D" w:rsidP="00BE324D">
      <w:pPr>
        <w:spacing w:after="0" w:line="240" w:lineRule="auto"/>
        <w:rPr>
          <w:rFonts w:ascii="Times New Roman" w:hAnsi="Times New Roman"/>
          <w:sz w:val="24"/>
          <w:szCs w:val="24"/>
        </w:rPr>
      </w:pPr>
    </w:p>
    <w:p w:rsidR="004A1F53" w:rsidRDefault="004A1F53" w:rsidP="00BE324D">
      <w:pPr>
        <w:spacing w:after="0" w:line="240" w:lineRule="auto"/>
        <w:jc w:val="center"/>
        <w:rPr>
          <w:rFonts w:ascii="Times New Roman" w:hAnsi="Times New Roman"/>
          <w:b/>
          <w:sz w:val="24"/>
          <w:szCs w:val="24"/>
          <w:lang w:val="lt-LT"/>
        </w:rPr>
      </w:pPr>
    </w:p>
    <w:p w:rsidR="009E722C" w:rsidRDefault="009E722C" w:rsidP="00BE324D">
      <w:pPr>
        <w:spacing w:after="0" w:line="240" w:lineRule="auto"/>
        <w:jc w:val="center"/>
        <w:rPr>
          <w:rFonts w:ascii="Times New Roman" w:hAnsi="Times New Roman"/>
          <w:b/>
          <w:sz w:val="24"/>
          <w:szCs w:val="24"/>
          <w:lang w:val="lt-LT"/>
        </w:rPr>
      </w:pPr>
    </w:p>
    <w:p w:rsidR="009E722C" w:rsidRDefault="009E722C" w:rsidP="00BE324D">
      <w:pPr>
        <w:spacing w:after="0" w:line="240" w:lineRule="auto"/>
        <w:jc w:val="center"/>
        <w:rPr>
          <w:rFonts w:ascii="Times New Roman" w:hAnsi="Times New Roman"/>
          <w:b/>
          <w:sz w:val="24"/>
          <w:szCs w:val="24"/>
          <w:lang w:val="lt-LT"/>
        </w:rPr>
      </w:pPr>
    </w:p>
    <w:p w:rsidR="00BE324D" w:rsidRPr="009F1224" w:rsidRDefault="00BE324D" w:rsidP="00BE324D">
      <w:pPr>
        <w:spacing w:after="0" w:line="240" w:lineRule="auto"/>
        <w:jc w:val="center"/>
        <w:rPr>
          <w:rFonts w:ascii="Times New Roman" w:hAnsi="Times New Roman"/>
          <w:b/>
          <w:sz w:val="24"/>
          <w:szCs w:val="24"/>
          <w:lang w:val="lt-LT"/>
        </w:rPr>
      </w:pPr>
      <w:r w:rsidRPr="009F1224">
        <w:rPr>
          <w:rFonts w:ascii="Times New Roman" w:hAnsi="Times New Roman"/>
          <w:b/>
          <w:sz w:val="24"/>
          <w:szCs w:val="24"/>
          <w:lang w:val="lt-LT"/>
        </w:rPr>
        <w:t>II dalis. Vertinimo metu nustatyti pažeidimai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9214"/>
      </w:tblGrid>
      <w:tr w:rsidR="00587F24" w:rsidRPr="00BE3276" w:rsidTr="00587F24">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587F24" w:rsidRPr="009F1224" w:rsidRDefault="00587F24" w:rsidP="00587F24">
            <w:pPr>
              <w:pStyle w:val="ListParagraph"/>
              <w:numPr>
                <w:ilvl w:val="0"/>
                <w:numId w:val="4"/>
              </w:numPr>
              <w:spacing w:after="0" w:line="240" w:lineRule="auto"/>
              <w:ind w:left="0" w:right="459" w:firstLine="0"/>
              <w:rPr>
                <w:rFonts w:ascii="Times New Roman" w:hAnsi="Times New Roman"/>
                <w:sz w:val="24"/>
                <w:szCs w:val="24"/>
                <w:lang w:val="lt-LT"/>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587F24" w:rsidRPr="00587F24" w:rsidRDefault="00587F24" w:rsidP="00587F24">
            <w:pPr>
              <w:pStyle w:val="ListParagraph"/>
              <w:tabs>
                <w:tab w:val="left" w:pos="0"/>
                <w:tab w:val="left" w:pos="993"/>
                <w:tab w:val="left" w:pos="1276"/>
              </w:tabs>
              <w:spacing w:after="0" w:line="240" w:lineRule="auto"/>
              <w:ind w:left="0"/>
              <w:jc w:val="both"/>
              <w:rPr>
                <w:rFonts w:ascii="Times New Roman" w:hAnsi="Times New Roman"/>
                <w:bCs/>
                <w:sz w:val="24"/>
                <w:szCs w:val="24"/>
                <w:lang w:val="lt-LT"/>
              </w:rPr>
            </w:pPr>
            <w:r>
              <w:rPr>
                <w:rFonts w:ascii="Times New Roman" w:hAnsi="Times New Roman"/>
                <w:bCs/>
                <w:sz w:val="24"/>
                <w:szCs w:val="24"/>
                <w:lang w:val="lt-LT"/>
              </w:rPr>
              <w:t>Įstatymo 9 straipsnio 1</w:t>
            </w:r>
            <w:r w:rsidR="00D905C3">
              <w:rPr>
                <w:rFonts w:ascii="Times New Roman" w:hAnsi="Times New Roman"/>
                <w:bCs/>
                <w:sz w:val="24"/>
                <w:szCs w:val="24"/>
                <w:lang w:val="lt-LT"/>
              </w:rPr>
              <w:t xml:space="preserve"> dalis</w:t>
            </w:r>
            <w:r>
              <w:rPr>
                <w:rStyle w:val="FootnoteReference"/>
                <w:rFonts w:ascii="Times New Roman" w:hAnsi="Times New Roman"/>
                <w:bCs/>
                <w:sz w:val="24"/>
                <w:szCs w:val="24"/>
                <w:lang w:val="lt-LT"/>
              </w:rPr>
              <w:footnoteReference w:id="1"/>
            </w:r>
            <w:r>
              <w:rPr>
                <w:rFonts w:ascii="Times New Roman" w:hAnsi="Times New Roman"/>
                <w:bCs/>
                <w:sz w:val="24"/>
                <w:szCs w:val="24"/>
                <w:lang w:val="lt-LT"/>
              </w:rPr>
              <w:t xml:space="preserve"> ir 4</w:t>
            </w:r>
            <w:r>
              <w:rPr>
                <w:rStyle w:val="FootnoteReference"/>
                <w:rFonts w:ascii="Times New Roman" w:hAnsi="Times New Roman"/>
                <w:bCs/>
                <w:sz w:val="24"/>
                <w:szCs w:val="24"/>
                <w:lang w:val="lt-LT"/>
              </w:rPr>
              <w:footnoteReference w:id="2"/>
            </w:r>
            <w:r w:rsidR="00D905C3">
              <w:rPr>
                <w:rFonts w:ascii="Times New Roman" w:hAnsi="Times New Roman"/>
                <w:bCs/>
                <w:sz w:val="24"/>
                <w:szCs w:val="24"/>
                <w:lang w:val="lt-LT"/>
              </w:rPr>
              <w:t xml:space="preserve"> dali</w:t>
            </w:r>
            <w:r>
              <w:rPr>
                <w:rFonts w:ascii="Times New Roman" w:hAnsi="Times New Roman"/>
                <w:bCs/>
                <w:sz w:val="24"/>
                <w:szCs w:val="24"/>
                <w:lang w:val="lt-LT"/>
              </w:rPr>
              <w:t>s</w:t>
            </w:r>
          </w:p>
        </w:tc>
      </w:tr>
      <w:tr w:rsidR="00587F24" w:rsidRPr="00BE3276" w:rsidTr="00587F24">
        <w:tc>
          <w:tcPr>
            <w:tcW w:w="9606" w:type="dxa"/>
            <w:gridSpan w:val="2"/>
            <w:shd w:val="clear" w:color="auto" w:fill="auto"/>
            <w:vAlign w:val="center"/>
          </w:tcPr>
          <w:p w:rsidR="00587F24" w:rsidRPr="00770448" w:rsidRDefault="00587F24" w:rsidP="0007743E">
            <w:pPr>
              <w:pStyle w:val="BodyText"/>
              <w:jc w:val="both"/>
              <w:rPr>
                <w:color w:val="000000"/>
                <w:sz w:val="24"/>
                <w:szCs w:val="24"/>
                <w:lang w:val="lt-LT"/>
              </w:rPr>
            </w:pPr>
            <w:r w:rsidRPr="00770448">
              <w:rPr>
                <w:sz w:val="24"/>
                <w:szCs w:val="24"/>
                <w:lang w:val="lt-LT"/>
              </w:rPr>
              <w:t xml:space="preserve">Perkančioji organizacija </w:t>
            </w:r>
            <w:r w:rsidRPr="00770448">
              <w:rPr>
                <w:bCs/>
                <w:sz w:val="24"/>
                <w:szCs w:val="24"/>
                <w:lang w:val="lt-LT"/>
              </w:rPr>
              <w:t>prieš Pirkimo pradžią nenustatė numatomos sudaryti Pirkimo sutarties vertės.</w:t>
            </w:r>
          </w:p>
          <w:p w:rsidR="00587F24" w:rsidRPr="00587F24" w:rsidRDefault="00587F24" w:rsidP="00587F24">
            <w:pPr>
              <w:tabs>
                <w:tab w:val="left" w:pos="0"/>
                <w:tab w:val="left" w:pos="426"/>
                <w:tab w:val="left" w:pos="993"/>
              </w:tabs>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Tarnyba atkreipia dėmesį</w:t>
            </w:r>
            <w:r w:rsidRPr="00587F24">
              <w:rPr>
                <w:rFonts w:ascii="Times New Roman" w:eastAsia="Calibri" w:hAnsi="Times New Roman" w:cs="Times New Roman"/>
                <w:sz w:val="24"/>
                <w:szCs w:val="24"/>
                <w:lang w:val="lt-LT"/>
              </w:rPr>
              <w:t xml:space="preserve">, kad perkančioji organizacija privalo prieš kiekvieną planuojamą/pradedamą vykdyti viešąjį pirkimą nusimatyti preliminarią pirkimo vertę, atsižvelgiant į tai, kad nustačius pirkimo vertę, pirkimai </w:t>
            </w:r>
            <w:r w:rsidR="0052028E">
              <w:rPr>
                <w:rFonts w:ascii="Times New Roman" w:eastAsia="Calibri" w:hAnsi="Times New Roman" w:cs="Times New Roman"/>
                <w:sz w:val="24"/>
                <w:szCs w:val="24"/>
                <w:lang w:val="lt-LT"/>
              </w:rPr>
              <w:t>turi</w:t>
            </w:r>
            <w:r w:rsidRPr="00587F24">
              <w:rPr>
                <w:rFonts w:ascii="Times New Roman" w:eastAsia="Calibri" w:hAnsi="Times New Roman" w:cs="Times New Roman"/>
                <w:sz w:val="24"/>
                <w:szCs w:val="24"/>
                <w:lang w:val="lt-LT"/>
              </w:rPr>
              <w:t xml:space="preserve"> būti atliekami pagal atitinkamas procedūras (pagal supaprastintų pirkimų taisykles, gali būti taikomos mažos vertės pirkimams numatytos procedūros ir pan.) ir kt. Be to, perkančioji organizacija nenusimačiusi preliminarių pirkimų verčių, negali užtikrinti Įstatymo 3 straipsnio 2 dalyje įtvirtinto pirkimų tikslo – sudaryti sutartį, racionaliai naudojant tam skirtas lėšas, atsižvelgiant į tai, kad vertindama pasiūlymus negalės priimti pagrįstų sprendimų, ar tiekėjų pasiūlytos kainos nėra per didelės, ar neįprastai mažos.</w:t>
            </w:r>
          </w:p>
          <w:p w:rsidR="00587F24" w:rsidRPr="00BD45CA" w:rsidRDefault="00587F24" w:rsidP="00587F24">
            <w:pPr>
              <w:pStyle w:val="ListParagraph"/>
              <w:tabs>
                <w:tab w:val="left" w:pos="851"/>
              </w:tabs>
              <w:spacing w:after="0" w:line="240" w:lineRule="auto"/>
              <w:ind w:left="0" w:firstLine="851"/>
              <w:jc w:val="both"/>
              <w:rPr>
                <w:rFonts w:ascii="Times New Roman" w:hAnsi="Times New Roman"/>
                <w:bCs/>
                <w:sz w:val="24"/>
                <w:szCs w:val="24"/>
                <w:lang w:val="lt-LT"/>
              </w:rPr>
            </w:pPr>
          </w:p>
        </w:tc>
      </w:tr>
      <w:tr w:rsidR="00BE324D" w:rsidRPr="00BE3276" w:rsidTr="00BE324D">
        <w:tc>
          <w:tcPr>
            <w:tcW w:w="392" w:type="dxa"/>
            <w:shd w:val="clear" w:color="auto" w:fill="auto"/>
            <w:vAlign w:val="center"/>
          </w:tcPr>
          <w:p w:rsidR="00BE324D" w:rsidRPr="009F1224" w:rsidRDefault="00BE324D" w:rsidP="00BE324D">
            <w:pPr>
              <w:pStyle w:val="ListParagraph"/>
              <w:numPr>
                <w:ilvl w:val="0"/>
                <w:numId w:val="4"/>
              </w:numPr>
              <w:spacing w:after="0" w:line="240" w:lineRule="auto"/>
              <w:ind w:left="0" w:right="459" w:firstLine="0"/>
              <w:rPr>
                <w:rFonts w:ascii="Times New Roman" w:hAnsi="Times New Roman"/>
                <w:sz w:val="24"/>
                <w:szCs w:val="24"/>
                <w:lang w:val="lt-LT"/>
              </w:rPr>
            </w:pPr>
          </w:p>
        </w:tc>
        <w:tc>
          <w:tcPr>
            <w:tcW w:w="9214" w:type="dxa"/>
            <w:shd w:val="clear" w:color="auto" w:fill="auto"/>
          </w:tcPr>
          <w:p w:rsidR="00BE324D" w:rsidRPr="009F1224" w:rsidRDefault="009C7D93" w:rsidP="0052028E">
            <w:pPr>
              <w:pStyle w:val="ListParagraph"/>
              <w:tabs>
                <w:tab w:val="left" w:pos="0"/>
                <w:tab w:val="left" w:pos="993"/>
                <w:tab w:val="left" w:pos="1276"/>
              </w:tabs>
              <w:spacing w:after="0" w:line="240" w:lineRule="auto"/>
              <w:ind w:left="0"/>
              <w:jc w:val="both"/>
              <w:rPr>
                <w:rFonts w:ascii="Times New Roman" w:hAnsi="Times New Roman"/>
                <w:sz w:val="24"/>
                <w:szCs w:val="24"/>
                <w:lang w:val="lt-LT"/>
              </w:rPr>
            </w:pPr>
            <w:r>
              <w:rPr>
                <w:rFonts w:ascii="Times New Roman" w:hAnsi="Times New Roman"/>
                <w:bCs/>
                <w:sz w:val="24"/>
                <w:szCs w:val="24"/>
                <w:lang w:val="lt-LT"/>
              </w:rPr>
              <w:t>Taisyklių 57 punktas</w:t>
            </w:r>
            <w:r>
              <w:rPr>
                <w:rStyle w:val="FootnoteReference"/>
                <w:rFonts w:ascii="Times New Roman" w:hAnsi="Times New Roman"/>
                <w:bCs/>
                <w:sz w:val="24"/>
                <w:szCs w:val="24"/>
                <w:lang w:val="lt-LT"/>
              </w:rPr>
              <w:footnoteReference w:id="3"/>
            </w:r>
            <w:r>
              <w:rPr>
                <w:rFonts w:ascii="Times New Roman" w:hAnsi="Times New Roman"/>
                <w:bCs/>
                <w:sz w:val="24"/>
                <w:szCs w:val="24"/>
                <w:lang w:val="lt-LT"/>
              </w:rPr>
              <w:t xml:space="preserve">, </w:t>
            </w:r>
            <w:r w:rsidR="003365D8">
              <w:rPr>
                <w:rFonts w:ascii="Times New Roman" w:hAnsi="Times New Roman"/>
                <w:bCs/>
                <w:sz w:val="24"/>
                <w:szCs w:val="24"/>
                <w:lang w:val="lt-LT"/>
              </w:rPr>
              <w:t>Taisyklių 96 punktas</w:t>
            </w:r>
            <w:r w:rsidR="003365D8">
              <w:rPr>
                <w:rStyle w:val="FootnoteReference"/>
                <w:rFonts w:ascii="Times New Roman" w:hAnsi="Times New Roman"/>
                <w:bCs/>
                <w:sz w:val="24"/>
                <w:szCs w:val="24"/>
                <w:lang w:val="lt-LT"/>
              </w:rPr>
              <w:footnoteReference w:id="4"/>
            </w:r>
            <w:r w:rsidR="003365D8">
              <w:rPr>
                <w:rFonts w:ascii="Times New Roman" w:hAnsi="Times New Roman"/>
                <w:bCs/>
                <w:sz w:val="24"/>
                <w:szCs w:val="24"/>
                <w:lang w:val="lt-LT"/>
              </w:rPr>
              <w:t>, Į</w:t>
            </w:r>
            <w:r w:rsidR="00274A33">
              <w:rPr>
                <w:rFonts w:ascii="Times New Roman" w:hAnsi="Times New Roman"/>
                <w:bCs/>
                <w:sz w:val="24"/>
                <w:szCs w:val="24"/>
                <w:lang w:val="lt-LT"/>
              </w:rPr>
              <w:t xml:space="preserve">statymo </w:t>
            </w:r>
            <w:r w:rsidR="00203B36">
              <w:rPr>
                <w:rFonts w:ascii="Times New Roman" w:hAnsi="Times New Roman"/>
                <w:bCs/>
                <w:sz w:val="24"/>
                <w:szCs w:val="24"/>
                <w:lang w:val="lt-LT"/>
              </w:rPr>
              <w:t>3</w:t>
            </w:r>
            <w:r w:rsidR="00BD45CA">
              <w:rPr>
                <w:rFonts w:ascii="Times New Roman" w:hAnsi="Times New Roman"/>
                <w:bCs/>
                <w:sz w:val="24"/>
                <w:szCs w:val="24"/>
                <w:lang w:val="lt-LT"/>
              </w:rPr>
              <w:t>2 straipsnio 2</w:t>
            </w:r>
            <w:r w:rsidR="00203B36">
              <w:rPr>
                <w:rFonts w:ascii="Times New Roman" w:hAnsi="Times New Roman"/>
                <w:bCs/>
                <w:sz w:val="24"/>
                <w:szCs w:val="24"/>
                <w:lang w:val="lt-LT"/>
              </w:rPr>
              <w:t xml:space="preserve"> dalis</w:t>
            </w:r>
            <w:r w:rsidR="00203B36">
              <w:rPr>
                <w:rStyle w:val="FootnoteReference"/>
                <w:rFonts w:ascii="Times New Roman" w:hAnsi="Times New Roman"/>
                <w:bCs/>
                <w:sz w:val="24"/>
                <w:szCs w:val="24"/>
                <w:lang w:val="lt-LT"/>
              </w:rPr>
              <w:footnoteReference w:id="5"/>
            </w:r>
            <w:r w:rsidR="00203B36">
              <w:rPr>
                <w:rFonts w:ascii="Times New Roman" w:hAnsi="Times New Roman"/>
                <w:bCs/>
                <w:sz w:val="24"/>
                <w:szCs w:val="24"/>
                <w:lang w:val="lt-LT"/>
              </w:rPr>
              <w:t xml:space="preserve">, </w:t>
            </w:r>
            <w:r>
              <w:rPr>
                <w:rFonts w:ascii="Times New Roman" w:hAnsi="Times New Roman"/>
                <w:bCs/>
                <w:sz w:val="24"/>
                <w:szCs w:val="24"/>
                <w:lang w:val="lt-LT"/>
              </w:rPr>
              <w:t>87 straipsnio 1</w:t>
            </w:r>
            <w:r w:rsidR="00BD45CA">
              <w:rPr>
                <w:rFonts w:ascii="Times New Roman" w:hAnsi="Times New Roman"/>
                <w:bCs/>
                <w:sz w:val="24"/>
                <w:szCs w:val="24"/>
                <w:lang w:val="lt-LT"/>
              </w:rPr>
              <w:t xml:space="preserve"> dalis</w:t>
            </w:r>
            <w:r>
              <w:rPr>
                <w:rStyle w:val="FootnoteReference"/>
                <w:rFonts w:ascii="Times New Roman" w:hAnsi="Times New Roman"/>
                <w:bCs/>
                <w:sz w:val="24"/>
                <w:szCs w:val="24"/>
                <w:lang w:val="lt-LT"/>
              </w:rPr>
              <w:footnoteReference w:id="6"/>
            </w:r>
            <w:r w:rsidR="00BD45CA">
              <w:rPr>
                <w:rFonts w:ascii="Times New Roman" w:hAnsi="Times New Roman"/>
                <w:bCs/>
                <w:sz w:val="24"/>
                <w:szCs w:val="24"/>
                <w:lang w:val="lt-LT"/>
              </w:rPr>
              <w:t xml:space="preserve">, </w:t>
            </w:r>
            <w:r>
              <w:rPr>
                <w:rFonts w:ascii="Times New Roman" w:hAnsi="Times New Roman"/>
                <w:bCs/>
                <w:sz w:val="24"/>
                <w:szCs w:val="24"/>
                <w:lang w:val="lt-LT"/>
              </w:rPr>
              <w:t>85 straipsnio 2 dalis</w:t>
            </w:r>
            <w:r>
              <w:rPr>
                <w:rStyle w:val="FootnoteReference"/>
                <w:rFonts w:ascii="Times New Roman" w:hAnsi="Times New Roman"/>
                <w:bCs/>
                <w:sz w:val="24"/>
                <w:szCs w:val="24"/>
                <w:lang w:val="lt-LT"/>
              </w:rPr>
              <w:footnoteReference w:id="7"/>
            </w:r>
            <w:r>
              <w:rPr>
                <w:rFonts w:ascii="Times New Roman" w:hAnsi="Times New Roman"/>
                <w:bCs/>
                <w:sz w:val="24"/>
                <w:szCs w:val="24"/>
                <w:lang w:val="lt-LT"/>
              </w:rPr>
              <w:t xml:space="preserve">, </w:t>
            </w:r>
            <w:r w:rsidR="0052028E">
              <w:rPr>
                <w:rFonts w:ascii="Times New Roman" w:hAnsi="Times New Roman"/>
                <w:bCs/>
                <w:sz w:val="24"/>
                <w:szCs w:val="24"/>
                <w:lang w:val="lt-LT"/>
              </w:rPr>
              <w:t>3 straipsnio 1 dalis</w:t>
            </w:r>
            <w:r w:rsidR="0052028E">
              <w:rPr>
                <w:rStyle w:val="FootnoteReference"/>
                <w:rFonts w:ascii="Times New Roman" w:hAnsi="Times New Roman"/>
                <w:bCs/>
                <w:sz w:val="24"/>
                <w:szCs w:val="24"/>
                <w:lang w:val="lt-LT"/>
              </w:rPr>
              <w:footnoteReference w:id="8"/>
            </w:r>
          </w:p>
        </w:tc>
      </w:tr>
      <w:tr w:rsidR="00BE324D" w:rsidRPr="00BE3276" w:rsidTr="00BE324D">
        <w:tc>
          <w:tcPr>
            <w:tcW w:w="9606" w:type="dxa"/>
            <w:gridSpan w:val="2"/>
            <w:shd w:val="clear" w:color="auto" w:fill="auto"/>
            <w:vAlign w:val="center"/>
          </w:tcPr>
          <w:p w:rsidR="00CC1663" w:rsidRDefault="00BE324D" w:rsidP="00AA3442">
            <w:pPr>
              <w:pStyle w:val="ListParagraph"/>
              <w:tabs>
                <w:tab w:val="left" w:pos="851"/>
              </w:tabs>
              <w:spacing w:after="0" w:line="240" w:lineRule="auto"/>
              <w:ind w:left="0"/>
              <w:jc w:val="both"/>
              <w:rPr>
                <w:rFonts w:ascii="Times New Roman" w:hAnsi="Times New Roman"/>
                <w:bCs/>
                <w:sz w:val="24"/>
                <w:szCs w:val="24"/>
                <w:lang w:val="lt-LT"/>
              </w:rPr>
            </w:pPr>
            <w:r w:rsidRPr="009F1224">
              <w:rPr>
                <w:rFonts w:ascii="Times New Roman" w:hAnsi="Times New Roman"/>
                <w:bCs/>
                <w:sz w:val="24"/>
                <w:szCs w:val="24"/>
                <w:lang w:val="lt-LT"/>
              </w:rPr>
              <w:t xml:space="preserve">Pirkimo </w:t>
            </w:r>
            <w:r w:rsidR="00AA3442">
              <w:rPr>
                <w:rFonts w:ascii="Times New Roman" w:hAnsi="Times New Roman"/>
                <w:bCs/>
                <w:sz w:val="24"/>
                <w:szCs w:val="24"/>
                <w:lang w:val="lt-LT"/>
              </w:rPr>
              <w:t>Nr. 1</w:t>
            </w:r>
            <w:r w:rsidR="003B42BA">
              <w:rPr>
                <w:rFonts w:ascii="Times New Roman" w:hAnsi="Times New Roman"/>
                <w:bCs/>
                <w:sz w:val="24"/>
                <w:szCs w:val="24"/>
                <w:lang w:val="lt-LT"/>
              </w:rPr>
              <w:t xml:space="preserve"> </w:t>
            </w:r>
            <w:r w:rsidR="00316C61">
              <w:rPr>
                <w:rFonts w:ascii="Times New Roman" w:hAnsi="Times New Roman"/>
                <w:bCs/>
                <w:sz w:val="24"/>
                <w:szCs w:val="24"/>
                <w:lang w:val="lt-LT"/>
              </w:rPr>
              <w:t>Kvietimo</w:t>
            </w:r>
            <w:r w:rsidR="007E396F">
              <w:rPr>
                <w:rFonts w:ascii="Times New Roman" w:hAnsi="Times New Roman"/>
                <w:bCs/>
                <w:sz w:val="24"/>
                <w:szCs w:val="24"/>
                <w:lang w:val="lt-LT"/>
              </w:rPr>
              <w:t xml:space="preserve"> pateikti pasiūlymą, </w:t>
            </w:r>
            <w:r w:rsidR="00293DCC">
              <w:rPr>
                <w:rFonts w:ascii="Times New Roman" w:hAnsi="Times New Roman"/>
                <w:bCs/>
                <w:sz w:val="24"/>
                <w:szCs w:val="24"/>
                <w:lang w:val="lt-LT"/>
              </w:rPr>
              <w:t xml:space="preserve">2016-02-23 </w:t>
            </w:r>
            <w:r w:rsidR="007E396F">
              <w:rPr>
                <w:rFonts w:ascii="Times New Roman" w:hAnsi="Times New Roman"/>
                <w:bCs/>
                <w:sz w:val="24"/>
                <w:szCs w:val="24"/>
                <w:lang w:val="lt-LT"/>
              </w:rPr>
              <w:t xml:space="preserve">pasirašyto Viešųjų pirkimų ir teisės vadovo, </w:t>
            </w:r>
            <w:r w:rsidR="00316C61">
              <w:rPr>
                <w:rFonts w:ascii="Times New Roman" w:hAnsi="Times New Roman"/>
                <w:bCs/>
                <w:sz w:val="24"/>
                <w:szCs w:val="24"/>
                <w:lang w:val="lt-LT"/>
              </w:rPr>
              <w:t xml:space="preserve">2 priede „UAB „Trakų paslaugos“ veiklos ir valdymo audito atlikimo paslaugos specifikacija“ </w:t>
            </w:r>
            <w:r w:rsidR="00CC1663">
              <w:rPr>
                <w:rFonts w:ascii="Times New Roman" w:hAnsi="Times New Roman"/>
                <w:bCs/>
                <w:sz w:val="24"/>
                <w:szCs w:val="24"/>
                <w:lang w:val="lt-LT"/>
              </w:rPr>
              <w:t>5 eilutėje nustatytas kvalifikacinis reikalavimas tiekėjui – „audito įmonė turi atlikinėti veiklos auditą ne mažiau nei paskutinius 5 metus ir būtų atlikusi veiklo</w:t>
            </w:r>
            <w:r w:rsidR="0052028E">
              <w:rPr>
                <w:rFonts w:ascii="Times New Roman" w:hAnsi="Times New Roman"/>
                <w:bCs/>
                <w:sz w:val="24"/>
                <w:szCs w:val="24"/>
                <w:lang w:val="lt-LT"/>
              </w:rPr>
              <w:t>s</w:t>
            </w:r>
            <w:r w:rsidR="00CC1663">
              <w:rPr>
                <w:rFonts w:ascii="Times New Roman" w:hAnsi="Times New Roman"/>
                <w:bCs/>
                <w:sz w:val="24"/>
                <w:szCs w:val="24"/>
                <w:lang w:val="lt-LT"/>
              </w:rPr>
              <w:t xml:space="preserve"> auditą ne mažiau nei dvidešimtyje įmonių (su pirkimo dokumentais turi būti pateikti tai patvirtinantys dokumentai</w:t>
            </w:r>
            <w:r w:rsidR="00BD45CA">
              <w:rPr>
                <w:rFonts w:ascii="Times New Roman" w:hAnsi="Times New Roman"/>
                <w:bCs/>
                <w:sz w:val="24"/>
                <w:szCs w:val="24"/>
                <w:lang w:val="lt-LT"/>
              </w:rPr>
              <w:t>)“</w:t>
            </w:r>
            <w:r w:rsidR="00CC1663">
              <w:rPr>
                <w:rFonts w:ascii="Times New Roman" w:hAnsi="Times New Roman"/>
                <w:bCs/>
                <w:sz w:val="24"/>
                <w:szCs w:val="24"/>
                <w:lang w:val="lt-LT"/>
              </w:rPr>
              <w:t>.</w:t>
            </w:r>
          </w:p>
          <w:p w:rsidR="00CC1663" w:rsidRDefault="00CC1663" w:rsidP="00CC1663">
            <w:pPr>
              <w:pStyle w:val="ListParagraph"/>
              <w:tabs>
                <w:tab w:val="left" w:pos="851"/>
              </w:tabs>
              <w:spacing w:after="0" w:line="240" w:lineRule="auto"/>
              <w:ind w:left="0" w:firstLine="851"/>
              <w:jc w:val="both"/>
              <w:rPr>
                <w:rFonts w:ascii="Times New Roman" w:hAnsi="Times New Roman"/>
                <w:bCs/>
                <w:sz w:val="24"/>
                <w:szCs w:val="24"/>
                <w:lang w:val="lt-LT"/>
              </w:rPr>
            </w:pPr>
            <w:r>
              <w:rPr>
                <w:rFonts w:ascii="Times New Roman" w:hAnsi="Times New Roman"/>
                <w:bCs/>
                <w:sz w:val="24"/>
                <w:szCs w:val="24"/>
                <w:lang w:val="lt-LT"/>
              </w:rPr>
              <w:t>Nustatytas kvalifikacijos reikalavimas dirbtinai riboja konkurenciją, yra neproporcingas</w:t>
            </w:r>
            <w:r w:rsidR="00BD45CA">
              <w:rPr>
                <w:rFonts w:ascii="Times New Roman" w:hAnsi="Times New Roman"/>
                <w:bCs/>
                <w:sz w:val="24"/>
                <w:szCs w:val="24"/>
                <w:lang w:val="lt-LT"/>
              </w:rPr>
              <w:t xml:space="preserve"> Pirkimo objektui, kurį sudaro viena audito išvada</w:t>
            </w:r>
            <w:r>
              <w:rPr>
                <w:rFonts w:ascii="Times New Roman" w:hAnsi="Times New Roman"/>
                <w:bCs/>
                <w:sz w:val="24"/>
                <w:szCs w:val="24"/>
                <w:lang w:val="lt-LT"/>
              </w:rPr>
              <w:t>, pažeidžia lygiateisiškumo, proporcingumo, nediskriminavimo ir skaidrumo principus.</w:t>
            </w:r>
          </w:p>
          <w:p w:rsidR="00CC1663" w:rsidRDefault="00CC1663" w:rsidP="00CC1663">
            <w:pPr>
              <w:pStyle w:val="ListParagraph"/>
              <w:tabs>
                <w:tab w:val="left" w:pos="851"/>
              </w:tabs>
              <w:spacing w:after="0" w:line="240" w:lineRule="auto"/>
              <w:ind w:left="0" w:firstLine="851"/>
              <w:jc w:val="both"/>
              <w:rPr>
                <w:rFonts w:ascii="Times New Roman" w:hAnsi="Times New Roman"/>
                <w:bCs/>
                <w:sz w:val="24"/>
                <w:szCs w:val="24"/>
                <w:lang w:val="lt-LT"/>
              </w:rPr>
            </w:pPr>
            <w:r>
              <w:rPr>
                <w:rFonts w:ascii="Times New Roman" w:hAnsi="Times New Roman"/>
                <w:bCs/>
                <w:sz w:val="24"/>
                <w:szCs w:val="24"/>
                <w:lang w:val="lt-LT"/>
              </w:rPr>
              <w:t>Tarnyba pažymi, kad kiekybinė audito sutarčių išraiška neįrodo, kad tiekėjo kvalifikacija tenkins perkančiosios organizacijos lūkesčius, t. y. nustatytas atliktų auditų skaičius</w:t>
            </w:r>
            <w:r w:rsidR="007B53F6">
              <w:rPr>
                <w:rFonts w:ascii="Times New Roman" w:hAnsi="Times New Roman"/>
                <w:bCs/>
                <w:sz w:val="24"/>
                <w:szCs w:val="24"/>
                <w:lang w:val="lt-LT"/>
              </w:rPr>
              <w:t>, neįrodo tiekėjo gebėjimo atlikti kokybišką auditą bei pasiekti tą rezultatą, kurio tikisi perkančioji organizacija.</w:t>
            </w:r>
          </w:p>
          <w:p w:rsidR="00BE324D" w:rsidRPr="009F1224" w:rsidRDefault="00BE324D" w:rsidP="00153B69">
            <w:pPr>
              <w:pStyle w:val="ListParagraph"/>
              <w:tabs>
                <w:tab w:val="left" w:pos="851"/>
              </w:tabs>
              <w:spacing w:after="0" w:line="240" w:lineRule="auto"/>
              <w:ind w:left="0" w:firstLine="851"/>
              <w:jc w:val="both"/>
              <w:rPr>
                <w:rFonts w:ascii="Times New Roman" w:hAnsi="Times New Roman"/>
                <w:bCs/>
                <w:sz w:val="24"/>
                <w:szCs w:val="24"/>
                <w:lang w:val="lt-LT"/>
              </w:rPr>
            </w:pPr>
          </w:p>
        </w:tc>
      </w:tr>
    </w:tbl>
    <w:p w:rsidR="00E86F3A" w:rsidRDefault="00E86F3A" w:rsidP="00BE324D">
      <w:pPr>
        <w:spacing w:after="0" w:line="240" w:lineRule="auto"/>
        <w:jc w:val="center"/>
        <w:rPr>
          <w:rFonts w:ascii="Times New Roman" w:hAnsi="Times New Roman"/>
          <w:b/>
          <w:sz w:val="24"/>
          <w:szCs w:val="24"/>
          <w:lang w:val="lt-LT"/>
        </w:rPr>
      </w:pPr>
    </w:p>
    <w:p w:rsidR="0099238C" w:rsidRDefault="0099238C" w:rsidP="00BE324D">
      <w:pPr>
        <w:spacing w:after="0" w:line="240" w:lineRule="auto"/>
        <w:jc w:val="center"/>
        <w:rPr>
          <w:rFonts w:ascii="Times New Roman" w:hAnsi="Times New Roman"/>
          <w:b/>
          <w:sz w:val="24"/>
          <w:szCs w:val="24"/>
          <w:lang w:val="lt-LT"/>
        </w:rPr>
      </w:pPr>
    </w:p>
    <w:p w:rsidR="00BE324D" w:rsidRPr="007B53F6" w:rsidRDefault="00BE324D" w:rsidP="00BE324D">
      <w:pPr>
        <w:spacing w:after="0" w:line="240" w:lineRule="auto"/>
        <w:jc w:val="center"/>
        <w:rPr>
          <w:rFonts w:ascii="Times New Roman" w:hAnsi="Times New Roman"/>
          <w:b/>
          <w:sz w:val="24"/>
          <w:szCs w:val="24"/>
          <w:lang w:val="lt-LT"/>
        </w:rPr>
      </w:pPr>
      <w:r w:rsidRPr="007B53F6">
        <w:rPr>
          <w:rFonts w:ascii="Times New Roman" w:hAnsi="Times New Roman"/>
          <w:b/>
          <w:sz w:val="24"/>
          <w:szCs w:val="24"/>
          <w:lang w:val="lt-LT"/>
        </w:rPr>
        <w:t>III dalis Pastabos, į kurias perkančioji organizacija turėtų atsižvelgti vykdydama kitus pirkimus</w:t>
      </w:r>
    </w:p>
    <w:p w:rsidR="00BE324D" w:rsidRPr="00BE324D" w:rsidRDefault="00BE324D" w:rsidP="00BE324D">
      <w:pPr>
        <w:spacing w:after="0" w:line="240" w:lineRule="auto"/>
        <w:jc w:val="center"/>
        <w:rPr>
          <w:rFonts w:ascii="Times New Roman" w:hAnsi="Times New Roman"/>
          <w:b/>
          <w:sz w:val="24"/>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49"/>
        <w:gridCol w:w="8560"/>
      </w:tblGrid>
      <w:tr w:rsidR="00BE324D" w:rsidRPr="00BE324D" w:rsidTr="00293DCC">
        <w:tc>
          <w:tcPr>
            <w:tcW w:w="1046" w:type="dxa"/>
            <w:gridSpan w:val="2"/>
            <w:shd w:val="clear" w:color="auto" w:fill="auto"/>
            <w:vAlign w:val="center"/>
          </w:tcPr>
          <w:p w:rsidR="00BE324D" w:rsidRPr="00BE324D" w:rsidRDefault="00E86F3A" w:rsidP="00BE324D">
            <w:pPr>
              <w:pStyle w:val="ListParagraph"/>
              <w:spacing w:after="0" w:line="240" w:lineRule="auto"/>
              <w:ind w:left="0"/>
              <w:rPr>
                <w:rFonts w:ascii="Times New Roman" w:hAnsi="Times New Roman"/>
                <w:sz w:val="24"/>
                <w:szCs w:val="24"/>
                <w:lang w:val="en-US"/>
              </w:rPr>
            </w:pPr>
            <w:r>
              <w:rPr>
                <w:rFonts w:ascii="Times New Roman" w:hAnsi="Times New Roman"/>
                <w:sz w:val="24"/>
                <w:szCs w:val="24"/>
                <w:lang w:val="en-US"/>
              </w:rPr>
              <w:t>1.</w:t>
            </w:r>
          </w:p>
        </w:tc>
        <w:tc>
          <w:tcPr>
            <w:tcW w:w="8560" w:type="dxa"/>
            <w:shd w:val="clear" w:color="auto" w:fill="auto"/>
          </w:tcPr>
          <w:p w:rsidR="00BE324D" w:rsidRPr="00674C40" w:rsidRDefault="00293DCC" w:rsidP="00366BCA">
            <w:pPr>
              <w:pStyle w:val="Normal12pt"/>
              <w:tabs>
                <w:tab w:val="clear" w:pos="737"/>
                <w:tab w:val="left" w:pos="993"/>
              </w:tabs>
              <w:ind w:right="0"/>
              <w:rPr>
                <w:bCs/>
              </w:rPr>
            </w:pPr>
            <w:r>
              <w:rPr>
                <w:bCs/>
              </w:rPr>
              <w:t xml:space="preserve">Įstatymo </w:t>
            </w:r>
            <w:r w:rsidR="007B53F6">
              <w:rPr>
                <w:bCs/>
              </w:rPr>
              <w:t>85 straipsnio 1 dalis</w:t>
            </w:r>
            <w:r w:rsidR="00366BCA">
              <w:rPr>
                <w:rStyle w:val="FootnoteReference"/>
                <w:bCs/>
              </w:rPr>
              <w:footnoteReference w:id="9"/>
            </w:r>
          </w:p>
        </w:tc>
      </w:tr>
      <w:tr w:rsidR="00BE324D" w:rsidRPr="00BE3276" w:rsidTr="00BE324D">
        <w:tc>
          <w:tcPr>
            <w:tcW w:w="9606" w:type="dxa"/>
            <w:gridSpan w:val="3"/>
            <w:shd w:val="clear" w:color="auto" w:fill="auto"/>
            <w:vAlign w:val="center"/>
          </w:tcPr>
          <w:p w:rsidR="00BE324D" w:rsidRPr="00165773" w:rsidRDefault="007B53F6" w:rsidP="00293DCC">
            <w:pPr>
              <w:pStyle w:val="Normal12pt"/>
              <w:tabs>
                <w:tab w:val="clear" w:pos="737"/>
                <w:tab w:val="left" w:pos="993"/>
              </w:tabs>
              <w:ind w:right="0"/>
              <w:rPr>
                <w:bCs/>
              </w:rPr>
            </w:pPr>
            <w:r>
              <w:rPr>
                <w:bCs/>
              </w:rPr>
              <w:t xml:space="preserve">Tarnyba pastebi, kad </w:t>
            </w:r>
            <w:r w:rsidR="00293DCC">
              <w:rPr>
                <w:bCs/>
              </w:rPr>
              <w:t>kai kurie Taisyklių punktai</w:t>
            </w:r>
            <w:r>
              <w:rPr>
                <w:bCs/>
              </w:rPr>
              <w:t xml:space="preserve"> p</w:t>
            </w:r>
            <w:r w:rsidR="00AA46F3">
              <w:rPr>
                <w:bCs/>
              </w:rPr>
              <w:t xml:space="preserve">rieštarauja Įstatymo nuostatoms, </w:t>
            </w:r>
            <w:r>
              <w:rPr>
                <w:bCs/>
              </w:rPr>
              <w:t xml:space="preserve">pvz. Lietuvos Respublika </w:t>
            </w:r>
            <w:r w:rsidR="00293DCC">
              <w:rPr>
                <w:bCs/>
              </w:rPr>
              <w:t>2015 m. sausio 1 d. tapo euro zonos nare ir buvo įvestas e</w:t>
            </w:r>
            <w:r>
              <w:rPr>
                <w:bCs/>
              </w:rPr>
              <w:t xml:space="preserve">uras, kaip piniginis ekvivalentas, o </w:t>
            </w:r>
            <w:r w:rsidR="00293DCC">
              <w:rPr>
                <w:bCs/>
              </w:rPr>
              <w:t xml:space="preserve">nuo </w:t>
            </w:r>
            <w:r>
              <w:rPr>
                <w:bCs/>
              </w:rPr>
              <w:t>2016 m. sausio 1 d. įsigaliojo Įstatymo aktuali redakcija, todėl Perkančioji organizacija turėtų patikslinti Taisykles, atsižvelgdama į galiojančią aktualią Įstatymo redakciją.</w:t>
            </w:r>
          </w:p>
        </w:tc>
      </w:tr>
      <w:tr w:rsidR="00B45A37" w:rsidRPr="003365D8" w:rsidTr="00293DC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B45A37" w:rsidRPr="00B45A37" w:rsidRDefault="00B45A37" w:rsidP="00B45A37">
            <w:pPr>
              <w:spacing w:after="0" w:line="240" w:lineRule="auto"/>
              <w:ind w:left="142" w:right="459"/>
              <w:rPr>
                <w:rFonts w:ascii="Times New Roman" w:hAnsi="Times New Roman"/>
                <w:sz w:val="24"/>
                <w:szCs w:val="24"/>
                <w:lang w:val="lt-LT"/>
              </w:rPr>
            </w:pPr>
            <w:r>
              <w:rPr>
                <w:rFonts w:ascii="Times New Roman" w:hAnsi="Times New Roman"/>
                <w:sz w:val="24"/>
                <w:szCs w:val="24"/>
                <w:lang w:val="lt-LT"/>
              </w:rPr>
              <w:t>2.</w:t>
            </w:r>
          </w:p>
        </w:tc>
        <w:tc>
          <w:tcPr>
            <w:tcW w:w="8609" w:type="dxa"/>
            <w:gridSpan w:val="2"/>
            <w:tcBorders>
              <w:top w:val="single" w:sz="4" w:space="0" w:color="auto"/>
              <w:left w:val="single" w:sz="4" w:space="0" w:color="auto"/>
              <w:bottom w:val="single" w:sz="4" w:space="0" w:color="auto"/>
              <w:right w:val="single" w:sz="4" w:space="0" w:color="auto"/>
            </w:tcBorders>
            <w:shd w:val="clear" w:color="auto" w:fill="auto"/>
          </w:tcPr>
          <w:p w:rsidR="00B45A37" w:rsidRPr="00587F24" w:rsidRDefault="00B45A37" w:rsidP="00293DCC">
            <w:pPr>
              <w:pStyle w:val="ListParagraph"/>
              <w:tabs>
                <w:tab w:val="left" w:pos="-713"/>
                <w:tab w:val="left" w:pos="993"/>
                <w:tab w:val="left" w:pos="1276"/>
              </w:tabs>
              <w:spacing w:after="0" w:line="240" w:lineRule="auto"/>
              <w:ind w:left="0"/>
              <w:jc w:val="both"/>
              <w:rPr>
                <w:rFonts w:ascii="Times New Roman" w:hAnsi="Times New Roman"/>
                <w:bCs/>
                <w:sz w:val="24"/>
                <w:szCs w:val="24"/>
                <w:lang w:val="lt-LT"/>
              </w:rPr>
            </w:pPr>
            <w:r>
              <w:rPr>
                <w:rFonts w:ascii="Times New Roman" w:hAnsi="Times New Roman"/>
                <w:bCs/>
                <w:sz w:val="24"/>
                <w:szCs w:val="24"/>
                <w:lang w:val="lt-LT"/>
              </w:rPr>
              <w:t>Taisyklių 5 punktas</w:t>
            </w:r>
            <w:r>
              <w:rPr>
                <w:rStyle w:val="FootnoteReference"/>
                <w:rFonts w:ascii="Times New Roman" w:hAnsi="Times New Roman"/>
                <w:bCs/>
                <w:sz w:val="24"/>
                <w:szCs w:val="24"/>
                <w:lang w:val="lt-LT"/>
              </w:rPr>
              <w:footnoteReference w:id="10"/>
            </w:r>
            <w:r>
              <w:rPr>
                <w:rFonts w:ascii="Times New Roman" w:hAnsi="Times New Roman"/>
                <w:bCs/>
                <w:sz w:val="24"/>
                <w:szCs w:val="24"/>
                <w:lang w:val="lt-LT"/>
              </w:rPr>
              <w:t xml:space="preserve"> </w:t>
            </w:r>
          </w:p>
        </w:tc>
      </w:tr>
      <w:tr w:rsidR="00B45A37" w:rsidRPr="00BE3276" w:rsidTr="00D905C3">
        <w:tc>
          <w:tcPr>
            <w:tcW w:w="9606" w:type="dxa"/>
            <w:gridSpan w:val="3"/>
            <w:shd w:val="clear" w:color="auto" w:fill="auto"/>
            <w:vAlign w:val="center"/>
          </w:tcPr>
          <w:p w:rsidR="00B45A37" w:rsidRDefault="00B45A37" w:rsidP="00D905C3">
            <w:pPr>
              <w:pStyle w:val="BodyText"/>
              <w:jc w:val="both"/>
              <w:rPr>
                <w:sz w:val="24"/>
                <w:szCs w:val="24"/>
                <w:lang w:val="lt-LT"/>
              </w:rPr>
            </w:pPr>
            <w:r>
              <w:rPr>
                <w:sz w:val="24"/>
                <w:szCs w:val="24"/>
                <w:lang w:val="lt-LT"/>
              </w:rPr>
              <w:t xml:space="preserve">2016-02-23 Kvietimo 1.2 punkte nustatyta: „Pasiūlymą prašome pateikti arba elektroniniu paštu adresu &lt;...&gt; arba surištą, sunumeruotą, pasirašytą atsakingo atstovo, užklijuotame ir užantspauduotame voke. &lt;...&gt;“. Tarnyba pažymi, kad Perkančioji organizacija turėtų reikalauti, kad visi tiekėjai pasiūlymus pateiktų vienu būdu, nenumatant pasiūlymų pateikimo </w:t>
            </w:r>
            <w:r w:rsidR="00293DCC">
              <w:rPr>
                <w:sz w:val="24"/>
                <w:szCs w:val="24"/>
                <w:lang w:val="lt-LT"/>
              </w:rPr>
              <w:t xml:space="preserve">tvarkos </w:t>
            </w:r>
            <w:r>
              <w:rPr>
                <w:sz w:val="24"/>
                <w:szCs w:val="24"/>
                <w:lang w:val="lt-LT"/>
              </w:rPr>
              <w:t>alternatyvos.</w:t>
            </w:r>
          </w:p>
          <w:p w:rsidR="00B45A37" w:rsidRPr="0007743E" w:rsidRDefault="00B45A37" w:rsidP="00D905C3">
            <w:pPr>
              <w:pStyle w:val="BodyText"/>
              <w:ind w:firstLine="851"/>
              <w:jc w:val="both"/>
              <w:rPr>
                <w:sz w:val="24"/>
                <w:szCs w:val="24"/>
                <w:lang w:val="lt-LT"/>
              </w:rPr>
            </w:pPr>
          </w:p>
        </w:tc>
      </w:tr>
      <w:tr w:rsidR="00293DCC" w:rsidRPr="00BE3276" w:rsidTr="00293DCC">
        <w:tc>
          <w:tcPr>
            <w:tcW w:w="1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3DCC" w:rsidRPr="009F1224" w:rsidRDefault="00293DCC" w:rsidP="000368A2">
            <w:pPr>
              <w:pStyle w:val="ListParagraph"/>
              <w:numPr>
                <w:ilvl w:val="0"/>
                <w:numId w:val="4"/>
              </w:numPr>
              <w:spacing w:after="0" w:line="240" w:lineRule="auto"/>
              <w:ind w:left="0" w:right="459" w:firstLine="0"/>
              <w:rPr>
                <w:rFonts w:ascii="Times New Roman" w:hAnsi="Times New Roman"/>
                <w:sz w:val="24"/>
                <w:szCs w:val="24"/>
                <w:lang w:val="lt-LT"/>
              </w:rPr>
            </w:pPr>
          </w:p>
        </w:tc>
        <w:tc>
          <w:tcPr>
            <w:tcW w:w="8560" w:type="dxa"/>
            <w:tcBorders>
              <w:top w:val="single" w:sz="4" w:space="0" w:color="auto"/>
              <w:left w:val="single" w:sz="4" w:space="0" w:color="auto"/>
              <w:bottom w:val="single" w:sz="4" w:space="0" w:color="auto"/>
              <w:right w:val="single" w:sz="4" w:space="0" w:color="auto"/>
            </w:tcBorders>
            <w:shd w:val="clear" w:color="auto" w:fill="auto"/>
          </w:tcPr>
          <w:p w:rsidR="00293DCC" w:rsidRPr="00587F24" w:rsidRDefault="00293DCC" w:rsidP="00366BCA">
            <w:pPr>
              <w:pStyle w:val="ListParagraph"/>
              <w:tabs>
                <w:tab w:val="left" w:pos="0"/>
                <w:tab w:val="left" w:pos="993"/>
                <w:tab w:val="left" w:pos="1276"/>
              </w:tabs>
              <w:spacing w:after="0" w:line="240" w:lineRule="auto"/>
              <w:ind w:left="0"/>
              <w:jc w:val="both"/>
              <w:rPr>
                <w:rFonts w:ascii="Times New Roman" w:hAnsi="Times New Roman"/>
                <w:bCs/>
                <w:sz w:val="24"/>
                <w:szCs w:val="24"/>
                <w:lang w:val="lt-LT"/>
              </w:rPr>
            </w:pPr>
            <w:r>
              <w:rPr>
                <w:rFonts w:ascii="Times New Roman" w:hAnsi="Times New Roman"/>
                <w:bCs/>
                <w:sz w:val="24"/>
                <w:szCs w:val="24"/>
                <w:lang w:val="lt-LT"/>
              </w:rPr>
              <w:t>Taisyklių 15 punktas</w:t>
            </w:r>
            <w:r>
              <w:rPr>
                <w:rStyle w:val="FootnoteReference"/>
                <w:rFonts w:ascii="Times New Roman" w:hAnsi="Times New Roman"/>
                <w:bCs/>
                <w:sz w:val="24"/>
                <w:szCs w:val="24"/>
                <w:lang w:val="lt-LT"/>
              </w:rPr>
              <w:footnoteReference w:id="11"/>
            </w:r>
            <w:r>
              <w:rPr>
                <w:rFonts w:ascii="Times New Roman" w:hAnsi="Times New Roman"/>
                <w:bCs/>
                <w:sz w:val="24"/>
                <w:szCs w:val="24"/>
                <w:lang w:val="lt-LT"/>
              </w:rPr>
              <w:t>, Įstatymo 85 straipsnio 4 dalis</w:t>
            </w:r>
            <w:r w:rsidR="00366BCA">
              <w:rPr>
                <w:rStyle w:val="FootnoteReference"/>
                <w:rFonts w:ascii="Times New Roman" w:hAnsi="Times New Roman"/>
                <w:bCs/>
                <w:sz w:val="24"/>
                <w:szCs w:val="24"/>
                <w:lang w:val="lt-LT"/>
              </w:rPr>
              <w:footnoteReference w:id="12"/>
            </w:r>
          </w:p>
        </w:tc>
      </w:tr>
      <w:tr w:rsidR="00293DCC" w:rsidRPr="00BE3276" w:rsidTr="000368A2">
        <w:tc>
          <w:tcPr>
            <w:tcW w:w="9606" w:type="dxa"/>
            <w:gridSpan w:val="3"/>
            <w:shd w:val="clear" w:color="auto" w:fill="auto"/>
            <w:vAlign w:val="center"/>
          </w:tcPr>
          <w:p w:rsidR="00293DCC" w:rsidRPr="00E86F3A" w:rsidRDefault="00293DCC" w:rsidP="000368A2">
            <w:pPr>
              <w:pStyle w:val="ListParagraph"/>
              <w:tabs>
                <w:tab w:val="left" w:pos="851"/>
              </w:tabs>
              <w:spacing w:after="0" w:line="240" w:lineRule="auto"/>
              <w:ind w:left="0"/>
              <w:jc w:val="both"/>
              <w:rPr>
                <w:rFonts w:ascii="Times New Roman" w:hAnsi="Times New Roman"/>
                <w:bCs/>
                <w:sz w:val="24"/>
                <w:szCs w:val="24"/>
                <w:lang w:val="lt-LT"/>
              </w:rPr>
            </w:pPr>
            <w:r w:rsidRPr="00E86F3A">
              <w:rPr>
                <w:rFonts w:ascii="Times New Roman" w:hAnsi="Times New Roman"/>
                <w:bCs/>
                <w:sz w:val="24"/>
                <w:szCs w:val="24"/>
                <w:lang w:val="lt-LT"/>
              </w:rPr>
              <w:t>Perkančioji organizacija Tarnybai nepateikė Viešųjų pirkimų organizatoriaus nuostatų.</w:t>
            </w:r>
          </w:p>
        </w:tc>
      </w:tr>
    </w:tbl>
    <w:p w:rsidR="00A72B4E" w:rsidRPr="00293DCC" w:rsidRDefault="00A72B4E" w:rsidP="00BE324D">
      <w:pPr>
        <w:spacing w:after="0" w:line="240" w:lineRule="auto"/>
        <w:jc w:val="center"/>
        <w:rPr>
          <w:rFonts w:ascii="Times New Roman" w:hAnsi="Times New Roman"/>
          <w:b/>
          <w:sz w:val="24"/>
          <w:szCs w:val="24"/>
          <w:lang w:val="en-US"/>
        </w:rPr>
      </w:pPr>
    </w:p>
    <w:p w:rsidR="00BE324D" w:rsidRDefault="00BE324D" w:rsidP="00BE324D">
      <w:pPr>
        <w:spacing w:after="0" w:line="240" w:lineRule="auto"/>
        <w:jc w:val="center"/>
        <w:rPr>
          <w:rFonts w:ascii="Times New Roman" w:hAnsi="Times New Roman"/>
          <w:b/>
          <w:sz w:val="24"/>
          <w:szCs w:val="24"/>
          <w:lang w:val="lt-LT"/>
        </w:rPr>
      </w:pPr>
      <w:r w:rsidRPr="00C929EA">
        <w:rPr>
          <w:rFonts w:ascii="Times New Roman" w:hAnsi="Times New Roman"/>
          <w:b/>
          <w:sz w:val="24"/>
          <w:szCs w:val="24"/>
          <w:lang w:val="lt-LT"/>
        </w:rPr>
        <w:t>IV dalis. SPRENDIMAS</w:t>
      </w:r>
    </w:p>
    <w:p w:rsidR="00366BCA" w:rsidRPr="00C929EA" w:rsidRDefault="00366BCA" w:rsidP="00BE324D">
      <w:pPr>
        <w:spacing w:after="0" w:line="240" w:lineRule="auto"/>
        <w:jc w:val="center"/>
        <w:rPr>
          <w:rFonts w:ascii="Times New Roman" w:hAnsi="Times New Roman"/>
          <w:b/>
          <w:sz w:val="24"/>
          <w:szCs w:val="24"/>
          <w:lang w:val="lt-LT"/>
        </w:rPr>
      </w:pPr>
    </w:p>
    <w:p w:rsidR="00BE324D" w:rsidRPr="005679BE" w:rsidRDefault="00BE324D" w:rsidP="00BE324D">
      <w:pPr>
        <w:tabs>
          <w:tab w:val="left" w:pos="993"/>
        </w:tabs>
        <w:spacing w:after="0" w:line="240" w:lineRule="auto"/>
        <w:ind w:firstLine="851"/>
        <w:jc w:val="both"/>
        <w:rPr>
          <w:rFonts w:ascii="Times New Roman" w:hAnsi="Times New Roman"/>
          <w:sz w:val="24"/>
          <w:szCs w:val="24"/>
          <w:lang w:val="lt-LT"/>
        </w:rPr>
      </w:pPr>
      <w:r w:rsidRPr="005679BE">
        <w:rPr>
          <w:rFonts w:ascii="Times New Roman" w:hAnsi="Times New Roman"/>
          <w:bCs/>
          <w:sz w:val="24"/>
          <w:szCs w:val="24"/>
          <w:lang w:val="lt-LT"/>
        </w:rPr>
        <w:t xml:space="preserve">Tarnyba konstatavo </w:t>
      </w:r>
      <w:r w:rsidRPr="005679BE">
        <w:rPr>
          <w:rFonts w:ascii="Times New Roman" w:hAnsi="Times New Roman"/>
          <w:sz w:val="24"/>
          <w:szCs w:val="24"/>
          <w:lang w:val="lt-LT"/>
        </w:rPr>
        <w:t>Įstatymo pažeidimą, t</w:t>
      </w:r>
      <w:r w:rsidR="005679BE" w:rsidRPr="005679BE">
        <w:rPr>
          <w:rFonts w:ascii="Times New Roman" w:hAnsi="Times New Roman"/>
          <w:sz w:val="24"/>
          <w:szCs w:val="24"/>
          <w:lang w:val="lt-LT"/>
        </w:rPr>
        <w:t xml:space="preserve">ačiau atsižvelgdama į tai, kad </w:t>
      </w:r>
      <w:r w:rsidRPr="005679BE">
        <w:rPr>
          <w:rFonts w:ascii="Times New Roman" w:hAnsi="Times New Roman"/>
          <w:sz w:val="24"/>
          <w:szCs w:val="24"/>
          <w:lang w:val="lt-LT"/>
        </w:rPr>
        <w:t xml:space="preserve">Pirkimo </w:t>
      </w:r>
      <w:r w:rsidR="005679BE" w:rsidRPr="005679BE">
        <w:rPr>
          <w:rFonts w:ascii="Times New Roman" w:hAnsi="Times New Roman"/>
          <w:sz w:val="24"/>
          <w:szCs w:val="24"/>
          <w:lang w:val="lt-LT"/>
        </w:rPr>
        <w:t>Nr. 1 procedūros buvo nut</w:t>
      </w:r>
      <w:r w:rsidR="009F1224">
        <w:rPr>
          <w:rFonts w:ascii="Times New Roman" w:hAnsi="Times New Roman"/>
          <w:sz w:val="24"/>
          <w:szCs w:val="24"/>
          <w:lang w:val="lt-LT"/>
        </w:rPr>
        <w:t>r</w:t>
      </w:r>
      <w:r w:rsidR="005679BE" w:rsidRPr="005679BE">
        <w:rPr>
          <w:rFonts w:ascii="Times New Roman" w:hAnsi="Times New Roman"/>
          <w:sz w:val="24"/>
          <w:szCs w:val="24"/>
          <w:lang w:val="lt-LT"/>
        </w:rPr>
        <w:t>a</w:t>
      </w:r>
      <w:r w:rsidR="009F1224">
        <w:rPr>
          <w:rFonts w:ascii="Times New Roman" w:hAnsi="Times New Roman"/>
          <w:sz w:val="24"/>
          <w:szCs w:val="24"/>
          <w:lang w:val="lt-LT"/>
        </w:rPr>
        <w:t>u</w:t>
      </w:r>
      <w:r w:rsidR="006748F2">
        <w:rPr>
          <w:rFonts w:ascii="Times New Roman" w:hAnsi="Times New Roman"/>
          <w:sz w:val="24"/>
          <w:szCs w:val="24"/>
          <w:lang w:val="lt-LT"/>
        </w:rPr>
        <w:t>ktos</w:t>
      </w:r>
      <w:r w:rsidR="005679BE" w:rsidRPr="005679BE">
        <w:rPr>
          <w:rFonts w:ascii="Times New Roman" w:hAnsi="Times New Roman"/>
          <w:sz w:val="24"/>
          <w:szCs w:val="24"/>
          <w:lang w:val="lt-LT"/>
        </w:rPr>
        <w:t xml:space="preserve"> nesudarius sutarties, </w:t>
      </w:r>
      <w:r w:rsidRPr="005679BE">
        <w:rPr>
          <w:rFonts w:ascii="Times New Roman" w:hAnsi="Times New Roman"/>
          <w:sz w:val="24"/>
          <w:szCs w:val="24"/>
          <w:lang w:val="lt-LT"/>
        </w:rPr>
        <w:t>apsiriboja šiuo vertinimu.</w:t>
      </w:r>
    </w:p>
    <w:p w:rsidR="005679BE" w:rsidRDefault="005679BE" w:rsidP="00BE324D">
      <w:pPr>
        <w:tabs>
          <w:tab w:val="left" w:pos="993"/>
        </w:tabs>
        <w:spacing w:after="0" w:line="240" w:lineRule="auto"/>
        <w:ind w:firstLine="851"/>
        <w:jc w:val="both"/>
        <w:rPr>
          <w:rFonts w:ascii="Times New Roman" w:hAnsi="Times New Roman"/>
          <w:sz w:val="24"/>
          <w:szCs w:val="24"/>
          <w:lang w:val="lt-LT"/>
        </w:rPr>
      </w:pPr>
    </w:p>
    <w:p w:rsidR="009E722C" w:rsidRPr="005679BE" w:rsidRDefault="009E722C" w:rsidP="00BE324D">
      <w:pPr>
        <w:tabs>
          <w:tab w:val="left" w:pos="993"/>
        </w:tabs>
        <w:spacing w:after="0" w:line="240" w:lineRule="auto"/>
        <w:ind w:firstLine="851"/>
        <w:jc w:val="both"/>
        <w:rPr>
          <w:rFonts w:ascii="Times New Roman" w:hAnsi="Times New Roman"/>
          <w:sz w:val="24"/>
          <w:szCs w:val="24"/>
          <w:lang w:val="lt-LT"/>
        </w:rPr>
      </w:pPr>
    </w:p>
    <w:p w:rsidR="005679BE" w:rsidRPr="00BC735C" w:rsidRDefault="005679BE" w:rsidP="005679BE">
      <w:pPr>
        <w:tabs>
          <w:tab w:val="left" w:pos="0"/>
        </w:tabs>
        <w:spacing w:after="0" w:line="240" w:lineRule="auto"/>
        <w:jc w:val="center"/>
        <w:rPr>
          <w:rFonts w:ascii="Times New Roman" w:hAnsi="Times New Roman"/>
          <w:b/>
          <w:bCs/>
          <w:sz w:val="24"/>
          <w:szCs w:val="24"/>
          <w:lang w:val="en-US"/>
        </w:rPr>
      </w:pPr>
      <w:r w:rsidRPr="00BC735C">
        <w:rPr>
          <w:rFonts w:ascii="Times New Roman" w:hAnsi="Times New Roman" w:cs="Times New Roman"/>
          <w:b/>
          <w:sz w:val="24"/>
          <w:szCs w:val="24"/>
          <w:lang w:val="lt-LT"/>
        </w:rPr>
        <w:t xml:space="preserve">Valdymo ir veiklos audito paslaugos </w:t>
      </w:r>
      <w:r w:rsidRPr="00BC735C">
        <w:rPr>
          <w:rFonts w:ascii="Times New Roman" w:hAnsi="Times New Roman"/>
          <w:b/>
          <w:bCs/>
          <w:sz w:val="24"/>
          <w:szCs w:val="24"/>
          <w:lang w:val="en-US"/>
        </w:rPr>
        <w:t>(I</w:t>
      </w:r>
      <w:r w:rsidR="007B53F6" w:rsidRPr="00BC735C">
        <w:rPr>
          <w:rFonts w:ascii="Times New Roman" w:hAnsi="Times New Roman"/>
          <w:b/>
          <w:bCs/>
          <w:sz w:val="24"/>
          <w:szCs w:val="24"/>
          <w:lang w:val="en-US"/>
        </w:rPr>
        <w:t>I</w:t>
      </w:r>
      <w:r w:rsidRPr="00BC735C">
        <w:rPr>
          <w:rFonts w:ascii="Times New Roman" w:hAnsi="Times New Roman"/>
          <w:b/>
          <w:bCs/>
          <w:sz w:val="24"/>
          <w:szCs w:val="24"/>
          <w:lang w:val="en-US"/>
        </w:rPr>
        <w:t xml:space="preserve"> </w:t>
      </w:r>
      <w:proofErr w:type="spellStart"/>
      <w:r w:rsidRPr="00BC735C">
        <w:rPr>
          <w:rFonts w:ascii="Times New Roman" w:hAnsi="Times New Roman"/>
          <w:b/>
          <w:bCs/>
          <w:sz w:val="24"/>
          <w:szCs w:val="24"/>
          <w:lang w:val="en-US"/>
        </w:rPr>
        <w:t>Pirkimas</w:t>
      </w:r>
      <w:proofErr w:type="spellEnd"/>
      <w:r w:rsidRPr="00BC735C">
        <w:rPr>
          <w:rFonts w:ascii="Times New Roman" w:hAnsi="Times New Roman"/>
          <w:b/>
          <w:bCs/>
          <w:sz w:val="24"/>
          <w:szCs w:val="24"/>
          <w:lang w:val="en-US"/>
        </w:rPr>
        <w:t>)</w:t>
      </w:r>
    </w:p>
    <w:p w:rsidR="009E722C" w:rsidRPr="00BE324D" w:rsidRDefault="009E722C" w:rsidP="005679BE">
      <w:pPr>
        <w:tabs>
          <w:tab w:val="left" w:pos="0"/>
        </w:tabs>
        <w:spacing w:after="0" w:line="240" w:lineRule="auto"/>
        <w:jc w:val="center"/>
        <w:rPr>
          <w:rFonts w:ascii="Times New Roman" w:hAnsi="Times New Roman"/>
          <w:bCs/>
          <w:sz w:val="24"/>
          <w:szCs w:val="24"/>
          <w:lang w:val="en-US"/>
        </w:rPr>
      </w:pPr>
    </w:p>
    <w:p w:rsidR="00E848D8" w:rsidRPr="008F0120" w:rsidRDefault="00E848D8" w:rsidP="008F0120">
      <w:pPr>
        <w:ind w:firstLine="708"/>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 dalis. Bendra informacija</w:t>
      </w:r>
    </w:p>
    <w:tbl>
      <w:tblPr>
        <w:tblStyle w:val="TableGrid"/>
        <w:tblW w:w="9606" w:type="dxa"/>
        <w:tblLook w:val="04A0"/>
      </w:tblPr>
      <w:tblGrid>
        <w:gridCol w:w="4672"/>
        <w:gridCol w:w="4934"/>
      </w:tblGrid>
      <w:tr w:rsidR="00E848D8" w:rsidRPr="00BE3276" w:rsidTr="008F0120">
        <w:tc>
          <w:tcPr>
            <w:tcW w:w="4672" w:type="dxa"/>
          </w:tcPr>
          <w:p w:rsidR="00E848D8" w:rsidRPr="00143243" w:rsidRDefault="00E848D8" w:rsidP="000A50EB">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E848D8" w:rsidRPr="00143243" w:rsidRDefault="00B91BA2" w:rsidP="00B91BA2">
            <w:pPr>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3777E3">
              <w:rPr>
                <w:rFonts w:ascii="Times New Roman" w:hAnsi="Times New Roman" w:cs="Times New Roman"/>
                <w:sz w:val="24"/>
                <w:szCs w:val="24"/>
                <w:lang w:val="lt-LT"/>
              </w:rPr>
              <w:t xml:space="preserve">aldymo </w:t>
            </w:r>
            <w:r>
              <w:rPr>
                <w:rFonts w:ascii="Times New Roman" w:hAnsi="Times New Roman" w:cs="Times New Roman"/>
                <w:sz w:val="24"/>
                <w:szCs w:val="24"/>
                <w:lang w:val="lt-LT"/>
              </w:rPr>
              <w:t xml:space="preserve">ir veiklos </w:t>
            </w:r>
            <w:r w:rsidR="003777E3">
              <w:rPr>
                <w:rFonts w:ascii="Times New Roman" w:hAnsi="Times New Roman" w:cs="Times New Roman"/>
                <w:sz w:val="24"/>
                <w:szCs w:val="24"/>
                <w:lang w:val="lt-LT"/>
              </w:rPr>
              <w:t>audito paslaugos</w:t>
            </w:r>
            <w:r w:rsidR="00E848D8" w:rsidRPr="00143243">
              <w:rPr>
                <w:rFonts w:ascii="Times New Roman" w:hAnsi="Times New Roman" w:cs="Times New Roman"/>
                <w:sz w:val="24"/>
                <w:szCs w:val="24"/>
                <w:lang w:val="lt-LT"/>
              </w:rPr>
              <w:t xml:space="preserve"> (Kvietimas išsiųstas </w:t>
            </w:r>
            <w:r>
              <w:rPr>
                <w:rFonts w:ascii="Times New Roman" w:hAnsi="Times New Roman" w:cs="Times New Roman"/>
                <w:sz w:val="24"/>
                <w:szCs w:val="24"/>
                <w:lang w:val="lt-LT"/>
              </w:rPr>
              <w:t>2016-03-25</w:t>
            </w:r>
            <w:r w:rsidR="00E848D8">
              <w:rPr>
                <w:rFonts w:ascii="Times New Roman" w:hAnsi="Times New Roman" w:cs="Times New Roman"/>
                <w:sz w:val="24"/>
                <w:szCs w:val="24"/>
                <w:lang w:val="lt-LT"/>
              </w:rPr>
              <w:t>)</w:t>
            </w:r>
            <w:r w:rsidR="00E848D8" w:rsidRPr="00143243">
              <w:rPr>
                <w:rFonts w:ascii="Times New Roman" w:hAnsi="Times New Roman" w:cs="Times New Roman"/>
                <w:sz w:val="24"/>
                <w:szCs w:val="24"/>
                <w:lang w:val="lt-LT"/>
              </w:rPr>
              <w:t xml:space="preserve"> </w:t>
            </w:r>
            <w:r w:rsidR="007B53F6">
              <w:rPr>
                <w:rFonts w:ascii="Times New Roman" w:hAnsi="Times New Roman" w:cs="Times New Roman"/>
                <w:sz w:val="24"/>
                <w:szCs w:val="24"/>
                <w:lang w:val="lt-LT"/>
              </w:rPr>
              <w:t>(toliau – Pirkimas Nr. 2</w:t>
            </w:r>
            <w:r w:rsidR="00E848D8">
              <w:rPr>
                <w:rFonts w:ascii="Times New Roman" w:hAnsi="Times New Roman" w:cs="Times New Roman"/>
                <w:sz w:val="24"/>
                <w:szCs w:val="24"/>
                <w:lang w:val="lt-LT"/>
              </w:rPr>
              <w:t>)</w:t>
            </w:r>
          </w:p>
        </w:tc>
      </w:tr>
      <w:tr w:rsidR="00E848D8" w:rsidRPr="00143243" w:rsidTr="008F0120">
        <w:tc>
          <w:tcPr>
            <w:tcW w:w="4672" w:type="dxa"/>
          </w:tcPr>
          <w:p w:rsidR="00E848D8" w:rsidRPr="00143243" w:rsidRDefault="00E848D8" w:rsidP="000A50EB">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Pirkimo būdas</w:t>
            </w:r>
          </w:p>
        </w:tc>
        <w:tc>
          <w:tcPr>
            <w:tcW w:w="4934" w:type="dxa"/>
          </w:tcPr>
          <w:p w:rsidR="00E848D8" w:rsidRPr="00143243" w:rsidRDefault="00E848D8" w:rsidP="008F0120">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Apklausa</w:t>
            </w:r>
            <w:r w:rsidR="00BE324D">
              <w:rPr>
                <w:rFonts w:ascii="Times New Roman" w:hAnsi="Times New Roman" w:cs="Times New Roman"/>
                <w:sz w:val="24"/>
                <w:szCs w:val="24"/>
                <w:lang w:val="lt-LT"/>
              </w:rPr>
              <w:t xml:space="preserve"> raštu</w:t>
            </w:r>
          </w:p>
        </w:tc>
      </w:tr>
      <w:tr w:rsidR="00E848D8" w:rsidRPr="00023030" w:rsidTr="008F0120">
        <w:tc>
          <w:tcPr>
            <w:tcW w:w="4672" w:type="dxa"/>
          </w:tcPr>
          <w:p w:rsidR="00E848D8" w:rsidRPr="00143243" w:rsidRDefault="00E848D8" w:rsidP="000A50EB">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E848D8" w:rsidRPr="00143243" w:rsidRDefault="006748F2" w:rsidP="006748F2">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848D8" w:rsidRPr="00143243" w:rsidTr="008F0120">
        <w:tc>
          <w:tcPr>
            <w:tcW w:w="4672" w:type="dxa"/>
          </w:tcPr>
          <w:p w:rsidR="00E848D8" w:rsidRPr="00143243" w:rsidRDefault="00E848D8" w:rsidP="00AA3442">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Pirkimas finansuojamas ES lėšomis, projekto pavadinimas, Įgyvendinančioji institucija</w:t>
            </w:r>
          </w:p>
        </w:tc>
        <w:tc>
          <w:tcPr>
            <w:tcW w:w="4934" w:type="dxa"/>
          </w:tcPr>
          <w:p w:rsidR="00E848D8" w:rsidRPr="00143243" w:rsidRDefault="00312D3A" w:rsidP="008F0120">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848D8" w:rsidRPr="00BE3276" w:rsidTr="008F0120">
        <w:tc>
          <w:tcPr>
            <w:tcW w:w="4672" w:type="dxa"/>
          </w:tcPr>
          <w:p w:rsidR="00E848D8" w:rsidRPr="00143243" w:rsidRDefault="00E848D8" w:rsidP="00E86F3A">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 xml:space="preserve">Pirkimo vykdymo teisinis pagrindas (pirkimui taikomo įstatymo, supaprastintų pirkimų </w:t>
            </w:r>
            <w:r w:rsidRPr="00143243">
              <w:rPr>
                <w:rFonts w:ascii="Times New Roman" w:hAnsi="Times New Roman" w:cs="Times New Roman"/>
                <w:sz w:val="24"/>
                <w:szCs w:val="24"/>
                <w:lang w:val="lt-LT"/>
              </w:rPr>
              <w:lastRenderedPageBreak/>
              <w:t>taisyklių redakcija)</w:t>
            </w:r>
          </w:p>
        </w:tc>
        <w:tc>
          <w:tcPr>
            <w:tcW w:w="4934" w:type="dxa"/>
          </w:tcPr>
          <w:p w:rsidR="00E848D8" w:rsidRPr="00143243" w:rsidRDefault="00E848D8" w:rsidP="00BE324D">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lastRenderedPageBreak/>
              <w:t xml:space="preserve">Viešųjų pirkimų įstatymas (redakcija nuo </w:t>
            </w:r>
            <w:r w:rsidR="00BE324D">
              <w:rPr>
                <w:rFonts w:ascii="Times New Roman" w:hAnsi="Times New Roman" w:cs="Times New Roman"/>
                <w:sz w:val="24"/>
                <w:szCs w:val="24"/>
                <w:lang w:val="lt-LT"/>
              </w:rPr>
              <w:t xml:space="preserve">          </w:t>
            </w:r>
            <w:r w:rsidRPr="00143243">
              <w:rPr>
                <w:rFonts w:ascii="Times New Roman" w:hAnsi="Times New Roman" w:cs="Times New Roman"/>
                <w:sz w:val="24"/>
                <w:szCs w:val="24"/>
                <w:lang w:val="lt-LT"/>
              </w:rPr>
              <w:t>201</w:t>
            </w:r>
            <w:r w:rsidR="00BE324D">
              <w:rPr>
                <w:rFonts w:ascii="Times New Roman" w:hAnsi="Times New Roman" w:cs="Times New Roman"/>
                <w:sz w:val="24"/>
                <w:szCs w:val="24"/>
                <w:lang w:val="lt-LT"/>
              </w:rPr>
              <w:t>6</w:t>
            </w:r>
            <w:r w:rsidRPr="00143243">
              <w:rPr>
                <w:rFonts w:ascii="Times New Roman" w:hAnsi="Times New Roman" w:cs="Times New Roman"/>
                <w:sz w:val="24"/>
                <w:szCs w:val="24"/>
                <w:lang w:val="lt-LT"/>
              </w:rPr>
              <w:t>-01-01</w:t>
            </w:r>
            <w:r>
              <w:rPr>
                <w:rFonts w:ascii="Times New Roman" w:hAnsi="Times New Roman" w:cs="Times New Roman"/>
                <w:sz w:val="24"/>
                <w:szCs w:val="24"/>
                <w:lang w:val="lt-LT"/>
              </w:rPr>
              <w:t>; toliau - Įstatymas</w:t>
            </w:r>
            <w:r w:rsidR="005679BE">
              <w:rPr>
                <w:rFonts w:ascii="Times New Roman" w:hAnsi="Times New Roman" w:cs="Times New Roman"/>
                <w:sz w:val="24"/>
                <w:szCs w:val="24"/>
                <w:lang w:val="lt-LT"/>
              </w:rPr>
              <w:t>) ir</w:t>
            </w:r>
            <w:r w:rsidRPr="00143243">
              <w:rPr>
                <w:rFonts w:ascii="Times New Roman" w:hAnsi="Times New Roman" w:cs="Times New Roman"/>
                <w:sz w:val="24"/>
                <w:szCs w:val="24"/>
                <w:lang w:val="lt-LT"/>
              </w:rPr>
              <w:t xml:space="preserve"> </w:t>
            </w:r>
            <w:r w:rsidR="00B91BA2">
              <w:rPr>
                <w:rFonts w:ascii="Times New Roman" w:hAnsi="Times New Roman" w:cs="Times New Roman"/>
                <w:sz w:val="24"/>
                <w:szCs w:val="24"/>
                <w:lang w:val="lt-LT"/>
              </w:rPr>
              <w:t>UAB „Trakų paslaugos“</w:t>
            </w:r>
            <w:r w:rsidRPr="00143243">
              <w:rPr>
                <w:rFonts w:ascii="Times New Roman" w:hAnsi="Times New Roman" w:cs="Times New Roman"/>
                <w:sz w:val="24"/>
                <w:szCs w:val="24"/>
                <w:lang w:val="lt-LT"/>
              </w:rPr>
              <w:t xml:space="preserve"> direktoriau</w:t>
            </w:r>
            <w:r w:rsidR="00B91BA2">
              <w:rPr>
                <w:rFonts w:ascii="Times New Roman" w:hAnsi="Times New Roman" w:cs="Times New Roman"/>
                <w:sz w:val="24"/>
                <w:szCs w:val="24"/>
                <w:lang w:val="lt-LT"/>
              </w:rPr>
              <w:t>s 2012</w:t>
            </w:r>
            <w:r w:rsidRPr="00143243">
              <w:rPr>
                <w:rFonts w:ascii="Times New Roman" w:hAnsi="Times New Roman" w:cs="Times New Roman"/>
                <w:sz w:val="24"/>
                <w:szCs w:val="24"/>
                <w:lang w:val="lt-LT"/>
              </w:rPr>
              <w:t>-0</w:t>
            </w:r>
            <w:r w:rsidR="00B91BA2">
              <w:rPr>
                <w:rFonts w:ascii="Times New Roman" w:hAnsi="Times New Roman" w:cs="Times New Roman"/>
                <w:sz w:val="24"/>
                <w:szCs w:val="24"/>
                <w:lang w:val="lt-LT"/>
              </w:rPr>
              <w:t>4</w:t>
            </w:r>
            <w:r w:rsidRPr="00143243">
              <w:rPr>
                <w:rFonts w:ascii="Times New Roman" w:hAnsi="Times New Roman" w:cs="Times New Roman"/>
                <w:sz w:val="24"/>
                <w:szCs w:val="24"/>
                <w:lang w:val="lt-LT"/>
              </w:rPr>
              <w:t>-</w:t>
            </w:r>
            <w:r w:rsidR="00B91BA2">
              <w:rPr>
                <w:rFonts w:ascii="Times New Roman" w:hAnsi="Times New Roman" w:cs="Times New Roman"/>
                <w:sz w:val="24"/>
                <w:szCs w:val="24"/>
                <w:lang w:val="lt-LT"/>
              </w:rPr>
              <w:t xml:space="preserve">10 įsakymu </w:t>
            </w:r>
            <w:r w:rsidR="00BE324D">
              <w:rPr>
                <w:rFonts w:ascii="Times New Roman" w:hAnsi="Times New Roman" w:cs="Times New Roman"/>
                <w:sz w:val="24"/>
                <w:szCs w:val="24"/>
                <w:lang w:val="lt-LT"/>
              </w:rPr>
              <w:t xml:space="preserve">  </w:t>
            </w:r>
            <w:r w:rsidR="00B91BA2">
              <w:rPr>
                <w:rFonts w:ascii="Times New Roman" w:hAnsi="Times New Roman" w:cs="Times New Roman"/>
                <w:sz w:val="24"/>
                <w:szCs w:val="24"/>
                <w:lang w:val="lt-LT"/>
              </w:rPr>
              <w:lastRenderedPageBreak/>
              <w:t>Nr. 0</w:t>
            </w:r>
            <w:r w:rsidRPr="00143243">
              <w:rPr>
                <w:rFonts w:ascii="Times New Roman" w:hAnsi="Times New Roman" w:cs="Times New Roman"/>
                <w:sz w:val="24"/>
                <w:szCs w:val="24"/>
                <w:lang w:val="lt-LT"/>
              </w:rPr>
              <w:t>4</w:t>
            </w:r>
            <w:r w:rsidR="00B91BA2">
              <w:rPr>
                <w:rFonts w:ascii="Times New Roman" w:hAnsi="Times New Roman" w:cs="Times New Roman"/>
                <w:sz w:val="24"/>
                <w:szCs w:val="24"/>
                <w:lang w:val="lt-LT"/>
              </w:rPr>
              <w:t>-G</w:t>
            </w:r>
            <w:r w:rsidRPr="00143243">
              <w:rPr>
                <w:rFonts w:ascii="Times New Roman" w:hAnsi="Times New Roman" w:cs="Times New Roman"/>
                <w:sz w:val="24"/>
                <w:szCs w:val="24"/>
                <w:lang w:val="lt-LT"/>
              </w:rPr>
              <w:t xml:space="preserve"> patvirtintos </w:t>
            </w:r>
            <w:r w:rsidR="00B91BA2">
              <w:rPr>
                <w:rFonts w:ascii="Times New Roman" w:hAnsi="Times New Roman" w:cs="Times New Roman"/>
                <w:sz w:val="24"/>
                <w:szCs w:val="24"/>
                <w:lang w:val="lt-LT"/>
              </w:rPr>
              <w:t>UAB „Trakų paslaugos“</w:t>
            </w:r>
            <w:r w:rsidRPr="00143243">
              <w:rPr>
                <w:rFonts w:ascii="Times New Roman" w:hAnsi="Times New Roman" w:cs="Times New Roman"/>
                <w:sz w:val="24"/>
                <w:szCs w:val="24"/>
                <w:lang w:val="lt-LT"/>
              </w:rPr>
              <w:t xml:space="preserve"> supaprastintų viešųjų pirkimų taisyk</w:t>
            </w:r>
            <w:r>
              <w:rPr>
                <w:rFonts w:ascii="Times New Roman" w:hAnsi="Times New Roman" w:cs="Times New Roman"/>
                <w:sz w:val="24"/>
                <w:szCs w:val="24"/>
                <w:lang w:val="lt-LT"/>
              </w:rPr>
              <w:t>l</w:t>
            </w:r>
            <w:r w:rsidRPr="00143243">
              <w:rPr>
                <w:rFonts w:ascii="Times New Roman" w:hAnsi="Times New Roman" w:cs="Times New Roman"/>
                <w:sz w:val="24"/>
                <w:szCs w:val="24"/>
                <w:lang w:val="lt-LT"/>
              </w:rPr>
              <w:t>ės</w:t>
            </w:r>
            <w:r>
              <w:rPr>
                <w:rFonts w:ascii="Times New Roman" w:hAnsi="Times New Roman" w:cs="Times New Roman"/>
                <w:sz w:val="24"/>
                <w:szCs w:val="24"/>
                <w:lang w:val="lt-LT"/>
              </w:rPr>
              <w:t xml:space="preserve"> (toliau – Taisyklės)</w:t>
            </w:r>
          </w:p>
        </w:tc>
      </w:tr>
      <w:tr w:rsidR="00E848D8" w:rsidRPr="00143243" w:rsidTr="008F0120">
        <w:tc>
          <w:tcPr>
            <w:tcW w:w="4672" w:type="dxa"/>
          </w:tcPr>
          <w:p w:rsidR="00E848D8" w:rsidRPr="00143243" w:rsidRDefault="00E848D8" w:rsidP="00E86F3A">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lastRenderedPageBreak/>
              <w:t>Vertinimo apimtys/etapas</w:t>
            </w:r>
          </w:p>
        </w:tc>
        <w:tc>
          <w:tcPr>
            <w:tcW w:w="4934" w:type="dxa"/>
          </w:tcPr>
          <w:p w:rsidR="00E848D8" w:rsidRPr="00143243" w:rsidRDefault="00312D3A" w:rsidP="008F0120">
            <w:pPr>
              <w:jc w:val="both"/>
              <w:rPr>
                <w:rFonts w:ascii="Times New Roman" w:hAnsi="Times New Roman" w:cs="Times New Roman"/>
                <w:sz w:val="24"/>
                <w:szCs w:val="24"/>
                <w:lang w:val="lt-LT"/>
              </w:rPr>
            </w:pPr>
            <w:r>
              <w:rPr>
                <w:rFonts w:ascii="Times New Roman" w:hAnsi="Times New Roman" w:cs="Times New Roman"/>
                <w:sz w:val="24"/>
                <w:szCs w:val="24"/>
                <w:lang w:val="lt-LT"/>
              </w:rPr>
              <w:t>Išsamus</w:t>
            </w:r>
            <w:r w:rsidR="00E848D8">
              <w:rPr>
                <w:rFonts w:ascii="Times New Roman" w:hAnsi="Times New Roman" w:cs="Times New Roman"/>
                <w:sz w:val="24"/>
                <w:szCs w:val="24"/>
                <w:lang w:val="lt-LT"/>
              </w:rPr>
              <w:t>/po sutarties sudarymo</w:t>
            </w:r>
          </w:p>
        </w:tc>
      </w:tr>
      <w:tr w:rsidR="00E848D8" w:rsidRPr="00143243" w:rsidTr="008F0120">
        <w:tc>
          <w:tcPr>
            <w:tcW w:w="4672" w:type="dxa"/>
          </w:tcPr>
          <w:p w:rsidR="00E848D8" w:rsidRPr="00143243" w:rsidRDefault="00E848D8" w:rsidP="000A50EB">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E848D8" w:rsidRPr="00143243" w:rsidRDefault="00312D3A" w:rsidP="008F0120">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6748F2" w:rsidRDefault="006748F2" w:rsidP="00C51BE5">
      <w:pPr>
        <w:jc w:val="center"/>
        <w:rPr>
          <w:rFonts w:ascii="Times New Roman" w:hAnsi="Times New Roman" w:cs="Times New Roman"/>
          <w:b/>
          <w:sz w:val="24"/>
          <w:szCs w:val="24"/>
          <w:lang w:val="lt-LT"/>
        </w:rPr>
      </w:pPr>
    </w:p>
    <w:p w:rsidR="00E848D8" w:rsidRDefault="00E848D8" w:rsidP="00293DCC">
      <w:pPr>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II dalis. Vertinimo metu nustatyti pažeidimai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89"/>
      </w:tblGrid>
      <w:tr w:rsidR="004A1F53" w:rsidRPr="00BE3276" w:rsidTr="00366BC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A1F53" w:rsidRPr="009F1224" w:rsidRDefault="004A1F53" w:rsidP="00293DCC">
            <w:pPr>
              <w:spacing w:after="200" w:line="276" w:lineRule="auto"/>
              <w:rPr>
                <w:rFonts w:ascii="Times New Roman" w:hAnsi="Times New Roman"/>
                <w:sz w:val="24"/>
                <w:szCs w:val="24"/>
                <w:lang w:val="lt-LT"/>
              </w:rPr>
            </w:pPr>
            <w:r>
              <w:rPr>
                <w:rFonts w:ascii="Times New Roman" w:hAnsi="Times New Roman"/>
                <w:sz w:val="24"/>
                <w:szCs w:val="24"/>
                <w:lang w:val="lt-LT"/>
              </w:rPr>
              <w:t>1.</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4A1F53" w:rsidRPr="00587F24" w:rsidRDefault="004A1F53" w:rsidP="00293DCC">
            <w:pPr>
              <w:pStyle w:val="ListParagraph"/>
              <w:tabs>
                <w:tab w:val="left" w:pos="0"/>
                <w:tab w:val="left" w:pos="993"/>
                <w:tab w:val="left" w:pos="1276"/>
              </w:tabs>
              <w:spacing w:after="0" w:line="240" w:lineRule="auto"/>
              <w:ind w:left="0"/>
              <w:jc w:val="both"/>
              <w:rPr>
                <w:rFonts w:ascii="Times New Roman" w:hAnsi="Times New Roman"/>
                <w:bCs/>
                <w:sz w:val="24"/>
                <w:szCs w:val="24"/>
                <w:lang w:val="lt-LT"/>
              </w:rPr>
            </w:pPr>
            <w:r>
              <w:rPr>
                <w:rFonts w:ascii="Times New Roman" w:hAnsi="Times New Roman"/>
                <w:bCs/>
                <w:sz w:val="24"/>
                <w:szCs w:val="24"/>
                <w:lang w:val="lt-LT"/>
              </w:rPr>
              <w:t>Įstatymo 9 straipsnio 1</w:t>
            </w:r>
            <w:r w:rsidR="00C45765">
              <w:rPr>
                <w:rFonts w:ascii="Times New Roman" w:hAnsi="Times New Roman"/>
                <w:bCs/>
                <w:sz w:val="24"/>
                <w:szCs w:val="24"/>
                <w:lang w:val="lt-LT"/>
              </w:rPr>
              <w:t xml:space="preserve"> dalis</w:t>
            </w:r>
            <w:r>
              <w:rPr>
                <w:rStyle w:val="FootnoteReference"/>
                <w:rFonts w:ascii="Times New Roman" w:hAnsi="Times New Roman"/>
                <w:bCs/>
                <w:sz w:val="24"/>
                <w:szCs w:val="24"/>
                <w:lang w:val="lt-LT"/>
              </w:rPr>
              <w:footnoteReference w:id="13"/>
            </w:r>
            <w:r>
              <w:rPr>
                <w:rFonts w:ascii="Times New Roman" w:hAnsi="Times New Roman"/>
                <w:bCs/>
                <w:sz w:val="24"/>
                <w:szCs w:val="24"/>
                <w:lang w:val="lt-LT"/>
              </w:rPr>
              <w:t xml:space="preserve"> ir 4</w:t>
            </w:r>
            <w:r w:rsidR="00C45765">
              <w:rPr>
                <w:rFonts w:ascii="Times New Roman" w:hAnsi="Times New Roman"/>
                <w:bCs/>
                <w:sz w:val="24"/>
                <w:szCs w:val="24"/>
                <w:lang w:val="lt-LT"/>
              </w:rPr>
              <w:t xml:space="preserve"> dalis</w:t>
            </w:r>
            <w:r>
              <w:rPr>
                <w:rStyle w:val="FootnoteReference"/>
                <w:rFonts w:ascii="Times New Roman" w:hAnsi="Times New Roman"/>
                <w:bCs/>
                <w:sz w:val="24"/>
                <w:szCs w:val="24"/>
                <w:lang w:val="lt-LT"/>
              </w:rPr>
              <w:footnoteReference w:id="14"/>
            </w:r>
            <w:r w:rsidR="00C45765">
              <w:rPr>
                <w:rFonts w:ascii="Times New Roman" w:hAnsi="Times New Roman"/>
                <w:bCs/>
                <w:sz w:val="24"/>
                <w:szCs w:val="24"/>
                <w:lang w:val="lt-LT"/>
              </w:rPr>
              <w:t xml:space="preserve"> </w:t>
            </w:r>
          </w:p>
        </w:tc>
      </w:tr>
      <w:tr w:rsidR="004A1F53" w:rsidRPr="00BE3276" w:rsidTr="00366BCA">
        <w:trPr>
          <w:trHeight w:val="3492"/>
        </w:trPr>
        <w:tc>
          <w:tcPr>
            <w:tcW w:w="9606" w:type="dxa"/>
            <w:gridSpan w:val="2"/>
            <w:shd w:val="clear" w:color="auto" w:fill="auto"/>
            <w:vAlign w:val="center"/>
          </w:tcPr>
          <w:p w:rsidR="004A1F53" w:rsidRPr="008E32E9" w:rsidRDefault="004A1F53" w:rsidP="00293DCC">
            <w:pPr>
              <w:pStyle w:val="BodyText"/>
              <w:jc w:val="both"/>
              <w:rPr>
                <w:color w:val="000000"/>
                <w:sz w:val="24"/>
                <w:szCs w:val="24"/>
                <w:lang w:val="lt-LT"/>
              </w:rPr>
            </w:pPr>
            <w:r w:rsidRPr="008E32E9">
              <w:rPr>
                <w:sz w:val="24"/>
                <w:szCs w:val="24"/>
                <w:lang w:val="lt-LT"/>
              </w:rPr>
              <w:t xml:space="preserve">Perkančioji organizacija </w:t>
            </w:r>
            <w:r w:rsidRPr="008E32E9">
              <w:rPr>
                <w:bCs/>
                <w:sz w:val="24"/>
                <w:szCs w:val="24"/>
                <w:lang w:val="lt-LT"/>
              </w:rPr>
              <w:t>prieš Pirkimo pradžią nenustatė numatomos sudaryti Pirkimo sutarties vertės.</w:t>
            </w:r>
          </w:p>
          <w:p w:rsidR="004A1F53" w:rsidRPr="00587F24" w:rsidRDefault="00293DCC" w:rsidP="00293DCC">
            <w:pPr>
              <w:tabs>
                <w:tab w:val="left" w:pos="0"/>
                <w:tab w:val="left" w:pos="426"/>
                <w:tab w:val="left" w:pos="993"/>
              </w:tabs>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w:t>
            </w:r>
            <w:r w:rsidR="004A1F53" w:rsidRPr="00587F24">
              <w:rPr>
                <w:rFonts w:ascii="Times New Roman" w:eastAsia="Calibri" w:hAnsi="Times New Roman" w:cs="Times New Roman"/>
                <w:sz w:val="24"/>
                <w:szCs w:val="24"/>
                <w:lang w:val="lt-LT"/>
              </w:rPr>
              <w:t xml:space="preserve">erkančioji organizacija privalo prieš kiekvieną planuojamą/pradedamą vykdyti viešąjį pirkimą nusimatyti preliminarią pirkimo vertę, atsižvelgiant į tai, kad nustačius pirkimo vertę, pirkimai </w:t>
            </w:r>
            <w:r w:rsidR="0052028E">
              <w:rPr>
                <w:rFonts w:ascii="Times New Roman" w:eastAsia="Calibri" w:hAnsi="Times New Roman" w:cs="Times New Roman"/>
                <w:sz w:val="24"/>
                <w:szCs w:val="24"/>
                <w:lang w:val="lt-LT"/>
              </w:rPr>
              <w:t>turi</w:t>
            </w:r>
            <w:r w:rsidR="004A1F53" w:rsidRPr="00587F24">
              <w:rPr>
                <w:rFonts w:ascii="Times New Roman" w:eastAsia="Calibri" w:hAnsi="Times New Roman" w:cs="Times New Roman"/>
                <w:sz w:val="24"/>
                <w:szCs w:val="24"/>
                <w:lang w:val="lt-LT"/>
              </w:rPr>
              <w:t xml:space="preserve"> būti atliekami pagal atitinkamas procedūras (pagal supaprastintų pirkimų taisykles, gali būti taikomos mažos vertės pirkimams numatytos procedūros ir pan.) ir kt. Be to, perkančioji organizacija nenusimačiusi preliminarių pirkimų verčių, negali užtikrinti Įstatymo 3 straipsnio </w:t>
            </w:r>
            <w:r>
              <w:rPr>
                <w:rFonts w:ascii="Times New Roman" w:eastAsia="Calibri" w:hAnsi="Times New Roman" w:cs="Times New Roman"/>
                <w:sz w:val="24"/>
                <w:szCs w:val="24"/>
                <w:lang w:val="lt-LT"/>
              </w:rPr>
              <w:t xml:space="preserve">         </w:t>
            </w:r>
            <w:r w:rsidR="004A1F53" w:rsidRPr="00587F24">
              <w:rPr>
                <w:rFonts w:ascii="Times New Roman" w:eastAsia="Calibri" w:hAnsi="Times New Roman" w:cs="Times New Roman"/>
                <w:sz w:val="24"/>
                <w:szCs w:val="24"/>
                <w:lang w:val="lt-LT"/>
              </w:rPr>
              <w:t>2 dalyje įtvirtinto pirkimų tikslo – sudaryti sutartį, racionaliai naudojant tam skirtas lėšas, atsižvelgiant į tai, kad vertindama pasiūlymus negalės priimti pagrįstų sprendimų, ar tiekėjų pasiūlytos kainos nėra per didelės, ar neįprastai mažos.</w:t>
            </w:r>
          </w:p>
          <w:p w:rsidR="004A1F53" w:rsidRPr="00BD45CA" w:rsidRDefault="004A1F53" w:rsidP="00293DCC">
            <w:pPr>
              <w:pStyle w:val="ListParagraph"/>
              <w:tabs>
                <w:tab w:val="left" w:pos="851"/>
              </w:tabs>
              <w:spacing w:after="0" w:line="240" w:lineRule="auto"/>
              <w:ind w:left="0" w:firstLine="851"/>
              <w:jc w:val="both"/>
              <w:rPr>
                <w:rFonts w:ascii="Times New Roman" w:hAnsi="Times New Roman"/>
                <w:bCs/>
                <w:sz w:val="24"/>
                <w:szCs w:val="24"/>
                <w:lang w:val="lt-LT"/>
              </w:rPr>
            </w:pPr>
          </w:p>
        </w:tc>
      </w:tr>
    </w:tbl>
    <w:tbl>
      <w:tblPr>
        <w:tblStyle w:val="TableGrid"/>
        <w:tblW w:w="9606" w:type="dxa"/>
        <w:tblLook w:val="04A0"/>
      </w:tblPr>
      <w:tblGrid>
        <w:gridCol w:w="534"/>
        <w:gridCol w:w="222"/>
        <w:gridCol w:w="8850"/>
      </w:tblGrid>
      <w:tr w:rsidR="004A1F53" w:rsidRPr="00BE3276" w:rsidTr="00366BCA">
        <w:tc>
          <w:tcPr>
            <w:tcW w:w="756" w:type="dxa"/>
            <w:gridSpan w:val="2"/>
          </w:tcPr>
          <w:p w:rsidR="004A1F53" w:rsidRPr="004A1F53" w:rsidRDefault="004A1F53" w:rsidP="004A1F53">
            <w:pPr>
              <w:spacing w:after="0"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p>
        </w:tc>
        <w:tc>
          <w:tcPr>
            <w:tcW w:w="8850" w:type="dxa"/>
          </w:tcPr>
          <w:p w:rsidR="004A1F53" w:rsidRPr="001F51DF" w:rsidRDefault="009E722C" w:rsidP="0065117C">
            <w:pPr>
              <w:spacing w:line="240" w:lineRule="auto"/>
              <w:jc w:val="both"/>
              <w:rPr>
                <w:rFonts w:ascii="Times New Roman" w:hAnsi="Times New Roman" w:cs="Times New Roman"/>
                <w:sz w:val="24"/>
                <w:szCs w:val="24"/>
                <w:lang w:val="lt-LT" w:eastAsia="lt-LT"/>
              </w:rPr>
            </w:pPr>
            <w:r>
              <w:rPr>
                <w:rFonts w:ascii="Times New Roman" w:hAnsi="Times New Roman"/>
                <w:bCs/>
                <w:sz w:val="24"/>
                <w:szCs w:val="24"/>
                <w:lang w:val="lt-LT"/>
              </w:rPr>
              <w:t>Taisyklių 57 punktas</w:t>
            </w:r>
            <w:r>
              <w:rPr>
                <w:rStyle w:val="FootnoteReference"/>
                <w:rFonts w:ascii="Times New Roman" w:hAnsi="Times New Roman"/>
                <w:bCs/>
                <w:sz w:val="24"/>
                <w:szCs w:val="24"/>
                <w:lang w:val="lt-LT"/>
              </w:rPr>
              <w:footnoteReference w:id="15"/>
            </w:r>
            <w:r>
              <w:rPr>
                <w:rFonts w:ascii="Times New Roman" w:hAnsi="Times New Roman"/>
                <w:bCs/>
                <w:sz w:val="24"/>
                <w:szCs w:val="24"/>
                <w:lang w:val="lt-LT"/>
              </w:rPr>
              <w:t xml:space="preserve">, </w:t>
            </w:r>
            <w:r w:rsidR="006D6E2D">
              <w:rPr>
                <w:rFonts w:ascii="Times New Roman" w:hAnsi="Times New Roman"/>
                <w:bCs/>
                <w:sz w:val="24"/>
                <w:szCs w:val="24"/>
                <w:lang w:val="lt-LT"/>
              </w:rPr>
              <w:t>Taisyklių 96 punktas</w:t>
            </w:r>
            <w:r w:rsidR="006D6E2D">
              <w:rPr>
                <w:rStyle w:val="FootnoteReference"/>
                <w:rFonts w:ascii="Times New Roman" w:hAnsi="Times New Roman"/>
                <w:bCs/>
                <w:sz w:val="24"/>
                <w:szCs w:val="24"/>
                <w:lang w:val="lt-LT"/>
              </w:rPr>
              <w:footnoteReference w:id="16"/>
            </w:r>
            <w:r w:rsidR="006D6E2D">
              <w:rPr>
                <w:rFonts w:ascii="Times New Roman" w:hAnsi="Times New Roman"/>
                <w:bCs/>
                <w:sz w:val="24"/>
                <w:szCs w:val="24"/>
                <w:lang w:val="lt-LT"/>
              </w:rPr>
              <w:t xml:space="preserve">, </w:t>
            </w:r>
            <w:r>
              <w:rPr>
                <w:rFonts w:ascii="Times New Roman" w:hAnsi="Times New Roman"/>
                <w:bCs/>
                <w:sz w:val="24"/>
                <w:szCs w:val="24"/>
                <w:lang w:val="lt-LT"/>
              </w:rPr>
              <w:t>Įstatymo 32 straipsnio 2 dalis</w:t>
            </w:r>
            <w:r>
              <w:rPr>
                <w:rStyle w:val="FootnoteReference"/>
                <w:rFonts w:ascii="Times New Roman" w:hAnsi="Times New Roman"/>
                <w:bCs/>
                <w:sz w:val="24"/>
                <w:szCs w:val="24"/>
                <w:lang w:val="lt-LT"/>
              </w:rPr>
              <w:footnoteReference w:id="17"/>
            </w:r>
            <w:r>
              <w:rPr>
                <w:rFonts w:ascii="Times New Roman" w:hAnsi="Times New Roman"/>
                <w:bCs/>
                <w:sz w:val="24"/>
                <w:szCs w:val="24"/>
                <w:lang w:val="lt-LT"/>
              </w:rPr>
              <w:t>, 87 straipsnio 1 dalis</w:t>
            </w:r>
            <w:r>
              <w:rPr>
                <w:rStyle w:val="FootnoteReference"/>
                <w:rFonts w:ascii="Times New Roman" w:hAnsi="Times New Roman"/>
                <w:bCs/>
                <w:sz w:val="24"/>
                <w:szCs w:val="24"/>
                <w:lang w:val="lt-LT"/>
              </w:rPr>
              <w:footnoteReference w:id="18"/>
            </w:r>
            <w:r>
              <w:rPr>
                <w:rFonts w:ascii="Times New Roman" w:hAnsi="Times New Roman"/>
                <w:bCs/>
                <w:sz w:val="24"/>
                <w:szCs w:val="24"/>
                <w:lang w:val="lt-LT"/>
              </w:rPr>
              <w:t>, 85 straipsnio 2 dalis</w:t>
            </w:r>
            <w:r>
              <w:rPr>
                <w:rStyle w:val="FootnoteReference"/>
                <w:rFonts w:ascii="Times New Roman" w:hAnsi="Times New Roman"/>
                <w:bCs/>
                <w:sz w:val="24"/>
                <w:szCs w:val="24"/>
                <w:lang w:val="lt-LT"/>
              </w:rPr>
              <w:footnoteReference w:id="19"/>
            </w:r>
            <w:r>
              <w:rPr>
                <w:rFonts w:ascii="Times New Roman" w:hAnsi="Times New Roman"/>
                <w:bCs/>
                <w:sz w:val="24"/>
                <w:szCs w:val="24"/>
                <w:lang w:val="lt-LT"/>
              </w:rPr>
              <w:t>,</w:t>
            </w:r>
          </w:p>
        </w:tc>
      </w:tr>
      <w:tr w:rsidR="004A1F53" w:rsidRPr="00BE3276" w:rsidTr="00366BCA">
        <w:tc>
          <w:tcPr>
            <w:tcW w:w="9606" w:type="dxa"/>
            <w:gridSpan w:val="3"/>
          </w:tcPr>
          <w:p w:rsidR="004A1F53" w:rsidRDefault="004A1F53" w:rsidP="00AA3442">
            <w:pPr>
              <w:pStyle w:val="ListParagraph"/>
              <w:tabs>
                <w:tab w:val="left" w:pos="851"/>
              </w:tabs>
              <w:spacing w:after="0" w:line="240" w:lineRule="auto"/>
              <w:ind w:left="0"/>
              <w:jc w:val="both"/>
              <w:rPr>
                <w:rFonts w:ascii="Times New Roman" w:hAnsi="Times New Roman"/>
                <w:bCs/>
                <w:sz w:val="24"/>
                <w:szCs w:val="24"/>
                <w:lang w:val="lt-LT"/>
              </w:rPr>
            </w:pPr>
            <w:r w:rsidRPr="009F1224">
              <w:rPr>
                <w:rFonts w:ascii="Times New Roman" w:hAnsi="Times New Roman"/>
                <w:bCs/>
                <w:sz w:val="24"/>
                <w:szCs w:val="24"/>
                <w:lang w:val="lt-LT"/>
              </w:rPr>
              <w:t xml:space="preserve">Pirkimo </w:t>
            </w:r>
            <w:r w:rsidR="00AA3442">
              <w:rPr>
                <w:rFonts w:ascii="Times New Roman" w:hAnsi="Times New Roman"/>
                <w:bCs/>
                <w:sz w:val="24"/>
                <w:szCs w:val="24"/>
                <w:lang w:val="lt-LT"/>
              </w:rPr>
              <w:t>Nr. 2</w:t>
            </w:r>
            <w:r w:rsidR="003B42BA">
              <w:rPr>
                <w:rFonts w:ascii="Times New Roman" w:hAnsi="Times New Roman"/>
                <w:bCs/>
                <w:sz w:val="24"/>
                <w:szCs w:val="24"/>
                <w:lang w:val="lt-LT"/>
              </w:rPr>
              <w:t xml:space="preserve"> </w:t>
            </w:r>
            <w:r>
              <w:rPr>
                <w:rFonts w:ascii="Times New Roman" w:hAnsi="Times New Roman"/>
                <w:bCs/>
                <w:sz w:val="24"/>
                <w:szCs w:val="24"/>
                <w:lang w:val="lt-LT"/>
              </w:rPr>
              <w:t>Kvietimo pateikti pasiūlymą</w:t>
            </w:r>
            <w:r w:rsidR="00293DCC">
              <w:rPr>
                <w:rFonts w:ascii="Times New Roman" w:hAnsi="Times New Roman"/>
                <w:bCs/>
                <w:sz w:val="24"/>
                <w:szCs w:val="24"/>
                <w:lang w:val="lt-LT"/>
              </w:rPr>
              <w:t>,</w:t>
            </w:r>
            <w:r>
              <w:rPr>
                <w:rFonts w:ascii="Times New Roman" w:hAnsi="Times New Roman"/>
                <w:bCs/>
                <w:sz w:val="24"/>
                <w:szCs w:val="24"/>
                <w:lang w:val="lt-LT"/>
              </w:rPr>
              <w:t xml:space="preserve"> </w:t>
            </w:r>
            <w:r w:rsidR="00293DCC">
              <w:rPr>
                <w:rFonts w:ascii="Times New Roman" w:hAnsi="Times New Roman"/>
                <w:bCs/>
                <w:sz w:val="24"/>
                <w:szCs w:val="24"/>
                <w:lang w:val="lt-LT"/>
              </w:rPr>
              <w:t xml:space="preserve">2016-03-25 pasirašyto Viešųjų pirkimų ir teisės vadovo, </w:t>
            </w:r>
            <w:r>
              <w:rPr>
                <w:rFonts w:ascii="Times New Roman" w:hAnsi="Times New Roman"/>
                <w:bCs/>
                <w:sz w:val="24"/>
                <w:szCs w:val="24"/>
                <w:lang w:val="lt-LT"/>
              </w:rPr>
              <w:t>2 priede „UAB „Trakų paslaugos“ veiklos ir valdymo audito atlikimo paslaugos specifikacija“ 5 eilutėje nustatytas kvalifikacinis reikalavimas tiekėjui – „audito įmonė turi atlikinėti veiklos auditą ne mažiau nei paskutinius 5 metus ir būtų atlikusi veikslo auditą ne mažiau nei dvylikoje įmonių (su pirkimo dokumentais turi būti pateikti tai patvirtinantys dokumentai“.</w:t>
            </w:r>
          </w:p>
          <w:p w:rsidR="009E722C" w:rsidRDefault="009E722C" w:rsidP="009E722C">
            <w:pPr>
              <w:pStyle w:val="ListParagraph"/>
              <w:tabs>
                <w:tab w:val="left" w:pos="851"/>
              </w:tabs>
              <w:spacing w:after="0" w:line="240" w:lineRule="auto"/>
              <w:ind w:left="0" w:firstLine="851"/>
              <w:jc w:val="both"/>
              <w:rPr>
                <w:rFonts w:ascii="Times New Roman" w:hAnsi="Times New Roman"/>
                <w:bCs/>
                <w:sz w:val="24"/>
                <w:szCs w:val="24"/>
                <w:lang w:val="lt-LT"/>
              </w:rPr>
            </w:pPr>
            <w:r>
              <w:rPr>
                <w:rFonts w:ascii="Times New Roman" w:hAnsi="Times New Roman"/>
                <w:bCs/>
                <w:sz w:val="24"/>
                <w:szCs w:val="24"/>
                <w:lang w:val="lt-LT"/>
              </w:rPr>
              <w:t>Nustatytas kvalifikacijos reikalavimas dirbtinai riboja konkurenciją, yra neproporcingas Pirkimo objektui, kurį sudaro viena audito išvada, pažeidžia lygiateisiškumo, proporcingumo, nediskriminavimo ir skaidrumo principus.</w:t>
            </w:r>
          </w:p>
          <w:p w:rsidR="009E722C" w:rsidRDefault="009E722C" w:rsidP="009E722C">
            <w:pPr>
              <w:pStyle w:val="ListParagraph"/>
              <w:tabs>
                <w:tab w:val="left" w:pos="851"/>
              </w:tabs>
              <w:spacing w:after="0" w:line="24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Tarnyba pažymi, kad kiekybinė audito sutarčių išraiška neįrodo, kad tiekėjo kvalifikacija tenkins perkančiosios organizacijos lūkesčius, t. y. nustatytas atliktų auditų skaičius, </w:t>
            </w:r>
            <w:r>
              <w:rPr>
                <w:rFonts w:ascii="Times New Roman" w:hAnsi="Times New Roman"/>
                <w:bCs/>
                <w:sz w:val="24"/>
                <w:szCs w:val="24"/>
                <w:lang w:val="lt-LT"/>
              </w:rPr>
              <w:lastRenderedPageBreak/>
              <w:t>neįrodo tiekėjo gebėjimo atlikti kokybišką auditą bei pasiekti tą rezultatą, kurio tikisi perkančioji organizacija.</w:t>
            </w:r>
          </w:p>
          <w:p w:rsidR="004A1F53" w:rsidRPr="001F51DF" w:rsidRDefault="004A1F53" w:rsidP="0065117C">
            <w:pPr>
              <w:pStyle w:val="ListParagraph"/>
              <w:ind w:left="360"/>
              <w:jc w:val="both"/>
              <w:rPr>
                <w:rFonts w:ascii="Times New Roman" w:hAnsi="Times New Roman" w:cs="Times New Roman"/>
                <w:i/>
                <w:sz w:val="24"/>
                <w:szCs w:val="24"/>
                <w:lang w:val="lt-LT"/>
              </w:rPr>
            </w:pPr>
          </w:p>
        </w:tc>
      </w:tr>
      <w:tr w:rsidR="00917CBF" w:rsidRPr="00BE3276" w:rsidTr="00366BCA">
        <w:tc>
          <w:tcPr>
            <w:tcW w:w="534" w:type="dxa"/>
          </w:tcPr>
          <w:p w:rsidR="00917CBF" w:rsidRPr="00143243" w:rsidRDefault="00917CBF" w:rsidP="00917CBF">
            <w:pPr>
              <w:pStyle w:val="ListParagraph"/>
              <w:ind w:left="360" w:hanging="3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p>
        </w:tc>
        <w:tc>
          <w:tcPr>
            <w:tcW w:w="9072" w:type="dxa"/>
            <w:gridSpan w:val="2"/>
          </w:tcPr>
          <w:p w:rsidR="00917CBF" w:rsidRPr="00557F01" w:rsidRDefault="005A74AF" w:rsidP="006D6E2D">
            <w:pPr>
              <w:pStyle w:val="ListParagraph"/>
              <w:ind w:left="30"/>
              <w:jc w:val="both"/>
              <w:rPr>
                <w:rFonts w:ascii="Times New Roman" w:hAnsi="Times New Roman" w:cs="Times New Roman"/>
                <w:sz w:val="24"/>
                <w:szCs w:val="24"/>
                <w:lang w:val="lt-LT"/>
              </w:rPr>
            </w:pPr>
            <w:r>
              <w:rPr>
                <w:rFonts w:ascii="Times New Roman" w:hAnsi="Times New Roman" w:cs="Times New Roman"/>
                <w:sz w:val="24"/>
                <w:szCs w:val="24"/>
                <w:lang w:val="lt-LT"/>
              </w:rPr>
              <w:t>Taisyklių 5</w:t>
            </w:r>
            <w:r w:rsidR="006D6E2D">
              <w:rPr>
                <w:rFonts w:ascii="Times New Roman" w:hAnsi="Times New Roman" w:cs="Times New Roman"/>
                <w:sz w:val="24"/>
                <w:szCs w:val="24"/>
                <w:lang w:val="lt-LT"/>
              </w:rPr>
              <w:t>8.6</w:t>
            </w:r>
            <w:r>
              <w:rPr>
                <w:rFonts w:ascii="Times New Roman" w:hAnsi="Times New Roman" w:cs="Times New Roman"/>
                <w:sz w:val="24"/>
                <w:szCs w:val="24"/>
                <w:lang w:val="lt-LT"/>
              </w:rPr>
              <w:t xml:space="preserve"> punktas</w:t>
            </w:r>
            <w:r w:rsidR="006D6E2D">
              <w:rPr>
                <w:rFonts w:ascii="Times New Roman" w:hAnsi="Times New Roman" w:cs="Times New Roman"/>
                <w:sz w:val="24"/>
                <w:szCs w:val="24"/>
                <w:lang w:val="lt-LT"/>
              </w:rPr>
              <w:t>,</w:t>
            </w:r>
            <w:r>
              <w:rPr>
                <w:rStyle w:val="FootnoteReference"/>
                <w:rFonts w:ascii="Times New Roman" w:hAnsi="Times New Roman" w:cs="Times New Roman"/>
                <w:sz w:val="24"/>
                <w:szCs w:val="24"/>
                <w:lang w:val="lt-LT"/>
              </w:rPr>
              <w:footnoteReference w:id="20"/>
            </w:r>
            <w:r>
              <w:rPr>
                <w:rFonts w:ascii="Times New Roman" w:hAnsi="Times New Roman" w:cs="Times New Roman"/>
                <w:sz w:val="24"/>
                <w:szCs w:val="24"/>
                <w:lang w:val="lt-LT"/>
              </w:rPr>
              <w:t xml:space="preserve"> </w:t>
            </w:r>
            <w:r w:rsidR="006D6E2D">
              <w:rPr>
                <w:rFonts w:ascii="Times New Roman" w:hAnsi="Times New Roman" w:cs="Times New Roman"/>
                <w:sz w:val="24"/>
                <w:szCs w:val="24"/>
                <w:lang w:val="lt-LT"/>
              </w:rPr>
              <w:t>Taisyklių 5</w:t>
            </w:r>
            <w:r w:rsidR="006D6E2D">
              <w:rPr>
                <w:rStyle w:val="FootnoteReference"/>
                <w:rFonts w:ascii="Times New Roman" w:hAnsi="Times New Roman" w:cs="Times New Roman"/>
                <w:sz w:val="24"/>
                <w:szCs w:val="24"/>
                <w:lang w:val="lt-LT"/>
              </w:rPr>
              <w:footnoteReference w:id="21"/>
            </w:r>
            <w:r w:rsidR="006D6E2D">
              <w:rPr>
                <w:rFonts w:ascii="Times New Roman" w:hAnsi="Times New Roman" w:cs="Times New Roman"/>
                <w:sz w:val="24"/>
                <w:szCs w:val="24"/>
                <w:lang w:val="lt-LT"/>
              </w:rPr>
              <w:t xml:space="preserve"> punktas, </w:t>
            </w:r>
            <w:r w:rsidR="0023018D">
              <w:rPr>
                <w:rFonts w:ascii="Times New Roman" w:hAnsi="Times New Roman" w:cs="Times New Roman"/>
                <w:sz w:val="24"/>
                <w:szCs w:val="24"/>
                <w:lang w:val="lt-LT"/>
              </w:rPr>
              <w:t>Įstatymo 3</w:t>
            </w:r>
            <w:r>
              <w:rPr>
                <w:rFonts w:ascii="Times New Roman" w:hAnsi="Times New Roman" w:cs="Times New Roman"/>
                <w:sz w:val="24"/>
                <w:szCs w:val="24"/>
                <w:lang w:val="lt-LT"/>
              </w:rPr>
              <w:t xml:space="preserve">2 straipsnio </w:t>
            </w:r>
            <w:r w:rsidR="006D6E2D">
              <w:rPr>
                <w:rFonts w:ascii="Times New Roman" w:hAnsi="Times New Roman" w:cs="Times New Roman"/>
                <w:sz w:val="24"/>
                <w:szCs w:val="24"/>
                <w:lang w:val="lt-LT"/>
              </w:rPr>
              <w:t>1</w:t>
            </w:r>
            <w:r w:rsidR="0023018D">
              <w:rPr>
                <w:rFonts w:ascii="Times New Roman" w:hAnsi="Times New Roman" w:cs="Times New Roman"/>
                <w:sz w:val="24"/>
                <w:szCs w:val="24"/>
                <w:lang w:val="lt-LT"/>
              </w:rPr>
              <w:t xml:space="preserve"> </w:t>
            </w:r>
            <w:r>
              <w:rPr>
                <w:rFonts w:ascii="Times New Roman" w:hAnsi="Times New Roman" w:cs="Times New Roman"/>
                <w:sz w:val="24"/>
                <w:szCs w:val="24"/>
                <w:lang w:val="lt-LT"/>
              </w:rPr>
              <w:t>dalis</w:t>
            </w:r>
            <w:r w:rsidR="0023018D">
              <w:rPr>
                <w:rStyle w:val="FootnoteReference"/>
                <w:rFonts w:ascii="Times New Roman" w:hAnsi="Times New Roman" w:cs="Times New Roman"/>
                <w:sz w:val="24"/>
                <w:szCs w:val="24"/>
                <w:lang w:val="lt-LT"/>
              </w:rPr>
              <w:footnoteReference w:id="22"/>
            </w:r>
          </w:p>
        </w:tc>
      </w:tr>
      <w:tr w:rsidR="004A1F53" w:rsidRPr="00BE3276" w:rsidTr="00366BCA">
        <w:tc>
          <w:tcPr>
            <w:tcW w:w="9606" w:type="dxa"/>
            <w:gridSpan w:val="3"/>
          </w:tcPr>
          <w:p w:rsidR="004A1F53" w:rsidRPr="00DC0C9D" w:rsidRDefault="004A1F53" w:rsidP="00E86F3A">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Pirkimų organizatorius neįsitikino, kad tiekėjo, pasiūliusio mažiausią kainą ir pripažinto laimėjusiu</w:t>
            </w:r>
            <w:r w:rsidR="000368A2">
              <w:rPr>
                <w:rFonts w:ascii="Times New Roman" w:hAnsi="Times New Roman" w:cs="Times New Roman"/>
                <w:sz w:val="24"/>
                <w:szCs w:val="24"/>
                <w:lang w:val="lt-LT"/>
              </w:rPr>
              <w:t xml:space="preserve"> (2016-03-29 Tiekėjų apklausos pažyma Nr. 16-10)</w:t>
            </w:r>
            <w:r>
              <w:rPr>
                <w:rFonts w:ascii="Times New Roman" w:hAnsi="Times New Roman" w:cs="Times New Roman"/>
                <w:sz w:val="24"/>
                <w:szCs w:val="24"/>
                <w:lang w:val="lt-LT"/>
              </w:rPr>
              <w:t>, kvalifikacija atitinka Kvietime nustatytus kvalifikacijos reikalavimus. Tiekėjas pateikė tik užpildytą techninės specifikacijos lentelę, prie kiekvienos eilutės pažymėdamas „taip“ bei pateikė savo rašytą patvirtinimą, kad atliko daugiau nei dvylika veiklos auditų įvairia veikla besiverčiančiose bendrovėse, bei nurodė, kad turi teisminės patirties audito ir mokesčių teisės srityje, tačiau nepateikė tai įrodančių dokumentų</w:t>
            </w:r>
            <w:r w:rsidR="009E722C">
              <w:rPr>
                <w:rFonts w:ascii="Times New Roman" w:hAnsi="Times New Roman" w:cs="Times New Roman"/>
                <w:sz w:val="24"/>
                <w:szCs w:val="24"/>
                <w:lang w:val="lt-LT"/>
              </w:rPr>
              <w:t xml:space="preserve"> (Tarnybai nepateikti minėti dokumentai)</w:t>
            </w:r>
            <w:r>
              <w:rPr>
                <w:rFonts w:ascii="Times New Roman" w:hAnsi="Times New Roman" w:cs="Times New Roman"/>
                <w:sz w:val="24"/>
                <w:szCs w:val="24"/>
                <w:lang w:val="lt-LT"/>
              </w:rPr>
              <w:t>.</w:t>
            </w:r>
          </w:p>
        </w:tc>
      </w:tr>
      <w:tr w:rsidR="008E686C" w:rsidRPr="00BE3276" w:rsidTr="00366BCA">
        <w:tc>
          <w:tcPr>
            <w:tcW w:w="534" w:type="dxa"/>
          </w:tcPr>
          <w:p w:rsidR="008E686C" w:rsidRPr="00143243" w:rsidRDefault="0099238C" w:rsidP="00E86F3A">
            <w:pPr>
              <w:pStyle w:val="ListParagraph"/>
              <w:ind w:left="360" w:hanging="36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8E686C">
              <w:rPr>
                <w:rFonts w:ascii="Times New Roman" w:hAnsi="Times New Roman" w:cs="Times New Roman"/>
                <w:sz w:val="24"/>
                <w:szCs w:val="24"/>
                <w:lang w:val="lt-LT"/>
              </w:rPr>
              <w:t>.</w:t>
            </w:r>
          </w:p>
        </w:tc>
        <w:tc>
          <w:tcPr>
            <w:tcW w:w="9072" w:type="dxa"/>
            <w:gridSpan w:val="2"/>
          </w:tcPr>
          <w:p w:rsidR="008E686C" w:rsidRPr="004A1F53" w:rsidRDefault="0047572B" w:rsidP="00E86F3A">
            <w:pPr>
              <w:pStyle w:val="ListParagraph"/>
              <w:ind w:left="3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Taisyklių </w:t>
            </w:r>
            <w:r w:rsidR="008E686C">
              <w:rPr>
                <w:rFonts w:ascii="Times New Roman" w:hAnsi="Times New Roman" w:cs="Times New Roman"/>
                <w:sz w:val="24"/>
                <w:szCs w:val="24"/>
                <w:lang w:val="lt-LT"/>
              </w:rPr>
              <w:t>5</w:t>
            </w:r>
            <w:r w:rsidR="008E686C">
              <w:rPr>
                <w:rStyle w:val="FootnoteReference"/>
                <w:rFonts w:ascii="Times New Roman" w:hAnsi="Times New Roman" w:cs="Times New Roman"/>
                <w:sz w:val="24"/>
                <w:szCs w:val="24"/>
                <w:lang w:val="lt-LT"/>
              </w:rPr>
              <w:footnoteReference w:id="23"/>
            </w:r>
            <w:r w:rsidR="008E686C">
              <w:rPr>
                <w:rFonts w:ascii="Times New Roman" w:hAnsi="Times New Roman" w:cs="Times New Roman"/>
                <w:sz w:val="24"/>
                <w:szCs w:val="24"/>
                <w:lang w:val="lt-LT"/>
              </w:rPr>
              <w:t xml:space="preserve"> punkt</w:t>
            </w:r>
            <w:r>
              <w:rPr>
                <w:rFonts w:ascii="Times New Roman" w:hAnsi="Times New Roman" w:cs="Times New Roman"/>
                <w:sz w:val="24"/>
                <w:szCs w:val="24"/>
                <w:lang w:val="lt-LT"/>
              </w:rPr>
              <w:t>as, Įstatymo 3 straipsnio 2</w:t>
            </w:r>
            <w:r w:rsidR="008E686C">
              <w:rPr>
                <w:rFonts w:ascii="Times New Roman" w:hAnsi="Times New Roman" w:cs="Times New Roman"/>
                <w:sz w:val="24"/>
                <w:szCs w:val="24"/>
                <w:lang w:val="lt-LT"/>
              </w:rPr>
              <w:t xml:space="preserve"> punktas</w:t>
            </w:r>
            <w:r w:rsidR="008E686C">
              <w:rPr>
                <w:rStyle w:val="FootnoteReference"/>
                <w:rFonts w:ascii="Times New Roman" w:hAnsi="Times New Roman" w:cs="Times New Roman"/>
                <w:sz w:val="24"/>
                <w:szCs w:val="24"/>
                <w:lang w:val="lt-LT"/>
              </w:rPr>
              <w:footnoteReference w:id="24"/>
            </w:r>
          </w:p>
        </w:tc>
      </w:tr>
      <w:tr w:rsidR="008E686C" w:rsidRPr="00BE3276" w:rsidTr="00366BCA">
        <w:tc>
          <w:tcPr>
            <w:tcW w:w="9606" w:type="dxa"/>
            <w:gridSpan w:val="3"/>
          </w:tcPr>
          <w:p w:rsidR="008E686C" w:rsidRDefault="008E686C" w:rsidP="00E86F3A">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Sutarties Nr. 8/2016</w:t>
            </w:r>
            <w:r w:rsidR="00BC735C">
              <w:rPr>
                <w:rFonts w:ascii="Times New Roman" w:hAnsi="Times New Roman" w:cs="Times New Roman"/>
                <w:sz w:val="24"/>
                <w:szCs w:val="24"/>
                <w:lang w:val="lt-LT"/>
              </w:rPr>
              <w:t>,</w:t>
            </w:r>
            <w:r w:rsidR="000368A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0368A2">
              <w:rPr>
                <w:rFonts w:ascii="Times New Roman" w:hAnsi="Times New Roman" w:cs="Times New Roman"/>
                <w:sz w:val="24"/>
                <w:szCs w:val="24"/>
                <w:lang w:val="lt-LT"/>
              </w:rPr>
              <w:t xml:space="preserve">2016-03-30 </w:t>
            </w:r>
            <w:r>
              <w:rPr>
                <w:rFonts w:ascii="Times New Roman" w:hAnsi="Times New Roman" w:cs="Times New Roman"/>
                <w:sz w:val="24"/>
                <w:szCs w:val="24"/>
                <w:lang w:val="lt-LT"/>
              </w:rPr>
              <w:t>sudarytos su UAB „Auditoriai ir konsultantai“ ( toliau – Sutartis) 6.6 punkto nuostata, kad „jei Užsakovas pageidaus, kad Vykdytojas suteiktų papildomas paslaugas, dėl tokio darbo apimties ir užmokesčio bus tariamasi iš anksto, ir sąskaitos už tokį darbą bus pateikiamos atskirai“, 6.7 punkto „&lt;...&gt; Vykdytojo veiksmai bus vertinami kaip papildomas darbas, viršijantis audito darbo apimtį, nustatytą šia sutartimi, ir Užsakovas privalės atlyginti Vykdyt</w:t>
            </w:r>
            <w:r w:rsidR="0047572B">
              <w:rPr>
                <w:rFonts w:ascii="Times New Roman" w:hAnsi="Times New Roman" w:cs="Times New Roman"/>
                <w:sz w:val="24"/>
                <w:szCs w:val="24"/>
                <w:lang w:val="lt-LT"/>
              </w:rPr>
              <w:t xml:space="preserve">ojui už </w:t>
            </w:r>
            <w:r>
              <w:rPr>
                <w:rFonts w:ascii="Times New Roman" w:hAnsi="Times New Roman" w:cs="Times New Roman"/>
                <w:sz w:val="24"/>
                <w:szCs w:val="24"/>
                <w:lang w:val="lt-LT"/>
              </w:rPr>
              <w:t xml:space="preserve">tokius papildomus darbus pagal papildomą susitarimą“ </w:t>
            </w:r>
            <w:r w:rsidR="0047572B">
              <w:rPr>
                <w:rFonts w:ascii="Times New Roman" w:hAnsi="Times New Roman" w:cs="Times New Roman"/>
                <w:sz w:val="24"/>
                <w:szCs w:val="24"/>
                <w:lang w:val="lt-LT"/>
              </w:rPr>
              <w:t>neužtikrina racionalaus lėšų naudojimo bei skaidrumo principo laikymosi, nes papildomos paslaugos ar darbai nenurodyti techninėje specifikacijoje, nenustatyta jų kaina, kurią kiekvienas tiekėjas savo pasiūlyme gali nurodyti skirtingas, ir tai gali turėti įtako</w:t>
            </w:r>
            <w:r w:rsidR="006D6E2D">
              <w:rPr>
                <w:rFonts w:ascii="Times New Roman" w:hAnsi="Times New Roman" w:cs="Times New Roman"/>
                <w:sz w:val="24"/>
                <w:szCs w:val="24"/>
                <w:lang w:val="lt-LT"/>
              </w:rPr>
              <w:t>s nustatant laimėjusį pasiūlymą.</w:t>
            </w:r>
          </w:p>
          <w:p w:rsidR="008E686C" w:rsidRDefault="0047572B" w:rsidP="00E86F3A">
            <w:pPr>
              <w:pStyle w:val="ListParagraph"/>
              <w:ind w:left="0" w:firstLine="567"/>
              <w:jc w:val="both"/>
              <w:rPr>
                <w:rFonts w:ascii="Times New Roman" w:hAnsi="Times New Roman" w:cs="Times New Roman"/>
                <w:sz w:val="24"/>
                <w:szCs w:val="24"/>
                <w:lang w:val="lt-LT"/>
              </w:rPr>
            </w:pPr>
            <w:r w:rsidRPr="003F205A">
              <w:rPr>
                <w:rFonts w:ascii="Times New Roman" w:hAnsi="Times New Roman" w:cs="Times New Roman"/>
                <w:sz w:val="24"/>
                <w:szCs w:val="24"/>
                <w:lang w:val="lt-LT"/>
              </w:rPr>
              <w:t xml:space="preserve">Tarnyba paaiškina, kad papildomų paslaugų </w:t>
            </w:r>
            <w:r>
              <w:rPr>
                <w:rFonts w:ascii="Times New Roman" w:hAnsi="Times New Roman" w:cs="Times New Roman"/>
                <w:sz w:val="24"/>
                <w:szCs w:val="24"/>
                <w:lang w:val="lt-LT"/>
              </w:rPr>
              <w:t xml:space="preserve">ar </w:t>
            </w:r>
            <w:r w:rsidRPr="003F205A">
              <w:rPr>
                <w:rFonts w:ascii="Times New Roman" w:hAnsi="Times New Roman" w:cs="Times New Roman"/>
                <w:sz w:val="24"/>
                <w:szCs w:val="24"/>
                <w:lang w:val="lt-LT"/>
              </w:rPr>
              <w:t xml:space="preserve">prekių (nenurodytų Pirkimo dokumentuose ir Pirkimo sutartyje) įsigijimas prilyginamas naujam viešajam pirkimui, todėl privalo būti perkama Įstatymo nustatyta tvarka, net jei jų (papildomų paslaugų </w:t>
            </w:r>
            <w:r>
              <w:rPr>
                <w:rFonts w:ascii="Times New Roman" w:hAnsi="Times New Roman" w:cs="Times New Roman"/>
                <w:sz w:val="24"/>
                <w:szCs w:val="24"/>
                <w:lang w:val="lt-LT"/>
              </w:rPr>
              <w:t>ar prekių</w:t>
            </w:r>
            <w:r w:rsidRPr="003F205A">
              <w:rPr>
                <w:rFonts w:ascii="Times New Roman" w:hAnsi="Times New Roman" w:cs="Times New Roman"/>
                <w:sz w:val="24"/>
                <w:szCs w:val="24"/>
                <w:lang w:val="lt-LT"/>
              </w:rPr>
              <w:t xml:space="preserve">) įsigijimo prielaidos nustatytos Pirkimo sutartyje. Įstatymo prasme papildomos paslaugos </w:t>
            </w:r>
            <w:r>
              <w:rPr>
                <w:rFonts w:ascii="Times New Roman" w:hAnsi="Times New Roman" w:cs="Times New Roman"/>
                <w:sz w:val="24"/>
                <w:szCs w:val="24"/>
                <w:lang w:val="lt-LT"/>
              </w:rPr>
              <w:t xml:space="preserve">ar prekės </w:t>
            </w:r>
            <w:r w:rsidRPr="003F205A">
              <w:rPr>
                <w:rFonts w:ascii="Times New Roman" w:hAnsi="Times New Roman" w:cs="Times New Roman"/>
                <w:sz w:val="24"/>
                <w:szCs w:val="24"/>
                <w:lang w:val="lt-LT"/>
              </w:rPr>
              <w:t>yra atskiras objektas (nors ir susijęs su Pirkimo objektu), todėl jis traktuojamas kaip naujas viešojo pirkimo teisinis santykis. Pažymėtina, kad jeigu perkančioji organizacija perka</w:t>
            </w:r>
            <w:r>
              <w:rPr>
                <w:rFonts w:ascii="Times New Roman" w:hAnsi="Times New Roman" w:cs="Times New Roman"/>
                <w:sz w:val="24"/>
                <w:szCs w:val="24"/>
                <w:lang w:val="lt-LT"/>
              </w:rPr>
              <w:t xml:space="preserve"> </w:t>
            </w:r>
            <w:r w:rsidRPr="003F205A">
              <w:rPr>
                <w:rFonts w:ascii="Times New Roman" w:hAnsi="Times New Roman" w:cs="Times New Roman"/>
                <w:sz w:val="24"/>
                <w:szCs w:val="24"/>
                <w:lang w:val="lt-LT"/>
              </w:rPr>
              <w:t xml:space="preserve">paslaugas </w:t>
            </w:r>
            <w:r>
              <w:rPr>
                <w:rFonts w:ascii="Times New Roman" w:hAnsi="Times New Roman" w:cs="Times New Roman"/>
                <w:sz w:val="24"/>
                <w:szCs w:val="24"/>
                <w:lang w:val="lt-LT"/>
              </w:rPr>
              <w:t xml:space="preserve">ar </w:t>
            </w:r>
            <w:r w:rsidRPr="003F205A">
              <w:rPr>
                <w:rFonts w:ascii="Times New Roman" w:hAnsi="Times New Roman" w:cs="Times New Roman"/>
                <w:sz w:val="24"/>
                <w:szCs w:val="24"/>
                <w:lang w:val="lt-LT"/>
              </w:rPr>
              <w:t>prekes neatlikdama viešojo pirkimo procedūrų, tai tokį pirkimą galima prilyginti tiesioginiam sutarčių sudarymui, kas prieštarauja Įstatymui.</w:t>
            </w:r>
          </w:p>
          <w:p w:rsidR="008E686C" w:rsidRDefault="008E686C" w:rsidP="00E86F3A">
            <w:pPr>
              <w:pStyle w:val="ListParagraph"/>
              <w:ind w:left="0"/>
              <w:jc w:val="both"/>
              <w:rPr>
                <w:rFonts w:ascii="Times New Roman" w:hAnsi="Times New Roman" w:cs="Times New Roman"/>
                <w:sz w:val="24"/>
                <w:szCs w:val="24"/>
                <w:lang w:val="lt-LT"/>
              </w:rPr>
            </w:pPr>
          </w:p>
        </w:tc>
      </w:tr>
      <w:tr w:rsidR="004A1F53" w:rsidRPr="00C929EA" w:rsidTr="00366BCA">
        <w:tc>
          <w:tcPr>
            <w:tcW w:w="534" w:type="dxa"/>
          </w:tcPr>
          <w:p w:rsidR="004A1F53" w:rsidRPr="00143243" w:rsidRDefault="0099238C" w:rsidP="00E86F3A">
            <w:pPr>
              <w:pStyle w:val="ListParagraph"/>
              <w:ind w:left="360" w:hanging="36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4A1F53">
              <w:rPr>
                <w:rFonts w:ascii="Times New Roman" w:hAnsi="Times New Roman" w:cs="Times New Roman"/>
                <w:sz w:val="24"/>
                <w:szCs w:val="24"/>
                <w:lang w:val="lt-LT"/>
              </w:rPr>
              <w:t>.</w:t>
            </w:r>
          </w:p>
        </w:tc>
        <w:tc>
          <w:tcPr>
            <w:tcW w:w="9072" w:type="dxa"/>
            <w:gridSpan w:val="2"/>
          </w:tcPr>
          <w:p w:rsidR="004A1F53" w:rsidRPr="004A1F53" w:rsidRDefault="004A1F53" w:rsidP="00E86F3A">
            <w:pPr>
              <w:pStyle w:val="ListParagraph"/>
              <w:ind w:left="30"/>
              <w:jc w:val="both"/>
              <w:rPr>
                <w:rFonts w:ascii="Times New Roman" w:hAnsi="Times New Roman" w:cs="Times New Roman"/>
                <w:sz w:val="24"/>
                <w:szCs w:val="24"/>
                <w:lang w:val="lt-LT"/>
              </w:rPr>
            </w:pPr>
            <w:r w:rsidRPr="00557F01">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18</w:t>
            </w:r>
            <w:r w:rsidRPr="00557F01">
              <w:rPr>
                <w:rFonts w:ascii="Times New Roman" w:hAnsi="Times New Roman" w:cs="Times New Roman"/>
                <w:sz w:val="24"/>
                <w:szCs w:val="24"/>
                <w:lang w:val="lt-LT"/>
              </w:rPr>
              <w:t xml:space="preserve"> straipsnio 1</w:t>
            </w:r>
            <w:r>
              <w:rPr>
                <w:rFonts w:ascii="Times New Roman" w:hAnsi="Times New Roman" w:cs="Times New Roman"/>
                <w:sz w:val="24"/>
                <w:szCs w:val="24"/>
                <w:lang w:val="lt-LT"/>
              </w:rPr>
              <w:t>1</w:t>
            </w:r>
            <w:r w:rsidR="005375DD">
              <w:rPr>
                <w:rStyle w:val="FootnoteReference"/>
                <w:rFonts w:ascii="Times New Roman" w:hAnsi="Times New Roman" w:cs="Times New Roman"/>
                <w:sz w:val="24"/>
                <w:szCs w:val="24"/>
                <w:lang w:val="lt-LT"/>
              </w:rPr>
              <w:footnoteReference w:id="25"/>
            </w:r>
            <w:r w:rsidRPr="00557F01">
              <w:rPr>
                <w:rFonts w:ascii="Times New Roman" w:hAnsi="Times New Roman" w:cs="Times New Roman"/>
                <w:sz w:val="24"/>
                <w:szCs w:val="24"/>
                <w:lang w:val="lt-LT"/>
              </w:rPr>
              <w:t xml:space="preserve"> dalis</w:t>
            </w:r>
          </w:p>
        </w:tc>
      </w:tr>
      <w:tr w:rsidR="004A1F53" w:rsidRPr="00C929EA" w:rsidTr="00366BCA">
        <w:tc>
          <w:tcPr>
            <w:tcW w:w="9606" w:type="dxa"/>
            <w:gridSpan w:val="3"/>
          </w:tcPr>
          <w:p w:rsidR="004A1F53" w:rsidRPr="00DC0C9D" w:rsidRDefault="004A1F53" w:rsidP="00E86F3A">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Centrinėje viešųjų pirkimų informacinėje sistemoje nepaskelbė  </w:t>
            </w:r>
            <w:r>
              <w:rPr>
                <w:rFonts w:ascii="Times New Roman" w:hAnsi="Times New Roman" w:cs="Times New Roman"/>
                <w:sz w:val="24"/>
                <w:szCs w:val="24"/>
                <w:lang w:val="lt-LT"/>
              </w:rPr>
              <w:lastRenderedPageBreak/>
              <w:t>laimėjusio dalyvio pasiūlymo ir 2016-03-03 sudarytos</w:t>
            </w:r>
            <w:r w:rsidR="007657AD">
              <w:rPr>
                <w:rFonts w:ascii="Times New Roman" w:hAnsi="Times New Roman" w:cs="Times New Roman"/>
                <w:sz w:val="24"/>
                <w:szCs w:val="24"/>
                <w:lang w:val="lt-LT"/>
              </w:rPr>
              <w:t xml:space="preserve"> </w:t>
            </w:r>
            <w:r w:rsidR="003B42BA">
              <w:rPr>
                <w:rFonts w:ascii="Times New Roman" w:hAnsi="Times New Roman" w:cs="Times New Roman"/>
                <w:sz w:val="24"/>
                <w:szCs w:val="24"/>
                <w:lang w:val="lt-LT"/>
              </w:rPr>
              <w:t xml:space="preserve">viešojo pirkimo </w:t>
            </w:r>
            <w:r>
              <w:rPr>
                <w:rFonts w:ascii="Times New Roman" w:hAnsi="Times New Roman" w:cs="Times New Roman"/>
                <w:sz w:val="24"/>
                <w:szCs w:val="24"/>
                <w:lang w:val="lt-LT"/>
              </w:rPr>
              <w:t>sutarties</w:t>
            </w:r>
            <w:r w:rsidR="003B42BA">
              <w:rPr>
                <w:rFonts w:ascii="Times New Roman" w:hAnsi="Times New Roman" w:cs="Times New Roman"/>
                <w:sz w:val="24"/>
                <w:szCs w:val="24"/>
                <w:lang w:val="lt-LT"/>
              </w:rPr>
              <w:t xml:space="preserve"> Nr. 8/2016.</w:t>
            </w:r>
          </w:p>
        </w:tc>
      </w:tr>
    </w:tbl>
    <w:p w:rsidR="003E2AAE" w:rsidRDefault="003E2AAE" w:rsidP="00E873C9">
      <w:pPr>
        <w:ind w:left="426" w:hanging="426"/>
        <w:jc w:val="center"/>
        <w:rPr>
          <w:rFonts w:ascii="Times New Roman" w:hAnsi="Times New Roman" w:cs="Times New Roman"/>
          <w:b/>
          <w:sz w:val="24"/>
          <w:szCs w:val="24"/>
          <w:lang w:val="lt-LT"/>
        </w:rPr>
      </w:pPr>
    </w:p>
    <w:p w:rsidR="00C51BE5" w:rsidRDefault="00C51BE5" w:rsidP="004C795A">
      <w:pPr>
        <w:spacing w:after="0"/>
        <w:ind w:left="426" w:hanging="426"/>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III dalis Pastabos, į kurias perkančioji organizacija turėtų atsižvelgti vykdydama kitus pirkimus</w:t>
      </w:r>
    </w:p>
    <w:p w:rsidR="004C795A" w:rsidRDefault="004C795A" w:rsidP="004C795A">
      <w:pPr>
        <w:spacing w:after="0"/>
        <w:ind w:left="426" w:hanging="426"/>
        <w:jc w:val="center"/>
        <w:rPr>
          <w:rFonts w:ascii="Times New Roman" w:hAnsi="Times New Roman" w:cs="Times New Roman"/>
          <w:b/>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93"/>
        <w:gridCol w:w="9209"/>
      </w:tblGrid>
      <w:tr w:rsidR="00023030" w:rsidTr="00366BCA">
        <w:tc>
          <w:tcPr>
            <w:tcW w:w="445" w:type="dxa"/>
            <w:tcBorders>
              <w:top w:val="single" w:sz="4" w:space="0" w:color="auto"/>
              <w:left w:val="single" w:sz="4" w:space="0" w:color="auto"/>
              <w:bottom w:val="single" w:sz="4" w:space="0" w:color="auto"/>
              <w:right w:val="single" w:sz="4" w:space="0" w:color="auto"/>
            </w:tcBorders>
            <w:vAlign w:val="center"/>
          </w:tcPr>
          <w:p w:rsidR="00023030" w:rsidRPr="00BE324D" w:rsidRDefault="00023030" w:rsidP="00023030">
            <w:pPr>
              <w:pStyle w:val="ListParagraph"/>
              <w:numPr>
                <w:ilvl w:val="0"/>
                <w:numId w:val="3"/>
              </w:numPr>
              <w:spacing w:after="0" w:line="276" w:lineRule="auto"/>
              <w:ind w:left="0" w:firstLine="0"/>
              <w:jc w:val="center"/>
              <w:rPr>
                <w:rFonts w:ascii="Times New Roman" w:hAnsi="Times New Roman"/>
                <w:sz w:val="24"/>
                <w:szCs w:val="24"/>
                <w:lang w:val="en-US"/>
              </w:rPr>
            </w:pPr>
          </w:p>
        </w:tc>
        <w:tc>
          <w:tcPr>
            <w:tcW w:w="9302" w:type="dxa"/>
            <w:gridSpan w:val="2"/>
            <w:tcBorders>
              <w:top w:val="single" w:sz="4" w:space="0" w:color="auto"/>
              <w:left w:val="single" w:sz="4" w:space="0" w:color="auto"/>
              <w:bottom w:val="single" w:sz="4" w:space="0" w:color="auto"/>
              <w:right w:val="single" w:sz="4" w:space="0" w:color="auto"/>
            </w:tcBorders>
            <w:hideMark/>
          </w:tcPr>
          <w:p w:rsidR="00023030" w:rsidRDefault="00023030">
            <w:pPr>
              <w:pStyle w:val="Normal12pt"/>
              <w:tabs>
                <w:tab w:val="clear" w:pos="737"/>
                <w:tab w:val="left" w:pos="993"/>
              </w:tabs>
              <w:spacing w:line="276" w:lineRule="auto"/>
              <w:ind w:right="0"/>
              <w:rPr>
                <w:bCs/>
              </w:rPr>
            </w:pPr>
            <w:r>
              <w:rPr>
                <w:bCs/>
              </w:rPr>
              <w:t>85 straipsnio 1 dalis</w:t>
            </w:r>
            <w:r>
              <w:rPr>
                <w:rStyle w:val="FootnoteReference"/>
                <w:bCs/>
              </w:rPr>
              <w:footnoteReference w:id="26"/>
            </w:r>
            <w:r>
              <w:rPr>
                <w:bCs/>
              </w:rPr>
              <w:t>.</w:t>
            </w:r>
          </w:p>
        </w:tc>
      </w:tr>
      <w:tr w:rsidR="00023030" w:rsidRPr="00BE324D" w:rsidTr="00366BCA">
        <w:tc>
          <w:tcPr>
            <w:tcW w:w="9747" w:type="dxa"/>
            <w:gridSpan w:val="3"/>
            <w:tcBorders>
              <w:top w:val="single" w:sz="4" w:space="0" w:color="auto"/>
              <w:left w:val="single" w:sz="4" w:space="0" w:color="auto"/>
              <w:bottom w:val="single" w:sz="4" w:space="0" w:color="auto"/>
              <w:right w:val="single" w:sz="4" w:space="0" w:color="auto"/>
            </w:tcBorders>
            <w:vAlign w:val="center"/>
            <w:hideMark/>
          </w:tcPr>
          <w:p w:rsidR="00023030" w:rsidRDefault="00023030" w:rsidP="00BC735C">
            <w:pPr>
              <w:pStyle w:val="Normal12pt"/>
              <w:tabs>
                <w:tab w:val="clear" w:pos="737"/>
                <w:tab w:val="left" w:pos="993"/>
              </w:tabs>
              <w:spacing w:line="276" w:lineRule="auto"/>
              <w:ind w:right="0"/>
              <w:rPr>
                <w:bCs/>
              </w:rPr>
            </w:pPr>
            <w:r>
              <w:rPr>
                <w:bCs/>
              </w:rPr>
              <w:t xml:space="preserve">Taisyklės </w:t>
            </w:r>
            <w:r w:rsidR="00BC735C">
              <w:rPr>
                <w:bCs/>
              </w:rPr>
              <w:t>neatitinka</w:t>
            </w:r>
            <w:r w:rsidR="00AA46F3">
              <w:rPr>
                <w:bCs/>
              </w:rPr>
              <w:t xml:space="preserve"> Įstatymo nuostat</w:t>
            </w:r>
            <w:r w:rsidR="00BC735C">
              <w:rPr>
                <w:bCs/>
              </w:rPr>
              <w:t>ų</w:t>
            </w:r>
            <w:r w:rsidR="00AA46F3">
              <w:rPr>
                <w:bCs/>
              </w:rPr>
              <w:t>:</w:t>
            </w:r>
            <w:r>
              <w:rPr>
                <w:bCs/>
              </w:rPr>
              <w:t xml:space="preserve"> Lietuvos Respu</w:t>
            </w:r>
            <w:r w:rsidR="00BC735C">
              <w:rPr>
                <w:bCs/>
              </w:rPr>
              <w:t>blika 2015 m. sausio 1 d. tapo euro zonos nare ir buvo įvestas e</w:t>
            </w:r>
            <w:r>
              <w:rPr>
                <w:bCs/>
              </w:rPr>
              <w:t xml:space="preserve">uras, kaip piniginis ekvivalentas, o </w:t>
            </w:r>
            <w:r w:rsidR="00BC735C">
              <w:rPr>
                <w:bCs/>
              </w:rPr>
              <w:t xml:space="preserve">nuo </w:t>
            </w:r>
            <w:r>
              <w:rPr>
                <w:bCs/>
              </w:rPr>
              <w:t xml:space="preserve">2016 m. sausio 1 d. įsigaliojo Įstatymo aktuali redakcija, todėl Perkančioji organizacija turėtų patikslinti Taisykles, atsižvelgdama į galiojančią aktualią Įstatymo redakciją. </w:t>
            </w:r>
          </w:p>
        </w:tc>
      </w:tr>
      <w:tr w:rsidR="0073171C" w:rsidRPr="00BE324D" w:rsidTr="00366BCA">
        <w:tc>
          <w:tcPr>
            <w:tcW w:w="538" w:type="dxa"/>
            <w:gridSpan w:val="2"/>
            <w:shd w:val="clear" w:color="auto" w:fill="auto"/>
            <w:vAlign w:val="center"/>
          </w:tcPr>
          <w:p w:rsidR="0073171C" w:rsidRPr="00E873C9" w:rsidRDefault="00E873C9" w:rsidP="00921144">
            <w:pPr>
              <w:pStyle w:val="ListParagraph"/>
              <w:spacing w:after="0" w:line="240" w:lineRule="auto"/>
              <w:ind w:left="0"/>
              <w:rPr>
                <w:rFonts w:ascii="Times New Roman" w:hAnsi="Times New Roman"/>
                <w:sz w:val="24"/>
                <w:szCs w:val="24"/>
                <w:lang w:val="lt-LT"/>
              </w:rPr>
            </w:pPr>
            <w:r>
              <w:rPr>
                <w:rFonts w:ascii="Times New Roman" w:hAnsi="Times New Roman"/>
                <w:sz w:val="24"/>
                <w:szCs w:val="24"/>
                <w:lang w:val="lt-LT"/>
              </w:rPr>
              <w:t>2.</w:t>
            </w:r>
          </w:p>
        </w:tc>
        <w:tc>
          <w:tcPr>
            <w:tcW w:w="9209" w:type="dxa"/>
            <w:shd w:val="clear" w:color="auto" w:fill="auto"/>
          </w:tcPr>
          <w:p w:rsidR="0073171C" w:rsidRPr="00674C40" w:rsidRDefault="0073171C" w:rsidP="00921144">
            <w:pPr>
              <w:pStyle w:val="Normal12pt"/>
              <w:tabs>
                <w:tab w:val="clear" w:pos="737"/>
                <w:tab w:val="left" w:pos="993"/>
              </w:tabs>
              <w:ind w:right="0"/>
              <w:rPr>
                <w:bCs/>
              </w:rPr>
            </w:pPr>
            <w:r>
              <w:rPr>
                <w:bCs/>
              </w:rPr>
              <w:t>-</w:t>
            </w:r>
          </w:p>
        </w:tc>
      </w:tr>
      <w:tr w:rsidR="0073171C" w:rsidRPr="00BE3276" w:rsidTr="00366BCA">
        <w:tc>
          <w:tcPr>
            <w:tcW w:w="9747" w:type="dxa"/>
            <w:gridSpan w:val="3"/>
            <w:shd w:val="clear" w:color="auto" w:fill="auto"/>
            <w:vAlign w:val="center"/>
          </w:tcPr>
          <w:p w:rsidR="0073171C" w:rsidRDefault="0073171C" w:rsidP="00747F45">
            <w:pPr>
              <w:pStyle w:val="Normal12pt"/>
              <w:tabs>
                <w:tab w:val="clear" w:pos="737"/>
                <w:tab w:val="left" w:pos="993"/>
              </w:tabs>
              <w:ind w:right="0"/>
              <w:rPr>
                <w:bCs/>
              </w:rPr>
            </w:pPr>
            <w:r>
              <w:rPr>
                <w:bCs/>
              </w:rPr>
              <w:t xml:space="preserve">Tarnyba atkreipia dėmesį, kad tiekėjas </w:t>
            </w:r>
            <w:proofErr w:type="spellStart"/>
            <w:r>
              <w:rPr>
                <w:bCs/>
              </w:rPr>
              <w:t>VšĮ</w:t>
            </w:r>
            <w:proofErr w:type="spellEnd"/>
            <w:r>
              <w:rPr>
                <w:bCs/>
              </w:rPr>
              <w:t xml:space="preserve"> „Konkurencingumo plėtotės centras“ ir UAB „</w:t>
            </w:r>
            <w:proofErr w:type="spellStart"/>
            <w:r>
              <w:rPr>
                <w:bCs/>
              </w:rPr>
              <w:t>Kvalitetas</w:t>
            </w:r>
            <w:proofErr w:type="spellEnd"/>
            <w:r>
              <w:rPr>
                <w:bCs/>
              </w:rPr>
              <w:t>“, veikiantys jungtinės veiklos pagrindu, apie priimtą sprendimą dėl laimėtojo (Taisyklių 105 punktas) buvo informuotas tik 2016-04-18 raštu Nr. 278 „Dėl pasiūlymo įtraukimo į pasiūlymų eilę“</w:t>
            </w:r>
            <w:r w:rsidR="00747F45">
              <w:rPr>
                <w:bCs/>
              </w:rPr>
              <w:t xml:space="preserve">, t. y. </w:t>
            </w:r>
            <w:r>
              <w:rPr>
                <w:bCs/>
              </w:rPr>
              <w:t xml:space="preserve">po </w:t>
            </w:r>
            <w:r w:rsidR="00747F45">
              <w:rPr>
                <w:bCs/>
              </w:rPr>
              <w:t xml:space="preserve">12 darbo dienų po </w:t>
            </w:r>
            <w:r>
              <w:rPr>
                <w:bCs/>
              </w:rPr>
              <w:t>to, kai buvo sudaryta Sutartis. Tarnyba pastebi, kad tai neužtikrina skaidrumo principo laikymosi, nes informavimas turi būti savalaikis, kad tiekėjas, esant būtinybei, galėtų savo teisėtus interesus ginti Įstatymo V skyriuje nustatyta tvarka.</w:t>
            </w:r>
          </w:p>
        </w:tc>
      </w:tr>
      <w:tr w:rsidR="00E873C9" w:rsidRPr="003365D8" w:rsidTr="00366BCA">
        <w:tc>
          <w:tcPr>
            <w:tcW w:w="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73C9" w:rsidRPr="00B45A37" w:rsidRDefault="00E873C9" w:rsidP="00E873C9">
            <w:pPr>
              <w:spacing w:after="0" w:line="240" w:lineRule="auto"/>
              <w:ind w:left="142" w:right="459"/>
              <w:rPr>
                <w:rFonts w:ascii="Times New Roman" w:hAnsi="Times New Roman"/>
                <w:sz w:val="24"/>
                <w:szCs w:val="24"/>
                <w:lang w:val="lt-LT"/>
              </w:rPr>
            </w:pPr>
            <w:bookmarkStart w:id="0" w:name="_GoBack"/>
            <w:bookmarkEnd w:id="0"/>
            <w:r>
              <w:rPr>
                <w:rFonts w:ascii="Times New Roman" w:hAnsi="Times New Roman"/>
                <w:sz w:val="24"/>
                <w:szCs w:val="24"/>
                <w:lang w:val="lt-LT"/>
              </w:rPr>
              <w:t>3</w:t>
            </w:r>
          </w:p>
        </w:tc>
        <w:tc>
          <w:tcPr>
            <w:tcW w:w="9209" w:type="dxa"/>
            <w:tcBorders>
              <w:top w:val="single" w:sz="4" w:space="0" w:color="auto"/>
              <w:left w:val="single" w:sz="4" w:space="0" w:color="auto"/>
              <w:bottom w:val="single" w:sz="4" w:space="0" w:color="auto"/>
              <w:right w:val="single" w:sz="4" w:space="0" w:color="auto"/>
            </w:tcBorders>
            <w:shd w:val="clear" w:color="auto" w:fill="auto"/>
          </w:tcPr>
          <w:p w:rsidR="00E873C9" w:rsidRPr="00587F24" w:rsidRDefault="00E873C9" w:rsidP="00D905C3">
            <w:pPr>
              <w:pStyle w:val="ListParagraph"/>
              <w:tabs>
                <w:tab w:val="left" w:pos="0"/>
                <w:tab w:val="left" w:pos="993"/>
                <w:tab w:val="left" w:pos="1276"/>
              </w:tabs>
              <w:spacing w:after="0" w:line="240" w:lineRule="auto"/>
              <w:ind w:left="0"/>
              <w:jc w:val="both"/>
              <w:rPr>
                <w:rFonts w:ascii="Times New Roman" w:hAnsi="Times New Roman"/>
                <w:bCs/>
                <w:sz w:val="24"/>
                <w:szCs w:val="24"/>
                <w:lang w:val="lt-LT"/>
              </w:rPr>
            </w:pPr>
            <w:r>
              <w:rPr>
                <w:rFonts w:ascii="Times New Roman" w:hAnsi="Times New Roman"/>
                <w:bCs/>
                <w:sz w:val="24"/>
                <w:szCs w:val="24"/>
                <w:lang w:val="lt-LT"/>
              </w:rPr>
              <w:t>Taisyklių 5 punktas</w:t>
            </w:r>
            <w:r>
              <w:rPr>
                <w:rStyle w:val="FootnoteReference"/>
                <w:rFonts w:ascii="Times New Roman" w:hAnsi="Times New Roman"/>
                <w:bCs/>
                <w:sz w:val="24"/>
                <w:szCs w:val="24"/>
                <w:lang w:val="lt-LT"/>
              </w:rPr>
              <w:footnoteReference w:id="27"/>
            </w:r>
            <w:r>
              <w:rPr>
                <w:rFonts w:ascii="Times New Roman" w:hAnsi="Times New Roman"/>
                <w:bCs/>
                <w:sz w:val="24"/>
                <w:szCs w:val="24"/>
                <w:lang w:val="lt-LT"/>
              </w:rPr>
              <w:t xml:space="preserve"> </w:t>
            </w:r>
          </w:p>
        </w:tc>
      </w:tr>
      <w:tr w:rsidR="00E873C9" w:rsidRPr="00BE3276" w:rsidTr="00366BCA">
        <w:tc>
          <w:tcPr>
            <w:tcW w:w="9747" w:type="dxa"/>
            <w:gridSpan w:val="3"/>
            <w:shd w:val="clear" w:color="auto" w:fill="auto"/>
            <w:vAlign w:val="center"/>
          </w:tcPr>
          <w:p w:rsidR="00E873C9" w:rsidRDefault="00E873C9" w:rsidP="00D905C3">
            <w:pPr>
              <w:pStyle w:val="BodyText"/>
              <w:jc w:val="both"/>
              <w:rPr>
                <w:sz w:val="24"/>
                <w:szCs w:val="24"/>
                <w:lang w:val="lt-LT"/>
              </w:rPr>
            </w:pPr>
            <w:r>
              <w:rPr>
                <w:sz w:val="24"/>
                <w:szCs w:val="24"/>
                <w:lang w:val="lt-LT"/>
              </w:rPr>
              <w:t>2016-02-23 Kvietimo 1.2 punkte nustatyta: „Pasiūlymą prašome pateikti arba elektroniniu paštu adresu &lt;...&gt; arba surištą, sunumeruotą, pasirašytą atsakingo atstovo, užklijuotame ir užantspauduotame voke. &lt;...&gt;“. Tarnyba pažymi, kad Perkančioji organizacija turėtų reikalauti, kad visi tiekėjai pasiūlymus pateiktų vienu būdu, nenumatant pasiūlymų pateikimo alternatyvos.</w:t>
            </w:r>
          </w:p>
          <w:p w:rsidR="00E873C9" w:rsidRPr="0007743E" w:rsidRDefault="00E873C9" w:rsidP="00D905C3">
            <w:pPr>
              <w:pStyle w:val="BodyText"/>
              <w:ind w:firstLine="851"/>
              <w:jc w:val="both"/>
              <w:rPr>
                <w:sz w:val="24"/>
                <w:szCs w:val="24"/>
                <w:lang w:val="lt-LT"/>
              </w:rPr>
            </w:pPr>
          </w:p>
        </w:tc>
      </w:tr>
      <w:tr w:rsidR="000368A2" w:rsidRPr="00BE3276" w:rsidTr="00366BCA">
        <w:tc>
          <w:tcPr>
            <w:tcW w:w="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8A2" w:rsidRPr="0099238C" w:rsidRDefault="000368A2" w:rsidP="000368A2">
            <w:pPr>
              <w:spacing w:after="0" w:line="240" w:lineRule="auto"/>
              <w:ind w:left="142"/>
              <w:rPr>
                <w:rFonts w:ascii="Times New Roman" w:hAnsi="Times New Roman"/>
                <w:sz w:val="24"/>
                <w:szCs w:val="24"/>
                <w:lang w:val="lt-LT"/>
              </w:rPr>
            </w:pPr>
            <w:r>
              <w:rPr>
                <w:rFonts w:ascii="Times New Roman" w:hAnsi="Times New Roman"/>
                <w:sz w:val="24"/>
                <w:szCs w:val="24"/>
                <w:lang w:val="lt-LT"/>
              </w:rPr>
              <w:t>4.</w:t>
            </w:r>
          </w:p>
        </w:tc>
        <w:tc>
          <w:tcPr>
            <w:tcW w:w="9209" w:type="dxa"/>
            <w:tcBorders>
              <w:top w:val="single" w:sz="4" w:space="0" w:color="auto"/>
              <w:left w:val="single" w:sz="4" w:space="0" w:color="auto"/>
              <w:bottom w:val="single" w:sz="4" w:space="0" w:color="auto"/>
              <w:right w:val="single" w:sz="4" w:space="0" w:color="auto"/>
            </w:tcBorders>
            <w:shd w:val="clear" w:color="auto" w:fill="auto"/>
          </w:tcPr>
          <w:p w:rsidR="000368A2" w:rsidRPr="00587F24" w:rsidRDefault="000368A2" w:rsidP="000368A2">
            <w:pPr>
              <w:pStyle w:val="ListParagraph"/>
              <w:tabs>
                <w:tab w:val="left" w:pos="0"/>
                <w:tab w:val="left" w:pos="993"/>
                <w:tab w:val="left" w:pos="1276"/>
              </w:tabs>
              <w:spacing w:after="0" w:line="240" w:lineRule="auto"/>
              <w:ind w:left="0"/>
              <w:jc w:val="both"/>
              <w:rPr>
                <w:rFonts w:ascii="Times New Roman" w:hAnsi="Times New Roman"/>
                <w:bCs/>
                <w:sz w:val="24"/>
                <w:szCs w:val="24"/>
                <w:lang w:val="lt-LT"/>
              </w:rPr>
            </w:pPr>
            <w:r>
              <w:rPr>
                <w:rFonts w:ascii="Times New Roman" w:hAnsi="Times New Roman"/>
                <w:bCs/>
                <w:sz w:val="24"/>
                <w:szCs w:val="24"/>
                <w:lang w:val="lt-LT"/>
              </w:rPr>
              <w:t>Taisyklių 15 punktas</w:t>
            </w:r>
            <w:r>
              <w:rPr>
                <w:rStyle w:val="FootnoteReference"/>
                <w:rFonts w:ascii="Times New Roman" w:hAnsi="Times New Roman"/>
                <w:bCs/>
                <w:sz w:val="24"/>
                <w:szCs w:val="24"/>
                <w:lang w:val="lt-LT"/>
              </w:rPr>
              <w:footnoteReference w:id="28"/>
            </w:r>
            <w:r>
              <w:rPr>
                <w:rFonts w:ascii="Times New Roman" w:hAnsi="Times New Roman"/>
                <w:bCs/>
                <w:sz w:val="24"/>
                <w:szCs w:val="24"/>
                <w:lang w:val="lt-LT"/>
              </w:rPr>
              <w:t>, Įstatymo 85 straipsnio 4 dalis</w:t>
            </w:r>
            <w:r>
              <w:rPr>
                <w:rStyle w:val="FootnoteReference"/>
                <w:rFonts w:ascii="Times New Roman" w:hAnsi="Times New Roman"/>
                <w:bCs/>
                <w:sz w:val="24"/>
                <w:szCs w:val="24"/>
                <w:lang w:val="lt-LT"/>
              </w:rPr>
              <w:footnoteReference w:id="29"/>
            </w:r>
            <w:r>
              <w:rPr>
                <w:rFonts w:ascii="Times New Roman" w:hAnsi="Times New Roman"/>
                <w:bCs/>
                <w:sz w:val="24"/>
                <w:szCs w:val="24"/>
                <w:lang w:val="lt-LT"/>
              </w:rPr>
              <w:t>, 85 straipsnio 2 dalis</w:t>
            </w:r>
            <w:r>
              <w:rPr>
                <w:rStyle w:val="FootnoteReference"/>
                <w:rFonts w:ascii="Times New Roman" w:hAnsi="Times New Roman"/>
                <w:bCs/>
                <w:sz w:val="24"/>
                <w:szCs w:val="24"/>
                <w:lang w:val="lt-LT"/>
              </w:rPr>
              <w:footnoteReference w:id="30"/>
            </w:r>
          </w:p>
        </w:tc>
      </w:tr>
      <w:tr w:rsidR="000368A2" w:rsidRPr="00BE3276" w:rsidTr="00366BCA">
        <w:tc>
          <w:tcPr>
            <w:tcW w:w="9747" w:type="dxa"/>
            <w:gridSpan w:val="3"/>
            <w:tcBorders>
              <w:top w:val="single" w:sz="4" w:space="0" w:color="auto"/>
              <w:left w:val="single" w:sz="4" w:space="0" w:color="auto"/>
              <w:bottom w:val="single" w:sz="4" w:space="0" w:color="auto"/>
              <w:right w:val="single" w:sz="4" w:space="0" w:color="auto"/>
            </w:tcBorders>
            <w:vAlign w:val="center"/>
            <w:hideMark/>
          </w:tcPr>
          <w:p w:rsidR="000368A2" w:rsidRPr="00E86F3A" w:rsidRDefault="000368A2" w:rsidP="000368A2">
            <w:pPr>
              <w:pStyle w:val="ListParagraph"/>
              <w:tabs>
                <w:tab w:val="left" w:pos="851"/>
              </w:tabs>
              <w:spacing w:after="0" w:line="240" w:lineRule="auto"/>
              <w:ind w:left="0"/>
              <w:rPr>
                <w:rFonts w:ascii="Times New Roman" w:hAnsi="Times New Roman"/>
                <w:bCs/>
                <w:sz w:val="24"/>
                <w:szCs w:val="24"/>
                <w:lang w:val="lt-LT"/>
              </w:rPr>
            </w:pPr>
            <w:r w:rsidRPr="00E86F3A">
              <w:rPr>
                <w:rFonts w:ascii="Times New Roman" w:hAnsi="Times New Roman"/>
                <w:bCs/>
                <w:sz w:val="24"/>
                <w:szCs w:val="24"/>
                <w:lang w:val="lt-LT"/>
              </w:rPr>
              <w:t>Perkančioji organizacija Tarnybai nepateikė Viešųjų pirkimų organizatoriaus nuostatų.</w:t>
            </w:r>
          </w:p>
          <w:p w:rsidR="000368A2" w:rsidRDefault="000368A2" w:rsidP="000368A2">
            <w:pPr>
              <w:pStyle w:val="Normal12pt"/>
              <w:tabs>
                <w:tab w:val="clear" w:pos="737"/>
                <w:tab w:val="left" w:pos="993"/>
              </w:tabs>
              <w:spacing w:line="276" w:lineRule="auto"/>
              <w:ind w:right="0"/>
              <w:rPr>
                <w:bCs/>
              </w:rPr>
            </w:pPr>
          </w:p>
        </w:tc>
      </w:tr>
    </w:tbl>
    <w:p w:rsidR="00C51BE5" w:rsidRPr="000368A2" w:rsidRDefault="00C51BE5" w:rsidP="00E848D8">
      <w:pPr>
        <w:rPr>
          <w:lang w:val="lt-LT"/>
        </w:rPr>
      </w:pPr>
    </w:p>
    <w:p w:rsidR="008D35F2" w:rsidRPr="00143243" w:rsidRDefault="008D35F2" w:rsidP="008D35F2">
      <w:pPr>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IV dalis. SPRENDIMAS</w:t>
      </w:r>
    </w:p>
    <w:p w:rsidR="008D35F2" w:rsidRPr="004C795A" w:rsidRDefault="008D35F2" w:rsidP="004C795A">
      <w:pPr>
        <w:ind w:firstLine="709"/>
        <w:jc w:val="both"/>
        <w:rPr>
          <w:rFonts w:ascii="Times New Roman" w:hAnsi="Times New Roman" w:cs="Times New Roman"/>
          <w:sz w:val="24"/>
          <w:szCs w:val="24"/>
          <w:lang w:val="lt-LT"/>
        </w:rPr>
      </w:pPr>
      <w:r w:rsidRPr="008D35F2">
        <w:rPr>
          <w:rFonts w:ascii="Times New Roman" w:hAnsi="Times New Roman"/>
          <w:sz w:val="24"/>
          <w:szCs w:val="24"/>
          <w:lang w:val="lt-LT"/>
        </w:rPr>
        <w:t xml:space="preserve">Atsižvelgdama į nustatytus Įstatymo pažeidimus, nurodytus </w:t>
      </w:r>
      <w:r w:rsidR="00AA46F3">
        <w:rPr>
          <w:rFonts w:ascii="Times New Roman" w:hAnsi="Times New Roman"/>
          <w:sz w:val="24"/>
          <w:szCs w:val="24"/>
          <w:lang w:val="lt-LT"/>
        </w:rPr>
        <w:t>Pirkimo Nr. 2</w:t>
      </w:r>
      <w:r w:rsidR="005A067A">
        <w:rPr>
          <w:rFonts w:ascii="Times New Roman" w:hAnsi="Times New Roman"/>
          <w:sz w:val="24"/>
          <w:szCs w:val="24"/>
          <w:lang w:val="lt-LT"/>
        </w:rPr>
        <w:t xml:space="preserve"> </w:t>
      </w:r>
      <w:r w:rsidRPr="008D35F2">
        <w:rPr>
          <w:rFonts w:ascii="Times New Roman" w:hAnsi="Times New Roman"/>
          <w:sz w:val="24"/>
          <w:szCs w:val="24"/>
          <w:lang w:val="lt-LT"/>
        </w:rPr>
        <w:t>vertinimo išvados II dalyje, į tai, kad Lietuvos Aukščiausiasis Teismas 2011 m. gruodžio 14 d. nutartyje (civilinė byla Nr. 3K-3-507/2011) pažymėjo, kad „Nustačius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w:t>
      </w:r>
      <w:proofErr w:type="spellStart"/>
      <w:r w:rsidRPr="008D35F2">
        <w:rPr>
          <w:rFonts w:ascii="Times New Roman" w:hAnsi="Times New Roman"/>
          <w:sz w:val="24"/>
          <w:szCs w:val="24"/>
          <w:lang w:val="lt-LT"/>
        </w:rPr>
        <w:t>Žin</w:t>
      </w:r>
      <w:proofErr w:type="spellEnd"/>
      <w:r w:rsidRPr="008D35F2">
        <w:rPr>
          <w:rFonts w:ascii="Times New Roman" w:hAnsi="Times New Roman"/>
          <w:sz w:val="24"/>
          <w:szCs w:val="24"/>
          <w:lang w:val="lt-LT"/>
        </w:rPr>
        <w:t>., 2000, Nr. 74-2262) 1.80 straipsnis). Panaikinus sprendimą dėl imperatyviųjų teisės normų pažeidimo, perkančiosios organizacijos sprendimo pagrindu sudarytos viešojo pirkimo sutarties galiojimas negali būti pateisinamas“, Tarnybos nuomone, Perkančioji organizacija turėtų nutraukti</w:t>
      </w:r>
      <w:r w:rsidR="0077161B" w:rsidRPr="003777E3">
        <w:rPr>
          <w:sz w:val="24"/>
          <w:lang w:val="lt-LT"/>
        </w:rPr>
        <w:t xml:space="preserve"> </w:t>
      </w:r>
      <w:r w:rsidR="008E686C">
        <w:rPr>
          <w:rFonts w:ascii="Times New Roman" w:hAnsi="Times New Roman" w:cs="Times New Roman"/>
          <w:sz w:val="24"/>
          <w:lang w:val="lt-LT"/>
        </w:rPr>
        <w:t>Sutartį</w:t>
      </w:r>
      <w:r w:rsidRPr="008D35F2">
        <w:rPr>
          <w:rFonts w:ascii="Times New Roman" w:hAnsi="Times New Roman"/>
          <w:sz w:val="24"/>
          <w:szCs w:val="24"/>
          <w:lang w:val="lt-LT"/>
        </w:rPr>
        <w:t xml:space="preserve">, ir, esant poreikiui, organizuoti naują viešąjį pirkimą, </w:t>
      </w:r>
      <w:r w:rsidRPr="004C795A">
        <w:rPr>
          <w:rFonts w:ascii="Times New Roman" w:hAnsi="Times New Roman" w:cs="Times New Roman"/>
          <w:sz w:val="24"/>
          <w:szCs w:val="24"/>
          <w:lang w:val="lt-LT"/>
        </w:rPr>
        <w:t>vadovaujantis Įstatymo nuostatomis.</w:t>
      </w:r>
    </w:p>
    <w:p w:rsidR="008D35F2" w:rsidRPr="004C795A" w:rsidRDefault="008D35F2" w:rsidP="004C795A">
      <w:pPr>
        <w:ind w:firstLine="709"/>
        <w:jc w:val="both"/>
        <w:rPr>
          <w:rFonts w:ascii="Times New Roman" w:hAnsi="Times New Roman" w:cs="Times New Roman"/>
          <w:sz w:val="24"/>
          <w:szCs w:val="24"/>
          <w:lang w:val="lt-LT"/>
        </w:rPr>
      </w:pPr>
      <w:r w:rsidRPr="004C795A">
        <w:rPr>
          <w:rFonts w:ascii="Times New Roman" w:hAnsi="Times New Roman" w:cs="Times New Roman"/>
          <w:sz w:val="24"/>
          <w:szCs w:val="24"/>
          <w:lang w:val="lt-LT"/>
        </w:rPr>
        <w:lastRenderedPageBreak/>
        <w:t>Prašome ne vėliau kaip per 10 darbo dienų, nuo šios vertinimo išvados gavimo dienos, raštu informuoti Tarnybą apie priimtą sprendimą dėl Tarnybos rekomendacijos nutraukti Sutartį.</w:t>
      </w:r>
    </w:p>
    <w:p w:rsidR="004C795A" w:rsidRPr="004C795A" w:rsidRDefault="004C795A" w:rsidP="004C795A">
      <w:pPr>
        <w:tabs>
          <w:tab w:val="left" w:pos="1134"/>
        </w:tabs>
        <w:spacing w:line="276" w:lineRule="auto"/>
        <w:ind w:firstLine="709"/>
        <w:jc w:val="both"/>
        <w:rPr>
          <w:rFonts w:ascii="Times New Roman" w:hAnsi="Times New Roman" w:cs="Times New Roman"/>
          <w:bCs/>
          <w:sz w:val="24"/>
          <w:szCs w:val="24"/>
          <w:lang w:val="lt-LT"/>
        </w:rPr>
      </w:pPr>
      <w:r w:rsidRPr="004C795A">
        <w:rPr>
          <w:rFonts w:ascii="Times New Roman" w:hAnsi="Times New Roman" w:cs="Times New Roman"/>
          <w:bCs/>
          <w:sz w:val="24"/>
          <w:szCs w:val="24"/>
          <w:lang w:val="lt-LT"/>
        </w:rPr>
        <w:t>Vadovaujantis Lietuvos Respublikos administracinių bylų teisenos įstatymo 5 ir 15 straipsniais, nesutikę su Tarnybos įpareigojimu, Jūs galite jį apskųsti teismui šio įstatymo nustatyta tvarka.</w:t>
      </w:r>
    </w:p>
    <w:p w:rsidR="00D910CA" w:rsidRDefault="00D910CA" w:rsidP="0099238C">
      <w:pPr>
        <w:spacing w:after="0" w:line="240" w:lineRule="auto"/>
        <w:ind w:firstLine="709"/>
        <w:rPr>
          <w:rFonts w:ascii="Times New Roman" w:hAnsi="Times New Roman"/>
          <w:sz w:val="24"/>
          <w:szCs w:val="24"/>
          <w:lang w:val="lt-LT"/>
        </w:rPr>
      </w:pPr>
    </w:p>
    <w:p w:rsidR="00D910CA" w:rsidRDefault="00D910CA" w:rsidP="0099238C">
      <w:pPr>
        <w:spacing w:after="0" w:line="240" w:lineRule="auto"/>
        <w:ind w:firstLine="709"/>
        <w:rPr>
          <w:rFonts w:ascii="Times New Roman" w:hAnsi="Times New Roman"/>
          <w:sz w:val="24"/>
          <w:szCs w:val="24"/>
          <w:lang w:val="lt-LT"/>
        </w:rPr>
      </w:pPr>
    </w:p>
    <w:p w:rsidR="00A72B4E" w:rsidRDefault="00A72B4E" w:rsidP="0099238C">
      <w:pPr>
        <w:spacing w:after="0" w:line="240" w:lineRule="auto"/>
        <w:ind w:firstLine="709"/>
        <w:rPr>
          <w:rFonts w:ascii="Times New Roman" w:hAnsi="Times New Roman"/>
          <w:sz w:val="24"/>
          <w:szCs w:val="24"/>
          <w:lang w:val="lt-LT"/>
        </w:rPr>
      </w:pPr>
    </w:p>
    <w:p w:rsidR="00BE3276" w:rsidRPr="00BE3276" w:rsidRDefault="00BE3276" w:rsidP="00BE3276">
      <w:pPr>
        <w:tabs>
          <w:tab w:val="left" w:pos="0"/>
        </w:tabs>
        <w:spacing w:after="0" w:line="240" w:lineRule="auto"/>
        <w:jc w:val="both"/>
        <w:rPr>
          <w:rFonts w:ascii="Times New Roman" w:hAnsi="Times New Roman"/>
          <w:color w:val="000000"/>
          <w:sz w:val="24"/>
          <w:szCs w:val="24"/>
          <w:lang w:val="lt-LT"/>
        </w:rPr>
      </w:pPr>
      <w:r w:rsidRPr="00BE3276">
        <w:rPr>
          <w:rFonts w:ascii="Times New Roman" w:hAnsi="Times New Roman"/>
          <w:bCs/>
          <w:sz w:val="24"/>
          <w:szCs w:val="24"/>
          <w:lang w:val="lt-LT"/>
        </w:rPr>
        <w:t>Kontrolės skyriaus vyriausioji specialist</w:t>
      </w:r>
      <w:r>
        <w:rPr>
          <w:rFonts w:ascii="Times New Roman" w:hAnsi="Times New Roman"/>
          <w:bCs/>
          <w:sz w:val="24"/>
          <w:szCs w:val="24"/>
          <w:lang w:val="lt-LT"/>
        </w:rPr>
        <w:t xml:space="preserve">ė                  </w:t>
      </w:r>
      <w:r w:rsidRPr="00BE3276">
        <w:rPr>
          <w:rFonts w:ascii="Times New Roman" w:hAnsi="Times New Roman"/>
          <w:bCs/>
          <w:sz w:val="24"/>
          <w:szCs w:val="24"/>
          <w:lang w:val="lt-LT"/>
        </w:rPr>
        <w:t xml:space="preserve">                            </w:t>
      </w:r>
      <w:r w:rsidRPr="00BE3276">
        <w:rPr>
          <w:rFonts w:ascii="Times New Roman" w:hAnsi="Times New Roman"/>
          <w:sz w:val="24"/>
          <w:szCs w:val="24"/>
          <w:lang w:val="lt-LT"/>
        </w:rPr>
        <w:t>Virginija Gadliauskienė</w:t>
      </w:r>
    </w:p>
    <w:p w:rsidR="00BE3276" w:rsidRPr="00BE3276" w:rsidRDefault="00BE3276" w:rsidP="00BE3276">
      <w:pPr>
        <w:tabs>
          <w:tab w:val="left" w:pos="851"/>
        </w:tabs>
        <w:spacing w:after="0" w:line="240" w:lineRule="auto"/>
        <w:rPr>
          <w:rFonts w:ascii="Times New Roman" w:hAnsi="Times New Roman"/>
          <w:sz w:val="24"/>
          <w:szCs w:val="24"/>
          <w:lang w:val="en-US"/>
        </w:rPr>
      </w:pPr>
    </w:p>
    <w:p w:rsidR="00BE3276" w:rsidRP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Default="00BE3276" w:rsidP="00BE3276">
      <w:pPr>
        <w:tabs>
          <w:tab w:val="left" w:pos="851"/>
        </w:tabs>
        <w:spacing w:after="0" w:line="240" w:lineRule="auto"/>
        <w:rPr>
          <w:rFonts w:ascii="Times New Roman" w:hAnsi="Times New Roman"/>
          <w:sz w:val="24"/>
          <w:szCs w:val="24"/>
          <w:lang w:val="en-US"/>
        </w:rPr>
      </w:pPr>
    </w:p>
    <w:p w:rsidR="00BE3276" w:rsidRPr="00BE3276" w:rsidRDefault="00BE3276" w:rsidP="00BE3276">
      <w:pPr>
        <w:tabs>
          <w:tab w:val="left" w:pos="851"/>
        </w:tabs>
        <w:spacing w:after="0" w:line="240" w:lineRule="auto"/>
        <w:rPr>
          <w:rFonts w:ascii="Times New Roman" w:hAnsi="Times New Roman"/>
          <w:sz w:val="24"/>
          <w:szCs w:val="24"/>
          <w:lang w:val="en-US"/>
        </w:rPr>
      </w:pPr>
    </w:p>
    <w:p w:rsidR="00BE3276" w:rsidRPr="00BE3276" w:rsidRDefault="00BE3276" w:rsidP="00BE3276">
      <w:pPr>
        <w:tabs>
          <w:tab w:val="left" w:pos="851"/>
        </w:tabs>
        <w:spacing w:after="0" w:line="240" w:lineRule="auto"/>
        <w:rPr>
          <w:rFonts w:ascii="Times New Roman" w:hAnsi="Times New Roman"/>
          <w:sz w:val="16"/>
          <w:szCs w:val="16"/>
          <w:lang w:val="en-US"/>
        </w:rPr>
      </w:pPr>
    </w:p>
    <w:p w:rsidR="00BE3276" w:rsidRPr="00BE3276" w:rsidRDefault="00BE3276" w:rsidP="00BE3276">
      <w:pPr>
        <w:tabs>
          <w:tab w:val="left" w:pos="851"/>
        </w:tabs>
        <w:spacing w:after="0" w:line="240" w:lineRule="auto"/>
        <w:rPr>
          <w:rFonts w:ascii="Times New Roman" w:hAnsi="Times New Roman"/>
          <w:sz w:val="16"/>
          <w:szCs w:val="16"/>
          <w:lang w:val="en-US"/>
        </w:rPr>
      </w:pPr>
    </w:p>
    <w:p w:rsidR="00BE3276" w:rsidRPr="00BE3276" w:rsidRDefault="00BE3276" w:rsidP="00BE3276">
      <w:pPr>
        <w:tabs>
          <w:tab w:val="left" w:pos="851"/>
        </w:tabs>
        <w:spacing w:after="0" w:line="240" w:lineRule="auto"/>
        <w:rPr>
          <w:rFonts w:ascii="Times New Roman" w:hAnsi="Times New Roman"/>
          <w:sz w:val="16"/>
          <w:szCs w:val="16"/>
          <w:lang w:val="en-US"/>
        </w:rPr>
      </w:pPr>
    </w:p>
    <w:p w:rsidR="00BE3276" w:rsidRPr="00BE3276" w:rsidRDefault="00BE3276" w:rsidP="00BE3276">
      <w:pPr>
        <w:tabs>
          <w:tab w:val="left" w:pos="851"/>
        </w:tabs>
        <w:spacing w:after="0" w:line="240" w:lineRule="auto"/>
        <w:rPr>
          <w:rFonts w:ascii="Times New Roman" w:hAnsi="Times New Roman"/>
          <w:sz w:val="24"/>
          <w:szCs w:val="24"/>
          <w:lang w:val="en-US"/>
        </w:rPr>
      </w:pPr>
      <w:r w:rsidRPr="00BE3276">
        <w:rPr>
          <w:rFonts w:ascii="Times New Roman" w:hAnsi="Times New Roman"/>
          <w:sz w:val="24"/>
          <w:szCs w:val="24"/>
          <w:lang w:val="en-US"/>
        </w:rPr>
        <w:t>V. Gadliauskienė, tel. (8 5) 219 7026, el. p. Virginija.Gadliauskiene@vpt.lt</w:t>
      </w:r>
    </w:p>
    <w:p w:rsidR="0099238C" w:rsidRPr="00BE3276" w:rsidRDefault="0099238C" w:rsidP="0099238C">
      <w:pPr>
        <w:spacing w:after="0" w:line="240" w:lineRule="auto"/>
        <w:ind w:firstLine="709"/>
        <w:rPr>
          <w:rFonts w:ascii="Times New Roman" w:hAnsi="Times New Roman"/>
          <w:sz w:val="24"/>
          <w:szCs w:val="24"/>
          <w:lang w:val="en-US"/>
        </w:rPr>
      </w:pPr>
    </w:p>
    <w:sectPr w:rsidR="0099238C" w:rsidRPr="00BE3276" w:rsidSect="00BC735C">
      <w:headerReference w:type="default" r:id="rId9"/>
      <w:pgSz w:w="11906" w:h="16838"/>
      <w:pgMar w:top="1440" w:right="566"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BCA" w:rsidRDefault="00366BCA" w:rsidP="00E848D8">
      <w:pPr>
        <w:spacing w:after="0" w:line="240" w:lineRule="auto"/>
      </w:pPr>
      <w:r>
        <w:separator/>
      </w:r>
    </w:p>
  </w:endnote>
  <w:endnote w:type="continuationSeparator" w:id="0">
    <w:p w:rsidR="00366BCA" w:rsidRDefault="00366BCA" w:rsidP="00E84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BCA" w:rsidRDefault="00366BCA" w:rsidP="00E848D8">
      <w:pPr>
        <w:spacing w:after="0" w:line="240" w:lineRule="auto"/>
      </w:pPr>
      <w:r>
        <w:separator/>
      </w:r>
    </w:p>
  </w:footnote>
  <w:footnote w:type="continuationSeparator" w:id="0">
    <w:p w:rsidR="00366BCA" w:rsidRDefault="00366BCA" w:rsidP="00E848D8">
      <w:pPr>
        <w:spacing w:after="0" w:line="240" w:lineRule="auto"/>
      </w:pPr>
      <w:r>
        <w:continuationSeparator/>
      </w:r>
    </w:p>
  </w:footnote>
  <w:footnote w:id="1">
    <w:p w:rsidR="00366BCA" w:rsidRPr="004A1F53" w:rsidRDefault="00366BCA" w:rsidP="009C7D93">
      <w:pPr>
        <w:pStyle w:val="FootnoteText"/>
        <w:jc w:val="both"/>
        <w:rPr>
          <w:rFonts w:ascii="Times New Roman" w:hAnsi="Times New Roman" w:cs="Times New Roman"/>
          <w:lang w:val="lt-LT"/>
        </w:rPr>
      </w:pPr>
      <w:r w:rsidRPr="004A1F53">
        <w:rPr>
          <w:rStyle w:val="FootnoteReference"/>
          <w:rFonts w:ascii="Times New Roman" w:hAnsi="Times New Roman" w:cs="Times New Roman"/>
        </w:rPr>
        <w:footnoteRef/>
      </w:r>
      <w:r w:rsidRPr="004A1F53">
        <w:rPr>
          <w:rFonts w:ascii="Times New Roman" w:hAnsi="Times New Roman" w:cs="Times New Roman"/>
          <w:lang w:val="en-US"/>
        </w:rPr>
        <w:t xml:space="preserve"> </w:t>
      </w:r>
      <w:r w:rsidRPr="004A1F53">
        <w:rPr>
          <w:rFonts w:ascii="Times New Roman" w:hAnsi="Times New Roman" w:cs="Times New Roman"/>
          <w:lang w:val="lt-LT"/>
        </w:rPr>
        <w:t>„Numatomo pirkimo vertė yra perkančiosios organizacijos numatomos sudaryti pirkimo sutarties vertė, skaičiuojama imant visą mokėtiną sumą be pridėtinės vertės mokesčio, įskaitant visas pirkimo sutarties pasirinkimo ir atnaujinimo galimybes.“</w:t>
      </w:r>
    </w:p>
  </w:footnote>
  <w:footnote w:id="2">
    <w:p w:rsidR="00366BCA" w:rsidRPr="004A1F53" w:rsidRDefault="00366BCA" w:rsidP="009C7D93">
      <w:pPr>
        <w:pStyle w:val="FootnoteText"/>
        <w:jc w:val="both"/>
        <w:rPr>
          <w:rFonts w:ascii="Times New Roman" w:hAnsi="Times New Roman" w:cs="Times New Roman"/>
          <w:lang w:val="lt-LT"/>
        </w:rPr>
      </w:pPr>
      <w:r w:rsidRPr="004A1F53">
        <w:rPr>
          <w:rStyle w:val="FootnoteReference"/>
          <w:rFonts w:ascii="Times New Roman" w:hAnsi="Times New Roman" w:cs="Times New Roman"/>
        </w:rPr>
        <w:footnoteRef/>
      </w:r>
      <w:r w:rsidRPr="004A1F53">
        <w:rPr>
          <w:rFonts w:ascii="Times New Roman" w:hAnsi="Times New Roman" w:cs="Times New Roman"/>
          <w:lang w:val="lt-LT"/>
        </w:rPr>
        <w:t xml:space="preserve"> Numatomo prekių, paslaugų ar darbų pirkimo vertė apskaičiuojama pagal Viešųjų pirkimų tarnybos patvirtintą pirkimo vertės apskaičiavimo metodiką“.</w:t>
      </w:r>
    </w:p>
  </w:footnote>
  <w:footnote w:id="3">
    <w:p w:rsidR="00366BCA" w:rsidRPr="009C7D93" w:rsidRDefault="00366BCA" w:rsidP="009C7D93">
      <w:pPr>
        <w:pStyle w:val="FootnoteText"/>
        <w:jc w:val="both"/>
        <w:rPr>
          <w:rFonts w:ascii="Times New Roman" w:hAnsi="Times New Roman" w:cs="Times New Roman"/>
          <w:lang w:val="lt-LT"/>
        </w:rPr>
      </w:pPr>
      <w:r w:rsidRPr="009C7D93">
        <w:rPr>
          <w:rStyle w:val="FootnoteReference"/>
          <w:rFonts w:ascii="Times New Roman" w:hAnsi="Times New Roman" w:cs="Times New Roman"/>
        </w:rPr>
        <w:footnoteRef/>
      </w:r>
      <w:r w:rsidRPr="009C7D93">
        <w:rPr>
          <w:rFonts w:ascii="Times New Roman" w:hAnsi="Times New Roman" w:cs="Times New Roman"/>
          <w:lang w:val="lt-LT"/>
        </w:rPr>
        <w:t xml:space="preserve"> „Siekiant įsitikinti, ar tiekėjas bus pajėgus įvykdyti pirkimo sutartį, vadovaujantis Viešųjų pirkimų įstatymo 32-38 straipsnių nuostatomis &lt;...&gt;“.</w:t>
      </w:r>
    </w:p>
  </w:footnote>
  <w:footnote w:id="4">
    <w:p w:rsidR="00366BCA" w:rsidRPr="006D6E2D" w:rsidRDefault="00366BCA">
      <w:pPr>
        <w:pStyle w:val="FootnoteText"/>
        <w:rPr>
          <w:rFonts w:ascii="Times New Roman" w:hAnsi="Times New Roman" w:cs="Times New Roman"/>
          <w:lang w:val="lt-LT"/>
        </w:rPr>
      </w:pPr>
      <w:r w:rsidRPr="006D6E2D">
        <w:rPr>
          <w:rStyle w:val="FootnoteReference"/>
          <w:rFonts w:ascii="Times New Roman" w:hAnsi="Times New Roman" w:cs="Times New Roman"/>
        </w:rPr>
        <w:footnoteRef/>
      </w:r>
      <w:r w:rsidRPr="006D6E2D">
        <w:rPr>
          <w:rFonts w:ascii="Times New Roman" w:hAnsi="Times New Roman" w:cs="Times New Roman"/>
          <w:lang w:val="lt-LT"/>
        </w:rPr>
        <w:t xml:space="preserve"> „Perkančioji organizacija turi įsitikinti, kad siūlymą pateikęs tiekėjas yra pajėgus įvykdyti pirkimo sutartį. &lt;...&gt;“</w:t>
      </w:r>
      <w:r>
        <w:rPr>
          <w:rFonts w:ascii="Times New Roman" w:hAnsi="Times New Roman" w:cs="Times New Roman"/>
          <w:lang w:val="lt-LT"/>
        </w:rPr>
        <w:t>.</w:t>
      </w:r>
    </w:p>
  </w:footnote>
  <w:footnote w:id="5">
    <w:p w:rsidR="00366BCA" w:rsidRPr="009C7D93" w:rsidRDefault="00366BCA" w:rsidP="009C7D93">
      <w:pPr>
        <w:pStyle w:val="FootnoteText"/>
        <w:jc w:val="both"/>
        <w:rPr>
          <w:rFonts w:ascii="Times New Roman" w:hAnsi="Times New Roman" w:cs="Times New Roman"/>
          <w:lang w:val="lt-LT"/>
        </w:rPr>
      </w:pPr>
      <w:r w:rsidRPr="007B53F6">
        <w:rPr>
          <w:rStyle w:val="FootnoteReference"/>
          <w:rFonts w:ascii="Times New Roman" w:hAnsi="Times New Roman" w:cs="Times New Roman"/>
        </w:rPr>
        <w:footnoteRef/>
      </w:r>
      <w:r w:rsidRPr="00587F24">
        <w:rPr>
          <w:rFonts w:ascii="Times New Roman" w:hAnsi="Times New Roman" w:cs="Times New Roman"/>
          <w:lang w:val="lt-LT"/>
        </w:rPr>
        <w:t xml:space="preserve"> “</w:t>
      </w:r>
      <w:r w:rsidRPr="00AA46F3">
        <w:rPr>
          <w:rFonts w:ascii="Times New Roman" w:hAnsi="Times New Roman" w:cs="Times New Roman"/>
          <w:lang w:val="lt-LT"/>
        </w:rPr>
        <w:t>Perkančio</w:t>
      </w:r>
      <w:r>
        <w:rPr>
          <w:rFonts w:ascii="Times New Roman" w:hAnsi="Times New Roman" w:cs="Times New Roman"/>
          <w:lang w:val="lt-LT"/>
        </w:rPr>
        <w:t xml:space="preserve">sios organizacijos nustatyti minimalūs kandidatų ar dalyvių kvalifikacijos reikalavimai negali dirbtinai </w:t>
      </w:r>
      <w:r w:rsidRPr="009C7D93">
        <w:rPr>
          <w:rFonts w:ascii="Times New Roman" w:hAnsi="Times New Roman" w:cs="Times New Roman"/>
          <w:lang w:val="lt-LT"/>
        </w:rPr>
        <w:t>riboti konkurencijos. Jie turi būti pagrįsti ir proporcingi pirkimo objektui, tikslūs ir aiškūs“.</w:t>
      </w:r>
    </w:p>
  </w:footnote>
  <w:footnote w:id="6">
    <w:p w:rsidR="00366BCA" w:rsidRPr="009C7D93" w:rsidRDefault="00366BCA" w:rsidP="009C7D93">
      <w:pPr>
        <w:pStyle w:val="FootnoteText"/>
        <w:jc w:val="both"/>
        <w:rPr>
          <w:lang w:val="lt-LT"/>
        </w:rPr>
      </w:pPr>
      <w:r w:rsidRPr="009C7D93">
        <w:rPr>
          <w:rStyle w:val="FootnoteReference"/>
          <w:rFonts w:ascii="Times New Roman" w:hAnsi="Times New Roman" w:cs="Times New Roman"/>
        </w:rPr>
        <w:footnoteRef/>
      </w:r>
      <w:r w:rsidRPr="009C7D93">
        <w:rPr>
          <w:rFonts w:ascii="Times New Roman" w:hAnsi="Times New Roman" w:cs="Times New Roman"/>
          <w:lang w:val="lt-LT"/>
        </w:rPr>
        <w:t xml:space="preserve"> „Parinkdama tiekėją, perkančioji organizacija, vadovaudamasi šio įstatymo 32-38 straipsniuose nustatytais reikalavimais &lt;...&gt;“.</w:t>
      </w:r>
      <w:r>
        <w:rPr>
          <w:lang w:val="lt-LT"/>
        </w:rPr>
        <w:t xml:space="preserve"> </w:t>
      </w:r>
    </w:p>
  </w:footnote>
  <w:footnote w:id="7">
    <w:p w:rsidR="00366BCA" w:rsidRPr="009C7D93" w:rsidRDefault="00366BCA" w:rsidP="009C7D93">
      <w:pPr>
        <w:pStyle w:val="FootnoteText"/>
        <w:jc w:val="both"/>
        <w:rPr>
          <w:lang w:val="lt-LT"/>
        </w:rPr>
      </w:pPr>
      <w:r w:rsidRPr="009E722C">
        <w:rPr>
          <w:rStyle w:val="FootnoteReference"/>
          <w:rFonts w:ascii="Times New Roman" w:hAnsi="Times New Roman" w:cs="Times New Roman"/>
        </w:rPr>
        <w:footnoteRef/>
      </w:r>
      <w:r w:rsidRPr="009E722C">
        <w:rPr>
          <w:rFonts w:ascii="Times New Roman" w:hAnsi="Times New Roman" w:cs="Times New Roman"/>
          <w:lang w:val="lt-LT"/>
        </w:rPr>
        <w:t xml:space="preserve"> „Perkančioji organizacija &lt;...&gt; supaprastintus pirkimus atlieka pagal pasitvirtintas taisykles &lt;...&gt;“.</w:t>
      </w:r>
    </w:p>
  </w:footnote>
  <w:footnote w:id="8">
    <w:p w:rsidR="00366BCA" w:rsidRPr="0052028E" w:rsidRDefault="00366BCA" w:rsidP="0052028E">
      <w:pPr>
        <w:pStyle w:val="FootnoteText"/>
        <w:jc w:val="both"/>
        <w:rPr>
          <w:rFonts w:ascii="Times New Roman" w:hAnsi="Times New Roman" w:cs="Times New Roman"/>
          <w:lang w:val="lt-LT"/>
        </w:rPr>
      </w:pPr>
      <w:r>
        <w:rPr>
          <w:rStyle w:val="FootnoteReference"/>
        </w:rPr>
        <w:footnoteRef/>
      </w:r>
      <w:r w:rsidRPr="0052028E">
        <w:rPr>
          <w:lang w:val="lt-LT"/>
        </w:rPr>
        <w:t xml:space="preserve"> </w:t>
      </w:r>
      <w:r w:rsidRPr="0052028E">
        <w:rPr>
          <w:rFonts w:ascii="Times New Roman" w:hAnsi="Times New Roman" w:cs="Times New Roman"/>
          <w:lang w:val="lt-LT"/>
        </w:rPr>
        <w:t>“Perkančioji organizacija užtikrina, kad atliekant pirkimo procedūras ir nustatant laimėtoją būtų laikomasi lygiateisiškumo &lt;...&gt; proporcingumo ir skaidrumo principų“.</w:t>
      </w:r>
    </w:p>
  </w:footnote>
  <w:footnote w:id="9">
    <w:p w:rsidR="00366BCA" w:rsidRPr="00366BCA" w:rsidRDefault="00366BCA" w:rsidP="00366BCA">
      <w:pPr>
        <w:pStyle w:val="FootnoteText"/>
        <w:jc w:val="both"/>
        <w:rPr>
          <w:lang w:val="lt-LT"/>
        </w:rPr>
      </w:pPr>
      <w:r>
        <w:rPr>
          <w:rStyle w:val="FootnoteReference"/>
        </w:rPr>
        <w:footnoteRef/>
      </w:r>
      <w:r w:rsidRPr="00366BCA">
        <w:rPr>
          <w:lang w:val="lt-LT"/>
        </w:rPr>
        <w:t xml:space="preserve"> </w:t>
      </w:r>
      <w:r>
        <w:rPr>
          <w:lang w:val="lt-LT"/>
        </w:rPr>
        <w:t>„</w:t>
      </w:r>
      <w:r w:rsidRPr="00366BCA">
        <w:rPr>
          <w:rFonts w:ascii="Times New Roman" w:hAnsi="Times New Roman" w:cs="Times New Roman"/>
          <w:lang w:val="lt-LT"/>
        </w:rPr>
        <w:t>Perkančioji organizacija &lt;...&gt; atlikdama supaprastintus pirkimus privalo vadovautis šio įstatymo I skyriaus &lt;...&gt; reikalavimais &lt;...&gt;;</w:t>
      </w:r>
    </w:p>
  </w:footnote>
  <w:footnote w:id="10">
    <w:p w:rsidR="00366BCA" w:rsidRPr="003365D8" w:rsidRDefault="00366BCA" w:rsidP="00366BCA">
      <w:pPr>
        <w:pStyle w:val="FootnoteText"/>
        <w:jc w:val="both"/>
        <w:rPr>
          <w:lang w:val="lt-LT"/>
        </w:rPr>
      </w:pPr>
      <w:r>
        <w:rPr>
          <w:rStyle w:val="FootnoteReference"/>
        </w:rPr>
        <w:footnoteRef/>
      </w:r>
      <w:r w:rsidRPr="003365D8">
        <w:rPr>
          <w:lang w:val="lt-LT"/>
        </w:rPr>
        <w:t xml:space="preserve"> </w:t>
      </w:r>
      <w:r>
        <w:rPr>
          <w:rFonts w:ascii="Times New Roman" w:hAnsi="Times New Roman" w:cs="Times New Roman"/>
          <w:lang w:val="lt-LT"/>
        </w:rPr>
        <w:t>„Pirkimai atliekami laikantis lygiateisiškumo &lt;...&gt; proporcingumo bei skaidrumo principų, siekiant raštu sudaryti pirkimo sutartį &lt;...&gt;</w:t>
      </w:r>
      <w:r w:rsidRPr="001D788B">
        <w:rPr>
          <w:rFonts w:ascii="Times New Roman" w:hAnsi="Times New Roman" w:cs="Times New Roman"/>
          <w:lang w:val="lt-LT"/>
        </w:rPr>
        <w:t xml:space="preserve"> </w:t>
      </w:r>
      <w:r>
        <w:rPr>
          <w:rFonts w:ascii="Times New Roman" w:hAnsi="Times New Roman" w:cs="Times New Roman"/>
          <w:lang w:val="lt-LT"/>
        </w:rPr>
        <w:t>racionaliai naudojant tam skirtas lėšas &lt;...&gt;“;</w:t>
      </w:r>
    </w:p>
  </w:footnote>
  <w:footnote w:id="11">
    <w:p w:rsidR="00366BCA" w:rsidRPr="003365D8" w:rsidRDefault="00366BCA" w:rsidP="00366BCA">
      <w:pPr>
        <w:pStyle w:val="FootnoteText"/>
        <w:jc w:val="both"/>
        <w:rPr>
          <w:lang w:val="lt-LT"/>
        </w:rPr>
      </w:pPr>
      <w:r>
        <w:rPr>
          <w:rStyle w:val="FootnoteReference"/>
        </w:rPr>
        <w:footnoteRef/>
      </w:r>
      <w:r w:rsidRPr="003365D8">
        <w:rPr>
          <w:lang w:val="lt-LT"/>
        </w:rPr>
        <w:t xml:space="preserve"> </w:t>
      </w:r>
      <w:r>
        <w:rPr>
          <w:rFonts w:ascii="Times New Roman" w:hAnsi="Times New Roman" w:cs="Times New Roman"/>
          <w:lang w:val="lt-LT"/>
        </w:rPr>
        <w:t>„Komisija ir Viešųjų pirkimų organizatorius dirba pagal perkančiosios organizacijos direktoriaus patvirtintus Komisijos nuostatus“;</w:t>
      </w:r>
    </w:p>
  </w:footnote>
  <w:footnote w:id="12">
    <w:p w:rsidR="00366BCA" w:rsidRPr="00366BCA" w:rsidRDefault="00366BCA">
      <w:pPr>
        <w:pStyle w:val="FootnoteText"/>
        <w:rPr>
          <w:lang w:val="lt-LT"/>
        </w:rPr>
      </w:pPr>
      <w:r>
        <w:rPr>
          <w:rStyle w:val="FootnoteReference"/>
        </w:rPr>
        <w:footnoteRef/>
      </w:r>
      <w:r w:rsidRPr="00366BCA">
        <w:rPr>
          <w:lang w:val="lt-LT"/>
        </w:rPr>
        <w:t xml:space="preserve"> </w:t>
      </w:r>
      <w:r>
        <w:rPr>
          <w:rFonts w:ascii="Times New Roman" w:hAnsi="Times New Roman" w:cs="Times New Roman"/>
          <w:lang w:val="lt-LT"/>
        </w:rPr>
        <w:t>„</w:t>
      </w:r>
      <w:r w:rsidRPr="00C45765">
        <w:rPr>
          <w:rFonts w:ascii="Times New Roman" w:hAnsi="Times New Roman" w:cs="Times New Roman"/>
          <w:lang w:val="lt-LT"/>
        </w:rPr>
        <w:t>Perkančioji organizacija turi turėti dokumentus, pagrindžiančius jos priimtų sprendimų atitiktį šio įstatymo</w:t>
      </w:r>
      <w:r>
        <w:rPr>
          <w:rFonts w:ascii="Times New Roman" w:hAnsi="Times New Roman" w:cs="Times New Roman"/>
          <w:lang w:val="lt-LT"/>
        </w:rPr>
        <w:t xml:space="preserve"> reikalavimams“.</w:t>
      </w:r>
    </w:p>
  </w:footnote>
  <w:footnote w:id="13">
    <w:p w:rsidR="00366BCA" w:rsidRPr="004A1F53" w:rsidRDefault="00366BCA" w:rsidP="004A1F53">
      <w:pPr>
        <w:pStyle w:val="FootnoteText"/>
        <w:rPr>
          <w:rFonts w:ascii="Times New Roman" w:hAnsi="Times New Roman" w:cs="Times New Roman"/>
          <w:lang w:val="lt-LT"/>
        </w:rPr>
      </w:pPr>
      <w:r w:rsidRPr="004A1F53">
        <w:rPr>
          <w:rStyle w:val="FootnoteReference"/>
          <w:rFonts w:ascii="Times New Roman" w:hAnsi="Times New Roman" w:cs="Times New Roman"/>
        </w:rPr>
        <w:footnoteRef/>
      </w:r>
      <w:r w:rsidRPr="004A1F53">
        <w:rPr>
          <w:rFonts w:ascii="Times New Roman" w:hAnsi="Times New Roman" w:cs="Times New Roman"/>
          <w:lang w:val="lt-LT"/>
        </w:rPr>
        <w:t xml:space="preserve"> </w:t>
      </w:r>
      <w:r>
        <w:rPr>
          <w:rFonts w:ascii="Times New Roman" w:hAnsi="Times New Roman" w:cs="Times New Roman"/>
          <w:lang w:val="lt-LT"/>
        </w:rPr>
        <w:t>Žr. išnašą Nr. 1.</w:t>
      </w:r>
    </w:p>
  </w:footnote>
  <w:footnote w:id="14">
    <w:p w:rsidR="00366BCA" w:rsidRPr="004A1F53" w:rsidRDefault="00366BCA" w:rsidP="004A1F53">
      <w:pPr>
        <w:pStyle w:val="FootnoteText"/>
        <w:rPr>
          <w:rFonts w:ascii="Times New Roman" w:hAnsi="Times New Roman" w:cs="Times New Roman"/>
          <w:lang w:val="lt-LT"/>
        </w:rPr>
      </w:pPr>
      <w:r w:rsidRPr="004A1F53">
        <w:rPr>
          <w:rStyle w:val="FootnoteReference"/>
          <w:rFonts w:ascii="Times New Roman" w:hAnsi="Times New Roman" w:cs="Times New Roman"/>
        </w:rPr>
        <w:footnoteRef/>
      </w:r>
      <w:r w:rsidRPr="004A1F53">
        <w:rPr>
          <w:rFonts w:ascii="Times New Roman" w:hAnsi="Times New Roman" w:cs="Times New Roman"/>
          <w:lang w:val="lt-LT"/>
        </w:rPr>
        <w:t xml:space="preserve"> </w:t>
      </w:r>
      <w:r>
        <w:rPr>
          <w:rFonts w:ascii="Times New Roman" w:hAnsi="Times New Roman" w:cs="Times New Roman"/>
          <w:lang w:val="lt-LT"/>
        </w:rPr>
        <w:t>Žr. išnašą Nr. 2.</w:t>
      </w:r>
    </w:p>
  </w:footnote>
  <w:footnote w:id="15">
    <w:p w:rsidR="00366BCA" w:rsidRPr="006D6E2D" w:rsidRDefault="00366BCA" w:rsidP="009E722C">
      <w:pPr>
        <w:pStyle w:val="FootnoteText"/>
        <w:jc w:val="both"/>
        <w:rPr>
          <w:rFonts w:ascii="Times New Roman" w:hAnsi="Times New Roman" w:cs="Times New Roman"/>
          <w:lang w:val="lt-LT"/>
        </w:rPr>
      </w:pPr>
      <w:r w:rsidRPr="009C7D93">
        <w:rPr>
          <w:rStyle w:val="FootnoteReference"/>
          <w:rFonts w:ascii="Times New Roman" w:hAnsi="Times New Roman" w:cs="Times New Roman"/>
        </w:rPr>
        <w:footnoteRef/>
      </w:r>
      <w:r w:rsidRPr="009C7D93">
        <w:rPr>
          <w:rFonts w:ascii="Times New Roman" w:hAnsi="Times New Roman" w:cs="Times New Roman"/>
          <w:lang w:val="lt-LT"/>
        </w:rPr>
        <w:t xml:space="preserve"> </w:t>
      </w:r>
      <w:r w:rsidRPr="006D6E2D">
        <w:rPr>
          <w:rFonts w:ascii="Times New Roman" w:hAnsi="Times New Roman" w:cs="Times New Roman"/>
          <w:lang w:val="lt-LT"/>
        </w:rPr>
        <w:t>Žr. išnašą Nr. 3.</w:t>
      </w:r>
    </w:p>
  </w:footnote>
  <w:footnote w:id="16">
    <w:p w:rsidR="00366BCA" w:rsidRPr="006D6E2D" w:rsidRDefault="00366BCA">
      <w:pPr>
        <w:pStyle w:val="FootnoteText"/>
        <w:rPr>
          <w:lang w:val="lt-LT"/>
        </w:rPr>
      </w:pPr>
      <w:r w:rsidRPr="006D6E2D">
        <w:rPr>
          <w:rStyle w:val="FootnoteReference"/>
          <w:rFonts w:ascii="Times New Roman" w:hAnsi="Times New Roman" w:cs="Times New Roman"/>
        </w:rPr>
        <w:footnoteRef/>
      </w:r>
      <w:r w:rsidRPr="00860BC2">
        <w:rPr>
          <w:rFonts w:ascii="Times New Roman" w:hAnsi="Times New Roman" w:cs="Times New Roman"/>
          <w:lang w:val="lt-LT"/>
        </w:rPr>
        <w:t xml:space="preserve"> </w:t>
      </w:r>
      <w:r w:rsidRPr="006D6E2D">
        <w:rPr>
          <w:rFonts w:ascii="Times New Roman" w:hAnsi="Times New Roman" w:cs="Times New Roman"/>
          <w:lang w:val="lt-LT"/>
        </w:rPr>
        <w:t xml:space="preserve">Žr. išnašą Nr. </w:t>
      </w:r>
      <w:r>
        <w:rPr>
          <w:rFonts w:ascii="Times New Roman" w:hAnsi="Times New Roman" w:cs="Times New Roman"/>
          <w:lang w:val="lt-LT"/>
        </w:rPr>
        <w:t>4</w:t>
      </w:r>
      <w:r w:rsidRPr="006D6E2D">
        <w:rPr>
          <w:rFonts w:ascii="Times New Roman" w:hAnsi="Times New Roman" w:cs="Times New Roman"/>
          <w:lang w:val="lt-LT"/>
        </w:rPr>
        <w:t>.</w:t>
      </w:r>
    </w:p>
  </w:footnote>
  <w:footnote w:id="17">
    <w:p w:rsidR="00366BCA" w:rsidRPr="009C7D93" w:rsidRDefault="00366BCA" w:rsidP="009E722C">
      <w:pPr>
        <w:pStyle w:val="FootnoteText"/>
        <w:jc w:val="both"/>
        <w:rPr>
          <w:rFonts w:ascii="Times New Roman" w:hAnsi="Times New Roman" w:cs="Times New Roman"/>
          <w:lang w:val="lt-LT"/>
        </w:rPr>
      </w:pPr>
      <w:r w:rsidRPr="007B53F6">
        <w:rPr>
          <w:rStyle w:val="FootnoteReference"/>
          <w:rFonts w:ascii="Times New Roman" w:hAnsi="Times New Roman" w:cs="Times New Roman"/>
        </w:rPr>
        <w:footnoteRef/>
      </w:r>
      <w:r w:rsidRPr="00587F24">
        <w:rPr>
          <w:rFonts w:ascii="Times New Roman" w:hAnsi="Times New Roman" w:cs="Times New Roman"/>
          <w:lang w:val="lt-LT"/>
        </w:rPr>
        <w:t xml:space="preserve"> </w:t>
      </w:r>
      <w:r>
        <w:rPr>
          <w:rFonts w:ascii="Times New Roman" w:hAnsi="Times New Roman" w:cs="Times New Roman"/>
          <w:lang w:val="lt-LT"/>
        </w:rPr>
        <w:t>Žr. išnašą Nr. 5.</w:t>
      </w:r>
    </w:p>
  </w:footnote>
  <w:footnote w:id="18">
    <w:p w:rsidR="00366BCA" w:rsidRPr="009C7D93" w:rsidRDefault="00366BCA" w:rsidP="009E722C">
      <w:pPr>
        <w:pStyle w:val="FootnoteText"/>
        <w:jc w:val="both"/>
        <w:rPr>
          <w:lang w:val="lt-LT"/>
        </w:rPr>
      </w:pPr>
      <w:r w:rsidRPr="009C7D93">
        <w:rPr>
          <w:rStyle w:val="FootnoteReference"/>
          <w:rFonts w:ascii="Times New Roman" w:hAnsi="Times New Roman" w:cs="Times New Roman"/>
        </w:rPr>
        <w:footnoteRef/>
      </w:r>
      <w:r w:rsidRPr="009C7D93">
        <w:rPr>
          <w:rFonts w:ascii="Times New Roman" w:hAnsi="Times New Roman" w:cs="Times New Roman"/>
          <w:lang w:val="lt-LT"/>
        </w:rPr>
        <w:t xml:space="preserve"> </w:t>
      </w:r>
      <w:r>
        <w:rPr>
          <w:rFonts w:ascii="Times New Roman" w:hAnsi="Times New Roman" w:cs="Times New Roman"/>
          <w:lang w:val="lt-LT"/>
        </w:rPr>
        <w:t>Žr. išnašą Nr. 6.</w:t>
      </w:r>
    </w:p>
  </w:footnote>
  <w:footnote w:id="19">
    <w:p w:rsidR="00366BCA" w:rsidRPr="009C7D93" w:rsidRDefault="00366BCA" w:rsidP="009E722C">
      <w:pPr>
        <w:pStyle w:val="FootnoteText"/>
        <w:jc w:val="both"/>
        <w:rPr>
          <w:lang w:val="lt-LT"/>
        </w:rPr>
      </w:pPr>
      <w:r w:rsidRPr="009E722C">
        <w:rPr>
          <w:rStyle w:val="FootnoteReference"/>
          <w:rFonts w:ascii="Times New Roman" w:hAnsi="Times New Roman" w:cs="Times New Roman"/>
        </w:rPr>
        <w:footnoteRef/>
      </w:r>
      <w:r w:rsidRPr="009E722C">
        <w:rPr>
          <w:rFonts w:ascii="Times New Roman" w:hAnsi="Times New Roman" w:cs="Times New Roman"/>
          <w:lang w:val="lt-LT"/>
        </w:rPr>
        <w:t xml:space="preserve"> </w:t>
      </w:r>
      <w:r>
        <w:rPr>
          <w:rFonts w:ascii="Times New Roman" w:hAnsi="Times New Roman" w:cs="Times New Roman"/>
          <w:lang w:val="lt-LT"/>
        </w:rPr>
        <w:t>Žr. išnašą Nr. 7.</w:t>
      </w:r>
    </w:p>
  </w:footnote>
  <w:footnote w:id="20">
    <w:p w:rsidR="00366BCA" w:rsidRPr="005A74AF" w:rsidRDefault="00366BCA" w:rsidP="003E2AAE">
      <w:pPr>
        <w:pStyle w:val="FootnoteText"/>
        <w:jc w:val="both"/>
        <w:rPr>
          <w:lang w:val="lt-LT"/>
        </w:rPr>
      </w:pPr>
      <w:r>
        <w:rPr>
          <w:rStyle w:val="FootnoteReference"/>
        </w:rPr>
        <w:footnoteRef/>
      </w:r>
      <w:r w:rsidRPr="005A74AF">
        <w:rPr>
          <w:lang w:val="lt-LT"/>
        </w:rPr>
        <w:t xml:space="preserve"> </w:t>
      </w:r>
      <w:r>
        <w:rPr>
          <w:rFonts w:ascii="Times New Roman" w:hAnsi="Times New Roman" w:cs="Times New Roman"/>
          <w:lang w:val="lt-LT"/>
        </w:rPr>
        <w:t>„&lt;...&gt; tiekėjai teikdami pasiūlymus deklaruoja apie tai, ar jie atitinka pirkimo dokumentuose nustatytus minimalius kvalifikacijos reikalavimus, užpildydami &lt;...&gt;atitikties deklaraciją. Deklaruotų tiekėjo kvalifikacinių duomenų patikrinimas ir įvertinimas atliekamas tik tiekėjo, pasiūlymų eilėje įrašy</w:t>
      </w:r>
      <w:r w:rsidR="004C795A">
        <w:rPr>
          <w:rFonts w:ascii="Times New Roman" w:hAnsi="Times New Roman" w:cs="Times New Roman"/>
          <w:lang w:val="lt-LT"/>
        </w:rPr>
        <w:t>to pirmuoju numeriu, atžvilgiu“;</w:t>
      </w:r>
    </w:p>
  </w:footnote>
  <w:footnote w:id="21">
    <w:p w:rsidR="00366BCA" w:rsidRPr="00557F01" w:rsidRDefault="00366BCA" w:rsidP="006D6E2D">
      <w:pPr>
        <w:pStyle w:val="FootnoteText"/>
        <w:rPr>
          <w:rFonts w:ascii="Times New Roman" w:hAnsi="Times New Roman" w:cs="Times New Roman"/>
          <w:lang w:val="lt-LT"/>
        </w:rPr>
      </w:pPr>
      <w:r w:rsidRPr="00557F01">
        <w:rPr>
          <w:rStyle w:val="FootnoteReference"/>
          <w:rFonts w:ascii="Times New Roman" w:hAnsi="Times New Roman" w:cs="Times New Roman"/>
        </w:rPr>
        <w:footnoteRef/>
      </w:r>
      <w:r w:rsidRPr="00557F01">
        <w:rPr>
          <w:rFonts w:ascii="Times New Roman" w:hAnsi="Times New Roman" w:cs="Times New Roman"/>
          <w:lang w:val="lt-LT"/>
        </w:rPr>
        <w:t xml:space="preserve"> </w:t>
      </w:r>
      <w:r w:rsidR="004C795A">
        <w:rPr>
          <w:rFonts w:ascii="Times New Roman" w:hAnsi="Times New Roman" w:cs="Times New Roman"/>
          <w:lang w:val="lt-LT"/>
        </w:rPr>
        <w:t>Žr. išnašą Nr. 10;</w:t>
      </w:r>
      <w:r>
        <w:rPr>
          <w:rFonts w:ascii="Times New Roman" w:hAnsi="Times New Roman" w:cs="Times New Roman"/>
          <w:lang w:val="lt-LT"/>
        </w:rPr>
        <w:t xml:space="preserve"> </w:t>
      </w:r>
    </w:p>
  </w:footnote>
  <w:footnote w:id="22">
    <w:p w:rsidR="00366BCA" w:rsidRPr="0023018D" w:rsidRDefault="00366BCA" w:rsidP="003E2AAE">
      <w:pPr>
        <w:pStyle w:val="FootnoteText"/>
        <w:jc w:val="both"/>
        <w:rPr>
          <w:rFonts w:ascii="Times New Roman" w:hAnsi="Times New Roman" w:cs="Times New Roman"/>
          <w:lang w:val="lt-LT"/>
        </w:rPr>
      </w:pPr>
      <w:r w:rsidRPr="0023018D">
        <w:rPr>
          <w:rStyle w:val="FootnoteReference"/>
          <w:rFonts w:ascii="Times New Roman" w:hAnsi="Times New Roman" w:cs="Times New Roman"/>
        </w:rPr>
        <w:footnoteRef/>
      </w:r>
      <w:r w:rsidRPr="0023018D">
        <w:rPr>
          <w:rFonts w:ascii="Times New Roman" w:hAnsi="Times New Roman" w:cs="Times New Roman"/>
          <w:lang w:val="lt-LT"/>
        </w:rPr>
        <w:t xml:space="preserve">  </w:t>
      </w:r>
      <w:r>
        <w:rPr>
          <w:rFonts w:ascii="Times New Roman" w:hAnsi="Times New Roman" w:cs="Times New Roman"/>
          <w:lang w:val="lt-LT"/>
        </w:rPr>
        <w:t xml:space="preserve">Perkančioji organizacija privalo išsiaiškinti, ar tiekėjas yra kompetentingas, patikimas ir pajėgus </w:t>
      </w:r>
      <w:r w:rsidR="004C795A">
        <w:rPr>
          <w:rFonts w:ascii="Times New Roman" w:hAnsi="Times New Roman" w:cs="Times New Roman"/>
          <w:lang w:val="lt-LT"/>
        </w:rPr>
        <w:t>įvykdyti pirkimo sąlygas &lt;...&gt;“;</w:t>
      </w:r>
    </w:p>
  </w:footnote>
  <w:footnote w:id="23">
    <w:p w:rsidR="00366BCA" w:rsidRPr="00557F01" w:rsidRDefault="00366BCA" w:rsidP="008E686C">
      <w:pPr>
        <w:pStyle w:val="FootnoteText"/>
        <w:rPr>
          <w:rFonts w:ascii="Times New Roman" w:hAnsi="Times New Roman" w:cs="Times New Roman"/>
          <w:lang w:val="lt-LT"/>
        </w:rPr>
      </w:pPr>
      <w:r w:rsidRPr="00557F01">
        <w:rPr>
          <w:rStyle w:val="FootnoteReference"/>
          <w:rFonts w:ascii="Times New Roman" w:hAnsi="Times New Roman" w:cs="Times New Roman"/>
        </w:rPr>
        <w:footnoteRef/>
      </w:r>
      <w:r w:rsidRPr="00557F01">
        <w:rPr>
          <w:rFonts w:ascii="Times New Roman" w:hAnsi="Times New Roman" w:cs="Times New Roman"/>
          <w:lang w:val="lt-LT"/>
        </w:rPr>
        <w:t xml:space="preserve"> </w:t>
      </w:r>
      <w:r w:rsidR="004C795A">
        <w:rPr>
          <w:rFonts w:ascii="Times New Roman" w:hAnsi="Times New Roman" w:cs="Times New Roman"/>
          <w:lang w:val="lt-LT"/>
        </w:rPr>
        <w:t>Žr. išnašą Nr. 10;</w:t>
      </w:r>
    </w:p>
  </w:footnote>
  <w:footnote w:id="24">
    <w:p w:rsidR="00366BCA" w:rsidRPr="0023018D" w:rsidRDefault="00366BCA" w:rsidP="008E686C">
      <w:pPr>
        <w:pStyle w:val="FootnoteText"/>
        <w:rPr>
          <w:rFonts w:ascii="Times New Roman" w:hAnsi="Times New Roman" w:cs="Times New Roman"/>
          <w:lang w:val="lt-LT"/>
        </w:rPr>
      </w:pPr>
      <w:r w:rsidRPr="0023018D">
        <w:rPr>
          <w:rStyle w:val="FootnoteReference"/>
          <w:rFonts w:ascii="Times New Roman" w:hAnsi="Times New Roman" w:cs="Times New Roman"/>
        </w:rPr>
        <w:footnoteRef/>
      </w:r>
      <w:r>
        <w:rPr>
          <w:rFonts w:ascii="Times New Roman" w:hAnsi="Times New Roman" w:cs="Times New Roman"/>
          <w:lang w:val="lt-LT"/>
        </w:rPr>
        <w:t xml:space="preserve"> „Pirkimų tikslas-vadovaujantis šio įstatymo reikalavimais sudaryti pirkimo sutartį, leidžiančią įsigyti perkančiajai organizacijai &lt;...&gt; reikalingų prekių, paslaugų ar darbų, racionali</w:t>
      </w:r>
      <w:r w:rsidR="004C795A">
        <w:rPr>
          <w:rFonts w:ascii="Times New Roman" w:hAnsi="Times New Roman" w:cs="Times New Roman"/>
          <w:lang w:val="lt-LT"/>
        </w:rPr>
        <w:t>ai naudojant tam skirtas lėšas“;</w:t>
      </w:r>
    </w:p>
  </w:footnote>
  <w:footnote w:id="25">
    <w:p w:rsidR="00366BCA" w:rsidRPr="005375DD" w:rsidRDefault="00366BCA">
      <w:pPr>
        <w:pStyle w:val="FootnoteText"/>
        <w:rPr>
          <w:rFonts w:ascii="Times New Roman" w:hAnsi="Times New Roman" w:cs="Times New Roman"/>
          <w:lang w:val="lt-LT"/>
        </w:rPr>
      </w:pPr>
      <w:r w:rsidRPr="005375DD">
        <w:rPr>
          <w:rStyle w:val="FootnoteReference"/>
          <w:rFonts w:ascii="Times New Roman" w:hAnsi="Times New Roman" w:cs="Times New Roman"/>
        </w:rPr>
        <w:footnoteRef/>
      </w:r>
      <w:r w:rsidRPr="005375DD">
        <w:rPr>
          <w:rFonts w:ascii="Times New Roman" w:hAnsi="Times New Roman" w:cs="Times New Roman"/>
          <w:lang w:val="lt-LT"/>
        </w:rPr>
        <w:t xml:space="preserve"> „Perkančioji organizacija laimėjusio dalyvio pasiūlymą, sudarytą sutartį ir pirkimo sutarties sąlygų pakeitimus &lt;...&gt; ne vėliau kaip per 10 dienų nuo pirkimo sutarties sudarymo ar jos sąlygų pakeitimo turi paskelbti Centrinėje viešųjų pirkimų informacinėje sistemoje“</w:t>
      </w:r>
      <w:r w:rsidR="004C795A">
        <w:rPr>
          <w:rFonts w:ascii="Times New Roman" w:hAnsi="Times New Roman" w:cs="Times New Roman"/>
          <w:lang w:val="lt-LT"/>
        </w:rPr>
        <w:t>;</w:t>
      </w:r>
    </w:p>
  </w:footnote>
  <w:footnote w:id="26">
    <w:p w:rsidR="00366BCA" w:rsidRPr="005375DD" w:rsidRDefault="00366BCA" w:rsidP="00023030">
      <w:pPr>
        <w:pStyle w:val="FootnoteText"/>
        <w:rPr>
          <w:rFonts w:ascii="Times New Roman" w:eastAsia="Calibri" w:hAnsi="Times New Roman" w:cs="Times New Roman"/>
          <w:lang w:val="lt-LT"/>
        </w:rPr>
      </w:pPr>
      <w:r w:rsidRPr="005375DD">
        <w:rPr>
          <w:rStyle w:val="FootnoteReference"/>
          <w:rFonts w:ascii="Times New Roman" w:hAnsi="Times New Roman" w:cs="Times New Roman"/>
        </w:rPr>
        <w:footnoteRef/>
      </w:r>
      <w:r w:rsidRPr="005375DD">
        <w:rPr>
          <w:rFonts w:ascii="Times New Roman" w:hAnsi="Times New Roman" w:cs="Times New Roman"/>
          <w:lang w:val="lt-LT"/>
        </w:rPr>
        <w:t xml:space="preserve"> </w:t>
      </w:r>
      <w:r w:rsidR="004C795A">
        <w:rPr>
          <w:rFonts w:ascii="Times New Roman" w:hAnsi="Times New Roman" w:cs="Times New Roman"/>
          <w:lang w:val="lt-LT"/>
        </w:rPr>
        <w:t>Žr. išnašą Nr. 9;</w:t>
      </w:r>
    </w:p>
  </w:footnote>
  <w:footnote w:id="27">
    <w:p w:rsidR="00366BCA" w:rsidRPr="003365D8" w:rsidRDefault="00366BCA" w:rsidP="00E873C9">
      <w:pPr>
        <w:pStyle w:val="FootnoteText"/>
        <w:rPr>
          <w:lang w:val="lt-LT"/>
        </w:rPr>
      </w:pPr>
      <w:r>
        <w:rPr>
          <w:rStyle w:val="FootnoteReference"/>
        </w:rPr>
        <w:footnoteRef/>
      </w:r>
      <w:r w:rsidRPr="003365D8">
        <w:rPr>
          <w:lang w:val="lt-LT"/>
        </w:rPr>
        <w:t xml:space="preserve"> </w:t>
      </w:r>
      <w:r w:rsidR="004C795A">
        <w:rPr>
          <w:rFonts w:ascii="Times New Roman" w:hAnsi="Times New Roman" w:cs="Times New Roman"/>
          <w:lang w:val="lt-LT"/>
        </w:rPr>
        <w:t>Žr. išnašą Nr. 10;</w:t>
      </w:r>
    </w:p>
  </w:footnote>
  <w:footnote w:id="28">
    <w:p w:rsidR="00366BCA" w:rsidRPr="003365D8" w:rsidRDefault="00366BCA" w:rsidP="000368A2">
      <w:pPr>
        <w:pStyle w:val="FootnoteText"/>
        <w:jc w:val="both"/>
        <w:rPr>
          <w:lang w:val="lt-LT"/>
        </w:rPr>
      </w:pPr>
      <w:r>
        <w:rPr>
          <w:rStyle w:val="FootnoteReference"/>
        </w:rPr>
        <w:footnoteRef/>
      </w:r>
      <w:r w:rsidRPr="003365D8">
        <w:rPr>
          <w:lang w:val="lt-LT"/>
        </w:rPr>
        <w:t xml:space="preserve"> </w:t>
      </w:r>
      <w:r>
        <w:rPr>
          <w:rFonts w:ascii="Times New Roman" w:hAnsi="Times New Roman" w:cs="Times New Roman"/>
          <w:lang w:val="lt-LT"/>
        </w:rPr>
        <w:t>Žr. išnašą Nr.</w:t>
      </w:r>
      <w:r w:rsidR="004C795A">
        <w:rPr>
          <w:rFonts w:ascii="Times New Roman" w:hAnsi="Times New Roman" w:cs="Times New Roman"/>
          <w:lang w:val="lt-LT"/>
        </w:rPr>
        <w:t xml:space="preserve"> 11;</w:t>
      </w:r>
    </w:p>
  </w:footnote>
  <w:footnote w:id="29">
    <w:p w:rsidR="00366BCA" w:rsidRPr="00770448" w:rsidRDefault="00366BCA" w:rsidP="000368A2">
      <w:pPr>
        <w:pStyle w:val="FootnoteText"/>
        <w:jc w:val="both"/>
        <w:rPr>
          <w:rFonts w:ascii="Times New Roman" w:hAnsi="Times New Roman" w:cs="Times New Roman"/>
          <w:lang w:val="lt-LT"/>
        </w:rPr>
      </w:pPr>
      <w:r>
        <w:rPr>
          <w:rStyle w:val="FootnoteReference"/>
        </w:rPr>
        <w:footnoteRef/>
      </w:r>
      <w:r w:rsidRPr="003365D8">
        <w:rPr>
          <w:lang w:val="lt-LT"/>
        </w:rPr>
        <w:t xml:space="preserve"> </w:t>
      </w:r>
      <w:r w:rsidR="004C795A">
        <w:rPr>
          <w:rFonts w:ascii="Times New Roman" w:hAnsi="Times New Roman" w:cs="Times New Roman"/>
          <w:lang w:val="lt-LT"/>
        </w:rPr>
        <w:t>Žr. išnašą Nr. 12;</w:t>
      </w:r>
    </w:p>
  </w:footnote>
  <w:footnote w:id="30">
    <w:p w:rsidR="00366BCA" w:rsidRPr="003E2AAE" w:rsidRDefault="00366BCA" w:rsidP="000368A2">
      <w:pPr>
        <w:pStyle w:val="FootnoteText"/>
        <w:rPr>
          <w:lang w:val="lt-LT"/>
        </w:rPr>
      </w:pPr>
      <w:r>
        <w:rPr>
          <w:rStyle w:val="FootnoteReference"/>
        </w:rPr>
        <w:footnoteRef/>
      </w:r>
      <w:r w:rsidRPr="0052028E">
        <w:rPr>
          <w:lang w:val="lt-LT"/>
        </w:rPr>
        <w:t xml:space="preserve"> </w:t>
      </w:r>
      <w:r w:rsidRPr="003E2AAE">
        <w:rPr>
          <w:rFonts w:ascii="Times New Roman" w:hAnsi="Times New Roman" w:cs="Times New Roman"/>
          <w:lang w:val="lt-LT"/>
        </w:rPr>
        <w:t xml:space="preserve">Žr. išnašą Nr. </w:t>
      </w:r>
      <w:r>
        <w:rPr>
          <w:rFonts w:ascii="Times New Roman" w:hAnsi="Times New Roman" w:cs="Times New Roman"/>
          <w:lang w:val="lt-LT"/>
        </w:rPr>
        <w:t>7</w:t>
      </w:r>
      <w:r w:rsidRPr="003E2AAE">
        <w:rPr>
          <w:rFonts w:ascii="Times New Roman" w:hAnsi="Times New Roman" w:cs="Times New Roman"/>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15562"/>
      <w:docPartObj>
        <w:docPartGallery w:val="Page Numbers (Top of Page)"/>
        <w:docPartUnique/>
      </w:docPartObj>
    </w:sdtPr>
    <w:sdtContent>
      <w:p w:rsidR="00366BCA" w:rsidRDefault="00C26BCD">
        <w:pPr>
          <w:pStyle w:val="Header"/>
          <w:jc w:val="center"/>
        </w:pPr>
        <w:fldSimple w:instr=" PAGE   \* MERGEFORMAT ">
          <w:r w:rsidR="00BE3276">
            <w:rPr>
              <w:noProof/>
            </w:rPr>
            <w:t>7</w:t>
          </w:r>
        </w:fldSimple>
      </w:p>
    </w:sdtContent>
  </w:sdt>
  <w:p w:rsidR="00366BCA" w:rsidRDefault="00366B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2F6"/>
    <w:multiLevelType w:val="hybridMultilevel"/>
    <w:tmpl w:val="5F20B8C0"/>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46F35"/>
    <w:multiLevelType w:val="multilevel"/>
    <w:tmpl w:val="378AF6E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3">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E848D8"/>
    <w:rsid w:val="00023030"/>
    <w:rsid w:val="000368A2"/>
    <w:rsid w:val="0007743E"/>
    <w:rsid w:val="00084BBF"/>
    <w:rsid w:val="000A50EB"/>
    <w:rsid w:val="000C709E"/>
    <w:rsid w:val="000E51D3"/>
    <w:rsid w:val="00147EB0"/>
    <w:rsid w:val="00153B69"/>
    <w:rsid w:val="001D628C"/>
    <w:rsid w:val="001D788B"/>
    <w:rsid w:val="00203B36"/>
    <w:rsid w:val="00206452"/>
    <w:rsid w:val="00213D12"/>
    <w:rsid w:val="0023018D"/>
    <w:rsid w:val="00256986"/>
    <w:rsid w:val="00274A33"/>
    <w:rsid w:val="00293DCC"/>
    <w:rsid w:val="002A0D3C"/>
    <w:rsid w:val="002A7E80"/>
    <w:rsid w:val="00312D3A"/>
    <w:rsid w:val="00316C61"/>
    <w:rsid w:val="003365D8"/>
    <w:rsid w:val="00366BCA"/>
    <w:rsid w:val="003777E3"/>
    <w:rsid w:val="00382D99"/>
    <w:rsid w:val="003B42BA"/>
    <w:rsid w:val="003E2AAE"/>
    <w:rsid w:val="003E33FA"/>
    <w:rsid w:val="00426676"/>
    <w:rsid w:val="0047462E"/>
    <w:rsid w:val="0047572B"/>
    <w:rsid w:val="004A1F53"/>
    <w:rsid w:val="004A2CB3"/>
    <w:rsid w:val="004C795A"/>
    <w:rsid w:val="004E0EB1"/>
    <w:rsid w:val="005159F7"/>
    <w:rsid w:val="0052028E"/>
    <w:rsid w:val="005214EB"/>
    <w:rsid w:val="005375DD"/>
    <w:rsid w:val="00557F01"/>
    <w:rsid w:val="005679BE"/>
    <w:rsid w:val="00580EDE"/>
    <w:rsid w:val="00583C6E"/>
    <w:rsid w:val="00587F24"/>
    <w:rsid w:val="005A067A"/>
    <w:rsid w:val="005A74AF"/>
    <w:rsid w:val="005F760C"/>
    <w:rsid w:val="00600492"/>
    <w:rsid w:val="0065117C"/>
    <w:rsid w:val="006748F2"/>
    <w:rsid w:val="00687E00"/>
    <w:rsid w:val="006A0449"/>
    <w:rsid w:val="006D6E2D"/>
    <w:rsid w:val="006F68E7"/>
    <w:rsid w:val="0073171C"/>
    <w:rsid w:val="007329D2"/>
    <w:rsid w:val="00747F45"/>
    <w:rsid w:val="007657AD"/>
    <w:rsid w:val="00767435"/>
    <w:rsid w:val="00770448"/>
    <w:rsid w:val="0077161B"/>
    <w:rsid w:val="00787260"/>
    <w:rsid w:val="007A132C"/>
    <w:rsid w:val="007B53F6"/>
    <w:rsid w:val="007E396F"/>
    <w:rsid w:val="00804D4F"/>
    <w:rsid w:val="00860BC2"/>
    <w:rsid w:val="00861990"/>
    <w:rsid w:val="0087572D"/>
    <w:rsid w:val="008958E5"/>
    <w:rsid w:val="00896A50"/>
    <w:rsid w:val="008A726D"/>
    <w:rsid w:val="008D35F2"/>
    <w:rsid w:val="008E32E9"/>
    <w:rsid w:val="008E686C"/>
    <w:rsid w:val="008F0120"/>
    <w:rsid w:val="00905C4C"/>
    <w:rsid w:val="0091675A"/>
    <w:rsid w:val="00917CBF"/>
    <w:rsid w:val="00921144"/>
    <w:rsid w:val="00957DB0"/>
    <w:rsid w:val="0099238C"/>
    <w:rsid w:val="009B57D0"/>
    <w:rsid w:val="009C7D93"/>
    <w:rsid w:val="009D2F4B"/>
    <w:rsid w:val="009E722C"/>
    <w:rsid w:val="009F0E56"/>
    <w:rsid w:val="009F1224"/>
    <w:rsid w:val="00A72B4E"/>
    <w:rsid w:val="00A7348D"/>
    <w:rsid w:val="00A83C2E"/>
    <w:rsid w:val="00AA17D7"/>
    <w:rsid w:val="00AA3442"/>
    <w:rsid w:val="00AA46F3"/>
    <w:rsid w:val="00AD3F69"/>
    <w:rsid w:val="00B3292D"/>
    <w:rsid w:val="00B45A37"/>
    <w:rsid w:val="00B618C6"/>
    <w:rsid w:val="00B708DB"/>
    <w:rsid w:val="00B91BA2"/>
    <w:rsid w:val="00BC735C"/>
    <w:rsid w:val="00BD45CA"/>
    <w:rsid w:val="00BE324D"/>
    <w:rsid w:val="00BE3276"/>
    <w:rsid w:val="00BF27BE"/>
    <w:rsid w:val="00C00C98"/>
    <w:rsid w:val="00C13404"/>
    <w:rsid w:val="00C13568"/>
    <w:rsid w:val="00C1405C"/>
    <w:rsid w:val="00C26BCD"/>
    <w:rsid w:val="00C45765"/>
    <w:rsid w:val="00C51BE5"/>
    <w:rsid w:val="00C929EA"/>
    <w:rsid w:val="00C959AD"/>
    <w:rsid w:val="00CC1663"/>
    <w:rsid w:val="00D63051"/>
    <w:rsid w:val="00D73A54"/>
    <w:rsid w:val="00D861BC"/>
    <w:rsid w:val="00D905C3"/>
    <w:rsid w:val="00D906C6"/>
    <w:rsid w:val="00D910CA"/>
    <w:rsid w:val="00DC0C9D"/>
    <w:rsid w:val="00DC402A"/>
    <w:rsid w:val="00E848D8"/>
    <w:rsid w:val="00E86F3A"/>
    <w:rsid w:val="00E873C9"/>
    <w:rsid w:val="00F67DE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D8"/>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8D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48D8"/>
    <w:pPr>
      <w:ind w:left="720"/>
      <w:contextualSpacing/>
    </w:pPr>
  </w:style>
  <w:style w:type="paragraph" w:customStyle="1" w:styleId="Normal12pt">
    <w:name w:val="Normal + 12 pt"/>
    <w:basedOn w:val="Normal"/>
    <w:link w:val="Normal12ptChar"/>
    <w:rsid w:val="00E848D8"/>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E848D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8D8"/>
    <w:rPr>
      <w:rFonts w:ascii="Tahoma" w:hAnsi="Tahoma" w:cs="Tahoma"/>
      <w:sz w:val="16"/>
      <w:szCs w:val="16"/>
      <w:lang w:val="ru-RU"/>
    </w:rPr>
  </w:style>
  <w:style w:type="paragraph" w:styleId="Header">
    <w:name w:val="header"/>
    <w:basedOn w:val="Normal"/>
    <w:link w:val="HeaderChar"/>
    <w:uiPriority w:val="99"/>
    <w:unhideWhenUsed/>
    <w:rsid w:val="00E848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48D8"/>
    <w:rPr>
      <w:lang w:val="ru-RU"/>
    </w:rPr>
  </w:style>
  <w:style w:type="paragraph" w:styleId="Footer">
    <w:name w:val="footer"/>
    <w:basedOn w:val="Normal"/>
    <w:link w:val="FooterChar"/>
    <w:uiPriority w:val="99"/>
    <w:unhideWhenUsed/>
    <w:rsid w:val="00E848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48D8"/>
    <w:rPr>
      <w:lang w:val="ru-RU"/>
    </w:rPr>
  </w:style>
  <w:style w:type="paragraph" w:styleId="FootnoteText">
    <w:name w:val="footnote text"/>
    <w:basedOn w:val="Normal"/>
    <w:link w:val="FootnoteTextChar"/>
    <w:uiPriority w:val="99"/>
    <w:semiHidden/>
    <w:unhideWhenUsed/>
    <w:rsid w:val="00E84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8D8"/>
    <w:rPr>
      <w:sz w:val="20"/>
      <w:szCs w:val="20"/>
      <w:lang w:val="ru-RU"/>
    </w:rPr>
  </w:style>
  <w:style w:type="character" w:styleId="FootnoteReference">
    <w:name w:val="footnote reference"/>
    <w:basedOn w:val="DefaultParagraphFont"/>
    <w:uiPriority w:val="99"/>
    <w:unhideWhenUsed/>
    <w:rsid w:val="00E848D8"/>
    <w:rPr>
      <w:vertAlign w:val="superscript"/>
    </w:rPr>
  </w:style>
  <w:style w:type="paragraph" w:styleId="BodyText">
    <w:name w:val="Body Text"/>
    <w:basedOn w:val="Normal"/>
    <w:link w:val="BodyTextChar"/>
    <w:uiPriority w:val="99"/>
    <w:rsid w:val="00587F24"/>
    <w:pPr>
      <w:spacing w:after="0" w:line="240" w:lineRule="auto"/>
      <w:jc w:val="center"/>
    </w:pPr>
    <w:rPr>
      <w:rFonts w:ascii="Times New Roman" w:eastAsia="Calibri" w:hAnsi="Times New Roman" w:cs="Times New Roman"/>
      <w:sz w:val="20"/>
      <w:szCs w:val="20"/>
    </w:rPr>
  </w:style>
  <w:style w:type="character" w:customStyle="1" w:styleId="BodyTextChar">
    <w:name w:val="Body Text Char"/>
    <w:basedOn w:val="DefaultParagraphFont"/>
    <w:link w:val="BodyText"/>
    <w:uiPriority w:val="99"/>
    <w:rsid w:val="00587F24"/>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8079909">
      <w:bodyDiv w:val="1"/>
      <w:marLeft w:val="0"/>
      <w:marRight w:val="0"/>
      <w:marTop w:val="0"/>
      <w:marBottom w:val="0"/>
      <w:divBdr>
        <w:top w:val="none" w:sz="0" w:space="0" w:color="auto"/>
        <w:left w:val="none" w:sz="0" w:space="0" w:color="auto"/>
        <w:bottom w:val="none" w:sz="0" w:space="0" w:color="auto"/>
        <w:right w:val="none" w:sz="0" w:space="0" w:color="auto"/>
      </w:divBdr>
    </w:div>
    <w:div w:id="532232416">
      <w:bodyDiv w:val="1"/>
      <w:marLeft w:val="0"/>
      <w:marRight w:val="0"/>
      <w:marTop w:val="0"/>
      <w:marBottom w:val="0"/>
      <w:divBdr>
        <w:top w:val="none" w:sz="0" w:space="0" w:color="auto"/>
        <w:left w:val="none" w:sz="0" w:space="0" w:color="auto"/>
        <w:bottom w:val="none" w:sz="0" w:space="0" w:color="auto"/>
        <w:right w:val="none" w:sz="0" w:space="0" w:color="auto"/>
      </w:divBdr>
    </w:div>
    <w:div w:id="6047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48873-9AE1-484B-B29E-A3FAA708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8</Pages>
  <Words>8804</Words>
  <Characters>5019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VGadliauskiene</cp:lastModifiedBy>
  <cp:revision>35</cp:revision>
  <cp:lastPrinted>2016-06-08T11:04:00Z</cp:lastPrinted>
  <dcterms:created xsi:type="dcterms:W3CDTF">2016-05-09T12:50:00Z</dcterms:created>
  <dcterms:modified xsi:type="dcterms:W3CDTF">2016-10-27T12:27:00Z</dcterms:modified>
</cp:coreProperties>
</file>