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eastAsia="Calibri" w:hAnsi="Times New Roman" w:cs="Times New Roman"/>
          <w:noProof/>
          <w:sz w:val="23"/>
          <w:szCs w:val="23"/>
          <w:lang w:eastAsia="lt-LT"/>
        </w:rPr>
        <w:drawing>
          <wp:inline distT="0" distB="0" distL="0" distR="0" wp14:anchorId="7BA649C2" wp14:editId="3568827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VIEŠŲJŲ PIRKIMŲ TARNYBOS</w:t>
      </w:r>
    </w:p>
    <w:p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PREVENCIJOS IR PIRKIMO SUTARČIŲ PRIEŽIŪROS SKYRIUS</w:t>
      </w:r>
    </w:p>
    <w:p w:rsidR="001253F2" w:rsidRDefault="001253F2" w:rsidP="001253F2">
      <w:pPr>
        <w:spacing w:after="0"/>
        <w:jc w:val="center"/>
        <w:rPr>
          <w:rFonts w:ascii="Times New Roman" w:hAnsi="Times New Roman" w:cs="Times New Roman"/>
          <w:b/>
          <w:bCs/>
          <w:sz w:val="24"/>
          <w:szCs w:val="24"/>
        </w:rPr>
      </w:pPr>
    </w:p>
    <w:p w:rsidR="009C43B2" w:rsidRPr="009C43B2" w:rsidRDefault="009C43B2" w:rsidP="001253F2">
      <w:pPr>
        <w:spacing w:after="0"/>
        <w:jc w:val="center"/>
        <w:rPr>
          <w:rFonts w:ascii="Times New Roman" w:hAnsi="Times New Roman" w:cs="Times New Roman"/>
          <w:b/>
          <w:bCs/>
          <w:sz w:val="24"/>
          <w:szCs w:val="24"/>
        </w:rPr>
      </w:pPr>
    </w:p>
    <w:p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 xml:space="preserve">VIEŠOJO PIRKIMO-PARDAVIMO SUTARTIES NEPLANINIO VERTINIMO </w:t>
      </w:r>
    </w:p>
    <w:p w:rsidR="001253F2" w:rsidRPr="009C43B2" w:rsidRDefault="001253F2" w:rsidP="001253F2">
      <w:pPr>
        <w:spacing w:after="0"/>
        <w:jc w:val="center"/>
        <w:rPr>
          <w:rFonts w:ascii="Times New Roman" w:hAnsi="Times New Roman" w:cs="Times New Roman"/>
          <w:b/>
          <w:bCs/>
          <w:sz w:val="24"/>
          <w:szCs w:val="24"/>
        </w:rPr>
      </w:pPr>
      <w:r w:rsidRPr="009C43B2">
        <w:rPr>
          <w:rFonts w:ascii="Times New Roman" w:hAnsi="Times New Roman" w:cs="Times New Roman"/>
          <w:b/>
          <w:bCs/>
          <w:sz w:val="24"/>
          <w:szCs w:val="24"/>
        </w:rPr>
        <w:t>IŠVADA</w:t>
      </w:r>
    </w:p>
    <w:p w:rsidR="001253F2" w:rsidRPr="009C43B2" w:rsidRDefault="001253F2" w:rsidP="001253F2">
      <w:pPr>
        <w:spacing w:after="0"/>
        <w:jc w:val="center"/>
        <w:rPr>
          <w:rFonts w:ascii="Times New Roman" w:hAnsi="Times New Roman" w:cs="Times New Roman"/>
          <w:b/>
          <w:bCs/>
          <w:sz w:val="24"/>
          <w:szCs w:val="24"/>
        </w:rPr>
      </w:pPr>
    </w:p>
    <w:p w:rsidR="001253F2" w:rsidRPr="009C43B2" w:rsidRDefault="00252193" w:rsidP="001253F2">
      <w:pPr>
        <w:spacing w:after="0" w:line="240" w:lineRule="auto"/>
        <w:jc w:val="center"/>
        <w:rPr>
          <w:rFonts w:ascii="Times New Roman" w:hAnsi="Times New Roman" w:cs="Times New Roman"/>
          <w:sz w:val="24"/>
          <w:szCs w:val="24"/>
        </w:rPr>
      </w:pPr>
      <w:r w:rsidRPr="009C43B2">
        <w:rPr>
          <w:rFonts w:ascii="Times New Roman" w:hAnsi="Times New Roman" w:cs="Times New Roman"/>
          <w:sz w:val="24"/>
          <w:szCs w:val="24"/>
        </w:rPr>
        <w:t xml:space="preserve">2016 m. </w:t>
      </w:r>
      <w:r w:rsidR="00D67B4D" w:rsidRPr="009C43B2">
        <w:rPr>
          <w:rFonts w:ascii="Times New Roman" w:hAnsi="Times New Roman" w:cs="Times New Roman"/>
          <w:sz w:val="24"/>
          <w:szCs w:val="24"/>
        </w:rPr>
        <w:t>spalio</w:t>
      </w:r>
      <w:r w:rsidR="00FB53DF">
        <w:rPr>
          <w:rFonts w:ascii="Times New Roman" w:hAnsi="Times New Roman" w:cs="Times New Roman"/>
          <w:sz w:val="24"/>
          <w:szCs w:val="24"/>
        </w:rPr>
        <w:t xml:space="preserve"> 13</w:t>
      </w:r>
      <w:r w:rsidR="00504FE7" w:rsidRPr="009C43B2">
        <w:rPr>
          <w:rFonts w:ascii="Times New Roman" w:hAnsi="Times New Roman" w:cs="Times New Roman"/>
          <w:sz w:val="24"/>
          <w:szCs w:val="24"/>
        </w:rPr>
        <w:t xml:space="preserve"> </w:t>
      </w:r>
      <w:r w:rsidRPr="009C43B2">
        <w:rPr>
          <w:rFonts w:ascii="Times New Roman" w:hAnsi="Times New Roman" w:cs="Times New Roman"/>
          <w:sz w:val="24"/>
          <w:szCs w:val="24"/>
        </w:rPr>
        <w:t xml:space="preserve">d. </w:t>
      </w:r>
      <w:r w:rsidR="001253F2" w:rsidRPr="009C43B2">
        <w:rPr>
          <w:rFonts w:ascii="Times New Roman" w:hAnsi="Times New Roman" w:cs="Times New Roman"/>
          <w:sz w:val="24"/>
          <w:szCs w:val="24"/>
        </w:rPr>
        <w:t xml:space="preserve">Nr. </w:t>
      </w:r>
      <w:r w:rsidR="00FB53DF">
        <w:rPr>
          <w:rFonts w:ascii="Times New Roman" w:hAnsi="Times New Roman" w:cs="Times New Roman"/>
          <w:sz w:val="24"/>
          <w:szCs w:val="24"/>
        </w:rPr>
        <w:t>4S-3368</w:t>
      </w:r>
    </w:p>
    <w:p w:rsidR="001253F2" w:rsidRPr="009C43B2" w:rsidRDefault="001253F2" w:rsidP="001253F2">
      <w:pPr>
        <w:spacing w:after="160" w:line="259" w:lineRule="auto"/>
        <w:jc w:val="center"/>
        <w:rPr>
          <w:rFonts w:ascii="Times New Roman" w:hAnsi="Times New Roman" w:cs="Times New Roman"/>
          <w:sz w:val="24"/>
          <w:szCs w:val="24"/>
        </w:rPr>
      </w:pPr>
      <w:r w:rsidRPr="009C43B2">
        <w:rPr>
          <w:rFonts w:ascii="Times New Roman" w:hAnsi="Times New Roman" w:cs="Times New Roman"/>
          <w:sz w:val="24"/>
          <w:szCs w:val="24"/>
        </w:rPr>
        <w:t>Vilnius</w:t>
      </w:r>
    </w:p>
    <w:p w:rsidR="001253F2" w:rsidRPr="009C43B2" w:rsidRDefault="001253F2" w:rsidP="009C43B2">
      <w:pPr>
        <w:spacing w:after="160" w:line="259" w:lineRule="auto"/>
        <w:jc w:val="center"/>
        <w:rPr>
          <w:rFonts w:ascii="Times New Roman" w:hAnsi="Times New Roman" w:cs="Times New Roman"/>
          <w:sz w:val="24"/>
          <w:szCs w:val="24"/>
        </w:rPr>
      </w:pPr>
      <w:r w:rsidRPr="009C43B2">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44"/>
        <w:gridCol w:w="4962"/>
      </w:tblGrid>
      <w:tr w:rsidR="00C5245D" w:rsidRPr="009C43B2" w:rsidTr="000D0957">
        <w:tc>
          <w:tcPr>
            <w:tcW w:w="4644" w:type="dxa"/>
          </w:tcPr>
          <w:p w:rsidR="00C5245D" w:rsidRPr="009C43B2" w:rsidRDefault="00C5245D"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Sutarties pavadinimas, data, numeris</w:t>
            </w:r>
          </w:p>
        </w:tc>
        <w:tc>
          <w:tcPr>
            <w:tcW w:w="4962" w:type="dxa"/>
          </w:tcPr>
          <w:p w:rsidR="00C5245D" w:rsidRPr="009C43B2" w:rsidRDefault="00290202" w:rsidP="00061AD2">
            <w:pPr>
              <w:pStyle w:val="Pagrindinistekstas2"/>
              <w:spacing w:line="240" w:lineRule="auto"/>
              <w:ind w:firstLine="0"/>
              <w:rPr>
                <w:color w:val="auto"/>
                <w:sz w:val="23"/>
                <w:szCs w:val="23"/>
                <w:lang w:val="lt-LT"/>
              </w:rPr>
            </w:pPr>
            <w:r w:rsidRPr="009C43B2">
              <w:rPr>
                <w:color w:val="auto"/>
                <w:sz w:val="23"/>
                <w:szCs w:val="23"/>
                <w:lang w:val="lt-LT"/>
              </w:rPr>
              <w:t>2015 m. spalio 22 d. Paslaugų sutartis Nr. F1-0-128</w:t>
            </w:r>
          </w:p>
        </w:tc>
      </w:tr>
      <w:tr w:rsidR="00C5245D" w:rsidRPr="009C43B2" w:rsidTr="000D0957">
        <w:tc>
          <w:tcPr>
            <w:tcW w:w="4644" w:type="dxa"/>
          </w:tcPr>
          <w:p w:rsidR="00C5245D" w:rsidRPr="009C43B2" w:rsidRDefault="00C5245D"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Sutarties pakeitimai (jei tokių buvo): data, Nr.  </w:t>
            </w:r>
          </w:p>
        </w:tc>
        <w:tc>
          <w:tcPr>
            <w:tcW w:w="4962" w:type="dxa"/>
          </w:tcPr>
          <w:p w:rsidR="00C5245D" w:rsidRPr="009C43B2" w:rsidRDefault="00D67B4D" w:rsidP="00C5245D">
            <w:pPr>
              <w:autoSpaceDE w:val="0"/>
              <w:autoSpaceDN w:val="0"/>
              <w:adjustRightInd w:val="0"/>
              <w:spacing w:before="60" w:after="60"/>
              <w:rPr>
                <w:rFonts w:ascii="Times New Roman" w:hAnsi="Times New Roman" w:cs="Times New Roman"/>
                <w:sz w:val="23"/>
                <w:szCs w:val="23"/>
                <w:lang w:val="lt-LT"/>
              </w:rPr>
            </w:pPr>
            <w:r w:rsidRPr="009C43B2">
              <w:rPr>
                <w:rFonts w:ascii="Times New Roman" w:hAnsi="Times New Roman" w:cs="Times New Roman"/>
                <w:sz w:val="23"/>
                <w:szCs w:val="23"/>
                <w:lang w:val="lt-LT"/>
              </w:rPr>
              <w:t>-</w:t>
            </w:r>
          </w:p>
        </w:tc>
      </w:tr>
      <w:tr w:rsidR="00504FF1" w:rsidRPr="009C43B2" w:rsidTr="000D0957">
        <w:tc>
          <w:tcPr>
            <w:tcW w:w="4644" w:type="dxa"/>
          </w:tcPr>
          <w:p w:rsidR="00504FF1" w:rsidRPr="009C43B2" w:rsidRDefault="00504FF1" w:rsidP="00470D66">
            <w:pPr>
              <w:rPr>
                <w:rFonts w:ascii="Times New Roman" w:hAnsi="Times New Roman" w:cs="Times New Roman"/>
                <w:sz w:val="23"/>
                <w:szCs w:val="23"/>
                <w:lang w:val="lt-LT"/>
              </w:rPr>
            </w:pPr>
            <w:r w:rsidRPr="009C43B2">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962" w:type="dxa"/>
          </w:tcPr>
          <w:p w:rsidR="00290202" w:rsidRPr="009C43B2" w:rsidRDefault="00290202" w:rsidP="00FD2A9C">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Finansų valdymo sistemos pritaikymo darbui su </w:t>
            </w:r>
            <w:r w:rsidR="00FD2A9C" w:rsidRPr="009C43B2">
              <w:rPr>
                <w:rFonts w:ascii="Times New Roman" w:hAnsi="Times New Roman" w:cs="Times New Roman"/>
                <w:sz w:val="23"/>
                <w:szCs w:val="23"/>
                <w:lang w:val="lt-LT"/>
              </w:rPr>
              <w:t>SEPA</w:t>
            </w:r>
            <w:r w:rsidRPr="009C43B2">
              <w:rPr>
                <w:rFonts w:ascii="Times New Roman" w:hAnsi="Times New Roman" w:cs="Times New Roman"/>
                <w:sz w:val="23"/>
                <w:szCs w:val="23"/>
                <w:lang w:val="lt-LT"/>
              </w:rPr>
              <w:t xml:space="preserve"> paslaugų pirkimas, 2015 m. rugsėjo 16 d. (neskelbiamas pirkimas CVP IS Nr. 245639)</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Perkančioji organizacija </w:t>
            </w:r>
          </w:p>
        </w:tc>
        <w:tc>
          <w:tcPr>
            <w:tcW w:w="4962" w:type="dxa"/>
          </w:tcPr>
          <w:p w:rsidR="00504FF1" w:rsidRPr="009C43B2" w:rsidRDefault="00290202" w:rsidP="00036364">
            <w:pPr>
              <w:rPr>
                <w:rFonts w:ascii="Times New Roman" w:hAnsi="Times New Roman" w:cs="Times New Roman"/>
                <w:sz w:val="23"/>
                <w:szCs w:val="23"/>
                <w:lang w:val="lt-LT"/>
              </w:rPr>
            </w:pPr>
            <w:r w:rsidRPr="009C43B2">
              <w:rPr>
                <w:rFonts w:ascii="Times New Roman" w:hAnsi="Times New Roman" w:cs="Times New Roman"/>
                <w:sz w:val="23"/>
                <w:szCs w:val="23"/>
                <w:lang w:val="lt-LT"/>
              </w:rPr>
              <w:t>Valstybinio socialinio draudimo fondo valdyba prie Socialinės apsaugos ir darbo ministerijos</w:t>
            </w:r>
            <w:r w:rsidR="004D7B73" w:rsidRPr="009C43B2">
              <w:rPr>
                <w:rFonts w:ascii="Times New Roman" w:hAnsi="Times New Roman" w:cs="Times New Roman"/>
                <w:sz w:val="23"/>
                <w:szCs w:val="23"/>
                <w:lang w:val="lt-LT"/>
              </w:rPr>
              <w:t>, įmonės kodas 191630223</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Tiekėjas / teikėjas / rangovas</w:t>
            </w:r>
          </w:p>
        </w:tc>
        <w:tc>
          <w:tcPr>
            <w:tcW w:w="4962" w:type="dxa"/>
          </w:tcPr>
          <w:p w:rsidR="00504FF1" w:rsidRPr="009C43B2" w:rsidRDefault="00290202" w:rsidP="00E6352B">
            <w:pPr>
              <w:rPr>
                <w:rFonts w:ascii="Times New Roman" w:hAnsi="Times New Roman" w:cs="Times New Roman"/>
                <w:sz w:val="23"/>
                <w:szCs w:val="23"/>
                <w:lang w:val="lt-LT"/>
              </w:rPr>
            </w:pPr>
            <w:r w:rsidRPr="009C43B2">
              <w:rPr>
                <w:rFonts w:ascii="Times New Roman" w:hAnsi="Times New Roman" w:cs="Times New Roman"/>
                <w:sz w:val="23"/>
                <w:szCs w:val="23"/>
                <w:lang w:val="lt-LT"/>
              </w:rPr>
              <w:t>UAB „</w:t>
            </w:r>
            <w:proofErr w:type="spellStart"/>
            <w:r w:rsidRPr="009C43B2">
              <w:rPr>
                <w:rFonts w:ascii="Times New Roman" w:hAnsi="Times New Roman" w:cs="Times New Roman"/>
                <w:sz w:val="23"/>
                <w:szCs w:val="23"/>
                <w:lang w:val="lt-LT"/>
              </w:rPr>
              <w:t>Innoforce</w:t>
            </w:r>
            <w:proofErr w:type="spellEnd"/>
            <w:r w:rsidRPr="009C43B2">
              <w:rPr>
                <w:rFonts w:ascii="Times New Roman" w:hAnsi="Times New Roman" w:cs="Times New Roman"/>
                <w:sz w:val="23"/>
                <w:szCs w:val="23"/>
                <w:lang w:val="lt-LT"/>
              </w:rPr>
              <w:t>“</w:t>
            </w:r>
            <w:r w:rsidR="004D7B73" w:rsidRPr="009C43B2">
              <w:rPr>
                <w:rFonts w:ascii="Times New Roman" w:hAnsi="Times New Roman" w:cs="Times New Roman"/>
                <w:sz w:val="23"/>
                <w:szCs w:val="23"/>
                <w:lang w:val="lt-LT"/>
              </w:rPr>
              <w:t>, įmonės kodas 302676496</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Subrangovai/</w:t>
            </w:r>
            <w:proofErr w:type="spellStart"/>
            <w:r w:rsidRPr="009C43B2">
              <w:rPr>
                <w:rFonts w:ascii="Times New Roman" w:hAnsi="Times New Roman" w:cs="Times New Roman"/>
                <w:sz w:val="23"/>
                <w:szCs w:val="23"/>
                <w:lang w:val="lt-LT"/>
              </w:rPr>
              <w:t>subtiekėjai</w:t>
            </w:r>
            <w:proofErr w:type="spellEnd"/>
            <w:r w:rsidRPr="009C43B2">
              <w:rPr>
                <w:rFonts w:ascii="Times New Roman" w:hAnsi="Times New Roman" w:cs="Times New Roman"/>
                <w:sz w:val="23"/>
                <w:szCs w:val="23"/>
                <w:lang w:val="lt-LT"/>
              </w:rPr>
              <w:t>/</w:t>
            </w:r>
            <w:proofErr w:type="spellStart"/>
            <w:r w:rsidRPr="009C43B2">
              <w:rPr>
                <w:rFonts w:ascii="Times New Roman" w:hAnsi="Times New Roman" w:cs="Times New Roman"/>
                <w:sz w:val="23"/>
                <w:szCs w:val="23"/>
                <w:lang w:val="lt-LT"/>
              </w:rPr>
              <w:t>subteikėjai</w:t>
            </w:r>
            <w:proofErr w:type="spellEnd"/>
            <w:r w:rsidRPr="009C43B2">
              <w:rPr>
                <w:rFonts w:ascii="Times New Roman" w:hAnsi="Times New Roman" w:cs="Times New Roman"/>
                <w:sz w:val="23"/>
                <w:szCs w:val="23"/>
                <w:lang w:val="lt-LT"/>
              </w:rPr>
              <w:t xml:space="preserve"> </w:t>
            </w:r>
          </w:p>
          <w:p w:rsidR="00504FF1" w:rsidRPr="009C43B2" w:rsidRDefault="00504FF1" w:rsidP="001253F2">
            <w:pPr>
              <w:rPr>
                <w:rFonts w:ascii="Times New Roman" w:hAnsi="Times New Roman" w:cs="Times New Roman"/>
                <w:b/>
                <w:sz w:val="23"/>
                <w:szCs w:val="23"/>
                <w:lang w:val="lt-LT"/>
              </w:rPr>
            </w:pPr>
          </w:p>
        </w:tc>
        <w:tc>
          <w:tcPr>
            <w:tcW w:w="4962" w:type="dxa"/>
          </w:tcPr>
          <w:p w:rsidR="00504FF1" w:rsidRPr="009C43B2" w:rsidRDefault="00290202" w:rsidP="00C5245D">
            <w:pPr>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UAB „DCGM“</w:t>
            </w:r>
            <w:r w:rsidR="004D7B73" w:rsidRPr="009C43B2">
              <w:rPr>
                <w:rFonts w:ascii="Times New Roman" w:hAnsi="Times New Roman" w:cs="Times New Roman"/>
                <w:sz w:val="23"/>
                <w:szCs w:val="23"/>
                <w:lang w:val="lt-LT"/>
              </w:rPr>
              <w:t>, įmonės kodas 301245849</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Jei pirkimas finansuojamas ES lėšomis, projekto pavadinimas, Įgyvendinančioji institucija</w:t>
            </w:r>
          </w:p>
        </w:tc>
        <w:tc>
          <w:tcPr>
            <w:tcW w:w="4962" w:type="dxa"/>
          </w:tcPr>
          <w:p w:rsidR="00504FF1" w:rsidRPr="009C43B2" w:rsidRDefault="00290202" w:rsidP="00C5245D">
            <w:pPr>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w:t>
            </w:r>
          </w:p>
        </w:tc>
      </w:tr>
      <w:tr w:rsidR="00504FF1" w:rsidRPr="009C43B2" w:rsidTr="00570BCD">
        <w:trPr>
          <w:trHeight w:val="864"/>
        </w:trPr>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Pirkimo, kurį įvykdžius sudaryta sutartis, vykdymo teisinis pagrindas (VPĮ, supaprastintų pirkimų taisyklių redakcija)</w:t>
            </w:r>
          </w:p>
        </w:tc>
        <w:tc>
          <w:tcPr>
            <w:tcW w:w="4962" w:type="dxa"/>
          </w:tcPr>
          <w:p w:rsidR="00504FF1" w:rsidRPr="009C43B2" w:rsidRDefault="00510588" w:rsidP="00EA7596">
            <w:pPr>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Lietuvos Respublikos viešųjų pirkimų įstatymo (redakcija nuo 201</w:t>
            </w:r>
            <w:r w:rsidR="00EA7596" w:rsidRPr="009C43B2">
              <w:rPr>
                <w:rFonts w:ascii="Times New Roman" w:hAnsi="Times New Roman" w:cs="Times New Roman"/>
                <w:sz w:val="23"/>
                <w:szCs w:val="23"/>
                <w:lang w:val="lt-LT"/>
              </w:rPr>
              <w:t>5</w:t>
            </w:r>
            <w:r w:rsidRPr="009C43B2">
              <w:rPr>
                <w:rFonts w:ascii="Times New Roman" w:hAnsi="Times New Roman" w:cs="Times New Roman"/>
                <w:sz w:val="23"/>
                <w:szCs w:val="23"/>
                <w:lang w:val="lt-LT"/>
              </w:rPr>
              <w:t xml:space="preserve"> m. </w:t>
            </w:r>
            <w:r w:rsidR="00EA7596" w:rsidRPr="009C43B2">
              <w:rPr>
                <w:rFonts w:ascii="Times New Roman" w:hAnsi="Times New Roman" w:cs="Times New Roman"/>
                <w:sz w:val="23"/>
                <w:szCs w:val="23"/>
                <w:lang w:val="lt-LT"/>
              </w:rPr>
              <w:t>liepos 2</w:t>
            </w:r>
            <w:r w:rsidRPr="009C43B2">
              <w:rPr>
                <w:rFonts w:ascii="Times New Roman" w:hAnsi="Times New Roman" w:cs="Times New Roman"/>
                <w:sz w:val="23"/>
                <w:szCs w:val="23"/>
                <w:lang w:val="lt-LT"/>
              </w:rPr>
              <w:t xml:space="preserve"> d.) (toliau – Įstatymas)</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Vertinimo apimtis/ sutarties vykdymo etapas</w:t>
            </w:r>
          </w:p>
        </w:tc>
        <w:tc>
          <w:tcPr>
            <w:tcW w:w="4962" w:type="dxa"/>
          </w:tcPr>
          <w:p w:rsidR="00504FF1" w:rsidRPr="009C43B2" w:rsidRDefault="00290202" w:rsidP="00C5245D">
            <w:pPr>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Sutartis įvykdyta</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Ar dėl sutarties vyksta teismo procesas?</w:t>
            </w:r>
          </w:p>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Jei taip, nurodyti:</w:t>
            </w:r>
          </w:p>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ieškinio (skundo) dalyką, </w:t>
            </w:r>
          </w:p>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bylos šalių pavadinimus, </w:t>
            </w:r>
          </w:p>
          <w:p w:rsidR="00504FF1" w:rsidRPr="009C43B2" w:rsidRDefault="00504FF1" w:rsidP="00570BCD">
            <w:pPr>
              <w:rPr>
                <w:rFonts w:ascii="Times New Roman" w:hAnsi="Times New Roman" w:cs="Times New Roman"/>
                <w:sz w:val="23"/>
                <w:szCs w:val="23"/>
                <w:lang w:val="lt-LT"/>
              </w:rPr>
            </w:pPr>
            <w:r w:rsidRPr="009C43B2">
              <w:rPr>
                <w:rFonts w:ascii="Times New Roman" w:hAnsi="Times New Roman" w:cs="Times New Roman"/>
                <w:sz w:val="23"/>
                <w:szCs w:val="23"/>
                <w:lang w:val="lt-LT"/>
              </w:rPr>
              <w:t>ar taikomos laikinosios apsaugos priemonės, teismą (pvz., apygardos, apeliacinis teismas)</w:t>
            </w:r>
          </w:p>
        </w:tc>
        <w:tc>
          <w:tcPr>
            <w:tcW w:w="4962" w:type="dxa"/>
          </w:tcPr>
          <w:p w:rsidR="00504FF1" w:rsidRPr="009C43B2" w:rsidRDefault="00290202" w:rsidP="00C5245D">
            <w:pPr>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Ne</w:t>
            </w:r>
          </w:p>
        </w:tc>
      </w:tr>
      <w:tr w:rsidR="00504FF1" w:rsidRPr="009C43B2" w:rsidTr="000D0957">
        <w:tc>
          <w:tcPr>
            <w:tcW w:w="4644" w:type="dxa"/>
          </w:tcPr>
          <w:p w:rsidR="00504FF1" w:rsidRPr="009C43B2" w:rsidRDefault="00504FF1" w:rsidP="001253F2">
            <w:pPr>
              <w:rPr>
                <w:rFonts w:ascii="Times New Roman" w:hAnsi="Times New Roman" w:cs="Times New Roman"/>
                <w:sz w:val="23"/>
                <w:szCs w:val="23"/>
                <w:lang w:val="lt-LT"/>
              </w:rPr>
            </w:pPr>
            <w:r w:rsidRPr="009C43B2">
              <w:rPr>
                <w:rFonts w:ascii="Times New Roman" w:hAnsi="Times New Roman" w:cs="Times New Roman"/>
                <w:sz w:val="23"/>
                <w:szCs w:val="23"/>
                <w:lang w:val="lt-LT"/>
              </w:rPr>
              <w:t>Už sutarties vykdymą atsakingas Perkančiosios organizacijos darbuotojas (-ai) ar kiti asmenys</w:t>
            </w:r>
          </w:p>
        </w:tc>
        <w:tc>
          <w:tcPr>
            <w:tcW w:w="4962" w:type="dxa"/>
          </w:tcPr>
          <w:p w:rsidR="007B3C0B" w:rsidRPr="009C43B2" w:rsidRDefault="007B3C0B" w:rsidP="000D0957">
            <w:pPr>
              <w:tabs>
                <w:tab w:val="left" w:pos="459"/>
              </w:tabs>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Sutartyje nurodytas už Sutarties vykdymą atsakingas asmuo – </w:t>
            </w:r>
            <w:proofErr w:type="spellStart"/>
            <w:r w:rsidRPr="009C43B2">
              <w:rPr>
                <w:rFonts w:ascii="Times New Roman" w:hAnsi="Times New Roman" w:cs="Times New Roman"/>
                <w:sz w:val="23"/>
                <w:szCs w:val="23"/>
                <w:lang w:val="lt-LT"/>
              </w:rPr>
              <w:t>Džiuljeta</w:t>
            </w:r>
            <w:proofErr w:type="spellEnd"/>
            <w:r w:rsidRPr="009C43B2">
              <w:rPr>
                <w:rFonts w:ascii="Times New Roman" w:hAnsi="Times New Roman" w:cs="Times New Roman"/>
                <w:sz w:val="23"/>
                <w:szCs w:val="23"/>
                <w:lang w:val="lt-LT"/>
              </w:rPr>
              <w:t xml:space="preserve"> </w:t>
            </w:r>
            <w:proofErr w:type="spellStart"/>
            <w:r w:rsidRPr="009C43B2">
              <w:rPr>
                <w:rFonts w:ascii="Times New Roman" w:hAnsi="Times New Roman" w:cs="Times New Roman"/>
                <w:sz w:val="23"/>
                <w:szCs w:val="23"/>
                <w:lang w:val="lt-LT"/>
              </w:rPr>
              <w:t>Baltuškienė</w:t>
            </w:r>
            <w:proofErr w:type="spellEnd"/>
          </w:p>
          <w:p w:rsidR="00504FF1" w:rsidRPr="009C43B2" w:rsidRDefault="000D0957" w:rsidP="000D0957">
            <w:pPr>
              <w:tabs>
                <w:tab w:val="left" w:pos="459"/>
              </w:tabs>
              <w:spacing w:after="160" w:line="259" w:lineRule="auto"/>
              <w:rPr>
                <w:rFonts w:ascii="Times New Roman" w:hAnsi="Times New Roman" w:cs="Times New Roman"/>
                <w:sz w:val="23"/>
                <w:szCs w:val="23"/>
                <w:lang w:val="lt-LT"/>
              </w:rPr>
            </w:pPr>
            <w:r w:rsidRPr="009C43B2">
              <w:rPr>
                <w:rFonts w:ascii="Times New Roman" w:hAnsi="Times New Roman" w:cs="Times New Roman"/>
                <w:sz w:val="23"/>
                <w:szCs w:val="23"/>
                <w:lang w:val="lt-LT"/>
              </w:rPr>
              <w:t>Sutarties vykdymo priežiūros komitetas (toliau – SVPK):</w:t>
            </w:r>
          </w:p>
          <w:p w:rsidR="000D0957" w:rsidRPr="009C43B2" w:rsidRDefault="000D0957" w:rsidP="007B3C0B">
            <w:pPr>
              <w:pStyle w:val="Sraopastraipa"/>
              <w:numPr>
                <w:ilvl w:val="0"/>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Mindaugas </w:t>
            </w:r>
            <w:proofErr w:type="spellStart"/>
            <w:r w:rsidRPr="009C43B2">
              <w:rPr>
                <w:rFonts w:ascii="Times New Roman" w:hAnsi="Times New Roman" w:cs="Times New Roman"/>
                <w:sz w:val="23"/>
                <w:szCs w:val="23"/>
                <w:lang w:val="lt-LT"/>
              </w:rPr>
              <w:t>Strumskis</w:t>
            </w:r>
            <w:proofErr w:type="spellEnd"/>
            <w:r w:rsidRPr="009C43B2">
              <w:rPr>
                <w:rFonts w:ascii="Times New Roman" w:hAnsi="Times New Roman" w:cs="Times New Roman"/>
                <w:sz w:val="23"/>
                <w:szCs w:val="23"/>
                <w:lang w:val="lt-LT"/>
              </w:rPr>
              <w:t xml:space="preserve">, pirmininkas </w:t>
            </w:r>
          </w:p>
          <w:p w:rsidR="000D0957" w:rsidRPr="009C43B2" w:rsidRDefault="000D0957" w:rsidP="007B3C0B">
            <w:pPr>
              <w:pStyle w:val="Sraopastraipa"/>
              <w:numPr>
                <w:ilvl w:val="0"/>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Dainius Kumpis, pirmininko pavaduotojas (iki 2016 m. balandžio 29 d.)</w:t>
            </w:r>
          </w:p>
          <w:p w:rsidR="000D0957" w:rsidRPr="009C43B2" w:rsidRDefault="000D0957" w:rsidP="007B3C0B">
            <w:pPr>
              <w:pStyle w:val="Sraopastraipa"/>
              <w:numPr>
                <w:ilvl w:val="0"/>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Vytautas Sviderskis</w:t>
            </w:r>
            <w:r w:rsidR="007B3C0B" w:rsidRPr="009C43B2">
              <w:rPr>
                <w:rFonts w:ascii="Times New Roman" w:hAnsi="Times New Roman" w:cs="Times New Roman"/>
                <w:sz w:val="23"/>
                <w:szCs w:val="23"/>
                <w:lang w:val="lt-LT"/>
              </w:rPr>
              <w:t>, pirmininko pavaduotojas</w:t>
            </w:r>
            <w:r w:rsidRPr="009C43B2">
              <w:rPr>
                <w:rFonts w:ascii="Times New Roman" w:hAnsi="Times New Roman" w:cs="Times New Roman"/>
                <w:sz w:val="23"/>
                <w:szCs w:val="23"/>
                <w:lang w:val="lt-LT"/>
              </w:rPr>
              <w:t xml:space="preserve"> (nuo 2016 m. balandžio 29 d.)</w:t>
            </w:r>
          </w:p>
          <w:p w:rsidR="000D0957" w:rsidRPr="009C43B2" w:rsidRDefault="000D0957" w:rsidP="007B3C0B">
            <w:pPr>
              <w:pStyle w:val="Sraopastraipa"/>
              <w:numPr>
                <w:ilvl w:val="0"/>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Nariai:</w:t>
            </w:r>
          </w:p>
          <w:p w:rsidR="000D0957" w:rsidRPr="009C43B2" w:rsidRDefault="000D0957" w:rsidP="007B3C0B">
            <w:pPr>
              <w:pStyle w:val="Sraopastraipa"/>
              <w:numPr>
                <w:ilvl w:val="1"/>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 Rimutė </w:t>
            </w:r>
            <w:proofErr w:type="spellStart"/>
            <w:r w:rsidRPr="009C43B2">
              <w:rPr>
                <w:rFonts w:ascii="Times New Roman" w:hAnsi="Times New Roman" w:cs="Times New Roman"/>
                <w:sz w:val="23"/>
                <w:szCs w:val="23"/>
                <w:lang w:val="lt-LT"/>
              </w:rPr>
              <w:t>Taminskienė</w:t>
            </w:r>
            <w:proofErr w:type="spellEnd"/>
            <w:r w:rsidRPr="009C43B2">
              <w:rPr>
                <w:rFonts w:ascii="Times New Roman" w:hAnsi="Times New Roman" w:cs="Times New Roman"/>
                <w:sz w:val="23"/>
                <w:szCs w:val="23"/>
                <w:lang w:val="lt-LT"/>
              </w:rPr>
              <w:t>;</w:t>
            </w:r>
          </w:p>
          <w:p w:rsidR="000D0957" w:rsidRPr="009C43B2" w:rsidRDefault="000D0957" w:rsidP="007B3C0B">
            <w:pPr>
              <w:pStyle w:val="Sraopastraipa"/>
              <w:numPr>
                <w:ilvl w:val="1"/>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Rita Česnulevičienė (iki 2016 m. balandžio 29 d.)</w:t>
            </w:r>
          </w:p>
          <w:p w:rsidR="000D0957" w:rsidRPr="009C43B2" w:rsidRDefault="000D0957" w:rsidP="007B3C0B">
            <w:pPr>
              <w:pStyle w:val="Sraopastraipa"/>
              <w:numPr>
                <w:ilvl w:val="1"/>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Nemunas Barauskas;</w:t>
            </w:r>
          </w:p>
          <w:p w:rsidR="000D0957" w:rsidRPr="009C43B2" w:rsidRDefault="000D0957" w:rsidP="007B3C0B">
            <w:pPr>
              <w:pStyle w:val="Sraopastraipa"/>
              <w:numPr>
                <w:ilvl w:val="1"/>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Angelė </w:t>
            </w:r>
            <w:proofErr w:type="spellStart"/>
            <w:r w:rsidRPr="009C43B2">
              <w:rPr>
                <w:rFonts w:ascii="Times New Roman" w:hAnsi="Times New Roman" w:cs="Times New Roman"/>
                <w:sz w:val="23"/>
                <w:szCs w:val="23"/>
                <w:lang w:val="lt-LT"/>
              </w:rPr>
              <w:t>Sinkevičiūtė</w:t>
            </w:r>
            <w:proofErr w:type="spellEnd"/>
            <w:r w:rsidRPr="009C43B2">
              <w:rPr>
                <w:rFonts w:ascii="Times New Roman" w:hAnsi="Times New Roman" w:cs="Times New Roman"/>
                <w:sz w:val="23"/>
                <w:szCs w:val="23"/>
                <w:lang w:val="lt-LT"/>
              </w:rPr>
              <w:t>;</w:t>
            </w:r>
          </w:p>
          <w:p w:rsidR="000D0957" w:rsidRPr="009C43B2" w:rsidRDefault="000D0957" w:rsidP="007B3C0B">
            <w:pPr>
              <w:pStyle w:val="Sraopastraipa"/>
              <w:numPr>
                <w:ilvl w:val="1"/>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Vytautas Sviderskis (iki 2016 m. balandžio 29 d.);</w:t>
            </w:r>
          </w:p>
          <w:p w:rsidR="000D0957" w:rsidRPr="009C43B2" w:rsidRDefault="000D0957" w:rsidP="007B3C0B">
            <w:pPr>
              <w:pStyle w:val="Sraopastraipa"/>
              <w:numPr>
                <w:ilvl w:val="0"/>
                <w:numId w:val="6"/>
              </w:numPr>
              <w:tabs>
                <w:tab w:val="left" w:pos="459"/>
              </w:tabs>
              <w:spacing w:after="160" w:line="259" w:lineRule="auto"/>
              <w:ind w:left="0" w:firstLine="0"/>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Ramutė </w:t>
            </w:r>
            <w:proofErr w:type="spellStart"/>
            <w:r w:rsidRPr="009C43B2">
              <w:rPr>
                <w:rFonts w:ascii="Times New Roman" w:hAnsi="Times New Roman" w:cs="Times New Roman"/>
                <w:sz w:val="23"/>
                <w:szCs w:val="23"/>
                <w:lang w:val="lt-LT"/>
              </w:rPr>
              <w:t>Nastajienė</w:t>
            </w:r>
            <w:proofErr w:type="spellEnd"/>
            <w:r w:rsidRPr="009C43B2">
              <w:rPr>
                <w:rFonts w:ascii="Times New Roman" w:hAnsi="Times New Roman" w:cs="Times New Roman"/>
                <w:sz w:val="23"/>
                <w:szCs w:val="23"/>
                <w:lang w:val="lt-LT"/>
              </w:rPr>
              <w:t>, sekretorė</w:t>
            </w:r>
          </w:p>
        </w:tc>
      </w:tr>
    </w:tbl>
    <w:p w:rsidR="001253F2" w:rsidRPr="009C43B2" w:rsidRDefault="001253F2" w:rsidP="001253F2">
      <w:pPr>
        <w:spacing w:after="160" w:line="259" w:lineRule="auto"/>
        <w:jc w:val="center"/>
        <w:rPr>
          <w:rFonts w:ascii="Times New Roman" w:hAnsi="Times New Roman" w:cs="Times New Roman"/>
          <w:sz w:val="23"/>
          <w:szCs w:val="23"/>
        </w:rPr>
      </w:pPr>
    </w:p>
    <w:p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hAnsi="Times New Roman" w:cs="Times New Roman"/>
          <w:b/>
          <w:sz w:val="23"/>
          <w:szCs w:val="23"/>
        </w:rPr>
        <w:t>II dalis. Vertinimo metu nustatyti pažeidimai</w:t>
      </w:r>
    </w:p>
    <w:tbl>
      <w:tblPr>
        <w:tblStyle w:val="Lentelstinklelis"/>
        <w:tblW w:w="9606" w:type="dxa"/>
        <w:tblLook w:val="04A0" w:firstRow="1" w:lastRow="0" w:firstColumn="1" w:lastColumn="0" w:noHBand="0" w:noVBand="1"/>
      </w:tblPr>
      <w:tblGrid>
        <w:gridCol w:w="549"/>
        <w:gridCol w:w="230"/>
        <w:gridCol w:w="8827"/>
      </w:tblGrid>
      <w:tr w:rsidR="005C01AD" w:rsidRPr="009C43B2" w:rsidTr="00E87182">
        <w:trPr>
          <w:trHeight w:val="409"/>
        </w:trPr>
        <w:tc>
          <w:tcPr>
            <w:tcW w:w="445" w:type="dxa"/>
          </w:tcPr>
          <w:p w:rsidR="005C01AD" w:rsidRPr="009C43B2" w:rsidRDefault="005C01AD" w:rsidP="00E87182">
            <w:pPr>
              <w:numPr>
                <w:ilvl w:val="0"/>
                <w:numId w:val="1"/>
              </w:numPr>
              <w:ind w:left="360"/>
              <w:contextualSpacing/>
              <w:jc w:val="both"/>
              <w:rPr>
                <w:rFonts w:ascii="Times New Roman" w:hAnsi="Times New Roman" w:cs="Times New Roman"/>
                <w:sz w:val="23"/>
                <w:szCs w:val="23"/>
                <w:lang w:val="lt-LT"/>
              </w:rPr>
            </w:pPr>
          </w:p>
        </w:tc>
        <w:tc>
          <w:tcPr>
            <w:tcW w:w="9161" w:type="dxa"/>
            <w:gridSpan w:val="2"/>
          </w:tcPr>
          <w:p w:rsidR="005C01AD" w:rsidRPr="009C43B2" w:rsidRDefault="005D742E" w:rsidP="005D742E">
            <w:pPr>
              <w:spacing w:after="160" w:line="259" w:lineRule="auto"/>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Įstatymo 3 straipsnio 1 dalyje įtvirtintas skaidrumo principas</w:t>
            </w:r>
          </w:p>
        </w:tc>
      </w:tr>
      <w:tr w:rsidR="005C01AD" w:rsidRPr="009C43B2" w:rsidTr="00E87182">
        <w:tc>
          <w:tcPr>
            <w:tcW w:w="9606" w:type="dxa"/>
            <w:gridSpan w:val="3"/>
          </w:tcPr>
          <w:p w:rsidR="005C01AD" w:rsidRPr="009C43B2" w:rsidRDefault="005D742E" w:rsidP="00D33987">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2015 m. spalio 29</w:t>
            </w:r>
            <w:r w:rsidR="005C01AD" w:rsidRPr="009C43B2">
              <w:rPr>
                <w:rFonts w:ascii="Times New Roman" w:hAnsi="Times New Roman" w:cs="Times New Roman"/>
                <w:sz w:val="23"/>
                <w:szCs w:val="23"/>
                <w:lang w:val="lt-LT"/>
              </w:rPr>
              <w:t xml:space="preserve"> </w:t>
            </w:r>
            <w:r w:rsidRPr="009C43B2">
              <w:rPr>
                <w:rFonts w:ascii="Times New Roman" w:hAnsi="Times New Roman" w:cs="Times New Roman"/>
                <w:sz w:val="23"/>
                <w:szCs w:val="23"/>
                <w:lang w:val="lt-LT"/>
              </w:rPr>
              <w:t xml:space="preserve">d. </w:t>
            </w:r>
            <w:r w:rsidR="000944B8" w:rsidRPr="009C43B2">
              <w:rPr>
                <w:rFonts w:ascii="Times New Roman" w:hAnsi="Times New Roman" w:cs="Times New Roman"/>
                <w:sz w:val="23"/>
                <w:szCs w:val="23"/>
                <w:lang w:val="lt-LT"/>
              </w:rPr>
              <w:t>Perkančio</w:t>
            </w:r>
            <w:r w:rsidR="006C06D8" w:rsidRPr="009C43B2">
              <w:rPr>
                <w:rFonts w:ascii="Times New Roman" w:hAnsi="Times New Roman" w:cs="Times New Roman"/>
                <w:sz w:val="23"/>
                <w:szCs w:val="23"/>
                <w:lang w:val="lt-LT"/>
              </w:rPr>
              <w:t>sios organizacijos paviešintos</w:t>
            </w:r>
            <w:r w:rsidR="0096557C" w:rsidRPr="009C43B2">
              <w:rPr>
                <w:rFonts w:ascii="Times New Roman" w:hAnsi="Times New Roman" w:cs="Times New Roman"/>
                <w:sz w:val="23"/>
                <w:szCs w:val="23"/>
                <w:lang w:val="lt-LT"/>
              </w:rPr>
              <w:t xml:space="preserve"> Sutarties</w:t>
            </w:r>
            <w:r w:rsidRPr="009C43B2">
              <w:rPr>
                <w:rFonts w:ascii="Times New Roman" w:hAnsi="Times New Roman" w:cs="Times New Roman"/>
                <w:sz w:val="23"/>
                <w:szCs w:val="23"/>
                <w:lang w:val="lt-LT"/>
              </w:rPr>
              <w:t xml:space="preserve"> 2.3 </w:t>
            </w:r>
            <w:r w:rsidR="0096557C" w:rsidRPr="009C43B2">
              <w:rPr>
                <w:rFonts w:ascii="Times New Roman" w:hAnsi="Times New Roman" w:cs="Times New Roman"/>
                <w:sz w:val="23"/>
                <w:szCs w:val="23"/>
                <w:lang w:val="lt-LT"/>
              </w:rPr>
              <w:t xml:space="preserve">punkte </w:t>
            </w:r>
            <w:r w:rsidR="006C06D8" w:rsidRPr="009C43B2">
              <w:rPr>
                <w:rFonts w:ascii="Times New Roman" w:hAnsi="Times New Roman" w:cs="Times New Roman"/>
                <w:sz w:val="23"/>
                <w:szCs w:val="23"/>
                <w:lang w:val="lt-LT"/>
              </w:rPr>
              <w:t xml:space="preserve">nėra nurodytas </w:t>
            </w:r>
            <w:r w:rsidR="007B3C0B" w:rsidRPr="009C43B2">
              <w:rPr>
                <w:rFonts w:ascii="Times New Roman" w:hAnsi="Times New Roman" w:cs="Times New Roman"/>
                <w:sz w:val="23"/>
                <w:szCs w:val="23"/>
                <w:lang w:val="lt-LT"/>
              </w:rPr>
              <w:t>tiekėjo</w:t>
            </w:r>
            <w:r w:rsidRPr="009C43B2">
              <w:rPr>
                <w:rFonts w:ascii="Times New Roman" w:hAnsi="Times New Roman" w:cs="Times New Roman"/>
                <w:sz w:val="23"/>
                <w:szCs w:val="23"/>
                <w:lang w:val="lt-LT"/>
              </w:rPr>
              <w:t xml:space="preserve"> </w:t>
            </w:r>
            <w:r w:rsidR="006C06D8" w:rsidRPr="009C43B2">
              <w:rPr>
                <w:rFonts w:ascii="Times New Roman" w:hAnsi="Times New Roman" w:cs="Times New Roman"/>
                <w:sz w:val="23"/>
                <w:szCs w:val="23"/>
                <w:lang w:val="lt-LT"/>
              </w:rPr>
              <w:t xml:space="preserve">pasiūlyme nurodytas </w:t>
            </w:r>
            <w:proofErr w:type="spellStart"/>
            <w:r w:rsidR="006C06D8" w:rsidRPr="009C43B2">
              <w:rPr>
                <w:rFonts w:ascii="Times New Roman" w:hAnsi="Times New Roman" w:cs="Times New Roman"/>
                <w:sz w:val="23"/>
                <w:szCs w:val="23"/>
                <w:lang w:val="lt-LT"/>
              </w:rPr>
              <w:t>subtiekėjas</w:t>
            </w:r>
            <w:proofErr w:type="spellEnd"/>
            <w:r w:rsidR="006C06D8" w:rsidRPr="009C43B2">
              <w:rPr>
                <w:rFonts w:ascii="Times New Roman" w:hAnsi="Times New Roman" w:cs="Times New Roman"/>
                <w:sz w:val="23"/>
                <w:szCs w:val="23"/>
                <w:lang w:val="lt-LT"/>
              </w:rPr>
              <w:t xml:space="preserve">, tačiau Perkančiosios organizacijos </w:t>
            </w:r>
            <w:r w:rsidR="0096557C" w:rsidRPr="009C43B2">
              <w:rPr>
                <w:rFonts w:ascii="Times New Roman" w:hAnsi="Times New Roman" w:cs="Times New Roman"/>
                <w:sz w:val="23"/>
                <w:szCs w:val="23"/>
                <w:lang w:val="lt-LT"/>
              </w:rPr>
              <w:t>Tarnybai pateiktos Sutarties kopijos 2.3 punkte nurodyta</w:t>
            </w:r>
            <w:r w:rsidR="006C06D8" w:rsidRPr="009C43B2">
              <w:rPr>
                <w:rFonts w:ascii="Times New Roman" w:hAnsi="Times New Roman" w:cs="Times New Roman"/>
                <w:sz w:val="23"/>
                <w:szCs w:val="23"/>
                <w:lang w:val="lt-LT"/>
              </w:rPr>
              <w:t>, jog Sutarčiai vykdyti tiekėjas pasitelkia</w:t>
            </w:r>
            <w:r w:rsidR="0096557C" w:rsidRPr="009C43B2">
              <w:rPr>
                <w:rFonts w:ascii="Times New Roman" w:hAnsi="Times New Roman" w:cs="Times New Roman"/>
                <w:sz w:val="23"/>
                <w:szCs w:val="23"/>
                <w:lang w:val="lt-LT"/>
              </w:rPr>
              <w:t xml:space="preserve"> </w:t>
            </w:r>
            <w:proofErr w:type="spellStart"/>
            <w:r w:rsidR="0096557C" w:rsidRPr="009C43B2">
              <w:rPr>
                <w:rFonts w:ascii="Times New Roman" w:hAnsi="Times New Roman" w:cs="Times New Roman"/>
                <w:sz w:val="23"/>
                <w:szCs w:val="23"/>
                <w:lang w:val="lt-LT"/>
              </w:rPr>
              <w:t>subtiekėj</w:t>
            </w:r>
            <w:r w:rsidR="006C06D8" w:rsidRPr="009C43B2">
              <w:rPr>
                <w:rFonts w:ascii="Times New Roman" w:hAnsi="Times New Roman" w:cs="Times New Roman"/>
                <w:sz w:val="23"/>
                <w:szCs w:val="23"/>
                <w:lang w:val="lt-LT"/>
              </w:rPr>
              <w:t>ą</w:t>
            </w:r>
            <w:proofErr w:type="spellEnd"/>
            <w:r w:rsidR="0096557C" w:rsidRPr="009C43B2">
              <w:rPr>
                <w:rFonts w:ascii="Times New Roman" w:hAnsi="Times New Roman" w:cs="Times New Roman"/>
                <w:sz w:val="23"/>
                <w:szCs w:val="23"/>
                <w:lang w:val="lt-LT"/>
              </w:rPr>
              <w:t xml:space="preserve"> UAB „DCGM“</w:t>
            </w:r>
            <w:r w:rsidRPr="009C43B2">
              <w:rPr>
                <w:rFonts w:ascii="Times New Roman" w:hAnsi="Times New Roman" w:cs="Times New Roman"/>
                <w:sz w:val="23"/>
                <w:szCs w:val="23"/>
                <w:lang w:val="lt-LT"/>
              </w:rPr>
              <w:t xml:space="preserve">. Tarnyba pažymi, kad tiekėjų pasitelkiami </w:t>
            </w:r>
            <w:proofErr w:type="spellStart"/>
            <w:r w:rsidRPr="009C43B2">
              <w:rPr>
                <w:rFonts w:ascii="Times New Roman" w:hAnsi="Times New Roman" w:cs="Times New Roman"/>
                <w:sz w:val="23"/>
                <w:szCs w:val="23"/>
                <w:lang w:val="lt-LT"/>
              </w:rPr>
              <w:t>subtiekėjai</w:t>
            </w:r>
            <w:proofErr w:type="spellEnd"/>
            <w:r w:rsidRPr="009C43B2">
              <w:rPr>
                <w:rFonts w:ascii="Times New Roman" w:hAnsi="Times New Roman" w:cs="Times New Roman"/>
                <w:sz w:val="23"/>
                <w:szCs w:val="23"/>
                <w:lang w:val="lt-LT"/>
              </w:rPr>
              <w:t xml:space="preserve">, </w:t>
            </w:r>
            <w:proofErr w:type="spellStart"/>
            <w:r w:rsidRPr="009C43B2">
              <w:rPr>
                <w:rFonts w:ascii="Times New Roman" w:hAnsi="Times New Roman" w:cs="Times New Roman"/>
                <w:sz w:val="23"/>
                <w:szCs w:val="23"/>
                <w:lang w:val="lt-LT"/>
              </w:rPr>
              <w:t>subteikėjai</w:t>
            </w:r>
            <w:proofErr w:type="spellEnd"/>
            <w:r w:rsidRPr="009C43B2">
              <w:rPr>
                <w:rFonts w:ascii="Times New Roman" w:hAnsi="Times New Roman" w:cs="Times New Roman"/>
                <w:sz w:val="23"/>
                <w:szCs w:val="23"/>
                <w:lang w:val="lt-LT"/>
              </w:rPr>
              <w:t xml:space="preserve"> ar subrangovai </w:t>
            </w:r>
            <w:r w:rsidR="001167DE" w:rsidRPr="009C43B2">
              <w:rPr>
                <w:rFonts w:ascii="Times New Roman" w:hAnsi="Times New Roman" w:cs="Times New Roman"/>
                <w:sz w:val="23"/>
                <w:szCs w:val="23"/>
                <w:lang w:val="lt-LT"/>
              </w:rPr>
              <w:t>nelaikytini</w:t>
            </w:r>
            <w:r w:rsidRPr="009C43B2">
              <w:rPr>
                <w:rFonts w:ascii="Times New Roman" w:hAnsi="Times New Roman" w:cs="Times New Roman"/>
                <w:sz w:val="23"/>
                <w:szCs w:val="23"/>
                <w:lang w:val="lt-LT"/>
              </w:rPr>
              <w:t xml:space="preserve"> konfidenciali informacija</w:t>
            </w:r>
            <w:r w:rsidR="005F2099" w:rsidRPr="009C43B2">
              <w:rPr>
                <w:rStyle w:val="Puslapioinaosnuoroda"/>
                <w:rFonts w:ascii="Times New Roman" w:hAnsi="Times New Roman" w:cs="Times New Roman"/>
                <w:sz w:val="23"/>
                <w:szCs w:val="23"/>
                <w:lang w:val="lt-LT"/>
              </w:rPr>
              <w:footnoteReference w:id="1"/>
            </w:r>
            <w:r w:rsidRPr="009C43B2">
              <w:rPr>
                <w:rFonts w:ascii="Times New Roman" w:hAnsi="Times New Roman" w:cs="Times New Roman"/>
                <w:sz w:val="23"/>
                <w:szCs w:val="23"/>
                <w:lang w:val="lt-LT"/>
              </w:rPr>
              <w:t xml:space="preserve">, </w:t>
            </w:r>
            <w:r w:rsidRPr="009C43B2">
              <w:rPr>
                <w:rFonts w:ascii="Times New Roman" w:hAnsi="Times New Roman" w:cs="Times New Roman"/>
                <w:b/>
                <w:sz w:val="23"/>
                <w:szCs w:val="23"/>
                <w:lang w:val="lt-LT"/>
              </w:rPr>
              <w:t xml:space="preserve">todėl Perkančioji organizacija nepaviešinusi duomenų apie </w:t>
            </w:r>
            <w:r w:rsidR="007B3C0B" w:rsidRPr="009C43B2">
              <w:rPr>
                <w:rFonts w:ascii="Times New Roman" w:hAnsi="Times New Roman" w:cs="Times New Roman"/>
                <w:b/>
                <w:sz w:val="23"/>
                <w:szCs w:val="23"/>
                <w:lang w:val="lt-LT"/>
              </w:rPr>
              <w:t>tiekėjo</w:t>
            </w:r>
            <w:r w:rsidRPr="009C43B2">
              <w:rPr>
                <w:rFonts w:ascii="Times New Roman" w:hAnsi="Times New Roman" w:cs="Times New Roman"/>
                <w:b/>
                <w:sz w:val="23"/>
                <w:szCs w:val="23"/>
                <w:lang w:val="lt-LT"/>
              </w:rPr>
              <w:t xml:space="preserve"> pasitelkiamą </w:t>
            </w:r>
            <w:proofErr w:type="spellStart"/>
            <w:r w:rsidRPr="009C43B2">
              <w:rPr>
                <w:rFonts w:ascii="Times New Roman" w:hAnsi="Times New Roman" w:cs="Times New Roman"/>
                <w:b/>
                <w:sz w:val="23"/>
                <w:szCs w:val="23"/>
                <w:lang w:val="lt-LT"/>
              </w:rPr>
              <w:t>subtiekėją</w:t>
            </w:r>
            <w:proofErr w:type="spellEnd"/>
            <w:r w:rsidR="008110FC" w:rsidRPr="009C43B2">
              <w:rPr>
                <w:rFonts w:ascii="Times New Roman" w:hAnsi="Times New Roman" w:cs="Times New Roman"/>
                <w:b/>
                <w:sz w:val="23"/>
                <w:szCs w:val="23"/>
                <w:lang w:val="lt-LT"/>
              </w:rPr>
              <w:t>,</w:t>
            </w:r>
            <w:r w:rsidRPr="009C43B2">
              <w:rPr>
                <w:rFonts w:ascii="Times New Roman" w:hAnsi="Times New Roman" w:cs="Times New Roman"/>
                <w:b/>
                <w:sz w:val="23"/>
                <w:szCs w:val="23"/>
                <w:lang w:val="lt-LT"/>
              </w:rPr>
              <w:t xml:space="preserve"> pažeidė Įstatymo 3 straipsnio 1 dalyje nustatytą skaidrumo principą</w:t>
            </w:r>
            <w:r w:rsidR="003B16E5" w:rsidRPr="009C43B2">
              <w:rPr>
                <w:rFonts w:ascii="Times New Roman" w:hAnsi="Times New Roman" w:cs="Times New Roman"/>
                <w:b/>
                <w:sz w:val="23"/>
                <w:szCs w:val="23"/>
                <w:lang w:val="lt-LT"/>
              </w:rPr>
              <w:t>.</w:t>
            </w:r>
          </w:p>
        </w:tc>
      </w:tr>
      <w:tr w:rsidR="001253F2" w:rsidRPr="009C43B2" w:rsidTr="005655E4">
        <w:trPr>
          <w:trHeight w:val="409"/>
        </w:trPr>
        <w:tc>
          <w:tcPr>
            <w:tcW w:w="445" w:type="dxa"/>
          </w:tcPr>
          <w:p w:rsidR="001253F2" w:rsidRPr="009C43B2" w:rsidRDefault="001253F2" w:rsidP="001253F2">
            <w:pPr>
              <w:numPr>
                <w:ilvl w:val="0"/>
                <w:numId w:val="1"/>
              </w:numPr>
              <w:ind w:left="360"/>
              <w:contextualSpacing/>
              <w:jc w:val="both"/>
              <w:rPr>
                <w:rFonts w:ascii="Times New Roman" w:hAnsi="Times New Roman" w:cs="Times New Roman"/>
                <w:sz w:val="23"/>
                <w:szCs w:val="23"/>
                <w:lang w:val="lt-LT"/>
              </w:rPr>
            </w:pPr>
          </w:p>
        </w:tc>
        <w:tc>
          <w:tcPr>
            <w:tcW w:w="9161" w:type="dxa"/>
            <w:gridSpan w:val="2"/>
          </w:tcPr>
          <w:p w:rsidR="001253F2" w:rsidRPr="009C43B2" w:rsidRDefault="005655E4" w:rsidP="001F35B8">
            <w:pPr>
              <w:spacing w:after="160" w:line="259" w:lineRule="auto"/>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Įstatymo 3 straipsnio 1 dalyje įtvirtintas skaidrumo principas</w:t>
            </w:r>
            <w:r w:rsidR="001F35B8" w:rsidRPr="009C43B2">
              <w:rPr>
                <w:rFonts w:ascii="Times New Roman" w:hAnsi="Times New Roman" w:cs="Times New Roman"/>
                <w:sz w:val="23"/>
                <w:szCs w:val="23"/>
                <w:lang w:val="lt-LT"/>
              </w:rPr>
              <w:t>.</w:t>
            </w:r>
          </w:p>
        </w:tc>
      </w:tr>
      <w:tr w:rsidR="001253F2" w:rsidRPr="009C43B2" w:rsidTr="007F74A9">
        <w:tc>
          <w:tcPr>
            <w:tcW w:w="9606" w:type="dxa"/>
            <w:gridSpan w:val="3"/>
          </w:tcPr>
          <w:p w:rsidR="008207CF" w:rsidRPr="009C43B2" w:rsidRDefault="005655E4" w:rsidP="00F15813">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Sutarties 7.1 punkte nustatyta, kad „</w:t>
            </w:r>
            <w:r w:rsidRPr="009C43B2">
              <w:rPr>
                <w:rFonts w:ascii="Times New Roman" w:hAnsi="Times New Roman" w:cs="Times New Roman"/>
                <w:i/>
                <w:sz w:val="23"/>
                <w:szCs w:val="23"/>
                <w:lang w:val="lt-LT"/>
              </w:rPr>
              <w:t>Sutartis įsigalioja nuo sutarties įvykdymo užtikrinimo garantijos pateikimo dienos ir galioja iki visiško šalių įsipareigojimų įvykdymo, bet ne ilgiau kaip iki 2016 m. sausio 31 d.</w:t>
            </w:r>
            <w:r w:rsidRPr="009C43B2">
              <w:rPr>
                <w:rFonts w:ascii="Times New Roman" w:hAnsi="Times New Roman" w:cs="Times New Roman"/>
                <w:sz w:val="23"/>
                <w:szCs w:val="23"/>
                <w:lang w:val="lt-LT"/>
              </w:rPr>
              <w:t>“</w:t>
            </w:r>
          </w:p>
          <w:p w:rsidR="005655E4" w:rsidRPr="009C43B2" w:rsidRDefault="005655E4" w:rsidP="005655E4">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Sutarties 8.3 punkte nustatyta, kad „</w:t>
            </w:r>
            <w:r w:rsidRPr="009C43B2">
              <w:rPr>
                <w:rFonts w:ascii="Times New Roman" w:hAnsi="Times New Roman" w:cs="Times New Roman"/>
                <w:i/>
                <w:sz w:val="23"/>
                <w:szCs w:val="23"/>
                <w:lang w:val="lt-LT"/>
              </w:rPr>
              <w:t>visi šios Sutarties pakeitimai ir papildymai (išskyrus šios sutarties 8.9, 8.10 punktus ir 9 dalį) galioja tik tada, kai jie surašyti raštu ir patvirtinti abiejų šalių antspaudais ir atstovų parašais</w:t>
            </w:r>
            <w:r w:rsidRPr="009C43B2">
              <w:rPr>
                <w:rFonts w:ascii="Times New Roman" w:hAnsi="Times New Roman" w:cs="Times New Roman"/>
                <w:sz w:val="23"/>
                <w:szCs w:val="23"/>
                <w:lang w:val="lt-LT"/>
              </w:rPr>
              <w:t>“</w:t>
            </w:r>
            <w:r w:rsidR="008110FC" w:rsidRPr="009C43B2">
              <w:rPr>
                <w:rFonts w:ascii="Times New Roman" w:hAnsi="Times New Roman" w:cs="Times New Roman"/>
                <w:sz w:val="23"/>
                <w:szCs w:val="23"/>
                <w:lang w:val="lt-LT"/>
              </w:rPr>
              <w:t>.</w:t>
            </w:r>
          </w:p>
          <w:p w:rsidR="00862FD8" w:rsidRPr="009C43B2" w:rsidRDefault="005D742E" w:rsidP="00862FD8">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Tarnyba nustatė, kad Sutartis buvo vykdoma ir pasibaigus Sutarties 7.1 punkte nustatytam terminui, tačiau susitarimas dėl Sutarties galiojimo laikotarpio pratęsimo </w:t>
            </w:r>
            <w:r w:rsidR="00DE19E9" w:rsidRPr="009C43B2">
              <w:rPr>
                <w:rFonts w:ascii="Times New Roman" w:hAnsi="Times New Roman" w:cs="Times New Roman"/>
                <w:sz w:val="23"/>
                <w:szCs w:val="23"/>
                <w:lang w:val="lt-LT"/>
              </w:rPr>
              <w:t xml:space="preserve">(Sutarties pakeitimo) </w:t>
            </w:r>
            <w:r w:rsidRPr="009C43B2">
              <w:rPr>
                <w:rFonts w:ascii="Times New Roman" w:hAnsi="Times New Roman" w:cs="Times New Roman"/>
                <w:sz w:val="23"/>
                <w:szCs w:val="23"/>
                <w:lang w:val="lt-LT"/>
              </w:rPr>
              <w:t>nebuvo sudarytas raštu</w:t>
            </w:r>
            <w:r w:rsidR="00862FD8" w:rsidRPr="009C43B2">
              <w:rPr>
                <w:rFonts w:ascii="Times New Roman" w:hAnsi="Times New Roman" w:cs="Times New Roman"/>
                <w:sz w:val="23"/>
                <w:szCs w:val="23"/>
                <w:lang w:val="lt-LT"/>
              </w:rPr>
              <w:t xml:space="preserve"> kaip </w:t>
            </w:r>
            <w:r w:rsidR="00FD2A9C" w:rsidRPr="009C43B2">
              <w:rPr>
                <w:rFonts w:ascii="Times New Roman" w:hAnsi="Times New Roman" w:cs="Times New Roman"/>
                <w:sz w:val="23"/>
                <w:szCs w:val="23"/>
                <w:lang w:val="lt-LT"/>
              </w:rPr>
              <w:t xml:space="preserve">tai </w:t>
            </w:r>
            <w:r w:rsidR="00862FD8" w:rsidRPr="009C43B2">
              <w:rPr>
                <w:rFonts w:ascii="Times New Roman" w:hAnsi="Times New Roman" w:cs="Times New Roman"/>
                <w:sz w:val="23"/>
                <w:szCs w:val="23"/>
                <w:lang w:val="lt-LT"/>
              </w:rPr>
              <w:t xml:space="preserve">nustatyta Sutarties 8.3 punkte. </w:t>
            </w:r>
          </w:p>
          <w:p w:rsidR="004C1F28" w:rsidRPr="009C43B2" w:rsidRDefault="00E01188" w:rsidP="00862FD8">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Pažymėtina, kad Perkančioji organizacija už laiku neįvykdytus sutartinius įsipareigojimus </w:t>
            </w:r>
            <w:r w:rsidR="007B3C0B" w:rsidRPr="009C43B2">
              <w:rPr>
                <w:rFonts w:ascii="Times New Roman" w:hAnsi="Times New Roman" w:cs="Times New Roman"/>
                <w:sz w:val="23"/>
                <w:szCs w:val="23"/>
                <w:lang w:val="lt-LT"/>
              </w:rPr>
              <w:t>tiekėjui</w:t>
            </w:r>
            <w:r w:rsidR="00FD2A9C" w:rsidRPr="009C43B2">
              <w:rPr>
                <w:rFonts w:ascii="Times New Roman" w:hAnsi="Times New Roman" w:cs="Times New Roman"/>
                <w:sz w:val="23"/>
                <w:szCs w:val="23"/>
                <w:lang w:val="lt-LT"/>
              </w:rPr>
              <w:t xml:space="preserve"> </w:t>
            </w:r>
            <w:r w:rsidRPr="009C43B2">
              <w:rPr>
                <w:rFonts w:ascii="Times New Roman" w:hAnsi="Times New Roman" w:cs="Times New Roman"/>
                <w:sz w:val="23"/>
                <w:szCs w:val="23"/>
                <w:lang w:val="lt-LT"/>
              </w:rPr>
              <w:t xml:space="preserve">pritaikė Sutartyje nustatytas sankcijas – 0,04 % dydžio delspinigius nuo visos Sutarties vertės už kiekvieną praleistą termino dieną nuo 2016 m. sausio 1 d. iki 2016 m. liepos 14 d. bei šią sumą išskaičiavo iš pagal Sutartį </w:t>
            </w:r>
            <w:r w:rsidR="007B3C0B" w:rsidRPr="009C43B2">
              <w:rPr>
                <w:rFonts w:ascii="Times New Roman" w:hAnsi="Times New Roman" w:cs="Times New Roman"/>
                <w:sz w:val="23"/>
                <w:szCs w:val="23"/>
                <w:lang w:val="lt-LT"/>
              </w:rPr>
              <w:t>tiekėjui</w:t>
            </w:r>
            <w:r w:rsidRPr="009C43B2">
              <w:rPr>
                <w:rFonts w:ascii="Times New Roman" w:hAnsi="Times New Roman" w:cs="Times New Roman"/>
                <w:sz w:val="23"/>
                <w:szCs w:val="23"/>
                <w:lang w:val="lt-LT"/>
              </w:rPr>
              <w:t xml:space="preserve"> mokėtinos sumos</w:t>
            </w:r>
            <w:r w:rsidR="0096557C" w:rsidRPr="009C43B2">
              <w:rPr>
                <w:rFonts w:ascii="Times New Roman" w:hAnsi="Times New Roman" w:cs="Times New Roman"/>
                <w:sz w:val="23"/>
                <w:szCs w:val="23"/>
                <w:lang w:val="lt-LT"/>
              </w:rPr>
              <w:t>,</w:t>
            </w:r>
            <w:r w:rsidRPr="009C43B2">
              <w:rPr>
                <w:rFonts w:ascii="Times New Roman" w:hAnsi="Times New Roman" w:cs="Times New Roman"/>
                <w:sz w:val="23"/>
                <w:szCs w:val="23"/>
                <w:lang w:val="lt-LT"/>
              </w:rPr>
              <w:t xml:space="preserve"> </w:t>
            </w:r>
            <w:r w:rsidR="00D53CFA" w:rsidRPr="009C43B2">
              <w:rPr>
                <w:rFonts w:ascii="Times New Roman" w:hAnsi="Times New Roman" w:cs="Times New Roman"/>
                <w:sz w:val="23"/>
                <w:szCs w:val="23"/>
                <w:lang w:val="lt-LT"/>
              </w:rPr>
              <w:t>t. y. paslaugų suteikimo termin</w:t>
            </w:r>
            <w:r w:rsidR="00B04463" w:rsidRPr="009C43B2">
              <w:rPr>
                <w:rFonts w:ascii="Times New Roman" w:hAnsi="Times New Roman" w:cs="Times New Roman"/>
                <w:sz w:val="23"/>
                <w:szCs w:val="23"/>
                <w:lang w:val="lt-LT"/>
              </w:rPr>
              <w:t>as nebuvo pratęstas</w:t>
            </w:r>
            <w:r w:rsidR="00D53CFA" w:rsidRPr="009C43B2">
              <w:rPr>
                <w:rFonts w:ascii="Times New Roman" w:hAnsi="Times New Roman" w:cs="Times New Roman"/>
                <w:sz w:val="23"/>
                <w:szCs w:val="23"/>
                <w:lang w:val="lt-LT"/>
              </w:rPr>
              <w:t xml:space="preserve">. </w:t>
            </w:r>
            <w:r w:rsidR="0096557C" w:rsidRPr="009C43B2">
              <w:rPr>
                <w:rFonts w:ascii="Times New Roman" w:hAnsi="Times New Roman" w:cs="Times New Roman"/>
                <w:sz w:val="23"/>
                <w:szCs w:val="23"/>
                <w:lang w:val="lt-LT"/>
              </w:rPr>
              <w:t xml:space="preserve">Bendra priskaičiuotų delspinigių suma – 3 320,24 </w:t>
            </w:r>
            <w:proofErr w:type="spellStart"/>
            <w:r w:rsidR="0096557C" w:rsidRPr="009C43B2">
              <w:rPr>
                <w:rFonts w:ascii="Times New Roman" w:hAnsi="Times New Roman" w:cs="Times New Roman"/>
                <w:sz w:val="23"/>
                <w:szCs w:val="23"/>
                <w:lang w:val="lt-LT"/>
              </w:rPr>
              <w:t>Eur</w:t>
            </w:r>
            <w:proofErr w:type="spellEnd"/>
            <w:r w:rsidR="0096557C" w:rsidRPr="009C43B2">
              <w:rPr>
                <w:rFonts w:ascii="Times New Roman" w:hAnsi="Times New Roman" w:cs="Times New Roman"/>
                <w:sz w:val="23"/>
                <w:szCs w:val="23"/>
                <w:lang w:val="lt-LT"/>
              </w:rPr>
              <w:t>.</w:t>
            </w:r>
            <w:r w:rsidR="00444F4F" w:rsidRPr="009C43B2">
              <w:rPr>
                <w:rFonts w:ascii="Times New Roman" w:hAnsi="Times New Roman" w:cs="Times New Roman"/>
                <w:sz w:val="23"/>
                <w:szCs w:val="23"/>
                <w:lang w:val="lt-LT"/>
              </w:rPr>
              <w:t xml:space="preserve"> </w:t>
            </w:r>
          </w:p>
          <w:p w:rsidR="003B16E5" w:rsidRPr="009C43B2" w:rsidRDefault="00444F4F" w:rsidP="00862FD8">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Tarnyba pažymi, kad jei per </w:t>
            </w:r>
            <w:r w:rsidR="004C1F28" w:rsidRPr="009C43B2">
              <w:rPr>
                <w:rFonts w:ascii="Times New Roman" w:hAnsi="Times New Roman" w:cs="Times New Roman"/>
                <w:sz w:val="23"/>
                <w:szCs w:val="23"/>
                <w:lang w:val="lt-LT"/>
              </w:rPr>
              <w:t>S</w:t>
            </w:r>
            <w:r w:rsidRPr="009C43B2">
              <w:rPr>
                <w:rFonts w:ascii="Times New Roman" w:hAnsi="Times New Roman" w:cs="Times New Roman"/>
                <w:sz w:val="23"/>
                <w:szCs w:val="23"/>
                <w:lang w:val="lt-LT"/>
              </w:rPr>
              <w:t xml:space="preserve">utartyje nustatytą terminą tiekėjas neįvykdo visų įsipareigojimų pagal </w:t>
            </w:r>
            <w:r w:rsidR="004C1F28" w:rsidRPr="009C43B2">
              <w:rPr>
                <w:rFonts w:ascii="Times New Roman" w:hAnsi="Times New Roman" w:cs="Times New Roman"/>
                <w:sz w:val="23"/>
                <w:szCs w:val="23"/>
                <w:lang w:val="lt-LT"/>
              </w:rPr>
              <w:t>S</w:t>
            </w:r>
            <w:r w:rsidRPr="009C43B2">
              <w:rPr>
                <w:rFonts w:ascii="Times New Roman" w:hAnsi="Times New Roman" w:cs="Times New Roman"/>
                <w:sz w:val="23"/>
                <w:szCs w:val="23"/>
                <w:lang w:val="lt-LT"/>
              </w:rPr>
              <w:t xml:space="preserve">utartį, Perkančioji organizacija, atsižvelgdama į </w:t>
            </w:r>
            <w:r w:rsidR="004C1F28" w:rsidRPr="009C43B2">
              <w:rPr>
                <w:rFonts w:ascii="Times New Roman" w:hAnsi="Times New Roman" w:cs="Times New Roman"/>
                <w:sz w:val="23"/>
                <w:szCs w:val="23"/>
                <w:lang w:val="lt-LT"/>
              </w:rPr>
              <w:t>S</w:t>
            </w:r>
            <w:r w:rsidRPr="009C43B2">
              <w:rPr>
                <w:rFonts w:ascii="Times New Roman" w:hAnsi="Times New Roman" w:cs="Times New Roman"/>
                <w:sz w:val="23"/>
                <w:szCs w:val="23"/>
                <w:lang w:val="lt-LT"/>
              </w:rPr>
              <w:t>utarties nuostatas bei kitas aplinkybes pati sprendžia, ar tęsti sutarties vykdymą</w:t>
            </w:r>
            <w:r w:rsidR="006C06D8" w:rsidRPr="009C43B2">
              <w:rPr>
                <w:rFonts w:ascii="Times New Roman" w:hAnsi="Times New Roman" w:cs="Times New Roman"/>
                <w:sz w:val="23"/>
                <w:szCs w:val="23"/>
                <w:lang w:val="lt-LT"/>
              </w:rPr>
              <w:t xml:space="preserve"> tiekėjui taikant </w:t>
            </w:r>
            <w:r w:rsidR="00D33987" w:rsidRPr="009C43B2">
              <w:rPr>
                <w:rFonts w:ascii="Times New Roman" w:hAnsi="Times New Roman" w:cs="Times New Roman"/>
                <w:sz w:val="23"/>
                <w:szCs w:val="23"/>
                <w:lang w:val="lt-LT"/>
              </w:rPr>
              <w:t>s</w:t>
            </w:r>
            <w:r w:rsidR="006C06D8" w:rsidRPr="009C43B2">
              <w:rPr>
                <w:rFonts w:ascii="Times New Roman" w:hAnsi="Times New Roman" w:cs="Times New Roman"/>
                <w:sz w:val="23"/>
                <w:szCs w:val="23"/>
                <w:lang w:val="lt-LT"/>
              </w:rPr>
              <w:t>utartyje numatytas sutarties įvykdymo užtikrinimo priemones</w:t>
            </w:r>
            <w:r w:rsidR="007369B0" w:rsidRPr="009C43B2">
              <w:rPr>
                <w:rFonts w:ascii="Times New Roman" w:hAnsi="Times New Roman" w:cs="Times New Roman"/>
                <w:sz w:val="23"/>
                <w:szCs w:val="23"/>
                <w:lang w:val="lt-LT"/>
              </w:rPr>
              <w:t xml:space="preserve">, </w:t>
            </w:r>
            <w:r w:rsidR="006C06D8" w:rsidRPr="009C43B2">
              <w:rPr>
                <w:rFonts w:ascii="Times New Roman" w:hAnsi="Times New Roman" w:cs="Times New Roman"/>
                <w:sz w:val="23"/>
                <w:szCs w:val="23"/>
                <w:lang w:val="lt-LT"/>
              </w:rPr>
              <w:t xml:space="preserve">tačiau bet kuriuo atveju Perkančioji organizacija privalo </w:t>
            </w:r>
            <w:r w:rsidR="007369B0" w:rsidRPr="009C43B2">
              <w:rPr>
                <w:rFonts w:ascii="Times New Roman" w:hAnsi="Times New Roman" w:cs="Times New Roman"/>
                <w:sz w:val="23"/>
                <w:szCs w:val="23"/>
                <w:lang w:val="lt-LT"/>
              </w:rPr>
              <w:t xml:space="preserve">visus sprendimus, įskaitant </w:t>
            </w:r>
            <w:r w:rsidR="0096557C" w:rsidRPr="009C43B2">
              <w:rPr>
                <w:rFonts w:ascii="Times New Roman" w:hAnsi="Times New Roman" w:cs="Times New Roman"/>
                <w:sz w:val="23"/>
                <w:szCs w:val="23"/>
                <w:lang w:val="lt-LT"/>
              </w:rPr>
              <w:t>Sutarties galiojimo termino pratęsimą</w:t>
            </w:r>
            <w:r w:rsidR="006C06D8" w:rsidRPr="009C43B2">
              <w:rPr>
                <w:rFonts w:ascii="Times New Roman" w:hAnsi="Times New Roman" w:cs="Times New Roman"/>
                <w:sz w:val="23"/>
                <w:szCs w:val="23"/>
                <w:lang w:val="lt-LT"/>
              </w:rPr>
              <w:t>,</w:t>
            </w:r>
            <w:r w:rsidR="0096557C" w:rsidRPr="009C43B2">
              <w:rPr>
                <w:rFonts w:ascii="Times New Roman" w:hAnsi="Times New Roman" w:cs="Times New Roman"/>
                <w:sz w:val="23"/>
                <w:szCs w:val="23"/>
                <w:lang w:val="lt-LT"/>
              </w:rPr>
              <w:t xml:space="preserve"> įforminti raštu</w:t>
            </w:r>
            <w:r w:rsidR="007369B0" w:rsidRPr="009C43B2">
              <w:rPr>
                <w:rFonts w:ascii="Times New Roman" w:hAnsi="Times New Roman" w:cs="Times New Roman"/>
                <w:sz w:val="23"/>
                <w:szCs w:val="23"/>
                <w:lang w:val="lt-LT"/>
              </w:rPr>
              <w:t xml:space="preserve">, ypač atsižvelgiant į tai, jog </w:t>
            </w:r>
            <w:r w:rsidR="0096557C" w:rsidRPr="009C43B2">
              <w:rPr>
                <w:rFonts w:ascii="Times New Roman" w:hAnsi="Times New Roman" w:cs="Times New Roman"/>
                <w:sz w:val="23"/>
                <w:szCs w:val="23"/>
                <w:lang w:val="lt-LT"/>
              </w:rPr>
              <w:t xml:space="preserve">Lietuvos Respublikos Civilinio kodekso 6.192 straipsnio 4 dalyje nustatyta, </w:t>
            </w:r>
            <w:r w:rsidR="007369B0" w:rsidRPr="009C43B2">
              <w:rPr>
                <w:rFonts w:ascii="Times New Roman" w:hAnsi="Times New Roman" w:cs="Times New Roman"/>
                <w:sz w:val="23"/>
                <w:szCs w:val="23"/>
                <w:lang w:val="lt-LT"/>
              </w:rPr>
              <w:t>kad</w:t>
            </w:r>
            <w:r w:rsidR="0096557C" w:rsidRPr="009C43B2">
              <w:rPr>
                <w:rFonts w:ascii="Times New Roman" w:hAnsi="Times New Roman" w:cs="Times New Roman"/>
                <w:sz w:val="23"/>
                <w:szCs w:val="23"/>
                <w:lang w:val="lt-LT"/>
              </w:rPr>
              <w:t xml:space="preserve"> </w:t>
            </w:r>
            <w:r w:rsidR="00FC6B99" w:rsidRPr="009C43B2">
              <w:rPr>
                <w:rFonts w:ascii="Times New Roman" w:hAnsi="Times New Roman" w:cs="Times New Roman"/>
                <w:sz w:val="23"/>
                <w:szCs w:val="23"/>
                <w:lang w:val="lt-LT"/>
              </w:rPr>
              <w:t xml:space="preserve">rašytinės formos sutarties pakeitimas turi būti įformintas </w:t>
            </w:r>
            <w:r w:rsidR="0067251E" w:rsidRPr="009C43B2">
              <w:rPr>
                <w:rFonts w:ascii="Times New Roman" w:hAnsi="Times New Roman" w:cs="Times New Roman"/>
                <w:sz w:val="23"/>
                <w:szCs w:val="23"/>
                <w:lang w:val="lt-LT"/>
              </w:rPr>
              <w:t>raštu, o analogiška nuostata nustatyta ir Sutarties 8.3 punkte.</w:t>
            </w:r>
          </w:p>
          <w:p w:rsidR="005D742E" w:rsidRPr="009C43B2" w:rsidRDefault="007369B0" w:rsidP="00D33987">
            <w:pPr>
              <w:spacing w:line="259" w:lineRule="auto"/>
              <w:ind w:firstLine="851"/>
              <w:jc w:val="both"/>
              <w:rPr>
                <w:rFonts w:ascii="Times New Roman" w:hAnsi="Times New Roman" w:cs="Times New Roman"/>
                <w:b/>
                <w:sz w:val="23"/>
                <w:szCs w:val="23"/>
                <w:lang w:val="lt-LT"/>
              </w:rPr>
            </w:pPr>
            <w:r w:rsidRPr="009C43B2">
              <w:rPr>
                <w:rFonts w:ascii="Times New Roman" w:hAnsi="Times New Roman" w:cs="Times New Roman"/>
                <w:b/>
                <w:sz w:val="23"/>
                <w:szCs w:val="23"/>
                <w:lang w:val="lt-LT"/>
              </w:rPr>
              <w:t xml:space="preserve">Apibendrindama tai, kas pasakyta, </w:t>
            </w:r>
            <w:r w:rsidR="00862FD8" w:rsidRPr="009C43B2">
              <w:rPr>
                <w:rFonts w:ascii="Times New Roman" w:hAnsi="Times New Roman" w:cs="Times New Roman"/>
                <w:b/>
                <w:sz w:val="23"/>
                <w:szCs w:val="23"/>
                <w:lang w:val="lt-LT"/>
              </w:rPr>
              <w:t xml:space="preserve">Tarnyba pažymi, kad Perkančioji organizacija </w:t>
            </w:r>
            <w:r w:rsidRPr="009C43B2">
              <w:rPr>
                <w:rFonts w:ascii="Times New Roman" w:hAnsi="Times New Roman" w:cs="Times New Roman"/>
                <w:b/>
                <w:sz w:val="23"/>
                <w:szCs w:val="23"/>
                <w:lang w:val="lt-LT"/>
              </w:rPr>
              <w:t xml:space="preserve">leisdama tiekėjui Sutartį vykdyti po jos galiojimo pabaigos, </w:t>
            </w:r>
            <w:r w:rsidR="00862FD8" w:rsidRPr="009C43B2">
              <w:rPr>
                <w:rFonts w:ascii="Times New Roman" w:hAnsi="Times New Roman" w:cs="Times New Roman"/>
                <w:b/>
                <w:sz w:val="23"/>
                <w:szCs w:val="23"/>
                <w:lang w:val="lt-LT"/>
              </w:rPr>
              <w:t>faktiškai pakeit</w:t>
            </w:r>
            <w:r w:rsidRPr="009C43B2">
              <w:rPr>
                <w:rFonts w:ascii="Times New Roman" w:hAnsi="Times New Roman" w:cs="Times New Roman"/>
                <w:b/>
                <w:sz w:val="23"/>
                <w:szCs w:val="23"/>
                <w:lang w:val="lt-LT"/>
              </w:rPr>
              <w:t>ė</w:t>
            </w:r>
            <w:r w:rsidR="00862FD8" w:rsidRPr="009C43B2">
              <w:rPr>
                <w:rFonts w:ascii="Times New Roman" w:hAnsi="Times New Roman" w:cs="Times New Roman"/>
                <w:b/>
                <w:sz w:val="23"/>
                <w:szCs w:val="23"/>
                <w:lang w:val="lt-LT"/>
              </w:rPr>
              <w:t xml:space="preserve"> </w:t>
            </w:r>
            <w:r w:rsidR="009C48BD" w:rsidRPr="009C43B2">
              <w:rPr>
                <w:rFonts w:ascii="Times New Roman" w:hAnsi="Times New Roman" w:cs="Times New Roman"/>
                <w:b/>
                <w:sz w:val="23"/>
                <w:szCs w:val="23"/>
                <w:lang w:val="lt-LT"/>
              </w:rPr>
              <w:t>S</w:t>
            </w:r>
            <w:r w:rsidR="00862FD8" w:rsidRPr="009C43B2">
              <w:rPr>
                <w:rFonts w:ascii="Times New Roman" w:hAnsi="Times New Roman" w:cs="Times New Roman"/>
                <w:b/>
                <w:sz w:val="23"/>
                <w:szCs w:val="23"/>
                <w:lang w:val="lt-LT"/>
              </w:rPr>
              <w:t>utart</w:t>
            </w:r>
            <w:r w:rsidR="009C48BD" w:rsidRPr="009C43B2">
              <w:rPr>
                <w:rFonts w:ascii="Times New Roman" w:hAnsi="Times New Roman" w:cs="Times New Roman"/>
                <w:b/>
                <w:sz w:val="23"/>
                <w:szCs w:val="23"/>
                <w:lang w:val="lt-LT"/>
              </w:rPr>
              <w:t>ies 7.1 punkto nuostatas</w:t>
            </w:r>
            <w:r w:rsidR="006C06D8" w:rsidRPr="009C43B2">
              <w:rPr>
                <w:rFonts w:ascii="Times New Roman" w:hAnsi="Times New Roman" w:cs="Times New Roman"/>
                <w:b/>
                <w:sz w:val="23"/>
                <w:szCs w:val="23"/>
                <w:lang w:val="lt-LT"/>
              </w:rPr>
              <w:t>. Be to,</w:t>
            </w:r>
            <w:r w:rsidRPr="009C43B2">
              <w:rPr>
                <w:rFonts w:ascii="Times New Roman" w:hAnsi="Times New Roman" w:cs="Times New Roman"/>
                <w:b/>
                <w:sz w:val="23"/>
                <w:szCs w:val="23"/>
                <w:lang w:val="lt-LT"/>
              </w:rPr>
              <w:t xml:space="preserve"> </w:t>
            </w:r>
            <w:r w:rsidR="00862FD8" w:rsidRPr="009C43B2">
              <w:rPr>
                <w:rFonts w:ascii="Times New Roman" w:hAnsi="Times New Roman" w:cs="Times New Roman"/>
                <w:b/>
                <w:sz w:val="23"/>
                <w:szCs w:val="23"/>
                <w:lang w:val="lt-LT"/>
              </w:rPr>
              <w:t xml:space="preserve">nesudarydama rašytinio susitarimo dėl Sutarties pakeitimo </w:t>
            </w:r>
            <w:r w:rsidR="00F44CA3" w:rsidRPr="009C43B2">
              <w:rPr>
                <w:rFonts w:ascii="Times New Roman" w:hAnsi="Times New Roman" w:cs="Times New Roman"/>
                <w:b/>
                <w:sz w:val="23"/>
                <w:szCs w:val="23"/>
                <w:lang w:val="lt-LT"/>
              </w:rPr>
              <w:t>(Sutarties galiojimo</w:t>
            </w:r>
            <w:r w:rsidR="0096557C" w:rsidRPr="009C43B2">
              <w:rPr>
                <w:rFonts w:ascii="Times New Roman" w:hAnsi="Times New Roman" w:cs="Times New Roman"/>
                <w:b/>
                <w:sz w:val="23"/>
                <w:szCs w:val="23"/>
                <w:lang w:val="lt-LT"/>
              </w:rPr>
              <w:t xml:space="preserve"> termino</w:t>
            </w:r>
            <w:r w:rsidR="00F44CA3" w:rsidRPr="009C43B2">
              <w:rPr>
                <w:rFonts w:ascii="Times New Roman" w:hAnsi="Times New Roman" w:cs="Times New Roman"/>
                <w:b/>
                <w:sz w:val="23"/>
                <w:szCs w:val="23"/>
                <w:lang w:val="lt-LT"/>
              </w:rPr>
              <w:t xml:space="preserve"> pratęsimo) </w:t>
            </w:r>
            <w:r w:rsidR="006C06D8" w:rsidRPr="009C43B2">
              <w:rPr>
                <w:rFonts w:ascii="Times New Roman" w:hAnsi="Times New Roman" w:cs="Times New Roman"/>
                <w:b/>
                <w:sz w:val="23"/>
                <w:szCs w:val="23"/>
                <w:lang w:val="lt-LT"/>
              </w:rPr>
              <w:t xml:space="preserve">Perkančioji organizacija </w:t>
            </w:r>
            <w:r w:rsidR="0067251E" w:rsidRPr="009C43B2">
              <w:rPr>
                <w:rFonts w:ascii="Times New Roman" w:hAnsi="Times New Roman" w:cs="Times New Roman"/>
                <w:b/>
                <w:sz w:val="23"/>
                <w:szCs w:val="23"/>
                <w:lang w:val="lt-LT"/>
              </w:rPr>
              <w:t xml:space="preserve">taip išvengė šios aplinkybės paskelbimo pagal Įstatymo </w:t>
            </w:r>
            <w:r w:rsidR="009C48BD" w:rsidRPr="009C43B2">
              <w:rPr>
                <w:rFonts w:ascii="Times New Roman" w:hAnsi="Times New Roman" w:cs="Times New Roman"/>
                <w:b/>
                <w:sz w:val="23"/>
                <w:szCs w:val="23"/>
                <w:lang w:val="lt-LT"/>
              </w:rPr>
              <w:t>18 straipsnio 11 dalies reikalavimus</w:t>
            </w:r>
            <w:r w:rsidR="0067251E" w:rsidRPr="009C43B2">
              <w:rPr>
                <w:rFonts w:ascii="Times New Roman" w:hAnsi="Times New Roman" w:cs="Times New Roman"/>
                <w:b/>
                <w:sz w:val="23"/>
                <w:szCs w:val="23"/>
                <w:lang w:val="lt-LT"/>
              </w:rPr>
              <w:t>,</w:t>
            </w:r>
            <w:r w:rsidR="009C48BD" w:rsidRPr="009C43B2">
              <w:rPr>
                <w:rFonts w:ascii="Times New Roman" w:hAnsi="Times New Roman" w:cs="Times New Roman"/>
                <w:b/>
                <w:sz w:val="23"/>
                <w:szCs w:val="23"/>
                <w:lang w:val="lt-LT"/>
              </w:rPr>
              <w:t xml:space="preserve"> bei </w:t>
            </w:r>
            <w:r w:rsidR="0067251E" w:rsidRPr="009C43B2">
              <w:rPr>
                <w:rFonts w:ascii="Times New Roman" w:hAnsi="Times New Roman" w:cs="Times New Roman"/>
                <w:b/>
                <w:sz w:val="23"/>
                <w:szCs w:val="23"/>
                <w:lang w:val="lt-LT"/>
              </w:rPr>
              <w:t xml:space="preserve">tuo pažeidė </w:t>
            </w:r>
            <w:r w:rsidR="00862FD8" w:rsidRPr="009C43B2">
              <w:rPr>
                <w:rFonts w:ascii="Times New Roman" w:hAnsi="Times New Roman" w:cs="Times New Roman"/>
                <w:b/>
                <w:sz w:val="23"/>
                <w:szCs w:val="23"/>
                <w:lang w:val="lt-LT"/>
              </w:rPr>
              <w:t>Įstatymo 3 straipsnio 1 dalyje nustatytą skaidrumo principą.</w:t>
            </w:r>
          </w:p>
        </w:tc>
      </w:tr>
      <w:tr w:rsidR="001253F2" w:rsidRPr="009C43B2" w:rsidTr="007F74A9">
        <w:tc>
          <w:tcPr>
            <w:tcW w:w="445" w:type="dxa"/>
          </w:tcPr>
          <w:p w:rsidR="001253F2" w:rsidRPr="009C43B2" w:rsidRDefault="001253F2" w:rsidP="001253F2">
            <w:pPr>
              <w:numPr>
                <w:ilvl w:val="0"/>
                <w:numId w:val="1"/>
              </w:numPr>
              <w:ind w:left="360"/>
              <w:contextualSpacing/>
              <w:jc w:val="both"/>
              <w:rPr>
                <w:rFonts w:ascii="Times New Roman" w:hAnsi="Times New Roman" w:cs="Times New Roman"/>
                <w:sz w:val="23"/>
                <w:szCs w:val="23"/>
                <w:lang w:val="lt-LT"/>
              </w:rPr>
            </w:pPr>
          </w:p>
        </w:tc>
        <w:tc>
          <w:tcPr>
            <w:tcW w:w="9161" w:type="dxa"/>
            <w:gridSpan w:val="2"/>
          </w:tcPr>
          <w:p w:rsidR="001253F2" w:rsidRPr="009C43B2" w:rsidRDefault="00862FD8" w:rsidP="0067251E">
            <w:pPr>
              <w:tabs>
                <w:tab w:val="left" w:pos="0"/>
                <w:tab w:val="left" w:pos="993"/>
                <w:tab w:val="left" w:pos="1276"/>
              </w:tabs>
              <w:spacing w:after="160" w:line="259" w:lineRule="auto"/>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Įstatymo </w:t>
            </w:r>
            <w:r w:rsidR="00513636" w:rsidRPr="009C43B2">
              <w:rPr>
                <w:rFonts w:ascii="Times New Roman" w:hAnsi="Times New Roman" w:cs="Times New Roman"/>
                <w:sz w:val="23"/>
                <w:szCs w:val="23"/>
                <w:lang w:val="lt-LT"/>
              </w:rPr>
              <w:t xml:space="preserve">18 straipsnio 8 dalis, </w:t>
            </w:r>
            <w:r w:rsidR="0067251E" w:rsidRPr="009C43B2">
              <w:rPr>
                <w:rFonts w:ascii="Times New Roman" w:hAnsi="Times New Roman" w:cs="Times New Roman"/>
                <w:sz w:val="23"/>
                <w:szCs w:val="23"/>
                <w:lang w:val="lt-LT"/>
              </w:rPr>
              <w:t>3 straipsnio 1 dalyje įtvirtintas skaidrumo principas</w:t>
            </w:r>
          </w:p>
        </w:tc>
      </w:tr>
      <w:tr w:rsidR="001253F2" w:rsidRPr="009C43B2" w:rsidTr="007F74A9">
        <w:tc>
          <w:tcPr>
            <w:tcW w:w="9606" w:type="dxa"/>
            <w:gridSpan w:val="3"/>
          </w:tcPr>
          <w:p w:rsidR="001253F2" w:rsidRPr="009C43B2" w:rsidRDefault="007B3C0B" w:rsidP="00862FD8">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Tiekėjo</w:t>
            </w:r>
            <w:r w:rsidR="00862FD8" w:rsidRPr="009C43B2">
              <w:rPr>
                <w:rFonts w:ascii="Times New Roman" w:hAnsi="Times New Roman" w:cs="Times New Roman"/>
                <w:sz w:val="23"/>
                <w:szCs w:val="23"/>
                <w:lang w:val="lt-LT"/>
              </w:rPr>
              <w:t xml:space="preserve"> pateiktas Sutartinių įsipareigojimų įvykdymo laidavimo draudimas Nr. 101326 galiojo iki 2016 m. sausio 31 d. Perkančioji organizacija į </w:t>
            </w:r>
            <w:r w:rsidRPr="009C43B2">
              <w:rPr>
                <w:rFonts w:ascii="Times New Roman" w:hAnsi="Times New Roman" w:cs="Times New Roman"/>
                <w:sz w:val="23"/>
                <w:szCs w:val="23"/>
                <w:lang w:val="lt-LT"/>
              </w:rPr>
              <w:t>Tiekėją</w:t>
            </w:r>
            <w:r w:rsidR="00862FD8" w:rsidRPr="009C43B2">
              <w:rPr>
                <w:rFonts w:ascii="Times New Roman" w:hAnsi="Times New Roman" w:cs="Times New Roman"/>
                <w:sz w:val="23"/>
                <w:szCs w:val="23"/>
                <w:lang w:val="lt-LT"/>
              </w:rPr>
              <w:t xml:space="preserve"> dėl laidavimo rašto galiojimo pratęsimo nesikreipė</w:t>
            </w:r>
            <w:r w:rsidR="00862FD8" w:rsidRPr="009C43B2">
              <w:rPr>
                <w:rStyle w:val="Puslapioinaosnuoroda"/>
                <w:rFonts w:ascii="Times New Roman" w:hAnsi="Times New Roman" w:cs="Times New Roman"/>
                <w:sz w:val="23"/>
                <w:szCs w:val="23"/>
                <w:lang w:val="lt-LT"/>
              </w:rPr>
              <w:footnoteReference w:id="2"/>
            </w:r>
            <w:r w:rsidR="00862FD8" w:rsidRPr="009C43B2">
              <w:rPr>
                <w:rFonts w:ascii="Times New Roman" w:hAnsi="Times New Roman" w:cs="Times New Roman"/>
                <w:sz w:val="23"/>
                <w:szCs w:val="23"/>
                <w:lang w:val="lt-LT"/>
              </w:rPr>
              <w:t xml:space="preserve">. </w:t>
            </w:r>
          </w:p>
          <w:p w:rsidR="001167DE" w:rsidRPr="009C43B2" w:rsidRDefault="001167DE" w:rsidP="00862FD8">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Perkančioji organizacija </w:t>
            </w:r>
            <w:r w:rsidR="00CC2264" w:rsidRPr="009C43B2">
              <w:rPr>
                <w:rFonts w:ascii="Times New Roman" w:hAnsi="Times New Roman" w:cs="Times New Roman"/>
                <w:sz w:val="23"/>
                <w:szCs w:val="23"/>
                <w:lang w:val="lt-LT"/>
              </w:rPr>
              <w:t xml:space="preserve">taip pat </w:t>
            </w:r>
            <w:r w:rsidRPr="009C43B2">
              <w:rPr>
                <w:rFonts w:ascii="Times New Roman" w:hAnsi="Times New Roman" w:cs="Times New Roman"/>
                <w:sz w:val="23"/>
                <w:szCs w:val="23"/>
                <w:lang w:val="lt-LT"/>
              </w:rPr>
              <w:t xml:space="preserve">nurodė, jog </w:t>
            </w:r>
            <w:r w:rsidR="00F31517" w:rsidRPr="009C43B2">
              <w:rPr>
                <w:rFonts w:ascii="Times New Roman" w:hAnsi="Times New Roman" w:cs="Times New Roman"/>
                <w:sz w:val="23"/>
                <w:szCs w:val="23"/>
                <w:lang w:val="lt-LT"/>
              </w:rPr>
              <w:t xml:space="preserve">nepaisant to, kad </w:t>
            </w:r>
            <w:r w:rsidR="007B3C0B" w:rsidRPr="009C43B2">
              <w:rPr>
                <w:rFonts w:ascii="Times New Roman" w:hAnsi="Times New Roman" w:cs="Times New Roman"/>
                <w:sz w:val="23"/>
                <w:szCs w:val="23"/>
                <w:lang w:val="lt-LT"/>
              </w:rPr>
              <w:t>Tiekėjas</w:t>
            </w:r>
            <w:r w:rsidR="00F31517" w:rsidRPr="009C43B2">
              <w:rPr>
                <w:rFonts w:ascii="Times New Roman" w:hAnsi="Times New Roman" w:cs="Times New Roman"/>
                <w:sz w:val="23"/>
                <w:szCs w:val="23"/>
                <w:lang w:val="lt-LT"/>
              </w:rPr>
              <w:t xml:space="preserve"> vėluoja</w:t>
            </w:r>
            <w:r w:rsidRPr="009C43B2">
              <w:rPr>
                <w:rFonts w:ascii="Times New Roman" w:hAnsi="Times New Roman" w:cs="Times New Roman"/>
                <w:sz w:val="23"/>
                <w:szCs w:val="23"/>
                <w:lang w:val="lt-LT"/>
              </w:rPr>
              <w:t xml:space="preserve"> suteikti paslaugas, tačiau matant galimybę gauti tinkamus rezultatus </w:t>
            </w:r>
            <w:r w:rsidR="00513636" w:rsidRPr="009C43B2">
              <w:rPr>
                <w:rFonts w:ascii="Times New Roman" w:hAnsi="Times New Roman" w:cs="Times New Roman"/>
                <w:sz w:val="23"/>
                <w:szCs w:val="23"/>
                <w:lang w:val="lt-LT"/>
              </w:rPr>
              <w:t>(</w:t>
            </w:r>
            <w:r w:rsidRPr="009C43B2">
              <w:rPr>
                <w:rFonts w:ascii="Times New Roman" w:hAnsi="Times New Roman" w:cs="Times New Roman"/>
                <w:sz w:val="23"/>
                <w:szCs w:val="23"/>
                <w:lang w:val="lt-LT"/>
              </w:rPr>
              <w:t xml:space="preserve">leidžiant </w:t>
            </w:r>
            <w:r w:rsidR="007B3C0B" w:rsidRPr="009C43B2">
              <w:rPr>
                <w:rFonts w:ascii="Times New Roman" w:hAnsi="Times New Roman" w:cs="Times New Roman"/>
                <w:sz w:val="23"/>
                <w:szCs w:val="23"/>
                <w:lang w:val="lt-LT"/>
              </w:rPr>
              <w:t>Tiekėjui</w:t>
            </w:r>
            <w:r w:rsidRPr="009C43B2">
              <w:rPr>
                <w:rFonts w:ascii="Times New Roman" w:hAnsi="Times New Roman" w:cs="Times New Roman"/>
                <w:sz w:val="23"/>
                <w:szCs w:val="23"/>
                <w:lang w:val="lt-LT"/>
              </w:rPr>
              <w:t xml:space="preserve"> pabaigti Sutarties vykdymą</w:t>
            </w:r>
            <w:r w:rsidR="00513636" w:rsidRPr="009C43B2">
              <w:rPr>
                <w:rFonts w:ascii="Times New Roman" w:hAnsi="Times New Roman" w:cs="Times New Roman"/>
                <w:sz w:val="23"/>
                <w:szCs w:val="23"/>
                <w:lang w:val="lt-LT"/>
              </w:rPr>
              <w:t>)</w:t>
            </w:r>
            <w:r w:rsidRPr="009C43B2">
              <w:rPr>
                <w:rFonts w:ascii="Times New Roman" w:hAnsi="Times New Roman" w:cs="Times New Roman"/>
                <w:sz w:val="23"/>
                <w:szCs w:val="23"/>
                <w:lang w:val="lt-LT"/>
              </w:rPr>
              <w:t xml:space="preserve">, nutarė </w:t>
            </w:r>
            <w:r w:rsidR="00513636" w:rsidRPr="009C43B2">
              <w:rPr>
                <w:rFonts w:ascii="Times New Roman" w:hAnsi="Times New Roman" w:cs="Times New Roman"/>
                <w:sz w:val="23"/>
                <w:szCs w:val="23"/>
                <w:lang w:val="lt-LT"/>
              </w:rPr>
              <w:t xml:space="preserve">nepasinaudoti pateiktu laidavimo raštu, tačiau </w:t>
            </w:r>
            <w:r w:rsidRPr="009C43B2">
              <w:rPr>
                <w:rFonts w:ascii="Times New Roman" w:hAnsi="Times New Roman" w:cs="Times New Roman"/>
                <w:sz w:val="23"/>
                <w:szCs w:val="23"/>
                <w:lang w:val="lt-LT"/>
              </w:rPr>
              <w:t xml:space="preserve">taikyti delspinigius, </w:t>
            </w:r>
            <w:r w:rsidR="003E7C8D" w:rsidRPr="009C43B2">
              <w:rPr>
                <w:rFonts w:ascii="Times New Roman" w:hAnsi="Times New Roman" w:cs="Times New Roman"/>
                <w:sz w:val="23"/>
                <w:szCs w:val="23"/>
                <w:lang w:val="lt-LT"/>
              </w:rPr>
              <w:t>kaip Perkančiosios organizacijos nuomone</w:t>
            </w:r>
            <w:r w:rsidR="00513636" w:rsidRPr="009C43B2">
              <w:rPr>
                <w:rFonts w:ascii="Times New Roman" w:hAnsi="Times New Roman" w:cs="Times New Roman"/>
                <w:sz w:val="23"/>
                <w:szCs w:val="23"/>
                <w:lang w:val="lt-LT"/>
              </w:rPr>
              <w:t>,</w:t>
            </w:r>
            <w:r w:rsidR="003E7C8D" w:rsidRPr="009C43B2">
              <w:rPr>
                <w:rFonts w:ascii="Times New Roman" w:hAnsi="Times New Roman" w:cs="Times New Roman"/>
                <w:sz w:val="23"/>
                <w:szCs w:val="23"/>
                <w:lang w:val="lt-LT"/>
              </w:rPr>
              <w:t xml:space="preserve"> tinkamiausi</w:t>
            </w:r>
            <w:r w:rsidR="00513636" w:rsidRPr="009C43B2">
              <w:rPr>
                <w:rFonts w:ascii="Times New Roman" w:hAnsi="Times New Roman" w:cs="Times New Roman"/>
                <w:sz w:val="23"/>
                <w:szCs w:val="23"/>
                <w:lang w:val="lt-LT"/>
              </w:rPr>
              <w:t>ą</w:t>
            </w:r>
            <w:r w:rsidR="003E7C8D" w:rsidRPr="009C43B2">
              <w:rPr>
                <w:rFonts w:ascii="Times New Roman" w:hAnsi="Times New Roman" w:cs="Times New Roman"/>
                <w:sz w:val="23"/>
                <w:szCs w:val="23"/>
                <w:lang w:val="lt-LT"/>
              </w:rPr>
              <w:t xml:space="preserve"> ir proporcingiausi</w:t>
            </w:r>
            <w:r w:rsidR="00513636" w:rsidRPr="009C43B2">
              <w:rPr>
                <w:rFonts w:ascii="Times New Roman" w:hAnsi="Times New Roman" w:cs="Times New Roman"/>
                <w:sz w:val="23"/>
                <w:szCs w:val="23"/>
                <w:lang w:val="lt-LT"/>
              </w:rPr>
              <w:t>ą</w:t>
            </w:r>
            <w:r w:rsidR="003E7C8D" w:rsidRPr="009C43B2">
              <w:rPr>
                <w:rFonts w:ascii="Times New Roman" w:hAnsi="Times New Roman" w:cs="Times New Roman"/>
                <w:sz w:val="23"/>
                <w:szCs w:val="23"/>
                <w:lang w:val="lt-LT"/>
              </w:rPr>
              <w:t xml:space="preserve"> priemon</w:t>
            </w:r>
            <w:r w:rsidR="00513636" w:rsidRPr="009C43B2">
              <w:rPr>
                <w:rFonts w:ascii="Times New Roman" w:hAnsi="Times New Roman" w:cs="Times New Roman"/>
                <w:sz w:val="23"/>
                <w:szCs w:val="23"/>
                <w:lang w:val="lt-LT"/>
              </w:rPr>
              <w:t>ę</w:t>
            </w:r>
            <w:r w:rsidR="003E7C8D" w:rsidRPr="009C43B2">
              <w:rPr>
                <w:rFonts w:ascii="Times New Roman" w:hAnsi="Times New Roman" w:cs="Times New Roman"/>
                <w:sz w:val="23"/>
                <w:szCs w:val="23"/>
                <w:lang w:val="lt-LT"/>
              </w:rPr>
              <w:t xml:space="preserve"> Sutarties įvykdymui užtikrinti</w:t>
            </w:r>
            <w:r w:rsidR="00513636" w:rsidRPr="009C43B2">
              <w:rPr>
                <w:rFonts w:ascii="Times New Roman" w:hAnsi="Times New Roman" w:cs="Times New Roman"/>
                <w:sz w:val="23"/>
                <w:szCs w:val="23"/>
                <w:lang w:val="lt-LT"/>
              </w:rPr>
              <w:t xml:space="preserve">. </w:t>
            </w:r>
            <w:r w:rsidRPr="009C43B2">
              <w:rPr>
                <w:rFonts w:ascii="Times New Roman" w:hAnsi="Times New Roman" w:cs="Times New Roman"/>
                <w:sz w:val="23"/>
                <w:szCs w:val="23"/>
                <w:lang w:val="lt-LT"/>
              </w:rPr>
              <w:t xml:space="preserve">Perkančioji organizacija pažymi, kad paskaičiuota delspinigių suma viršijo laidavimo rašte nurodytą sumą. </w:t>
            </w:r>
          </w:p>
          <w:p w:rsidR="00CC2264" w:rsidRPr="009C43B2" w:rsidRDefault="003E7C8D" w:rsidP="00862FD8">
            <w:pPr>
              <w:spacing w:line="259" w:lineRule="auto"/>
              <w:ind w:firstLine="851"/>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Tarnyba </w:t>
            </w:r>
            <w:r w:rsidR="00586830" w:rsidRPr="009C43B2">
              <w:rPr>
                <w:rFonts w:ascii="Times New Roman" w:hAnsi="Times New Roman" w:cs="Times New Roman"/>
                <w:sz w:val="23"/>
                <w:szCs w:val="23"/>
                <w:lang w:val="lt-LT"/>
              </w:rPr>
              <w:t xml:space="preserve">atkreipia Perkančiosios organizacijos dėmesį, kad Sutartyje nustatyti prievolių užtikrinimo būdai – netesybos (delspinigiai) ir garantija / laidavimo raštas nėra lygiaverčiai –  pagal Sutartį Užsakovui teisė į delspinigius atsiranda </w:t>
            </w:r>
            <w:r w:rsidR="00CC2264" w:rsidRPr="009C43B2">
              <w:rPr>
                <w:rFonts w:ascii="Times New Roman" w:hAnsi="Times New Roman" w:cs="Times New Roman"/>
                <w:sz w:val="23"/>
                <w:szCs w:val="23"/>
                <w:lang w:val="lt-LT"/>
              </w:rPr>
              <w:t xml:space="preserve">tik </w:t>
            </w:r>
            <w:r w:rsidR="00586830" w:rsidRPr="009C43B2">
              <w:rPr>
                <w:rFonts w:ascii="Times New Roman" w:hAnsi="Times New Roman" w:cs="Times New Roman"/>
                <w:sz w:val="23"/>
                <w:szCs w:val="23"/>
                <w:lang w:val="lt-LT"/>
              </w:rPr>
              <w:t xml:space="preserve">dėl </w:t>
            </w:r>
            <w:r w:rsidR="007B3C0B" w:rsidRPr="009C43B2">
              <w:rPr>
                <w:rFonts w:ascii="Times New Roman" w:hAnsi="Times New Roman" w:cs="Times New Roman"/>
                <w:sz w:val="23"/>
                <w:szCs w:val="23"/>
                <w:lang w:val="lt-LT"/>
              </w:rPr>
              <w:t>Tiekėjo</w:t>
            </w:r>
            <w:r w:rsidR="00586830" w:rsidRPr="009C43B2">
              <w:rPr>
                <w:rFonts w:ascii="Times New Roman" w:hAnsi="Times New Roman" w:cs="Times New Roman"/>
                <w:sz w:val="23"/>
                <w:szCs w:val="23"/>
                <w:lang w:val="lt-LT"/>
              </w:rPr>
              <w:t xml:space="preserve"> praleisto </w:t>
            </w:r>
            <w:r w:rsidR="00AE1B10" w:rsidRPr="009C43B2">
              <w:rPr>
                <w:rFonts w:ascii="Times New Roman" w:hAnsi="Times New Roman" w:cs="Times New Roman"/>
                <w:sz w:val="23"/>
                <w:szCs w:val="23"/>
                <w:lang w:val="lt-LT"/>
              </w:rPr>
              <w:t xml:space="preserve">prievolių </w:t>
            </w:r>
            <w:r w:rsidR="00586830" w:rsidRPr="009C43B2">
              <w:rPr>
                <w:rFonts w:ascii="Times New Roman" w:hAnsi="Times New Roman" w:cs="Times New Roman"/>
                <w:sz w:val="23"/>
                <w:szCs w:val="23"/>
                <w:lang w:val="lt-LT"/>
              </w:rPr>
              <w:t xml:space="preserve">įvykdymo termino, tuo tarpu </w:t>
            </w:r>
            <w:r w:rsidR="00CC2264" w:rsidRPr="009C43B2">
              <w:rPr>
                <w:rFonts w:ascii="Times New Roman" w:hAnsi="Times New Roman" w:cs="Times New Roman"/>
                <w:sz w:val="23"/>
                <w:szCs w:val="23"/>
                <w:lang w:val="lt-LT"/>
              </w:rPr>
              <w:t xml:space="preserve">garantija / laidavimo raštu </w:t>
            </w:r>
            <w:r w:rsidR="001B37E6" w:rsidRPr="009C43B2">
              <w:rPr>
                <w:rFonts w:ascii="Times New Roman" w:hAnsi="Times New Roman" w:cs="Times New Roman"/>
                <w:sz w:val="23"/>
                <w:szCs w:val="23"/>
                <w:lang w:val="lt-LT"/>
              </w:rPr>
              <w:t xml:space="preserve">būtų </w:t>
            </w:r>
            <w:r w:rsidR="00CC2264" w:rsidRPr="009C43B2">
              <w:rPr>
                <w:rFonts w:ascii="Times New Roman" w:hAnsi="Times New Roman" w:cs="Times New Roman"/>
                <w:sz w:val="23"/>
                <w:szCs w:val="23"/>
                <w:lang w:val="lt-LT"/>
              </w:rPr>
              <w:t xml:space="preserve">užtikrinama platesnė Perkančiosios organizacijos interesų apsauga, pavyzdžiui tuo atveju jei </w:t>
            </w:r>
            <w:r w:rsidR="007B3C0B" w:rsidRPr="009C43B2">
              <w:rPr>
                <w:rFonts w:ascii="Times New Roman" w:hAnsi="Times New Roman" w:cs="Times New Roman"/>
                <w:sz w:val="23"/>
                <w:szCs w:val="23"/>
                <w:lang w:val="lt-LT"/>
              </w:rPr>
              <w:t>Tiekėjo</w:t>
            </w:r>
            <w:r w:rsidR="00CC2264" w:rsidRPr="009C43B2">
              <w:rPr>
                <w:rFonts w:ascii="Times New Roman" w:hAnsi="Times New Roman" w:cs="Times New Roman"/>
                <w:sz w:val="23"/>
                <w:szCs w:val="23"/>
                <w:lang w:val="lt-LT"/>
              </w:rPr>
              <w:t xml:space="preserve"> netinkamai vykdys, apskritai nevykdys ar atsisakys vykdyti Sutartyje numatytus reikalavimus. </w:t>
            </w:r>
          </w:p>
          <w:p w:rsidR="00862FD8" w:rsidRPr="009C43B2" w:rsidRDefault="00CC2264" w:rsidP="00D33987">
            <w:pPr>
              <w:spacing w:line="259" w:lineRule="auto"/>
              <w:ind w:firstLine="851"/>
              <w:jc w:val="both"/>
              <w:rPr>
                <w:rFonts w:ascii="Times New Roman" w:hAnsi="Times New Roman" w:cs="Times New Roman"/>
                <w:b/>
                <w:sz w:val="23"/>
                <w:szCs w:val="23"/>
                <w:lang w:val="lt-LT"/>
              </w:rPr>
            </w:pPr>
            <w:r w:rsidRPr="009C43B2">
              <w:rPr>
                <w:rFonts w:ascii="Times New Roman" w:hAnsi="Times New Roman" w:cs="Times New Roman"/>
                <w:b/>
                <w:sz w:val="23"/>
                <w:szCs w:val="23"/>
                <w:lang w:val="lt-LT"/>
              </w:rPr>
              <w:t>Šiuo atveju Perkančioji organizacija neprašydama pratęsti Sutarties įvykdymo užtikrinimo – laidavimo rašto, nepagrįstai atsisakė vieno iš Sutartyje numatytų Sutarties įvykdymo užtikrinimo būdų, nesilaik</w:t>
            </w:r>
            <w:r w:rsidR="00B04463" w:rsidRPr="009C43B2">
              <w:rPr>
                <w:rFonts w:ascii="Times New Roman" w:hAnsi="Times New Roman" w:cs="Times New Roman"/>
                <w:b/>
                <w:sz w:val="23"/>
                <w:szCs w:val="23"/>
                <w:lang w:val="lt-LT"/>
              </w:rPr>
              <w:t>ydama</w:t>
            </w:r>
            <w:r w:rsidRPr="009C43B2">
              <w:rPr>
                <w:rFonts w:ascii="Times New Roman" w:hAnsi="Times New Roman" w:cs="Times New Roman"/>
                <w:b/>
                <w:sz w:val="23"/>
                <w:szCs w:val="23"/>
                <w:lang w:val="lt-LT"/>
              </w:rPr>
              <w:t xml:space="preserve"> </w:t>
            </w:r>
            <w:r w:rsidR="00862FD8" w:rsidRPr="009C43B2">
              <w:rPr>
                <w:rFonts w:ascii="Times New Roman" w:hAnsi="Times New Roman" w:cs="Times New Roman"/>
                <w:b/>
                <w:sz w:val="23"/>
                <w:szCs w:val="23"/>
                <w:lang w:val="lt-LT"/>
              </w:rPr>
              <w:t>Sutarties 4.1 punkto nuostat</w:t>
            </w:r>
            <w:r w:rsidRPr="009C43B2">
              <w:rPr>
                <w:rFonts w:ascii="Times New Roman" w:hAnsi="Times New Roman" w:cs="Times New Roman"/>
                <w:b/>
                <w:sz w:val="23"/>
                <w:szCs w:val="23"/>
                <w:lang w:val="lt-LT"/>
              </w:rPr>
              <w:t>os</w:t>
            </w:r>
            <w:r w:rsidR="00862FD8" w:rsidRPr="009C43B2">
              <w:rPr>
                <w:rFonts w:ascii="Times New Roman" w:hAnsi="Times New Roman" w:cs="Times New Roman"/>
                <w:b/>
                <w:sz w:val="23"/>
                <w:szCs w:val="23"/>
                <w:lang w:val="lt-LT"/>
              </w:rPr>
              <w:t xml:space="preserve"> „</w:t>
            </w:r>
            <w:r w:rsidR="00862FD8" w:rsidRPr="009C43B2">
              <w:rPr>
                <w:rFonts w:ascii="Times New Roman" w:hAnsi="Times New Roman" w:cs="Times New Roman"/>
                <w:b/>
                <w:i/>
                <w:sz w:val="23"/>
                <w:szCs w:val="23"/>
                <w:lang w:val="lt-LT"/>
              </w:rPr>
              <w:t>&lt;...&gt; Sutarties įvykdymo užtikrinimo garantija turi galioti visą sutarties galiojimo laiką &lt;...&gt;</w:t>
            </w:r>
            <w:r w:rsidR="00862FD8" w:rsidRPr="009C43B2">
              <w:rPr>
                <w:rFonts w:ascii="Times New Roman" w:hAnsi="Times New Roman" w:cs="Times New Roman"/>
                <w:b/>
                <w:sz w:val="23"/>
                <w:szCs w:val="23"/>
                <w:lang w:val="lt-LT"/>
              </w:rPr>
              <w:t>“</w:t>
            </w:r>
            <w:r w:rsidRPr="009C43B2">
              <w:rPr>
                <w:rFonts w:ascii="Times New Roman" w:hAnsi="Times New Roman" w:cs="Times New Roman"/>
                <w:b/>
                <w:sz w:val="23"/>
                <w:szCs w:val="23"/>
                <w:lang w:val="lt-LT"/>
              </w:rPr>
              <w:t xml:space="preserve"> taip ją faktiškai pakeitė, </w:t>
            </w:r>
            <w:r w:rsidR="00B04463" w:rsidRPr="009C43B2">
              <w:rPr>
                <w:rFonts w:ascii="Times New Roman" w:hAnsi="Times New Roman" w:cs="Times New Roman"/>
                <w:b/>
                <w:sz w:val="23"/>
                <w:szCs w:val="23"/>
                <w:lang w:val="lt-LT"/>
              </w:rPr>
              <w:t xml:space="preserve">ir </w:t>
            </w:r>
            <w:r w:rsidR="0067251E" w:rsidRPr="009C43B2">
              <w:rPr>
                <w:rFonts w:ascii="Times New Roman" w:hAnsi="Times New Roman" w:cs="Times New Roman"/>
                <w:b/>
                <w:sz w:val="23"/>
                <w:szCs w:val="23"/>
                <w:lang w:val="lt-LT"/>
              </w:rPr>
              <w:t xml:space="preserve">taip </w:t>
            </w:r>
            <w:r w:rsidR="00862FD8" w:rsidRPr="009C43B2">
              <w:rPr>
                <w:rFonts w:ascii="Times New Roman" w:hAnsi="Times New Roman" w:cs="Times New Roman"/>
                <w:b/>
                <w:sz w:val="23"/>
                <w:szCs w:val="23"/>
                <w:lang w:val="lt-LT"/>
              </w:rPr>
              <w:t xml:space="preserve">pažeidė Įstatymo 18 straipsnio 8 dalies nuostatas </w:t>
            </w:r>
            <w:r w:rsidR="00B04463" w:rsidRPr="009C43B2">
              <w:rPr>
                <w:rFonts w:ascii="Times New Roman" w:hAnsi="Times New Roman" w:cs="Times New Roman"/>
                <w:b/>
                <w:sz w:val="23"/>
                <w:szCs w:val="23"/>
                <w:lang w:val="lt-LT"/>
              </w:rPr>
              <w:t>bei</w:t>
            </w:r>
            <w:r w:rsidR="00862FD8" w:rsidRPr="009C43B2">
              <w:rPr>
                <w:rFonts w:ascii="Times New Roman" w:hAnsi="Times New Roman" w:cs="Times New Roman"/>
                <w:b/>
                <w:sz w:val="23"/>
                <w:szCs w:val="23"/>
                <w:lang w:val="lt-LT"/>
              </w:rPr>
              <w:t xml:space="preserve"> Įstatymo 3 straipsnio 1 dalyje įtvirtintą skaidrumo principą.</w:t>
            </w:r>
          </w:p>
        </w:tc>
      </w:tr>
      <w:tr w:rsidR="00017986" w:rsidRPr="009C43B2" w:rsidTr="002D7604">
        <w:tc>
          <w:tcPr>
            <w:tcW w:w="675" w:type="dxa"/>
            <w:gridSpan w:val="2"/>
          </w:tcPr>
          <w:p w:rsidR="00017986" w:rsidRPr="009C43B2" w:rsidRDefault="00017986" w:rsidP="00017986">
            <w:pPr>
              <w:ind w:left="360"/>
              <w:contextualSpacing/>
              <w:jc w:val="center"/>
              <w:rPr>
                <w:rFonts w:ascii="Times New Roman" w:hAnsi="Times New Roman" w:cs="Times New Roman"/>
                <w:sz w:val="23"/>
                <w:szCs w:val="23"/>
                <w:lang w:val="lt-LT"/>
              </w:rPr>
            </w:pPr>
            <w:r w:rsidRPr="009C43B2">
              <w:rPr>
                <w:rFonts w:ascii="Times New Roman" w:hAnsi="Times New Roman" w:cs="Times New Roman"/>
                <w:sz w:val="23"/>
                <w:szCs w:val="23"/>
                <w:lang w:val="lt-LT"/>
              </w:rPr>
              <w:t>4.</w:t>
            </w:r>
          </w:p>
        </w:tc>
        <w:tc>
          <w:tcPr>
            <w:tcW w:w="8931" w:type="dxa"/>
          </w:tcPr>
          <w:p w:rsidR="00017986" w:rsidRPr="009C43B2" w:rsidRDefault="00017986" w:rsidP="00017986">
            <w:pPr>
              <w:spacing w:after="160" w:line="259" w:lineRule="auto"/>
              <w:jc w:val="both"/>
              <w:rPr>
                <w:rFonts w:ascii="Times New Roman" w:hAnsi="Times New Roman" w:cs="Times New Roman"/>
                <w:sz w:val="23"/>
                <w:szCs w:val="23"/>
                <w:lang w:val="lt-LT"/>
              </w:rPr>
            </w:pPr>
            <w:r w:rsidRPr="009C43B2">
              <w:rPr>
                <w:rFonts w:ascii="Times New Roman" w:eastAsia="Times New Roman" w:hAnsi="Times New Roman" w:cs="Times New Roman"/>
                <w:bCs/>
                <w:sz w:val="23"/>
                <w:szCs w:val="23"/>
                <w:lang w:val="lt-LT"/>
              </w:rPr>
              <w:t>Įstatymo 3 straipsnio 1 dalyje įtvirtintas skaidrumo principas</w:t>
            </w:r>
          </w:p>
        </w:tc>
      </w:tr>
      <w:tr w:rsidR="00017986" w:rsidRPr="009C43B2" w:rsidTr="002D7604">
        <w:trPr>
          <w:trHeight w:val="269"/>
        </w:trPr>
        <w:tc>
          <w:tcPr>
            <w:tcW w:w="9606" w:type="dxa"/>
            <w:gridSpan w:val="3"/>
          </w:tcPr>
          <w:p w:rsidR="00017986" w:rsidRPr="009C43B2" w:rsidRDefault="00017986" w:rsidP="002D7604">
            <w:pPr>
              <w:tabs>
                <w:tab w:val="left" w:pos="993"/>
              </w:tabs>
              <w:spacing w:after="160"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Sutarties 7.3 punkte nustatyta, kad „Sutartis gali būti nutraukta raštišku abiejų šalių sutarimu“. Tarnyba atkreipia dėmesį, kad </w:t>
            </w:r>
            <w:r w:rsidR="003519E8" w:rsidRPr="009C43B2">
              <w:rPr>
                <w:rFonts w:ascii="Times New Roman" w:hAnsi="Times New Roman" w:cs="Times New Roman"/>
                <w:sz w:val="23"/>
                <w:szCs w:val="23"/>
                <w:lang w:val="lt-LT"/>
              </w:rPr>
              <w:t xml:space="preserve">tokia Sutarties nutraukimo galimybė </w:t>
            </w:r>
            <w:r w:rsidRPr="009C43B2">
              <w:rPr>
                <w:rFonts w:ascii="Times New Roman" w:hAnsi="Times New Roman" w:cs="Times New Roman"/>
                <w:sz w:val="23"/>
                <w:szCs w:val="23"/>
                <w:lang w:val="lt-LT"/>
              </w:rPr>
              <w:t>pirkimo dokumentuose nustatyta</w:t>
            </w:r>
            <w:r w:rsidR="003519E8" w:rsidRPr="009C43B2">
              <w:rPr>
                <w:rFonts w:ascii="Times New Roman" w:hAnsi="Times New Roman" w:cs="Times New Roman"/>
                <w:sz w:val="23"/>
                <w:szCs w:val="23"/>
                <w:lang w:val="lt-LT"/>
              </w:rPr>
              <w:t xml:space="preserve"> nebuvo.</w:t>
            </w:r>
            <w:r w:rsidRPr="009C43B2">
              <w:rPr>
                <w:rFonts w:ascii="Times New Roman" w:hAnsi="Times New Roman" w:cs="Times New Roman"/>
                <w:sz w:val="23"/>
                <w:szCs w:val="23"/>
                <w:lang w:val="lt-LT"/>
              </w:rPr>
              <w:t xml:space="preserve"> </w:t>
            </w:r>
            <w:r w:rsidRPr="009C43B2">
              <w:rPr>
                <w:rFonts w:ascii="Times New Roman" w:hAnsi="Times New Roman" w:cs="Times New Roman"/>
                <w:bCs/>
                <w:sz w:val="23"/>
                <w:szCs w:val="23"/>
                <w:lang w:val="lt-LT"/>
              </w:rPr>
              <w:t>Tarnyba pažymi, kad pirkimo sąlygose taip pat nebuvo numatyta galimybė nutraukti sutartį ir Sutarties 7.5 punkte nustatytu atveju</w:t>
            </w:r>
            <w:r w:rsidR="00CB574D" w:rsidRPr="009C43B2">
              <w:rPr>
                <w:rFonts w:ascii="Times New Roman" w:hAnsi="Times New Roman" w:cs="Times New Roman"/>
                <w:bCs/>
                <w:sz w:val="23"/>
                <w:szCs w:val="23"/>
                <w:lang w:val="lt-LT"/>
              </w:rPr>
              <w:t>, numatančiu galimybę Tiekėjui vienašališkai nutraukti Sutartį.</w:t>
            </w:r>
            <w:r w:rsidRPr="009C43B2">
              <w:rPr>
                <w:rFonts w:ascii="Times New Roman" w:hAnsi="Times New Roman" w:cs="Times New Roman"/>
                <w:bCs/>
                <w:sz w:val="23"/>
                <w:szCs w:val="23"/>
                <w:lang w:val="lt-LT"/>
              </w:rPr>
              <w:t xml:space="preserve"> </w:t>
            </w:r>
            <w:r w:rsidR="00CB574D" w:rsidRPr="009C43B2">
              <w:rPr>
                <w:rFonts w:ascii="Times New Roman" w:hAnsi="Times New Roman" w:cs="Times New Roman"/>
                <w:bCs/>
                <w:sz w:val="23"/>
                <w:szCs w:val="23"/>
                <w:lang w:val="lt-LT"/>
              </w:rPr>
              <w:t>T</w:t>
            </w:r>
            <w:r w:rsidRPr="009C43B2">
              <w:rPr>
                <w:rFonts w:ascii="Times New Roman" w:hAnsi="Times New Roman" w:cs="Times New Roman"/>
                <w:bCs/>
                <w:sz w:val="23"/>
                <w:szCs w:val="23"/>
                <w:lang w:val="lt-LT"/>
              </w:rPr>
              <w:t xml:space="preserve">aip pat Sutarties 6.7 punkto formuluotė ne visiškai atitinka analogiškos sąlygos, įtvirtintos pirkimo dokumentuose (57.33 punktas) formuluotės. </w:t>
            </w:r>
            <w:r w:rsidR="006C06D8" w:rsidRPr="009C43B2">
              <w:rPr>
                <w:rFonts w:ascii="Times New Roman" w:hAnsi="Times New Roman" w:cs="Times New Roman"/>
                <w:sz w:val="23"/>
                <w:szCs w:val="23"/>
                <w:lang w:val="lt-LT"/>
              </w:rPr>
              <w:t>A</w:t>
            </w:r>
            <w:r w:rsidRPr="009C43B2">
              <w:rPr>
                <w:rFonts w:ascii="Times New Roman" w:hAnsi="Times New Roman" w:cs="Times New Roman"/>
                <w:sz w:val="23"/>
                <w:szCs w:val="23"/>
                <w:lang w:val="lt-LT"/>
              </w:rPr>
              <w:t xml:space="preserve">tkreiptinas dėmesys, kad pirkimo sąlygose </w:t>
            </w:r>
            <w:r w:rsidR="00D33987" w:rsidRPr="009C43B2">
              <w:rPr>
                <w:rFonts w:ascii="Times New Roman" w:hAnsi="Times New Roman" w:cs="Times New Roman"/>
                <w:sz w:val="23"/>
                <w:szCs w:val="23"/>
                <w:lang w:val="lt-LT"/>
              </w:rPr>
              <w:t>P</w:t>
            </w:r>
            <w:r w:rsidRPr="009C43B2">
              <w:rPr>
                <w:rFonts w:ascii="Times New Roman" w:hAnsi="Times New Roman" w:cs="Times New Roman"/>
                <w:sz w:val="23"/>
                <w:szCs w:val="23"/>
                <w:lang w:val="lt-LT"/>
              </w:rPr>
              <w:t>erkančioji organizacija buvo numačiusi kitus sutarties nutraukimo atvejus, todėl dalyvaudami pirkime tiekėjai pagrįstai galėjo tikėtis, kad tokių sutarties nutraukimo atvejų sąrašas yra baigtinis, o sudarant sutartį jie nebus keičiami ar papildomi.</w:t>
            </w:r>
          </w:p>
          <w:p w:rsidR="00017986" w:rsidRPr="009C43B2" w:rsidRDefault="00017986" w:rsidP="002D7604">
            <w:pPr>
              <w:tabs>
                <w:tab w:val="left" w:pos="993"/>
              </w:tabs>
              <w:spacing w:after="160" w:line="259" w:lineRule="auto"/>
              <w:ind w:firstLine="851"/>
              <w:contextualSpacing/>
              <w:jc w:val="both"/>
              <w:rPr>
                <w:rFonts w:ascii="Times New Roman" w:hAnsi="Times New Roman" w:cs="Times New Roman"/>
                <w:bCs/>
                <w:sz w:val="23"/>
                <w:szCs w:val="23"/>
                <w:lang w:val="lt-LT"/>
              </w:rPr>
            </w:pPr>
            <w:r w:rsidRPr="009C43B2">
              <w:rPr>
                <w:rFonts w:ascii="Times New Roman" w:hAnsi="Times New Roman" w:cs="Times New Roman"/>
                <w:sz w:val="23"/>
                <w:szCs w:val="23"/>
                <w:lang w:val="lt-LT"/>
              </w:rPr>
              <w:t xml:space="preserve">Tarnyba atkreipia Perkančiosios organizacijos dėmesį, kad galimybė be papildomų sąlygų nutraukti sutartį šalių sutarimu, ypač kai tokia galimybė net nebuvo numatyta pirkimo dokumentuose, </w:t>
            </w:r>
            <w:r w:rsidRPr="009C43B2">
              <w:rPr>
                <w:rFonts w:ascii="Times New Roman" w:hAnsi="Times New Roman" w:cs="Times New Roman"/>
                <w:bCs/>
                <w:sz w:val="23"/>
                <w:szCs w:val="23"/>
                <w:lang w:val="lt-LT"/>
              </w:rPr>
              <w:t xml:space="preserve">nedera su Įstatyme įtvirtintais skaidrumo ir tiekėjų lygiateisiškumo principais, kadangi Perkančioji organizacija Sutartimi įtvirtina sau neribotą </w:t>
            </w:r>
            <w:proofErr w:type="spellStart"/>
            <w:r w:rsidRPr="009C43B2">
              <w:rPr>
                <w:rFonts w:ascii="Times New Roman" w:hAnsi="Times New Roman" w:cs="Times New Roman"/>
                <w:bCs/>
                <w:sz w:val="23"/>
                <w:szCs w:val="23"/>
                <w:lang w:val="lt-LT"/>
              </w:rPr>
              <w:t>diskrecijos</w:t>
            </w:r>
            <w:proofErr w:type="spellEnd"/>
            <w:r w:rsidRPr="009C43B2">
              <w:rPr>
                <w:rFonts w:ascii="Times New Roman" w:hAnsi="Times New Roman" w:cs="Times New Roman"/>
                <w:bCs/>
                <w:sz w:val="23"/>
                <w:szCs w:val="23"/>
                <w:lang w:val="lt-LT"/>
              </w:rPr>
              <w:t xml:space="preserve"> teisę susitarus su kita šalimi nutraukti Sutartį, bei netaikyti kitai šaliai su Sutarties neįvykdymu susijusių sutartinių prievolių įvykdymo užtikrinimo priemonių.</w:t>
            </w:r>
          </w:p>
          <w:p w:rsidR="00017986" w:rsidRPr="009C43B2" w:rsidRDefault="00017986" w:rsidP="00D33987">
            <w:pPr>
              <w:tabs>
                <w:tab w:val="left" w:pos="993"/>
              </w:tabs>
              <w:spacing w:after="160" w:line="259" w:lineRule="auto"/>
              <w:ind w:firstLine="851"/>
              <w:contextualSpacing/>
              <w:jc w:val="both"/>
              <w:rPr>
                <w:rFonts w:ascii="Times New Roman" w:hAnsi="Times New Roman" w:cs="Times New Roman"/>
                <w:b/>
                <w:sz w:val="23"/>
                <w:szCs w:val="23"/>
                <w:lang w:val="lt-LT"/>
              </w:rPr>
            </w:pPr>
            <w:r w:rsidRPr="009C43B2">
              <w:rPr>
                <w:rFonts w:ascii="Times New Roman" w:hAnsi="Times New Roman" w:cs="Times New Roman"/>
                <w:b/>
                <w:sz w:val="23"/>
                <w:szCs w:val="23"/>
                <w:lang w:val="lt-LT"/>
              </w:rPr>
              <w:t>Apibendrindama tai, kas pasakyta, Tarnyba pažymi, kad Perkančioji organizacija sudarytoje Sutartyje numačiusi kitus Sutarties nutraukimo atvejus nei buvo numatyta pirkimo dokumentuose, pažeidė Įstatymo 3 straipsnio 1 dalyje įtvirtintą skaidrumo principą.</w:t>
            </w:r>
          </w:p>
        </w:tc>
      </w:tr>
    </w:tbl>
    <w:p w:rsidR="009C43B2" w:rsidRDefault="001253F2" w:rsidP="001253F2">
      <w:pPr>
        <w:spacing w:after="160" w:line="259" w:lineRule="auto"/>
        <w:rPr>
          <w:rFonts w:ascii="Times New Roman" w:hAnsi="Times New Roman" w:cs="Times New Roman"/>
          <w:b/>
          <w:sz w:val="23"/>
          <w:szCs w:val="23"/>
        </w:rPr>
      </w:pPr>
      <w:r w:rsidRPr="009C43B2">
        <w:rPr>
          <w:rFonts w:ascii="Times New Roman" w:hAnsi="Times New Roman" w:cs="Times New Roman"/>
          <w:b/>
          <w:sz w:val="23"/>
          <w:szCs w:val="23"/>
        </w:rPr>
        <w:t>*kiekvienos sutarties vertinimas aprašomas atskirai</w:t>
      </w:r>
      <w:r w:rsidR="007C2427" w:rsidRPr="009C43B2">
        <w:rPr>
          <w:rFonts w:ascii="Times New Roman" w:hAnsi="Times New Roman" w:cs="Times New Roman"/>
          <w:b/>
          <w:sz w:val="23"/>
          <w:szCs w:val="23"/>
        </w:rPr>
        <w:t>.</w:t>
      </w:r>
    </w:p>
    <w:p w:rsidR="009C43B2" w:rsidRDefault="009C43B2">
      <w:pPr>
        <w:rPr>
          <w:rFonts w:ascii="Times New Roman" w:hAnsi="Times New Roman" w:cs="Times New Roman"/>
          <w:b/>
          <w:sz w:val="23"/>
          <w:szCs w:val="23"/>
        </w:rPr>
      </w:pPr>
      <w:r>
        <w:rPr>
          <w:rFonts w:ascii="Times New Roman" w:hAnsi="Times New Roman" w:cs="Times New Roman"/>
          <w:b/>
          <w:sz w:val="23"/>
          <w:szCs w:val="23"/>
        </w:rPr>
        <w:br w:type="page"/>
      </w:r>
    </w:p>
    <w:p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hAnsi="Times New Roman" w:cs="Times New Roman"/>
          <w:b/>
          <w:sz w:val="23"/>
          <w:szCs w:val="23"/>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9C43B2" w:rsidTr="00807C08">
        <w:tc>
          <w:tcPr>
            <w:tcW w:w="675" w:type="dxa"/>
          </w:tcPr>
          <w:p w:rsidR="001253F2" w:rsidRPr="009C43B2"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9C43B2" w:rsidRDefault="006C06D8" w:rsidP="00D33987">
            <w:pPr>
              <w:spacing w:after="160" w:line="259" w:lineRule="auto"/>
              <w:jc w:val="both"/>
              <w:rPr>
                <w:rFonts w:ascii="Times New Roman" w:hAnsi="Times New Roman" w:cs="Times New Roman"/>
                <w:sz w:val="23"/>
                <w:szCs w:val="23"/>
                <w:lang w:val="lt-LT"/>
              </w:rPr>
            </w:pPr>
            <w:r w:rsidRPr="009C43B2">
              <w:rPr>
                <w:rFonts w:ascii="Times New Roman" w:eastAsia="Times New Roman" w:hAnsi="Times New Roman" w:cs="Times New Roman"/>
                <w:bCs/>
                <w:sz w:val="23"/>
                <w:szCs w:val="23"/>
                <w:lang w:val="lt-LT"/>
              </w:rPr>
              <w:t>Įstatymo 3 straipsnio 1 dalyje įtvirtintas skaidrumo principas</w:t>
            </w:r>
            <w:r w:rsidR="009C43B2" w:rsidRPr="009C43B2">
              <w:rPr>
                <w:rFonts w:ascii="Times New Roman" w:eastAsia="Times New Roman" w:hAnsi="Times New Roman" w:cs="Times New Roman"/>
                <w:bCs/>
                <w:sz w:val="23"/>
                <w:szCs w:val="23"/>
                <w:lang w:val="lt-LT"/>
              </w:rPr>
              <w:t>, Taisyklių</w:t>
            </w:r>
            <w:r w:rsidR="009C43B2" w:rsidRPr="009C43B2">
              <w:rPr>
                <w:rStyle w:val="Puslapioinaosnuoroda"/>
                <w:rFonts w:ascii="Times New Roman" w:eastAsia="Times New Roman" w:hAnsi="Times New Roman" w:cs="Times New Roman"/>
                <w:bCs/>
                <w:sz w:val="23"/>
                <w:szCs w:val="23"/>
                <w:lang w:val="lt-LT"/>
              </w:rPr>
              <w:footnoteReference w:id="3"/>
            </w:r>
            <w:r w:rsidR="009C43B2" w:rsidRPr="009C43B2">
              <w:rPr>
                <w:rFonts w:ascii="Times New Roman" w:eastAsia="Times New Roman" w:hAnsi="Times New Roman" w:cs="Times New Roman"/>
                <w:bCs/>
                <w:sz w:val="23"/>
                <w:szCs w:val="23"/>
                <w:lang w:val="lt-LT"/>
              </w:rPr>
              <w:t xml:space="preserve"> 20 punktas</w:t>
            </w:r>
          </w:p>
        </w:tc>
      </w:tr>
      <w:tr w:rsidR="001253F2" w:rsidRPr="009C43B2" w:rsidTr="007F74A9">
        <w:tc>
          <w:tcPr>
            <w:tcW w:w="9606" w:type="dxa"/>
            <w:gridSpan w:val="2"/>
          </w:tcPr>
          <w:p w:rsidR="00C334AA" w:rsidRPr="009C43B2" w:rsidRDefault="00C334AA" w:rsidP="00C334AA">
            <w:pPr>
              <w:pStyle w:val="Stilius3"/>
              <w:tabs>
                <w:tab w:val="left" w:pos="851"/>
                <w:tab w:val="left" w:pos="6439"/>
              </w:tabs>
              <w:spacing w:before="0"/>
              <w:ind w:firstLine="851"/>
              <w:rPr>
                <w:sz w:val="23"/>
                <w:szCs w:val="23"/>
                <w:lang w:val="lt-LT"/>
              </w:rPr>
            </w:pPr>
            <w:r w:rsidRPr="009C43B2">
              <w:rPr>
                <w:sz w:val="23"/>
                <w:szCs w:val="23"/>
                <w:lang w:val="lt-LT"/>
              </w:rPr>
              <w:t>Pranešimas apie sudarytą pasiūlymų eilę tiekėjams buvo išsiųstas 2015 m. spalio 6 d. Tiekėjas buvo informuotas apie priimtą sprendimą jį pakviesti pasirašyti sutartį nuo 2015 m. spalio 7 d. iki 2015 m. spalio 14 d</w:t>
            </w:r>
            <w:r w:rsidR="00D53CFA" w:rsidRPr="009C43B2">
              <w:rPr>
                <w:sz w:val="23"/>
                <w:szCs w:val="23"/>
                <w:lang w:val="lt-LT"/>
              </w:rPr>
              <w:t xml:space="preserve">. </w:t>
            </w:r>
          </w:p>
          <w:p w:rsidR="001253F2" w:rsidRPr="009C43B2" w:rsidRDefault="00C334AA" w:rsidP="00C334AA">
            <w:pPr>
              <w:pStyle w:val="Stilius3"/>
              <w:tabs>
                <w:tab w:val="left" w:pos="851"/>
                <w:tab w:val="left" w:pos="6439"/>
              </w:tabs>
              <w:spacing w:before="0"/>
              <w:ind w:firstLine="851"/>
              <w:rPr>
                <w:sz w:val="23"/>
                <w:szCs w:val="23"/>
                <w:lang w:val="lt-LT"/>
              </w:rPr>
            </w:pPr>
            <w:r w:rsidRPr="009C43B2">
              <w:rPr>
                <w:sz w:val="23"/>
                <w:szCs w:val="23"/>
                <w:lang w:val="lt-LT"/>
              </w:rPr>
              <w:t xml:space="preserve">Pirkimo sąlygų 57.1 punkte nustatyta, </w:t>
            </w:r>
            <w:r w:rsidR="00D53CFA" w:rsidRPr="009C43B2">
              <w:rPr>
                <w:sz w:val="23"/>
                <w:szCs w:val="23"/>
                <w:lang w:val="lt-LT"/>
              </w:rPr>
              <w:t>jog</w:t>
            </w:r>
            <w:r w:rsidRPr="009C43B2">
              <w:rPr>
                <w:sz w:val="23"/>
                <w:szCs w:val="23"/>
                <w:lang w:val="lt-LT"/>
              </w:rPr>
              <w:t xml:space="preserve"> „</w:t>
            </w:r>
            <w:r w:rsidRPr="009C43B2">
              <w:rPr>
                <w:i/>
                <w:sz w:val="23"/>
                <w:szCs w:val="23"/>
                <w:lang w:val="lt-LT"/>
              </w:rPr>
              <w:t>Pirkimo sutartis negali būti sudaroma, kol nesibaigė Viešųjų pirkimų įstatymo nustatyti tiekėjų pretenzijų pateikimo ir ieškinio pareiškimo terminai, išskyrus atvejus, kai pasiūlymą pateikia tik vienas tiekėjas</w:t>
            </w:r>
            <w:r w:rsidRPr="009C43B2">
              <w:rPr>
                <w:sz w:val="23"/>
                <w:szCs w:val="23"/>
                <w:lang w:val="lt-LT"/>
              </w:rPr>
              <w:t xml:space="preserve">“. </w:t>
            </w:r>
          </w:p>
          <w:p w:rsidR="00C334AA" w:rsidRPr="009C43B2" w:rsidRDefault="00D53CFA" w:rsidP="0067251E">
            <w:pPr>
              <w:pStyle w:val="Stilius3"/>
              <w:tabs>
                <w:tab w:val="left" w:pos="851"/>
                <w:tab w:val="left" w:pos="6439"/>
              </w:tabs>
              <w:spacing w:before="0"/>
              <w:ind w:firstLine="851"/>
              <w:rPr>
                <w:sz w:val="23"/>
                <w:szCs w:val="23"/>
                <w:lang w:val="lt-LT"/>
              </w:rPr>
            </w:pPr>
            <w:r w:rsidRPr="009C43B2">
              <w:rPr>
                <w:sz w:val="23"/>
                <w:szCs w:val="23"/>
                <w:lang w:val="lt-LT"/>
              </w:rPr>
              <w:t>Sutartis su Tiekėju sudaryta 201</w:t>
            </w:r>
            <w:r w:rsidR="002450AB" w:rsidRPr="009C43B2">
              <w:rPr>
                <w:sz w:val="23"/>
                <w:szCs w:val="23"/>
                <w:lang w:val="lt-LT"/>
              </w:rPr>
              <w:t>5</w:t>
            </w:r>
            <w:r w:rsidRPr="009C43B2">
              <w:rPr>
                <w:sz w:val="23"/>
                <w:szCs w:val="23"/>
                <w:lang w:val="lt-LT"/>
              </w:rPr>
              <w:t xml:space="preserve"> m. spalio 22 d., t.y. laikantis Pirkimo sąlygų 57.1 punkto nuostatų, tačiau nesilaikant tiekėjui išsiųstame kvietime pasirašyti sutartį nustatyto termino</w:t>
            </w:r>
            <w:r w:rsidR="0020305E" w:rsidRPr="009C43B2">
              <w:rPr>
                <w:sz w:val="23"/>
                <w:szCs w:val="23"/>
                <w:lang w:val="lt-LT"/>
              </w:rPr>
              <w:t>.</w:t>
            </w:r>
            <w:r w:rsidRPr="009C43B2">
              <w:rPr>
                <w:sz w:val="23"/>
                <w:szCs w:val="23"/>
                <w:lang w:val="lt-LT"/>
              </w:rPr>
              <w:t xml:space="preserve"> </w:t>
            </w:r>
            <w:r w:rsidR="0020305E" w:rsidRPr="009C43B2">
              <w:rPr>
                <w:sz w:val="23"/>
                <w:szCs w:val="23"/>
                <w:lang w:val="lt-LT"/>
              </w:rPr>
              <w:t xml:space="preserve">Tarnyba pažymi, kad nors šis netikslumas nėra esminis ir </w:t>
            </w:r>
            <w:r w:rsidR="0067251E" w:rsidRPr="009C43B2">
              <w:rPr>
                <w:sz w:val="23"/>
                <w:szCs w:val="23"/>
                <w:lang w:val="lt-LT"/>
              </w:rPr>
              <w:t xml:space="preserve">šiuo konkrečiu atveju </w:t>
            </w:r>
            <w:r w:rsidR="0020305E" w:rsidRPr="009C43B2">
              <w:rPr>
                <w:sz w:val="23"/>
                <w:szCs w:val="23"/>
                <w:lang w:val="lt-LT"/>
              </w:rPr>
              <w:t xml:space="preserve">neturėjo įtakos pirkimo Sutarties sudarymo ir (ar) vykdymo teisėtumui, Perkančioji organizacija ateityje turėtų užtikrinti, kad </w:t>
            </w:r>
            <w:r w:rsidRPr="009C43B2">
              <w:rPr>
                <w:sz w:val="23"/>
                <w:szCs w:val="23"/>
                <w:lang w:val="lt-LT"/>
              </w:rPr>
              <w:t>pirkimo dokumentai būt</w:t>
            </w:r>
            <w:r w:rsidR="0020305E" w:rsidRPr="009C43B2">
              <w:rPr>
                <w:sz w:val="23"/>
                <w:szCs w:val="23"/>
                <w:lang w:val="lt-LT"/>
              </w:rPr>
              <w:t>ų</w:t>
            </w:r>
            <w:r w:rsidRPr="009C43B2">
              <w:rPr>
                <w:sz w:val="23"/>
                <w:szCs w:val="23"/>
                <w:lang w:val="lt-LT"/>
              </w:rPr>
              <w:t xml:space="preserve"> tikslūs, aiškūs, be dviprasmybių</w:t>
            </w:r>
            <w:r w:rsidR="0067251E" w:rsidRPr="009C43B2">
              <w:rPr>
                <w:sz w:val="23"/>
                <w:szCs w:val="23"/>
                <w:lang w:val="lt-LT"/>
              </w:rPr>
              <w:t>, o jos siunčiami pranešimai tiekėjams nebūtų klaidinantys.</w:t>
            </w:r>
            <w:r w:rsidRPr="009C43B2">
              <w:rPr>
                <w:sz w:val="23"/>
                <w:szCs w:val="23"/>
                <w:lang w:val="lt-LT"/>
              </w:rPr>
              <w:t xml:space="preserve"> </w:t>
            </w:r>
          </w:p>
        </w:tc>
      </w:tr>
      <w:tr w:rsidR="001253F2" w:rsidRPr="009C43B2" w:rsidTr="00807C08">
        <w:tc>
          <w:tcPr>
            <w:tcW w:w="675" w:type="dxa"/>
          </w:tcPr>
          <w:p w:rsidR="001253F2" w:rsidRPr="009C43B2"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9C43B2" w:rsidRDefault="00336C87" w:rsidP="001253F2">
            <w:pPr>
              <w:tabs>
                <w:tab w:val="left" w:pos="993"/>
              </w:tabs>
              <w:jc w:val="both"/>
              <w:rPr>
                <w:rFonts w:ascii="Times New Roman" w:eastAsia="Times New Roman" w:hAnsi="Times New Roman" w:cs="Times New Roman"/>
                <w:bCs/>
                <w:sz w:val="23"/>
                <w:szCs w:val="23"/>
                <w:lang w:val="lt-LT"/>
              </w:rPr>
            </w:pPr>
            <w:r w:rsidRPr="009C43B2">
              <w:rPr>
                <w:rFonts w:ascii="Times New Roman" w:eastAsia="Times New Roman" w:hAnsi="Times New Roman" w:cs="Times New Roman"/>
                <w:bCs/>
                <w:sz w:val="23"/>
                <w:szCs w:val="23"/>
                <w:lang w:val="lt-LT"/>
              </w:rPr>
              <w:t>Įstatymo 3 straipsnio 1 dalyje įtvirtinti skaidrumo ir lygiateisiškumo principai</w:t>
            </w:r>
          </w:p>
        </w:tc>
      </w:tr>
      <w:tr w:rsidR="001253F2" w:rsidRPr="009C43B2" w:rsidTr="007F74A9">
        <w:tc>
          <w:tcPr>
            <w:tcW w:w="9606" w:type="dxa"/>
            <w:gridSpan w:val="2"/>
          </w:tcPr>
          <w:p w:rsidR="00FB0A68" w:rsidRPr="009C43B2" w:rsidRDefault="00FB0A68" w:rsidP="00513636">
            <w:pPr>
              <w:tabs>
                <w:tab w:val="left" w:pos="993"/>
              </w:tabs>
              <w:spacing w:after="160" w:line="259" w:lineRule="auto"/>
              <w:ind w:firstLine="851"/>
              <w:contextualSpacing/>
              <w:jc w:val="both"/>
              <w:rPr>
                <w:rFonts w:ascii="Times New Roman" w:hAnsi="Times New Roman" w:cs="Times New Roman"/>
                <w:bCs/>
                <w:sz w:val="23"/>
                <w:szCs w:val="23"/>
                <w:lang w:val="lt-LT"/>
              </w:rPr>
            </w:pPr>
            <w:r w:rsidRPr="009C43B2">
              <w:rPr>
                <w:rFonts w:ascii="Times New Roman" w:hAnsi="Times New Roman" w:cs="Times New Roman"/>
                <w:bCs/>
                <w:sz w:val="23"/>
                <w:szCs w:val="23"/>
                <w:lang w:val="lt-LT"/>
              </w:rPr>
              <w:t xml:space="preserve">Tarnyba pažymi, kad </w:t>
            </w:r>
            <w:r w:rsidR="0067251E" w:rsidRPr="009C43B2">
              <w:rPr>
                <w:rFonts w:ascii="Times New Roman" w:hAnsi="Times New Roman" w:cs="Times New Roman"/>
                <w:bCs/>
                <w:sz w:val="23"/>
                <w:szCs w:val="23"/>
                <w:lang w:val="lt-LT"/>
              </w:rPr>
              <w:t xml:space="preserve">Perkančioji organizacija visais atvejais yra atsakinga už jai reikalingų prekių, paslaugų ar darbų įsigijimo viešojo pirkimo procedūrų pradėjimą laiku. </w:t>
            </w:r>
            <w:r w:rsidRPr="009C43B2">
              <w:rPr>
                <w:rFonts w:ascii="Times New Roman" w:hAnsi="Times New Roman" w:cs="Times New Roman"/>
                <w:bCs/>
                <w:sz w:val="23"/>
                <w:szCs w:val="23"/>
                <w:lang w:val="lt-LT"/>
              </w:rPr>
              <w:t>Atkreiptinas dėmesys</w:t>
            </w:r>
            <w:r w:rsidR="00017986" w:rsidRPr="009C43B2">
              <w:rPr>
                <w:rFonts w:ascii="Times New Roman" w:hAnsi="Times New Roman" w:cs="Times New Roman"/>
                <w:bCs/>
                <w:sz w:val="23"/>
                <w:szCs w:val="23"/>
                <w:lang w:val="lt-LT"/>
              </w:rPr>
              <w:t xml:space="preserve">, kad 2012 m. kovo 14 d. Europos Parlamento ir Tarybos reglamente (ES) Nr. 260/2012 buvo numatytas dvejų metų pereinamasis laikotarpis, per kurį Perkančioji organizacija galėjo pasiruošti jai reikalingų paslaugų pirkimui bei pradėti </w:t>
            </w:r>
            <w:r w:rsidRPr="009C43B2">
              <w:rPr>
                <w:rFonts w:ascii="Times New Roman" w:hAnsi="Times New Roman" w:cs="Times New Roman"/>
                <w:bCs/>
                <w:sz w:val="23"/>
                <w:szCs w:val="23"/>
                <w:lang w:val="lt-LT"/>
              </w:rPr>
              <w:t xml:space="preserve">vykdyti </w:t>
            </w:r>
            <w:r w:rsidR="00017986" w:rsidRPr="009C43B2">
              <w:rPr>
                <w:rFonts w:ascii="Times New Roman" w:hAnsi="Times New Roman" w:cs="Times New Roman"/>
                <w:bCs/>
                <w:sz w:val="23"/>
                <w:szCs w:val="23"/>
                <w:lang w:val="lt-LT"/>
              </w:rPr>
              <w:t>pirkimo procedūras likus pakankamai laiko</w:t>
            </w:r>
            <w:r w:rsidRPr="009C43B2">
              <w:rPr>
                <w:rFonts w:ascii="Times New Roman" w:hAnsi="Times New Roman" w:cs="Times New Roman"/>
                <w:bCs/>
                <w:sz w:val="23"/>
                <w:szCs w:val="23"/>
                <w:lang w:val="lt-LT"/>
              </w:rPr>
              <w:t xml:space="preserve"> iki pereinamojo laikotarpio termino pabaigos, tačiau Sutartį sudarė tik 2015 m. spalio 22 d. (likus kiek daugiau nei 2 mėnesiams iki pirkimo dokumentuose nustatyto paslaugų suteikimo termino dienos – 2015 m. gruodžio 31 d.)</w:t>
            </w:r>
          </w:p>
          <w:p w:rsidR="00513636" w:rsidRPr="009C43B2" w:rsidRDefault="001B37E6" w:rsidP="00D33987">
            <w:pPr>
              <w:tabs>
                <w:tab w:val="left" w:pos="993"/>
              </w:tabs>
              <w:spacing w:after="160" w:line="259" w:lineRule="auto"/>
              <w:ind w:firstLine="851"/>
              <w:contextualSpacing/>
              <w:jc w:val="both"/>
              <w:rPr>
                <w:rFonts w:ascii="Times New Roman" w:hAnsi="Times New Roman" w:cs="Times New Roman"/>
                <w:bCs/>
                <w:sz w:val="23"/>
                <w:szCs w:val="23"/>
                <w:lang w:val="lt-LT"/>
              </w:rPr>
            </w:pPr>
            <w:r w:rsidRPr="009C43B2">
              <w:rPr>
                <w:rFonts w:ascii="Times New Roman" w:hAnsi="Times New Roman" w:cs="Times New Roman"/>
                <w:bCs/>
                <w:sz w:val="23"/>
                <w:szCs w:val="23"/>
                <w:lang w:val="lt-LT"/>
              </w:rPr>
              <w:t>Tarnybos vertinimu,</w:t>
            </w:r>
            <w:r w:rsidR="0067251E" w:rsidRPr="009C43B2">
              <w:rPr>
                <w:rFonts w:ascii="Times New Roman" w:hAnsi="Times New Roman" w:cs="Times New Roman"/>
                <w:bCs/>
                <w:sz w:val="23"/>
                <w:szCs w:val="23"/>
                <w:lang w:val="lt-LT"/>
              </w:rPr>
              <w:t xml:space="preserve"> situacija, kuomet </w:t>
            </w:r>
            <w:r w:rsidRPr="009C43B2">
              <w:rPr>
                <w:rFonts w:ascii="Times New Roman" w:hAnsi="Times New Roman" w:cs="Times New Roman"/>
                <w:bCs/>
                <w:sz w:val="23"/>
                <w:szCs w:val="23"/>
                <w:lang w:val="lt-LT"/>
              </w:rPr>
              <w:t xml:space="preserve">pirkimo dokumentuose </w:t>
            </w:r>
            <w:r w:rsidR="00B9659C" w:rsidRPr="009C43B2">
              <w:rPr>
                <w:rFonts w:ascii="Times New Roman" w:hAnsi="Times New Roman" w:cs="Times New Roman"/>
                <w:bCs/>
                <w:sz w:val="23"/>
                <w:szCs w:val="23"/>
                <w:lang w:val="lt-LT"/>
              </w:rPr>
              <w:t>nustatomas itin</w:t>
            </w:r>
            <w:r w:rsidRPr="009C43B2">
              <w:rPr>
                <w:rFonts w:ascii="Times New Roman" w:hAnsi="Times New Roman" w:cs="Times New Roman"/>
                <w:bCs/>
                <w:sz w:val="23"/>
                <w:szCs w:val="23"/>
                <w:lang w:val="lt-LT"/>
              </w:rPr>
              <w:t xml:space="preserve"> trumpas paslaugos suteikimo terminas, </w:t>
            </w:r>
            <w:r w:rsidR="00B9659C" w:rsidRPr="009C43B2">
              <w:rPr>
                <w:rFonts w:ascii="Times New Roman" w:hAnsi="Times New Roman" w:cs="Times New Roman"/>
                <w:bCs/>
                <w:sz w:val="23"/>
                <w:szCs w:val="23"/>
                <w:lang w:val="lt-LT"/>
              </w:rPr>
              <w:t xml:space="preserve">o vėliau perkančioji organizacija naudojasi iš esmės neribota </w:t>
            </w:r>
            <w:proofErr w:type="spellStart"/>
            <w:r w:rsidR="00B9659C" w:rsidRPr="009C43B2">
              <w:rPr>
                <w:rFonts w:ascii="Times New Roman" w:hAnsi="Times New Roman" w:cs="Times New Roman"/>
                <w:bCs/>
                <w:sz w:val="23"/>
                <w:szCs w:val="23"/>
                <w:lang w:val="lt-LT"/>
              </w:rPr>
              <w:t>diskrecijos</w:t>
            </w:r>
            <w:proofErr w:type="spellEnd"/>
            <w:r w:rsidR="00B9659C" w:rsidRPr="009C43B2">
              <w:rPr>
                <w:rFonts w:ascii="Times New Roman" w:hAnsi="Times New Roman" w:cs="Times New Roman"/>
                <w:bCs/>
                <w:sz w:val="23"/>
                <w:szCs w:val="23"/>
                <w:lang w:val="lt-LT"/>
              </w:rPr>
              <w:t xml:space="preserve"> teise spręsti ar nutraukti sutartį, ar leisti tiekėjui ją vykdyti toliau</w:t>
            </w:r>
            <w:r w:rsidR="00B362E7" w:rsidRPr="009C43B2">
              <w:rPr>
                <w:rFonts w:ascii="Times New Roman" w:hAnsi="Times New Roman" w:cs="Times New Roman"/>
                <w:bCs/>
                <w:sz w:val="23"/>
                <w:szCs w:val="23"/>
                <w:lang w:val="lt-LT"/>
              </w:rPr>
              <w:t xml:space="preserve"> (net ir taikant Sutartyje numatytas užtikrinimo priemones)</w:t>
            </w:r>
            <w:r w:rsidR="00B9659C" w:rsidRPr="009C43B2">
              <w:rPr>
                <w:rFonts w:ascii="Times New Roman" w:hAnsi="Times New Roman" w:cs="Times New Roman"/>
                <w:bCs/>
                <w:sz w:val="23"/>
                <w:szCs w:val="23"/>
                <w:lang w:val="lt-LT"/>
              </w:rPr>
              <w:t xml:space="preserve">, nedera su Įstatyme įtvirtintais skaidrumo ir tiekėjų lygiateisiškumo principais. </w:t>
            </w:r>
            <w:r w:rsidR="00B362E7" w:rsidRPr="009C43B2">
              <w:rPr>
                <w:rFonts w:ascii="Times New Roman" w:hAnsi="Times New Roman" w:cs="Times New Roman"/>
                <w:bCs/>
                <w:sz w:val="23"/>
                <w:szCs w:val="23"/>
                <w:lang w:val="lt-LT"/>
              </w:rPr>
              <w:t xml:space="preserve">Atsižvelgiant į tai, </w:t>
            </w:r>
            <w:r w:rsidR="00015218" w:rsidRPr="009C43B2">
              <w:rPr>
                <w:rFonts w:ascii="Times New Roman" w:hAnsi="Times New Roman" w:cs="Times New Roman"/>
                <w:bCs/>
                <w:sz w:val="23"/>
                <w:szCs w:val="23"/>
                <w:lang w:val="lt-LT"/>
              </w:rPr>
              <w:t xml:space="preserve">Tarnyba rekomenduoja </w:t>
            </w:r>
            <w:r w:rsidR="00B362E7" w:rsidRPr="009C43B2">
              <w:rPr>
                <w:rFonts w:ascii="Times New Roman" w:hAnsi="Times New Roman" w:cs="Times New Roman"/>
                <w:bCs/>
                <w:sz w:val="23"/>
                <w:szCs w:val="23"/>
                <w:lang w:val="lt-LT"/>
              </w:rPr>
              <w:t>Perkanči</w:t>
            </w:r>
            <w:r w:rsidR="00015218" w:rsidRPr="009C43B2">
              <w:rPr>
                <w:rFonts w:ascii="Times New Roman" w:hAnsi="Times New Roman" w:cs="Times New Roman"/>
                <w:bCs/>
                <w:sz w:val="23"/>
                <w:szCs w:val="23"/>
                <w:lang w:val="lt-LT"/>
              </w:rPr>
              <w:t>ajai</w:t>
            </w:r>
            <w:r w:rsidR="00B362E7" w:rsidRPr="009C43B2">
              <w:rPr>
                <w:rFonts w:ascii="Times New Roman" w:hAnsi="Times New Roman" w:cs="Times New Roman"/>
                <w:bCs/>
                <w:sz w:val="23"/>
                <w:szCs w:val="23"/>
                <w:lang w:val="lt-LT"/>
              </w:rPr>
              <w:t xml:space="preserve"> organizacija</w:t>
            </w:r>
            <w:r w:rsidR="00015218" w:rsidRPr="009C43B2">
              <w:rPr>
                <w:rFonts w:ascii="Times New Roman" w:hAnsi="Times New Roman" w:cs="Times New Roman"/>
                <w:bCs/>
                <w:sz w:val="23"/>
                <w:szCs w:val="23"/>
                <w:lang w:val="lt-LT"/>
              </w:rPr>
              <w:t>i ateityje</w:t>
            </w:r>
            <w:r w:rsidR="00B362E7" w:rsidRPr="009C43B2">
              <w:rPr>
                <w:rFonts w:ascii="Times New Roman" w:hAnsi="Times New Roman" w:cs="Times New Roman"/>
                <w:bCs/>
                <w:sz w:val="23"/>
                <w:szCs w:val="23"/>
                <w:lang w:val="lt-LT"/>
              </w:rPr>
              <w:t xml:space="preserve"> įvertinti pirkimo dokumentuose nustatomus įsipareigojimų vykdymo terminus, atsižvelgiant ir į objektyviai įvertintą realią galimybę rinkos dalyviams tokius įsipareigojimus įgyvendinti. </w:t>
            </w:r>
          </w:p>
        </w:tc>
      </w:tr>
      <w:tr w:rsidR="00011ECF" w:rsidRPr="009C43B2" w:rsidTr="00DC4819">
        <w:tc>
          <w:tcPr>
            <w:tcW w:w="675" w:type="dxa"/>
          </w:tcPr>
          <w:p w:rsidR="00011ECF" w:rsidRPr="009C43B2" w:rsidRDefault="00011ECF" w:rsidP="00DC4819">
            <w:pPr>
              <w:numPr>
                <w:ilvl w:val="0"/>
                <w:numId w:val="2"/>
              </w:numPr>
              <w:contextualSpacing/>
              <w:jc w:val="center"/>
              <w:rPr>
                <w:rFonts w:ascii="Times New Roman" w:hAnsi="Times New Roman" w:cs="Times New Roman"/>
                <w:sz w:val="23"/>
                <w:szCs w:val="23"/>
                <w:lang w:val="lt-LT"/>
              </w:rPr>
            </w:pPr>
          </w:p>
        </w:tc>
        <w:tc>
          <w:tcPr>
            <w:tcW w:w="8931" w:type="dxa"/>
          </w:tcPr>
          <w:p w:rsidR="00011ECF" w:rsidRPr="009C43B2" w:rsidRDefault="00336C87" w:rsidP="00DC4819">
            <w:pPr>
              <w:spacing w:after="160" w:line="259" w:lineRule="auto"/>
              <w:jc w:val="both"/>
              <w:rPr>
                <w:rFonts w:ascii="Times New Roman" w:hAnsi="Times New Roman" w:cs="Times New Roman"/>
                <w:sz w:val="23"/>
                <w:szCs w:val="23"/>
                <w:lang w:val="lt-LT"/>
              </w:rPr>
            </w:pPr>
            <w:r w:rsidRPr="009C43B2">
              <w:rPr>
                <w:rFonts w:ascii="Times New Roman" w:eastAsia="Times New Roman" w:hAnsi="Times New Roman" w:cs="Times New Roman"/>
                <w:bCs/>
                <w:sz w:val="23"/>
                <w:szCs w:val="23"/>
                <w:lang w:val="lt-LT"/>
              </w:rPr>
              <w:t>Įstatymo 3 straipsnio 1 dalyje įtvirtinti skaidrumo ir lygiateisiškumo principai</w:t>
            </w:r>
          </w:p>
        </w:tc>
      </w:tr>
      <w:tr w:rsidR="00011ECF" w:rsidRPr="009C43B2" w:rsidTr="00DC4819">
        <w:trPr>
          <w:trHeight w:val="269"/>
        </w:trPr>
        <w:tc>
          <w:tcPr>
            <w:tcW w:w="9606" w:type="dxa"/>
            <w:gridSpan w:val="2"/>
          </w:tcPr>
          <w:p w:rsidR="00011ECF" w:rsidRPr="009C43B2" w:rsidRDefault="00011ECF" w:rsidP="00011ECF">
            <w:pPr>
              <w:tabs>
                <w:tab w:val="left" w:pos="993"/>
              </w:tabs>
              <w:spacing w:after="160"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Sutarties 6.2 punkte nustatyta, kad „</w:t>
            </w:r>
            <w:r w:rsidRPr="009C43B2">
              <w:rPr>
                <w:rFonts w:ascii="Times New Roman" w:hAnsi="Times New Roman" w:cs="Times New Roman"/>
                <w:i/>
                <w:sz w:val="23"/>
                <w:szCs w:val="23"/>
                <w:lang w:val="lt-LT"/>
              </w:rPr>
              <w:t xml:space="preserve">Užsakovas </w:t>
            </w:r>
            <w:r w:rsidRPr="009C43B2">
              <w:rPr>
                <w:rFonts w:ascii="Times New Roman" w:hAnsi="Times New Roman" w:cs="Times New Roman"/>
                <w:i/>
                <w:sz w:val="23"/>
                <w:szCs w:val="23"/>
                <w:u w:val="single"/>
                <w:lang w:val="lt-LT"/>
              </w:rPr>
              <w:t>gali</w:t>
            </w:r>
            <w:r w:rsidRPr="009C43B2">
              <w:rPr>
                <w:rFonts w:ascii="Times New Roman" w:hAnsi="Times New Roman" w:cs="Times New Roman"/>
                <w:i/>
                <w:sz w:val="23"/>
                <w:szCs w:val="23"/>
                <w:lang w:val="lt-LT"/>
              </w:rPr>
              <w:t xml:space="preserve"> pareikalauti iš vykdytojo sumokėti Užsakovui 0,04 % (keturių šimtųjų procentų) dydžio delspinigius &lt;…&gt;</w:t>
            </w:r>
            <w:r w:rsidRPr="009C43B2">
              <w:rPr>
                <w:rFonts w:ascii="Times New Roman" w:hAnsi="Times New Roman" w:cs="Times New Roman"/>
                <w:sz w:val="23"/>
                <w:szCs w:val="23"/>
                <w:lang w:val="lt-LT"/>
              </w:rPr>
              <w:t>”.</w:t>
            </w:r>
          </w:p>
          <w:p w:rsidR="00A01E86" w:rsidRPr="009C43B2" w:rsidRDefault="00011ECF" w:rsidP="00A01E86">
            <w:pPr>
              <w:tabs>
                <w:tab w:val="left" w:pos="993"/>
              </w:tabs>
              <w:spacing w:after="160" w:line="259" w:lineRule="auto"/>
              <w:ind w:firstLine="851"/>
              <w:contextualSpacing/>
              <w:jc w:val="both"/>
              <w:rPr>
                <w:rFonts w:ascii="Times New Roman" w:hAnsi="Times New Roman" w:cs="Times New Roman"/>
                <w:bCs/>
                <w:sz w:val="23"/>
                <w:szCs w:val="23"/>
                <w:lang w:val="lt-LT"/>
              </w:rPr>
            </w:pPr>
            <w:r w:rsidRPr="009C43B2">
              <w:rPr>
                <w:rFonts w:ascii="Times New Roman" w:hAnsi="Times New Roman" w:cs="Times New Roman"/>
                <w:sz w:val="23"/>
                <w:szCs w:val="23"/>
                <w:lang w:val="lt-LT"/>
              </w:rPr>
              <w:t xml:space="preserve">Tarnyba pažymi, jog Sutarties sąlygos, nustatančios neribotą Perkančiosios organizacijos </w:t>
            </w:r>
            <w:proofErr w:type="spellStart"/>
            <w:r w:rsidRPr="009C43B2">
              <w:rPr>
                <w:rFonts w:ascii="Times New Roman" w:hAnsi="Times New Roman" w:cs="Times New Roman"/>
                <w:sz w:val="23"/>
                <w:szCs w:val="23"/>
                <w:lang w:val="lt-LT"/>
              </w:rPr>
              <w:t>diskrecijos</w:t>
            </w:r>
            <w:proofErr w:type="spellEnd"/>
            <w:r w:rsidRPr="009C43B2">
              <w:rPr>
                <w:rFonts w:ascii="Times New Roman" w:hAnsi="Times New Roman" w:cs="Times New Roman"/>
                <w:sz w:val="23"/>
                <w:szCs w:val="23"/>
                <w:lang w:val="lt-LT"/>
              </w:rPr>
              <w:t xml:space="preserve"> teisę taikyti arba netaikyti Sutartyje numatytas </w:t>
            </w:r>
            <w:r w:rsidRPr="009C43B2">
              <w:rPr>
                <w:rFonts w:ascii="Times New Roman" w:hAnsi="Times New Roman" w:cs="Times New Roman"/>
                <w:bCs/>
                <w:sz w:val="23"/>
                <w:szCs w:val="23"/>
                <w:lang w:val="lt-LT"/>
              </w:rPr>
              <w:t>sutartinių prievolių įvykdymo užtikrinimo priemones, nedera su Įstatyme įtvirtintais skaidrumo ir tiekėjų lygiateisiškumo principais</w:t>
            </w:r>
            <w:r w:rsidR="00A01E86" w:rsidRPr="009C43B2">
              <w:rPr>
                <w:rFonts w:ascii="Times New Roman" w:hAnsi="Times New Roman" w:cs="Times New Roman"/>
                <w:bCs/>
                <w:sz w:val="23"/>
                <w:szCs w:val="23"/>
                <w:lang w:val="lt-LT"/>
              </w:rPr>
              <w:t xml:space="preserve">. </w:t>
            </w:r>
          </w:p>
          <w:p w:rsidR="00011ECF" w:rsidRPr="009C43B2" w:rsidRDefault="00015218" w:rsidP="00015218">
            <w:pPr>
              <w:tabs>
                <w:tab w:val="left" w:pos="993"/>
              </w:tabs>
              <w:spacing w:after="160"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bCs/>
                <w:sz w:val="23"/>
                <w:szCs w:val="23"/>
                <w:lang w:val="lt-LT"/>
              </w:rPr>
              <w:t xml:space="preserve">Atsižvelgiant į tai, Tarnyba rekomenduoja ateityje pirkimo dokumentuose ir sutartyje nurodyti, kad tiekėjui pažeidus sutartinius įsipareigojimus sutartinių prievolių įvykdymo užtikrinimo priemonės ne gali būti, o bus taikomos. </w:t>
            </w:r>
          </w:p>
        </w:tc>
      </w:tr>
      <w:tr w:rsidR="001253F2" w:rsidRPr="009C43B2" w:rsidTr="00807C08">
        <w:tc>
          <w:tcPr>
            <w:tcW w:w="675" w:type="dxa"/>
          </w:tcPr>
          <w:p w:rsidR="001253F2" w:rsidRPr="009C43B2"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9C43B2" w:rsidRDefault="00336C87" w:rsidP="00724969">
            <w:pPr>
              <w:spacing w:after="160" w:line="259" w:lineRule="auto"/>
              <w:jc w:val="both"/>
              <w:rPr>
                <w:rFonts w:ascii="Times New Roman" w:hAnsi="Times New Roman" w:cs="Times New Roman"/>
                <w:sz w:val="23"/>
                <w:szCs w:val="23"/>
                <w:lang w:val="lt-LT"/>
              </w:rPr>
            </w:pPr>
            <w:r w:rsidRPr="009C43B2">
              <w:rPr>
                <w:rFonts w:ascii="Times New Roman" w:eastAsia="Times New Roman" w:hAnsi="Times New Roman" w:cs="Times New Roman"/>
                <w:bCs/>
                <w:sz w:val="23"/>
                <w:szCs w:val="23"/>
                <w:lang w:val="lt-LT"/>
              </w:rPr>
              <w:t>Įstatymo 3 straipsnio 1 dalyje įtvirtinti skaidrumo ir lygiateisiškumo principai</w:t>
            </w:r>
          </w:p>
        </w:tc>
      </w:tr>
      <w:tr w:rsidR="001253F2" w:rsidRPr="009C43B2" w:rsidTr="007F74A9">
        <w:trPr>
          <w:trHeight w:val="269"/>
        </w:trPr>
        <w:tc>
          <w:tcPr>
            <w:tcW w:w="9606" w:type="dxa"/>
            <w:gridSpan w:val="2"/>
          </w:tcPr>
          <w:p w:rsidR="00D72117" w:rsidRPr="009C43B2" w:rsidRDefault="00D72117" w:rsidP="00D72117">
            <w:pPr>
              <w:tabs>
                <w:tab w:val="left" w:pos="993"/>
              </w:tabs>
              <w:spacing w:after="160"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Sutartinių įsipareigojimų įvykdymo laidavimo draudimo liudijime Nr. SĮLD 101326 nurodyta, kad „</w:t>
            </w:r>
            <w:r w:rsidRPr="009C43B2">
              <w:rPr>
                <w:rFonts w:ascii="Times New Roman" w:hAnsi="Times New Roman" w:cs="Times New Roman"/>
                <w:i/>
                <w:sz w:val="23"/>
                <w:szCs w:val="23"/>
                <w:lang w:val="lt-LT"/>
              </w:rPr>
              <w:t>draudimo sutartis sudaryta pagal „BTA“ akcinės draudimo bendrovės filialo Lietuvoje taisykles „Sutartinių įsipareigojimų įvykdymo laidavimo draudimo taisyklės Nr. 024“, kurios yra neatskiriama draudimo sutarties dalis</w:t>
            </w:r>
            <w:r w:rsidRPr="009C43B2">
              <w:rPr>
                <w:rFonts w:ascii="Times New Roman" w:hAnsi="Times New Roman" w:cs="Times New Roman"/>
                <w:sz w:val="23"/>
                <w:szCs w:val="23"/>
                <w:lang w:val="lt-LT"/>
              </w:rPr>
              <w:t>“ (toliau – Taisyklės). Taisyklių 2.2 punkte nustatyta, kad „</w:t>
            </w:r>
            <w:r w:rsidRPr="009C43B2">
              <w:rPr>
                <w:rFonts w:ascii="Times New Roman" w:hAnsi="Times New Roman" w:cs="Times New Roman"/>
                <w:i/>
                <w:sz w:val="23"/>
                <w:szCs w:val="23"/>
                <w:lang w:val="lt-LT"/>
              </w:rPr>
              <w:t>Draudimo apsauga įsigalioja draudimo sutartyje nurodytą dieną 00:00, bet ne anksčiau nei sumokama draudimo įmoka arba pirma jos dalis, jeigu &lt;...&gt; draudimo laikotarpio pradžia sutampa su draudimo įmokos ar pirmos jos dalies sumokėjimo diena</w:t>
            </w:r>
            <w:r w:rsidRPr="009C43B2">
              <w:rPr>
                <w:rFonts w:ascii="Times New Roman" w:hAnsi="Times New Roman" w:cs="Times New Roman"/>
                <w:sz w:val="23"/>
                <w:szCs w:val="23"/>
                <w:lang w:val="lt-LT"/>
              </w:rPr>
              <w:t>“.</w:t>
            </w:r>
          </w:p>
          <w:p w:rsidR="00D72117" w:rsidRPr="009C43B2" w:rsidRDefault="00D72117" w:rsidP="00E77CB3">
            <w:pPr>
              <w:tabs>
                <w:tab w:val="left" w:pos="993"/>
              </w:tabs>
              <w:spacing w:after="160"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Tarnyba nustatė, kad draudimo įmoka buvo sumokėta tik 2015 m. gruodžio 18 d., o atsižvelgiant į Taisyklių nuostatas, </w:t>
            </w:r>
            <w:r w:rsidR="007B3C0B" w:rsidRPr="009C43B2">
              <w:rPr>
                <w:rFonts w:ascii="Times New Roman" w:hAnsi="Times New Roman" w:cs="Times New Roman"/>
                <w:sz w:val="23"/>
                <w:szCs w:val="23"/>
                <w:lang w:val="lt-LT"/>
              </w:rPr>
              <w:t>Tiekėjo</w:t>
            </w:r>
            <w:r w:rsidRPr="009C43B2">
              <w:rPr>
                <w:rFonts w:ascii="Times New Roman" w:hAnsi="Times New Roman" w:cs="Times New Roman"/>
                <w:sz w:val="23"/>
                <w:szCs w:val="23"/>
                <w:lang w:val="lt-LT"/>
              </w:rPr>
              <w:t xml:space="preserve"> pateiktas laidavimo draudimas nuo jo išdavimo dienos (2015 m. spalio 23 d.) iki draudimo įmokos sumokėjimo dienos (2015 m. gruodžio 18 d.) buvo negaliojantis ir neužtikrino Perkančiosios organizacijos interesų apsaugos tuo atveju, jei </w:t>
            </w:r>
            <w:r w:rsidR="007B3C0B" w:rsidRPr="009C43B2">
              <w:rPr>
                <w:rFonts w:ascii="Times New Roman" w:hAnsi="Times New Roman" w:cs="Times New Roman"/>
                <w:sz w:val="23"/>
                <w:szCs w:val="23"/>
                <w:lang w:val="lt-LT"/>
              </w:rPr>
              <w:t>Tiekėjo</w:t>
            </w:r>
            <w:r w:rsidRPr="009C43B2">
              <w:rPr>
                <w:rFonts w:ascii="Times New Roman" w:hAnsi="Times New Roman" w:cs="Times New Roman"/>
                <w:sz w:val="23"/>
                <w:szCs w:val="23"/>
                <w:lang w:val="lt-LT"/>
              </w:rPr>
              <w:t xml:space="preserve"> būtų atsisakęs vykdyti ar netinkamai vykdęs Sutartinius įsipareigojimus. </w:t>
            </w:r>
          </w:p>
          <w:p w:rsidR="00E77CB3" w:rsidRPr="009C43B2" w:rsidRDefault="00E77CB3" w:rsidP="00E77CB3">
            <w:pPr>
              <w:tabs>
                <w:tab w:val="left" w:pos="993"/>
              </w:tabs>
              <w:spacing w:after="160"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Atsižvelgdama į tai, Tarnyba rekomenduoja Perkančiajai organizacijai ateityje iš tiekėjų reikalauti pateikti ne tik laidavimo draudimo raštą ir polisą, bet ir draudimo įmokos sumokėjimą įrodančius dokumentus.</w:t>
            </w:r>
          </w:p>
        </w:tc>
      </w:tr>
      <w:tr w:rsidR="007C2427" w:rsidRPr="009C43B2" w:rsidTr="00E6352B">
        <w:tc>
          <w:tcPr>
            <w:tcW w:w="675" w:type="dxa"/>
          </w:tcPr>
          <w:p w:rsidR="007C2427" w:rsidRPr="009C43B2" w:rsidRDefault="007C2427" w:rsidP="007C2427">
            <w:pPr>
              <w:pStyle w:val="Sraopastraipa"/>
              <w:numPr>
                <w:ilvl w:val="0"/>
                <w:numId w:val="2"/>
              </w:numPr>
              <w:jc w:val="center"/>
              <w:rPr>
                <w:rFonts w:ascii="Times New Roman" w:hAnsi="Times New Roman" w:cs="Times New Roman"/>
                <w:sz w:val="23"/>
                <w:szCs w:val="23"/>
                <w:lang w:val="lt-LT"/>
              </w:rPr>
            </w:pPr>
          </w:p>
        </w:tc>
        <w:tc>
          <w:tcPr>
            <w:tcW w:w="8931" w:type="dxa"/>
          </w:tcPr>
          <w:p w:rsidR="007C2427" w:rsidRPr="009C43B2" w:rsidRDefault="00336C87" w:rsidP="00336C87">
            <w:pPr>
              <w:spacing w:after="160" w:line="259" w:lineRule="auto"/>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Įstatymo 85 straipsnio 4 dalis</w:t>
            </w:r>
          </w:p>
        </w:tc>
      </w:tr>
      <w:tr w:rsidR="007C2427" w:rsidRPr="009C43B2" w:rsidTr="00E6352B">
        <w:trPr>
          <w:trHeight w:val="269"/>
        </w:trPr>
        <w:tc>
          <w:tcPr>
            <w:tcW w:w="9606" w:type="dxa"/>
            <w:gridSpan w:val="2"/>
          </w:tcPr>
          <w:p w:rsidR="007C2427" w:rsidRPr="009C43B2" w:rsidRDefault="00336C87" w:rsidP="007B3C0B">
            <w:pPr>
              <w:tabs>
                <w:tab w:val="left" w:pos="993"/>
              </w:tabs>
              <w:spacing w:line="259" w:lineRule="auto"/>
              <w:ind w:firstLine="851"/>
              <w:contextualSpacing/>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Perkančioji organizacija 2016 m. rugpjūčio 19 d. rašte Nr. (14.5) I-4857 Tarnybai nurodė, jog „</w:t>
            </w:r>
            <w:r w:rsidRPr="009C43B2">
              <w:rPr>
                <w:rFonts w:ascii="Times New Roman" w:hAnsi="Times New Roman" w:cs="Times New Roman"/>
                <w:i/>
                <w:sz w:val="23"/>
                <w:szCs w:val="23"/>
                <w:lang w:val="lt-LT"/>
              </w:rPr>
              <w:t>paslaugos negalėjo būti suteiktos visa apimtimi dėl nepakankamo trečiųjų šalių pasirengimo (Citadelė, Medicinos ir Nordea bankai laiku nepateikė testavimui išrašų pavyzdžių SEPA formatu)</w:t>
            </w:r>
            <w:r w:rsidRPr="009C43B2">
              <w:rPr>
                <w:rFonts w:ascii="Times New Roman" w:hAnsi="Times New Roman" w:cs="Times New Roman"/>
                <w:sz w:val="23"/>
                <w:szCs w:val="23"/>
                <w:lang w:val="lt-LT"/>
              </w:rPr>
              <w:t>“, tačiau pažymėtina, jog minėti bankai Tarnybos prašymu negalėjo patvirtinti</w:t>
            </w:r>
            <w:r w:rsidR="00FB0A68" w:rsidRPr="009C43B2">
              <w:rPr>
                <w:rStyle w:val="Puslapioinaosnuoroda"/>
                <w:rFonts w:ascii="Times New Roman" w:hAnsi="Times New Roman" w:cs="Times New Roman"/>
                <w:sz w:val="23"/>
                <w:szCs w:val="23"/>
                <w:lang w:val="lt-LT"/>
              </w:rPr>
              <w:footnoteReference w:id="4"/>
            </w:r>
            <w:r w:rsidRPr="009C43B2">
              <w:rPr>
                <w:rFonts w:ascii="Times New Roman" w:hAnsi="Times New Roman" w:cs="Times New Roman"/>
                <w:sz w:val="23"/>
                <w:szCs w:val="23"/>
                <w:lang w:val="lt-LT"/>
              </w:rPr>
              <w:t>, kad Perkančioji organizacija ar Tiekėjas apskritai būtų kreipęsi į šiuos bankus dėl išrašų pavyzdžių pateikimo. Tokių duomenų nepateikė ir Perkančioji organizacija. Atsižvelgiant į tai, kad</w:t>
            </w:r>
            <w:r w:rsidR="007B3C0B" w:rsidRPr="009C43B2">
              <w:rPr>
                <w:rFonts w:ascii="Times New Roman" w:hAnsi="Times New Roman" w:cs="Times New Roman"/>
                <w:sz w:val="23"/>
                <w:szCs w:val="23"/>
                <w:lang w:val="lt-LT"/>
              </w:rPr>
              <w:t>,</w:t>
            </w:r>
            <w:r w:rsidRPr="009C43B2">
              <w:rPr>
                <w:rFonts w:ascii="Times New Roman" w:hAnsi="Times New Roman" w:cs="Times New Roman"/>
                <w:sz w:val="23"/>
                <w:szCs w:val="23"/>
                <w:lang w:val="lt-LT"/>
              </w:rPr>
              <w:t xml:space="preserve"> nepaisant nurodytų aplinkybių</w:t>
            </w:r>
            <w:r w:rsidR="007B3C0B" w:rsidRPr="009C43B2">
              <w:rPr>
                <w:rFonts w:ascii="Times New Roman" w:hAnsi="Times New Roman" w:cs="Times New Roman"/>
                <w:sz w:val="23"/>
                <w:szCs w:val="23"/>
                <w:lang w:val="lt-LT"/>
              </w:rPr>
              <w:t>,</w:t>
            </w:r>
            <w:r w:rsidRPr="009C43B2">
              <w:rPr>
                <w:rFonts w:ascii="Times New Roman" w:hAnsi="Times New Roman" w:cs="Times New Roman"/>
                <w:sz w:val="23"/>
                <w:szCs w:val="23"/>
                <w:lang w:val="lt-LT"/>
              </w:rPr>
              <w:t xml:space="preserve"> Tiekėjui vis tiek </w:t>
            </w:r>
            <w:r w:rsidR="007B3C0B" w:rsidRPr="009C43B2">
              <w:rPr>
                <w:rFonts w:ascii="Times New Roman" w:hAnsi="Times New Roman" w:cs="Times New Roman"/>
                <w:sz w:val="23"/>
                <w:szCs w:val="23"/>
                <w:lang w:val="lt-LT"/>
              </w:rPr>
              <w:t xml:space="preserve">visa apimtimi </w:t>
            </w:r>
            <w:r w:rsidRPr="009C43B2">
              <w:rPr>
                <w:rFonts w:ascii="Times New Roman" w:hAnsi="Times New Roman" w:cs="Times New Roman"/>
                <w:sz w:val="23"/>
                <w:szCs w:val="23"/>
                <w:lang w:val="lt-LT"/>
              </w:rPr>
              <w:t>buvo pritaikytos Sutartyje nustatytos sutarties įvykdymą užtikrinančios priemonės (delspinigiai), Tarnyba plačiau dėl atitinkamos informacijos pagrįstumo nepasisako, tačiau primena Perkančiajai organizacijai, kad vadovaujantis Įstatymo 85 straipsnio 4 dalimi „</w:t>
            </w:r>
            <w:r w:rsidRPr="009C43B2">
              <w:rPr>
                <w:rFonts w:ascii="Times New Roman" w:hAnsi="Times New Roman" w:cs="Times New Roman"/>
                <w:i/>
                <w:sz w:val="23"/>
                <w:szCs w:val="23"/>
                <w:lang w:val="lt-LT"/>
              </w:rPr>
              <w:t>Perkančioji organizacija turi turėti dokumentus, pagrindžiančius jos priimtų sprendimų atitiktį šio įstatymo reikalavimams</w:t>
            </w:r>
            <w:r w:rsidRPr="009C43B2">
              <w:rPr>
                <w:rFonts w:ascii="Times New Roman" w:hAnsi="Times New Roman" w:cs="Times New Roman"/>
                <w:sz w:val="23"/>
                <w:szCs w:val="23"/>
                <w:lang w:val="lt-LT"/>
              </w:rPr>
              <w:t xml:space="preserve">“. </w:t>
            </w:r>
          </w:p>
        </w:tc>
      </w:tr>
    </w:tbl>
    <w:p w:rsidR="00570BCD" w:rsidRPr="009C43B2" w:rsidRDefault="00570BCD" w:rsidP="001253F2">
      <w:pPr>
        <w:spacing w:after="160" w:line="259" w:lineRule="auto"/>
        <w:jc w:val="center"/>
        <w:rPr>
          <w:rFonts w:ascii="Times New Roman" w:hAnsi="Times New Roman" w:cs="Times New Roman"/>
          <w:b/>
          <w:sz w:val="23"/>
          <w:szCs w:val="23"/>
        </w:rPr>
      </w:pPr>
    </w:p>
    <w:p w:rsidR="001253F2" w:rsidRPr="009C43B2" w:rsidRDefault="001253F2" w:rsidP="001253F2">
      <w:pPr>
        <w:spacing w:after="160" w:line="259" w:lineRule="auto"/>
        <w:jc w:val="center"/>
        <w:rPr>
          <w:rFonts w:ascii="Times New Roman" w:hAnsi="Times New Roman" w:cs="Times New Roman"/>
          <w:b/>
          <w:sz w:val="23"/>
          <w:szCs w:val="23"/>
        </w:rPr>
      </w:pPr>
      <w:r w:rsidRPr="009C43B2">
        <w:rPr>
          <w:rFonts w:ascii="Times New Roman" w:hAnsi="Times New Roman" w:cs="Times New Roman"/>
          <w:b/>
          <w:sz w:val="23"/>
          <w:szCs w:val="23"/>
        </w:rPr>
        <w:t>IV dalis. Sprendimas</w:t>
      </w:r>
    </w:p>
    <w:tbl>
      <w:tblPr>
        <w:tblStyle w:val="Lentelstinklelis"/>
        <w:tblW w:w="0" w:type="auto"/>
        <w:tblLook w:val="04A0" w:firstRow="1" w:lastRow="0" w:firstColumn="1" w:lastColumn="0" w:noHBand="0" w:noVBand="1"/>
      </w:tblPr>
      <w:tblGrid>
        <w:gridCol w:w="9606"/>
      </w:tblGrid>
      <w:tr w:rsidR="00336C87" w:rsidRPr="009C43B2" w:rsidTr="007F74A9">
        <w:tc>
          <w:tcPr>
            <w:tcW w:w="9606" w:type="dxa"/>
          </w:tcPr>
          <w:p w:rsidR="00510588" w:rsidRPr="009C43B2" w:rsidRDefault="00510588" w:rsidP="00F15813">
            <w:pPr>
              <w:ind w:firstLine="567"/>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 xml:space="preserve">Vykdydama Sutartį Perkančioji organizacija pažeidė Įstatymo </w:t>
            </w:r>
            <w:r w:rsidR="00B82322" w:rsidRPr="009C43B2">
              <w:rPr>
                <w:rFonts w:ascii="Times New Roman" w:hAnsi="Times New Roman" w:cs="Times New Roman"/>
                <w:sz w:val="23"/>
                <w:szCs w:val="23"/>
                <w:lang w:val="lt-LT"/>
              </w:rPr>
              <w:t xml:space="preserve">18 straipsnio </w:t>
            </w:r>
            <w:r w:rsidR="00336C87" w:rsidRPr="009C43B2">
              <w:rPr>
                <w:rFonts w:ascii="Times New Roman" w:hAnsi="Times New Roman" w:cs="Times New Roman"/>
                <w:sz w:val="23"/>
                <w:szCs w:val="23"/>
                <w:lang w:val="lt-LT"/>
              </w:rPr>
              <w:t xml:space="preserve">8 </w:t>
            </w:r>
            <w:r w:rsidRPr="009C43B2">
              <w:rPr>
                <w:rFonts w:ascii="Times New Roman" w:hAnsi="Times New Roman" w:cs="Times New Roman"/>
                <w:sz w:val="23"/>
                <w:szCs w:val="23"/>
                <w:lang w:val="lt-LT"/>
              </w:rPr>
              <w:t>dalį</w:t>
            </w:r>
            <w:r w:rsidR="00336C87" w:rsidRPr="009C43B2">
              <w:rPr>
                <w:rFonts w:ascii="Times New Roman" w:hAnsi="Times New Roman" w:cs="Times New Roman"/>
                <w:sz w:val="23"/>
                <w:szCs w:val="23"/>
                <w:lang w:val="lt-LT"/>
              </w:rPr>
              <w:t xml:space="preserve"> bei</w:t>
            </w:r>
            <w:r w:rsidR="007C2427" w:rsidRPr="009C43B2">
              <w:rPr>
                <w:rFonts w:ascii="Times New Roman" w:hAnsi="Times New Roman" w:cs="Times New Roman"/>
                <w:sz w:val="23"/>
                <w:szCs w:val="23"/>
                <w:lang w:val="lt-LT"/>
              </w:rPr>
              <w:t xml:space="preserve"> </w:t>
            </w:r>
            <w:r w:rsidRPr="009C43B2">
              <w:rPr>
                <w:rFonts w:ascii="Times New Roman" w:hAnsi="Times New Roman" w:cs="Times New Roman"/>
                <w:sz w:val="23"/>
                <w:szCs w:val="23"/>
                <w:lang w:val="lt-LT"/>
              </w:rPr>
              <w:t>3 straipsnio 1 dalyje įtvirtintą skaidrumo principą.</w:t>
            </w:r>
          </w:p>
          <w:p w:rsidR="001253F2" w:rsidRPr="009C43B2" w:rsidRDefault="00510588" w:rsidP="00F15813">
            <w:pPr>
              <w:ind w:right="-108" w:firstLine="567"/>
              <w:jc w:val="both"/>
              <w:rPr>
                <w:rFonts w:ascii="Times New Roman" w:hAnsi="Times New Roman" w:cs="Times New Roman"/>
                <w:sz w:val="23"/>
                <w:szCs w:val="23"/>
                <w:lang w:val="lt-LT"/>
              </w:rPr>
            </w:pPr>
            <w:r w:rsidRPr="009C43B2">
              <w:rPr>
                <w:rFonts w:ascii="Times New Roman" w:hAnsi="Times New Roman" w:cs="Times New Roman"/>
                <w:sz w:val="23"/>
                <w:szCs w:val="23"/>
                <w:lang w:val="lt-LT"/>
              </w:rPr>
              <w:t>Atsižvelgiant į tai, kad Sutarties galiojimas vertinimo dienai yra pasibaigęs, Tarnyba</w:t>
            </w:r>
            <w:r w:rsidR="005049E9" w:rsidRPr="009C43B2">
              <w:rPr>
                <w:rFonts w:ascii="Times New Roman" w:hAnsi="Times New Roman" w:cs="Times New Roman"/>
                <w:sz w:val="23"/>
                <w:szCs w:val="23"/>
                <w:lang w:val="lt-LT"/>
              </w:rPr>
              <w:t xml:space="preserve"> </w:t>
            </w:r>
            <w:r w:rsidRPr="009C43B2">
              <w:rPr>
                <w:rFonts w:ascii="Times New Roman" w:hAnsi="Times New Roman" w:cs="Times New Roman"/>
                <w:sz w:val="23"/>
                <w:szCs w:val="23"/>
                <w:lang w:val="lt-LT"/>
              </w:rPr>
              <w:t>apsiriboja šiuo vertinimu.</w:t>
            </w:r>
          </w:p>
          <w:p w:rsidR="001253F2" w:rsidRPr="009C43B2" w:rsidRDefault="00C93D3B" w:rsidP="00F15813">
            <w:pPr>
              <w:pStyle w:val="Stilius3"/>
              <w:spacing w:before="0"/>
              <w:ind w:firstLine="567"/>
              <w:rPr>
                <w:b/>
                <w:sz w:val="23"/>
                <w:szCs w:val="23"/>
                <w:lang w:val="lt-LT"/>
              </w:rPr>
            </w:pPr>
            <w:r w:rsidRPr="009C43B2">
              <w:rPr>
                <w:sz w:val="23"/>
                <w:szCs w:val="23"/>
                <w:lang w:val="lt-LT"/>
              </w:rPr>
              <w:t>Vadovaujantis Lietuvos Respublikos administracinių bylų teisenos įstatymo 5 ir 15 straipsniais, nesutikę su Vertinimo išvada, galite ją apskųsti teismui šio įstatymo nustatyta tvarka.</w:t>
            </w:r>
          </w:p>
        </w:tc>
      </w:tr>
    </w:tbl>
    <w:p w:rsidR="009C43B2" w:rsidRDefault="009C43B2" w:rsidP="001253F2">
      <w:pPr>
        <w:spacing w:after="160" w:line="259" w:lineRule="auto"/>
        <w:jc w:val="both"/>
        <w:rPr>
          <w:rFonts w:ascii="Times New Roman" w:hAnsi="Times New Roman" w:cs="Times New Roman"/>
          <w:b/>
          <w:sz w:val="23"/>
          <w:szCs w:val="23"/>
        </w:rPr>
      </w:pPr>
    </w:p>
    <w:p w:rsidR="001253F2" w:rsidRPr="009C43B2" w:rsidRDefault="001253F2" w:rsidP="001253F2">
      <w:pPr>
        <w:spacing w:after="160" w:line="259" w:lineRule="auto"/>
        <w:jc w:val="both"/>
        <w:rPr>
          <w:rFonts w:ascii="Times New Roman" w:hAnsi="Times New Roman" w:cs="Times New Roman"/>
          <w:b/>
          <w:sz w:val="23"/>
          <w:szCs w:val="23"/>
        </w:rPr>
      </w:pPr>
    </w:p>
    <w:p w:rsidR="005049E9" w:rsidRPr="009C43B2" w:rsidRDefault="005049E9" w:rsidP="005049E9">
      <w:pPr>
        <w:tabs>
          <w:tab w:val="left" w:pos="709"/>
          <w:tab w:val="left" w:pos="900"/>
        </w:tabs>
        <w:spacing w:after="0" w:line="240" w:lineRule="auto"/>
        <w:jc w:val="both"/>
        <w:rPr>
          <w:rFonts w:ascii="Times New Roman" w:hAnsi="Times New Roman" w:cs="Times New Roman"/>
          <w:color w:val="000000" w:themeColor="text1"/>
          <w:sz w:val="23"/>
          <w:szCs w:val="23"/>
        </w:rPr>
      </w:pPr>
      <w:r w:rsidRPr="009C43B2">
        <w:rPr>
          <w:rFonts w:ascii="Times New Roman" w:hAnsi="Times New Roman" w:cs="Times New Roman"/>
          <w:color w:val="000000" w:themeColor="text1"/>
          <w:sz w:val="23"/>
          <w:szCs w:val="23"/>
        </w:rPr>
        <w:t>Prevencijos ir pirkimo sutarčių priežiūros skyriaus</w:t>
      </w:r>
    </w:p>
    <w:p w:rsidR="005049E9" w:rsidRPr="009C43B2" w:rsidRDefault="005049E9" w:rsidP="005049E9">
      <w:pPr>
        <w:spacing w:after="0" w:line="240" w:lineRule="auto"/>
        <w:rPr>
          <w:rFonts w:ascii="Times New Roman" w:hAnsi="Times New Roman" w:cs="Times New Roman"/>
          <w:color w:val="000000" w:themeColor="text1"/>
          <w:sz w:val="23"/>
          <w:szCs w:val="23"/>
        </w:rPr>
      </w:pPr>
      <w:r w:rsidRPr="009C43B2">
        <w:rPr>
          <w:rFonts w:ascii="Times New Roman" w:hAnsi="Times New Roman" w:cs="Times New Roman"/>
          <w:color w:val="000000" w:themeColor="text1"/>
          <w:sz w:val="23"/>
          <w:szCs w:val="23"/>
        </w:rPr>
        <w:t xml:space="preserve">vyriausiasis specialistas   </w:t>
      </w:r>
      <w:r w:rsidRPr="009C43B2">
        <w:rPr>
          <w:rFonts w:ascii="Times New Roman" w:hAnsi="Times New Roman" w:cs="Times New Roman"/>
          <w:color w:val="000000" w:themeColor="text1"/>
          <w:sz w:val="23"/>
          <w:szCs w:val="23"/>
        </w:rPr>
        <w:tab/>
      </w:r>
      <w:r w:rsidRPr="009C43B2">
        <w:rPr>
          <w:rFonts w:ascii="Times New Roman" w:hAnsi="Times New Roman" w:cs="Times New Roman"/>
          <w:color w:val="000000" w:themeColor="text1"/>
          <w:sz w:val="23"/>
          <w:szCs w:val="23"/>
        </w:rPr>
        <w:tab/>
      </w:r>
      <w:r w:rsidRPr="009C43B2">
        <w:rPr>
          <w:rFonts w:ascii="Times New Roman" w:hAnsi="Times New Roman" w:cs="Times New Roman"/>
          <w:color w:val="000000" w:themeColor="text1"/>
          <w:sz w:val="23"/>
          <w:szCs w:val="23"/>
        </w:rPr>
        <w:tab/>
      </w:r>
      <w:r w:rsidRPr="009C43B2">
        <w:rPr>
          <w:rFonts w:ascii="Times New Roman" w:hAnsi="Times New Roman" w:cs="Times New Roman"/>
          <w:color w:val="000000" w:themeColor="text1"/>
          <w:sz w:val="23"/>
          <w:szCs w:val="23"/>
        </w:rPr>
        <w:tab/>
        <w:t xml:space="preserve">                   Gediminas Golcevas</w:t>
      </w:r>
    </w:p>
    <w:p w:rsidR="00570BCD" w:rsidRDefault="00570BCD" w:rsidP="005049E9">
      <w:pPr>
        <w:spacing w:after="0" w:line="240" w:lineRule="auto"/>
        <w:ind w:right="142"/>
        <w:jc w:val="both"/>
        <w:rPr>
          <w:rFonts w:ascii="Times New Roman" w:eastAsia="Times New Roman" w:hAnsi="Times New Roman" w:cs="Times New Roman"/>
          <w:sz w:val="23"/>
          <w:szCs w:val="23"/>
        </w:rPr>
      </w:pPr>
    </w:p>
    <w:p w:rsidR="009C43B2" w:rsidRDefault="009C43B2" w:rsidP="005049E9">
      <w:pPr>
        <w:spacing w:after="0" w:line="240" w:lineRule="auto"/>
        <w:ind w:right="142"/>
        <w:jc w:val="both"/>
        <w:rPr>
          <w:rFonts w:ascii="Times New Roman" w:eastAsia="Times New Roman" w:hAnsi="Times New Roman" w:cs="Times New Roman"/>
          <w:sz w:val="23"/>
          <w:szCs w:val="23"/>
        </w:rPr>
      </w:pPr>
    </w:p>
    <w:p w:rsidR="009C43B2" w:rsidRDefault="009C43B2" w:rsidP="005049E9">
      <w:pPr>
        <w:spacing w:after="0" w:line="240" w:lineRule="auto"/>
        <w:ind w:right="142"/>
        <w:jc w:val="both"/>
        <w:rPr>
          <w:rFonts w:ascii="Times New Roman" w:eastAsia="Times New Roman" w:hAnsi="Times New Roman" w:cs="Times New Roman"/>
          <w:sz w:val="23"/>
          <w:szCs w:val="23"/>
        </w:rPr>
      </w:pPr>
    </w:p>
    <w:p w:rsidR="009C43B2" w:rsidRDefault="009C43B2" w:rsidP="005049E9">
      <w:pPr>
        <w:spacing w:after="0" w:line="240" w:lineRule="auto"/>
        <w:ind w:right="142"/>
        <w:jc w:val="both"/>
        <w:rPr>
          <w:rFonts w:ascii="Times New Roman" w:eastAsia="Times New Roman" w:hAnsi="Times New Roman" w:cs="Times New Roman"/>
          <w:sz w:val="23"/>
          <w:szCs w:val="23"/>
        </w:rPr>
      </w:pPr>
    </w:p>
    <w:p w:rsidR="009C43B2" w:rsidRDefault="009C43B2" w:rsidP="005049E9">
      <w:pPr>
        <w:spacing w:after="0" w:line="240" w:lineRule="auto"/>
        <w:ind w:right="142"/>
        <w:jc w:val="both"/>
        <w:rPr>
          <w:rFonts w:ascii="Times New Roman" w:eastAsia="Times New Roman" w:hAnsi="Times New Roman" w:cs="Times New Roman"/>
          <w:sz w:val="23"/>
          <w:szCs w:val="23"/>
        </w:rPr>
      </w:pPr>
    </w:p>
    <w:p w:rsidR="009C43B2" w:rsidRDefault="009C43B2" w:rsidP="005049E9">
      <w:pPr>
        <w:spacing w:after="0" w:line="240" w:lineRule="auto"/>
        <w:ind w:right="142"/>
        <w:jc w:val="both"/>
        <w:rPr>
          <w:rFonts w:ascii="Times New Roman" w:eastAsia="Times New Roman" w:hAnsi="Times New Roman" w:cs="Times New Roman"/>
          <w:sz w:val="23"/>
          <w:szCs w:val="23"/>
        </w:rPr>
      </w:pPr>
    </w:p>
    <w:p w:rsidR="009C43B2" w:rsidRDefault="009C43B2" w:rsidP="005049E9">
      <w:pPr>
        <w:spacing w:after="0" w:line="240" w:lineRule="auto"/>
        <w:ind w:right="142"/>
        <w:jc w:val="both"/>
        <w:rPr>
          <w:rFonts w:ascii="Times New Roman" w:eastAsia="Times New Roman" w:hAnsi="Times New Roman" w:cs="Times New Roman"/>
          <w:sz w:val="23"/>
          <w:szCs w:val="23"/>
        </w:rPr>
      </w:pPr>
    </w:p>
    <w:p w:rsidR="009C43B2" w:rsidRPr="009C43B2" w:rsidRDefault="009C43B2" w:rsidP="005049E9">
      <w:pPr>
        <w:spacing w:after="0" w:line="240" w:lineRule="auto"/>
        <w:ind w:right="142"/>
        <w:jc w:val="both"/>
        <w:rPr>
          <w:rFonts w:ascii="Times New Roman" w:eastAsia="Times New Roman" w:hAnsi="Times New Roman" w:cs="Times New Roman"/>
          <w:sz w:val="23"/>
          <w:szCs w:val="23"/>
        </w:rPr>
      </w:pPr>
    </w:p>
    <w:p w:rsidR="00570BCD" w:rsidRPr="009C43B2" w:rsidRDefault="00570BCD" w:rsidP="005049E9">
      <w:pPr>
        <w:spacing w:after="0" w:line="240" w:lineRule="auto"/>
        <w:ind w:right="142"/>
        <w:jc w:val="both"/>
        <w:rPr>
          <w:rFonts w:ascii="Times New Roman" w:eastAsia="Times New Roman" w:hAnsi="Times New Roman" w:cs="Times New Roman"/>
          <w:sz w:val="23"/>
          <w:szCs w:val="23"/>
        </w:rPr>
      </w:pPr>
    </w:p>
    <w:p w:rsidR="001253F2" w:rsidRPr="009C43B2" w:rsidRDefault="005049E9" w:rsidP="005049E9">
      <w:pPr>
        <w:spacing w:after="0" w:line="240" w:lineRule="auto"/>
        <w:ind w:right="142"/>
        <w:jc w:val="both"/>
        <w:rPr>
          <w:rFonts w:ascii="Times New Roman" w:hAnsi="Times New Roman" w:cs="Times New Roman"/>
          <w:sz w:val="23"/>
          <w:szCs w:val="23"/>
        </w:rPr>
      </w:pPr>
      <w:r w:rsidRPr="009C43B2">
        <w:rPr>
          <w:rFonts w:ascii="Times New Roman" w:eastAsia="Times New Roman" w:hAnsi="Times New Roman" w:cs="Times New Roman"/>
          <w:sz w:val="23"/>
          <w:szCs w:val="23"/>
        </w:rPr>
        <w:t>Gediminas Golcevas, tel. (8 5) 203 4837, faks. (8 5) 213 6213, el. p.</w:t>
      </w:r>
      <w:r w:rsidRPr="009C43B2">
        <w:rPr>
          <w:rFonts w:ascii="Times New Roman" w:hAnsi="Times New Roman" w:cs="Times New Roman"/>
          <w:sz w:val="23"/>
          <w:szCs w:val="23"/>
        </w:rPr>
        <w:t xml:space="preserve"> </w:t>
      </w:r>
      <w:hyperlink r:id="rId10" w:history="1">
        <w:r w:rsidRPr="009C43B2">
          <w:rPr>
            <w:rStyle w:val="Hipersaitas"/>
            <w:rFonts w:ascii="Times New Roman" w:hAnsi="Times New Roman" w:cs="Times New Roman"/>
            <w:color w:val="auto"/>
            <w:sz w:val="23"/>
            <w:szCs w:val="23"/>
            <w:u w:val="none"/>
          </w:rPr>
          <w:t>Gediminas.Golcevas@vpt.lt</w:t>
        </w:r>
      </w:hyperlink>
      <w:r w:rsidRPr="009C43B2">
        <w:rPr>
          <w:rFonts w:ascii="Times New Roman" w:hAnsi="Times New Roman" w:cs="Times New Roman"/>
          <w:sz w:val="23"/>
          <w:szCs w:val="23"/>
        </w:rPr>
        <w:t xml:space="preserve"> </w:t>
      </w:r>
    </w:p>
    <w:sectPr w:rsidR="001253F2" w:rsidRPr="009C43B2" w:rsidSect="007F74A9">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14" w:rsidRDefault="00547514">
      <w:pPr>
        <w:spacing w:after="0" w:line="240" w:lineRule="auto"/>
      </w:pPr>
      <w:r>
        <w:separator/>
      </w:r>
    </w:p>
  </w:endnote>
  <w:endnote w:type="continuationSeparator" w:id="0">
    <w:p w:rsidR="00547514" w:rsidRDefault="0054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14" w:rsidRDefault="00547514">
      <w:pPr>
        <w:spacing w:after="0" w:line="240" w:lineRule="auto"/>
      </w:pPr>
      <w:r>
        <w:separator/>
      </w:r>
    </w:p>
  </w:footnote>
  <w:footnote w:type="continuationSeparator" w:id="0">
    <w:p w:rsidR="00547514" w:rsidRDefault="00547514">
      <w:pPr>
        <w:spacing w:after="0" w:line="240" w:lineRule="auto"/>
      </w:pPr>
      <w:r>
        <w:continuationSeparator/>
      </w:r>
    </w:p>
  </w:footnote>
  <w:footnote w:id="1">
    <w:p w:rsidR="005F2099" w:rsidRDefault="005F2099">
      <w:pPr>
        <w:pStyle w:val="Puslapioinaostekstas"/>
      </w:pPr>
      <w:r>
        <w:rPr>
          <w:rStyle w:val="Puslapioinaosnuoroda"/>
        </w:rPr>
        <w:footnoteRef/>
      </w:r>
      <w:r>
        <w:t xml:space="preserve"> Žr. plačiau </w:t>
      </w:r>
      <w:r w:rsidRPr="005F2099">
        <w:t>http://vpt.lrv.lt/uploads/vpt/documents/files/konfidencialumas20160729.pdf</w:t>
      </w:r>
    </w:p>
  </w:footnote>
  <w:footnote w:id="2">
    <w:p w:rsidR="00862FD8" w:rsidRDefault="00862FD8">
      <w:pPr>
        <w:pStyle w:val="Puslapioinaostekstas"/>
      </w:pPr>
      <w:r>
        <w:rPr>
          <w:rStyle w:val="Puslapioinaosnuoroda"/>
        </w:rPr>
        <w:footnoteRef/>
      </w:r>
      <w:r>
        <w:t xml:space="preserve"> Perkančiosios organizacijos 2016 m. rugpjūčio 19 d. rašt</w:t>
      </w:r>
      <w:r w:rsidR="002D14E3">
        <w:t>o</w:t>
      </w:r>
      <w:r>
        <w:t xml:space="preserve"> Nr. (14.5) I-4857</w:t>
      </w:r>
      <w:r w:rsidR="002D14E3">
        <w:t xml:space="preserve"> 4 punktas. </w:t>
      </w:r>
    </w:p>
  </w:footnote>
  <w:footnote w:id="3">
    <w:p w:rsidR="009C43B2" w:rsidRDefault="009C43B2">
      <w:pPr>
        <w:pStyle w:val="Puslapioinaostekstas"/>
      </w:pPr>
      <w:r>
        <w:rPr>
          <w:rStyle w:val="Puslapioinaosnuoroda"/>
        </w:rPr>
        <w:footnoteRef/>
      </w:r>
      <w:r>
        <w:t xml:space="preserve"> V</w:t>
      </w:r>
      <w:r w:rsidRPr="009C43B2">
        <w:t xml:space="preserve">alstybinio socialinio draudimo fondo valdybos prie </w:t>
      </w:r>
      <w:r>
        <w:t>S</w:t>
      </w:r>
      <w:r w:rsidRPr="009C43B2">
        <w:t>ocialinės apsaugos ir darbo ministerijos supaprastintų viešųjų pirkimų taisyklės</w:t>
      </w:r>
      <w:r>
        <w:t xml:space="preserve">, patvirtintos </w:t>
      </w:r>
      <w:r w:rsidRPr="009C43B2">
        <w:t>Valstybinio socialinio draudimo fondo valdybos prie Socialinės apsaugos ir darbo ministerijos direktoriaus 2014 m. gruodžio 30 d. įsakymu Nr. V-829</w:t>
      </w:r>
    </w:p>
  </w:footnote>
  <w:footnote w:id="4">
    <w:p w:rsidR="004838C3" w:rsidRDefault="00FB0A68">
      <w:pPr>
        <w:pStyle w:val="Puslapioinaostekstas"/>
      </w:pPr>
      <w:r>
        <w:rPr>
          <w:rStyle w:val="Puslapioinaosnuoroda"/>
        </w:rPr>
        <w:footnoteRef/>
      </w:r>
      <w:r>
        <w:t xml:space="preserve"> 2016 m. rugsėjo 9 d. UAB „Medicinos bankas“ raštas Nr. S/00/2016-2913</w:t>
      </w:r>
      <w:r w:rsidR="004838C3">
        <w:t xml:space="preserve">, </w:t>
      </w:r>
    </w:p>
    <w:p w:rsidR="00FB0A68" w:rsidRDefault="004838C3">
      <w:pPr>
        <w:pStyle w:val="Puslapioinaostekstas"/>
      </w:pPr>
      <w:r>
        <w:t xml:space="preserve">  2016 m. rugsėjo 15 d. AB „Citadele“ bankas raštas Nr. VB1-2/4241,</w:t>
      </w:r>
    </w:p>
    <w:p w:rsidR="004838C3" w:rsidRPr="00C11B57" w:rsidRDefault="004838C3">
      <w:pPr>
        <w:pStyle w:val="Puslapioinaostekstas"/>
        <w:rPr>
          <w:lang w:val="en-US"/>
        </w:rPr>
      </w:pPr>
      <w:r>
        <w:t xml:space="preserve">  2016 m. rugsėjo 15 d. Nordea </w:t>
      </w:r>
      <w:proofErr w:type="spellStart"/>
      <w:r>
        <w:t>Bank</w:t>
      </w:r>
      <w:proofErr w:type="spellEnd"/>
      <w:r>
        <w:t xml:space="preserve"> AB Lietuvos skyrius raštas Nr. OUT-15002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1253F2">
        <w:pPr>
          <w:pStyle w:val="Antrats"/>
          <w:jc w:val="center"/>
        </w:pPr>
        <w:r>
          <w:fldChar w:fldCharType="begin"/>
        </w:r>
        <w:r>
          <w:instrText>PAGE   \* MERGEFORMAT</w:instrText>
        </w:r>
        <w:r>
          <w:fldChar w:fldCharType="separate"/>
        </w:r>
        <w:r w:rsidR="00FB53DF" w:rsidRPr="00FB53DF">
          <w:rPr>
            <w:noProof/>
            <w:lang w:val="lt-LT"/>
          </w:rPr>
          <w:t>5</w:t>
        </w:r>
        <w:r>
          <w:fldChar w:fldCharType="end"/>
        </w:r>
      </w:p>
    </w:sdtContent>
  </w:sdt>
  <w:p w:rsidR="009D769F" w:rsidRDefault="005475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4">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52BA"/>
    <w:rsid w:val="00011ECF"/>
    <w:rsid w:val="00015218"/>
    <w:rsid w:val="00015E54"/>
    <w:rsid w:val="00017986"/>
    <w:rsid w:val="00036364"/>
    <w:rsid w:val="00061AD2"/>
    <w:rsid w:val="000944B8"/>
    <w:rsid w:val="000D0957"/>
    <w:rsid w:val="000D282A"/>
    <w:rsid w:val="001167DE"/>
    <w:rsid w:val="001253F2"/>
    <w:rsid w:val="001357A3"/>
    <w:rsid w:val="00136EB8"/>
    <w:rsid w:val="00150913"/>
    <w:rsid w:val="00167472"/>
    <w:rsid w:val="001A58A1"/>
    <w:rsid w:val="001B37E6"/>
    <w:rsid w:val="001F0127"/>
    <w:rsid w:val="001F35B8"/>
    <w:rsid w:val="001F6507"/>
    <w:rsid w:val="0020305E"/>
    <w:rsid w:val="002213A6"/>
    <w:rsid w:val="002450AB"/>
    <w:rsid w:val="00252193"/>
    <w:rsid w:val="00290202"/>
    <w:rsid w:val="002D14E3"/>
    <w:rsid w:val="002D2C36"/>
    <w:rsid w:val="002F045A"/>
    <w:rsid w:val="00312986"/>
    <w:rsid w:val="00317AEF"/>
    <w:rsid w:val="003235EC"/>
    <w:rsid w:val="00334CDB"/>
    <w:rsid w:val="00336C87"/>
    <w:rsid w:val="00347943"/>
    <w:rsid w:val="003519E8"/>
    <w:rsid w:val="00356B5C"/>
    <w:rsid w:val="00362F32"/>
    <w:rsid w:val="003A5A53"/>
    <w:rsid w:val="003B16E5"/>
    <w:rsid w:val="003B4BD3"/>
    <w:rsid w:val="003E7C8D"/>
    <w:rsid w:val="00415119"/>
    <w:rsid w:val="00444F4F"/>
    <w:rsid w:val="004543B2"/>
    <w:rsid w:val="00470D66"/>
    <w:rsid w:val="004816CB"/>
    <w:rsid w:val="004838C3"/>
    <w:rsid w:val="004B7BF8"/>
    <w:rsid w:val="004C1F28"/>
    <w:rsid w:val="004D7B73"/>
    <w:rsid w:val="005049E9"/>
    <w:rsid w:val="00504FE7"/>
    <w:rsid w:val="00504FF1"/>
    <w:rsid w:val="00510588"/>
    <w:rsid w:val="00513636"/>
    <w:rsid w:val="00526126"/>
    <w:rsid w:val="0053172B"/>
    <w:rsid w:val="00547514"/>
    <w:rsid w:val="00547B30"/>
    <w:rsid w:val="005571C3"/>
    <w:rsid w:val="005655E4"/>
    <w:rsid w:val="00570BCD"/>
    <w:rsid w:val="00586830"/>
    <w:rsid w:val="005C01AD"/>
    <w:rsid w:val="005D742E"/>
    <w:rsid w:val="005F2099"/>
    <w:rsid w:val="0067251E"/>
    <w:rsid w:val="006B1FCE"/>
    <w:rsid w:val="006C06D8"/>
    <w:rsid w:val="006D31C0"/>
    <w:rsid w:val="006F4268"/>
    <w:rsid w:val="00724969"/>
    <w:rsid w:val="00732DDB"/>
    <w:rsid w:val="007369B0"/>
    <w:rsid w:val="00762A5C"/>
    <w:rsid w:val="007B3C0B"/>
    <w:rsid w:val="007C2427"/>
    <w:rsid w:val="007E1238"/>
    <w:rsid w:val="007E4258"/>
    <w:rsid w:val="007F701F"/>
    <w:rsid w:val="00807C08"/>
    <w:rsid w:val="008110FC"/>
    <w:rsid w:val="008207CF"/>
    <w:rsid w:val="0083759B"/>
    <w:rsid w:val="00842012"/>
    <w:rsid w:val="00862FD8"/>
    <w:rsid w:val="008B1D97"/>
    <w:rsid w:val="009272A9"/>
    <w:rsid w:val="0096557C"/>
    <w:rsid w:val="009B1DF7"/>
    <w:rsid w:val="009C43B2"/>
    <w:rsid w:val="009C48BD"/>
    <w:rsid w:val="00A01E86"/>
    <w:rsid w:val="00A46C77"/>
    <w:rsid w:val="00A7039E"/>
    <w:rsid w:val="00AE1B10"/>
    <w:rsid w:val="00B04463"/>
    <w:rsid w:val="00B362E7"/>
    <w:rsid w:val="00B552E9"/>
    <w:rsid w:val="00B64CD5"/>
    <w:rsid w:val="00B82322"/>
    <w:rsid w:val="00B9659C"/>
    <w:rsid w:val="00C11B57"/>
    <w:rsid w:val="00C334AA"/>
    <w:rsid w:val="00C33AF2"/>
    <w:rsid w:val="00C5245D"/>
    <w:rsid w:val="00C9356C"/>
    <w:rsid w:val="00C93D3B"/>
    <w:rsid w:val="00CB3797"/>
    <w:rsid w:val="00CB574D"/>
    <w:rsid w:val="00CC2264"/>
    <w:rsid w:val="00D33987"/>
    <w:rsid w:val="00D53CFA"/>
    <w:rsid w:val="00D67B4D"/>
    <w:rsid w:val="00D72117"/>
    <w:rsid w:val="00DD621C"/>
    <w:rsid w:val="00DE19E9"/>
    <w:rsid w:val="00DF17CD"/>
    <w:rsid w:val="00DF296C"/>
    <w:rsid w:val="00E01188"/>
    <w:rsid w:val="00E10E07"/>
    <w:rsid w:val="00E43E77"/>
    <w:rsid w:val="00E77CB3"/>
    <w:rsid w:val="00E82E9A"/>
    <w:rsid w:val="00E82FB3"/>
    <w:rsid w:val="00EA6421"/>
    <w:rsid w:val="00EA7596"/>
    <w:rsid w:val="00EC4C70"/>
    <w:rsid w:val="00EE20F7"/>
    <w:rsid w:val="00F15813"/>
    <w:rsid w:val="00F31517"/>
    <w:rsid w:val="00F44CA3"/>
    <w:rsid w:val="00F87A82"/>
    <w:rsid w:val="00FB04F1"/>
    <w:rsid w:val="00FB0A68"/>
    <w:rsid w:val="00FB53DF"/>
    <w:rsid w:val="00FC6B99"/>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semiHidden/>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5E18-133F-474E-9AA8-E0811AB8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9733</Words>
  <Characters>5548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Gediminas Golcevas</cp:lastModifiedBy>
  <cp:revision>7</cp:revision>
  <cp:lastPrinted>2016-08-12T10:29:00Z</cp:lastPrinted>
  <dcterms:created xsi:type="dcterms:W3CDTF">2016-10-12T12:51:00Z</dcterms:created>
  <dcterms:modified xsi:type="dcterms:W3CDTF">2016-10-13T05:25:00Z</dcterms:modified>
</cp:coreProperties>
</file>