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2016-</w:t>
      </w:r>
      <w:r w:rsidR="00057F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30C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F7296F" w:rsidRPr="00F7296F" w:rsidRDefault="00E70420" w:rsidP="00F7296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BA0568" w:rsidRPr="00BA0568">
        <w:rPr>
          <w:rFonts w:ascii="Times New Roman" w:hAnsi="Times New Roman" w:cs="Times New Roman"/>
          <w:sz w:val="24"/>
          <w:szCs w:val="24"/>
          <w:lang w:val="lt-LT"/>
        </w:rPr>
        <w:t>UAB „Raseinių vandenys“ vykd</w:t>
      </w:r>
      <w:r w:rsidR="00BA0568">
        <w:rPr>
          <w:rFonts w:ascii="Times New Roman" w:hAnsi="Times New Roman" w:cs="Times New Roman"/>
          <w:sz w:val="24"/>
          <w:szCs w:val="24"/>
          <w:lang w:val="lt-LT"/>
        </w:rPr>
        <w:t>yto</w:t>
      </w:r>
      <w:r w:rsidR="00BA0568" w:rsidRPr="00BA0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4B22">
        <w:rPr>
          <w:rFonts w:ascii="Times New Roman" w:hAnsi="Times New Roman" w:cs="Times New Roman"/>
          <w:sz w:val="24"/>
          <w:szCs w:val="24"/>
          <w:lang w:val="lt-LT"/>
        </w:rPr>
        <w:t xml:space="preserve">viešojo pirkimo </w:t>
      </w:r>
      <w:r w:rsidR="00BA0568" w:rsidRPr="00BA0568">
        <w:rPr>
          <w:rFonts w:ascii="Times New Roman" w:hAnsi="Times New Roman" w:cs="Times New Roman"/>
          <w:sz w:val="24"/>
          <w:lang w:val="lt-LT"/>
        </w:rPr>
        <w:t>„Vandens tiekimo ir nuotekų tvarkymo infrastruktūros plėtros (defektų šalinimo ir darbų užbaigimo) Šiluvos, Betygalos, Girkalnio, Viduklės miesteliuose pirkimas</w:t>
      </w:r>
      <w:r w:rsidR="008874FE">
        <w:rPr>
          <w:rFonts w:ascii="Times New Roman" w:hAnsi="Times New Roman" w:cs="Times New Roman"/>
          <w:sz w:val="24"/>
          <w:lang w:val="lt-LT"/>
        </w:rPr>
        <w:t xml:space="preserve">“ </w:t>
      </w:r>
      <w:r w:rsidR="00F7296F" w:rsidRPr="00F7296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būdo parinkimo atitikties </w:t>
      </w:r>
      <w:r w:rsidR="00F7296F" w:rsidRPr="00F7296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ir </w:t>
      </w:r>
      <w:r w:rsidR="00F7296F" w:rsidRPr="00F7296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su jo įgyvendinimu susijusių teisės aktų reikalavimams </w:t>
      </w:r>
      <w:r w:rsidR="00F7296F" w:rsidRPr="00F7296F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246C98" w:rsidRDefault="00246C98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1809" w:rsidRPr="00307F8F" w:rsidRDefault="00AB1809" w:rsidP="00562F97">
      <w:pPr>
        <w:ind w:left="268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307F8F" w:rsidRDefault="008874FE" w:rsidP="00747B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0568">
              <w:rPr>
                <w:rFonts w:ascii="Times New Roman" w:hAnsi="Times New Roman" w:cs="Times New Roman"/>
                <w:sz w:val="24"/>
                <w:lang w:val="lt-LT"/>
              </w:rPr>
              <w:t xml:space="preserve">„Vandens tiekimo ir nuotekų tvarkymo infrastruktūros plėtros (defektų šalinimo ir darbų užbaigimo) Šiluvos, Betygalos, Girkalnio, Viduklės miesteliuose pirkimas“ (Centrinėje viešųjų pirkimų informacinėje sistemoje skelbtas 2014 m. spalio 6 d., pirkimo Nr. 156283, toliau </w:t>
            </w:r>
            <w:r w:rsidRPr="00F7296F">
              <w:rPr>
                <w:rFonts w:ascii="Times New Roman" w:hAnsi="Times New Roman" w:cs="Times New Roman"/>
                <w:sz w:val="24"/>
                <w:lang w:val="lt-LT"/>
              </w:rPr>
              <w:t>- Pirkimas)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307F8F" w:rsidRDefault="008874FE" w:rsidP="00C775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Supaprastintas ribotas konkursas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307F8F" w:rsidRDefault="0040439F" w:rsidP="00EB4DC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vertė </w:t>
            </w:r>
            <w:r w:rsidR="00EB4D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4 054 680,26 </w:t>
            </w:r>
            <w:proofErr w:type="spellStart"/>
            <w:r w:rsidR="00EB4DCC"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EB4DCC"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B4D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 PVM 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40439F" w:rsidRPr="0040439F" w:rsidRDefault="00EB7A30" w:rsidP="0040439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0568">
              <w:rPr>
                <w:rFonts w:ascii="Times New Roman" w:hAnsi="Times New Roman" w:cs="Times New Roman"/>
                <w:sz w:val="24"/>
                <w:lang w:val="lt-LT"/>
              </w:rPr>
              <w:t>Vandens tiekimo ir nuotekų tvarkymo infrastruktūros plėtros Šiluvos, Betygalos, Girkalnio, Viduklės miesteliuose</w:t>
            </w:r>
            <w:r w:rsidRPr="004043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(defektų šalinimas ir darbų užbaigimas) finansuojam</w:t>
            </w:r>
            <w:r w:rsidR="00CA65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="0040439F" w:rsidRPr="004043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2007-2013 metų Europos Sąjungos Struktūrinės paramos panaudojimo strategiją ir ją įgyvendinanči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Sanglaudos skatinimo </w:t>
            </w:r>
            <w:r w:rsidR="0040439F" w:rsidRPr="004043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veiksmų program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="0040439F" w:rsidRPr="004043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anglaudos fondo lėšomis</w:t>
            </w:r>
            <w:r w:rsidR="0040439F" w:rsidRPr="004043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31C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Projektą įgyvendinančioji institucija – Aplinkos projektų valdymo agentūra</w:t>
            </w:r>
          </w:p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FC2860" w:rsidRDefault="00FC2860" w:rsidP="00CA65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5F6C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5F6C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5F6C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</w:t>
            </w:r>
            <w:r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CA65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CA65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CA65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D6AA6"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Vertinimo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307F8F" w:rsidRDefault="005F6C08" w:rsidP="009B7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Dalinis Pirkimo</w:t>
            </w:r>
            <w:r w:rsidR="009B78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būdo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B78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vertinimas </w:t>
            </w:r>
            <w:r w:rsidR="00E842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po</w:t>
            </w:r>
            <w:r w:rsidR="008F15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sutarties sudarymo</w:t>
            </w:r>
            <w:r w:rsidR="00E90356"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7E4301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EC0919" w:rsidRDefault="009759D4" w:rsidP="00EC0919">
            <w:pPr>
              <w:pStyle w:val="Sraopastraip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5F6C08" w:rsidRDefault="005F6C0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Pr="00307F8F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p w:rsidR="008F4663" w:rsidRPr="00307F8F" w:rsidRDefault="008F4663" w:rsidP="00440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180ED5"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B92249" w:rsidRDefault="00D412C8" w:rsidP="00C60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9 straipsnio 1 dalis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1"/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Įstatymo 9 straipsnio 4 dalis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2"/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Numatomo viešojo pirkimo vertės skaičiavimo metodikos, patvirtintos </w:t>
            </w:r>
            <w:r w:rsidRPr="00B9224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Tarnybos direktoriaus 2003 m. vasario 26 d. įsakymu Nr. 1S-26 „Dėl 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Numatomo viešojo pirkimo vertės skaičiavimo metodikos patvirtinimo</w:t>
            </w:r>
            <w:r w:rsidRPr="00B9224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“ 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30.3, punktas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  <w:footnoteReference w:id="3"/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Įstatymo 3 straipsnio 1 ir 2 dalys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 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4"/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922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Įstatymo 39 straipsnio 2 dalies 3 punkt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B9224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5"/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F0491F" w:rsidRDefault="00F0491F" w:rsidP="00CA6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0E4C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Pirkim</w:t>
            </w:r>
            <w:r w:rsidR="00430E4C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 būdo pagrįstumui įvertinti</w:t>
            </w:r>
            <w:r w:rsidRPr="00430E4C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reikšmingos aplinkybės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884239" w:rsidRPr="00884239" w:rsidRDefault="00884239" w:rsidP="00514293">
            <w:pPr>
              <w:pStyle w:val="Sraopastraipa"/>
              <w:numPr>
                <w:ilvl w:val="0"/>
                <w:numId w:val="40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komisija 2014 m. spalio 1 d. posėdyje (protokolas Nr. 2) priėmė sprendimą Pirkimą vykdyti supaprastinto riboto konkurso būdu, grįsdama tuo, kad numatoma Pirkimo vertė </w:t>
            </w:r>
            <w:r w:rsidR="005E1D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4 054 680,26 </w:t>
            </w:r>
            <w:proofErr w:type="spellStart"/>
            <w:r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E1D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 PVM </w:t>
            </w:r>
            <w:r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neviršija tarptautinio pirkimo vertės ribų. </w:t>
            </w:r>
          </w:p>
          <w:p w:rsidR="00F0491F" w:rsidRDefault="00F0491F" w:rsidP="00514293">
            <w:pPr>
              <w:pStyle w:val="Sraopastraipa"/>
              <w:numPr>
                <w:ilvl w:val="0"/>
                <w:numId w:val="40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tikslas ištaisyti paliktus defektus ir užbaigti nebaigtus darbus, kuriuos pagal </w:t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2012</w:t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D5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  <w:r w:rsidR="0051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ovo 12 d. sutartį vykdė AB „VITI“.</w:t>
            </w:r>
          </w:p>
          <w:p w:rsidR="00C50805" w:rsidRDefault="00F0491F" w:rsidP="00514293">
            <w:pPr>
              <w:pStyle w:val="Sraopastraipa"/>
              <w:numPr>
                <w:ilvl w:val="0"/>
                <w:numId w:val="40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neįmanom</w:t>
            </w:r>
            <w:r w:rsidR="00C508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nustatyti Pirkimo objekto darbų apimčių ir kiekių, atsižvelgiant į tai, kad neaišku</w:t>
            </w:r>
            <w:r w:rsid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kokie bus rasti defektai ir kokius darbų kiekius reikės atlikti</w:t>
            </w:r>
            <w:r w:rsidR="00C508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(tik</w:t>
            </w:r>
            <w:r w:rsidR="00A37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</w:t>
            </w:r>
            <w:r w:rsidR="00C508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 darbų kiekiai, taip pat</w:t>
            </w:r>
            <w:r w:rsidR="00A37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defektų šalinimo darbų kiekiai </w:t>
            </w:r>
            <w:r w:rsidR="00C508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nustatomi Pirkimo su</w:t>
            </w:r>
            <w:r w:rsidR="00A37A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C508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arties vykdymo metu)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perkančioji organizacija pasirinko fiksuoto įkainio kainodaros taisykles</w:t>
            </w:r>
            <w:r w:rsidR="00DC49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72D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(darbų</w:t>
            </w:r>
            <w:r w:rsidR="00DC49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įkainiai buvo nurodyti tiekėjų pasiūlymuose</w:t>
            </w:r>
            <w:r w:rsidR="00872D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</w:t>
            </w:r>
            <w:r w:rsidR="00C508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kas lėmė tai, jog galutinė sutarties kaina turėjo priklausyti nuo atliktų darbų kiekių.</w:t>
            </w:r>
          </w:p>
          <w:p w:rsidR="00CA655C" w:rsidRPr="0098631E" w:rsidRDefault="00C50805" w:rsidP="00514293">
            <w:pPr>
              <w:pStyle w:val="Sraopastraipa"/>
              <w:numPr>
                <w:ilvl w:val="0"/>
                <w:numId w:val="40"/>
              </w:numPr>
              <w:ind w:left="29" w:firstLine="284"/>
              <w:jc w:val="both"/>
              <w:rPr>
                <w:sz w:val="24"/>
                <w:szCs w:val="24"/>
                <w:lang w:val="lt-LT"/>
              </w:rPr>
            </w:pPr>
            <w:r w:rsidRPr="00DC49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dokumentuose ir Pirkimo sutartyje buvo nustatyti </w:t>
            </w:r>
            <w:r w:rsidR="00A37AA5" w:rsidRPr="00DC49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preliminarūs </w:t>
            </w:r>
            <w:r w:rsidRPr="00DC49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darbų </w:t>
            </w:r>
            <w:r w:rsidR="00131C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kiekiai ir apimtys </w:t>
            </w:r>
            <w:r w:rsidR="00A01C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nurodant</w:t>
            </w:r>
            <w:r w:rsidR="00377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01C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kokie darbai turės būti atliekami pagal</w:t>
            </w:r>
            <w:r w:rsidR="00131C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kiekvieną Pirkimo objekto sudėtinę dalį (Šiluvos, Betygalos, Girkalnio ir Viduklės</w:t>
            </w:r>
            <w:r w:rsidR="00EE7D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miesteliuose</w:t>
            </w:r>
            <w:r w:rsidR="00A01C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EE7D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o </w:t>
            </w:r>
            <w:r w:rsidR="00131C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pagrindinės sutartys</w:t>
            </w:r>
            <w:r w:rsidR="00EE7D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sudaromos tuo</w:t>
            </w:r>
            <w:r w:rsidR="00377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atveju, jeigu bus lėšų numatytiems</w:t>
            </w:r>
            <w:r w:rsidR="00EE7D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</w:t>
            </w:r>
            <w:r w:rsidR="00377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DC49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98631E" w:rsidRPr="0098631E" w:rsidRDefault="0098631E" w:rsidP="00514293">
            <w:pPr>
              <w:pStyle w:val="Sraopastraipa"/>
              <w:numPr>
                <w:ilvl w:val="0"/>
                <w:numId w:val="40"/>
              </w:numPr>
              <w:ind w:left="0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63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komisijos 2015 m. gegužės 8 d. posėdyje (protokolas Nr. 54)</w:t>
            </w:r>
            <w:r w:rsidR="005D2C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laimėtoju pripažintas tiekėjo UAB „KRS“</w:t>
            </w:r>
            <w:r w:rsidR="00BD2D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(atstovaujantis jungtinės veiklos grupę)</w:t>
            </w:r>
            <w:r w:rsidR="005D2C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pasiūlymas, kurio </w:t>
            </w:r>
            <w:r w:rsidR="00AD71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darbų </w:t>
            </w:r>
            <w:r w:rsidR="005D2C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kaina </w:t>
            </w:r>
            <w:r w:rsidR="00D92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5D2C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111 038,57 </w:t>
            </w:r>
            <w:proofErr w:type="spellStart"/>
            <w:r w:rsidR="005D2C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BD2D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  <w:r w:rsidR="00985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(6 703 337,66 </w:t>
            </w:r>
            <w:proofErr w:type="spellStart"/>
            <w:r w:rsidR="00985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985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PVM)</w:t>
            </w:r>
            <w:r w:rsidR="00EB0E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98631E" w:rsidRPr="00151FA3" w:rsidRDefault="0098631E" w:rsidP="002179C6">
            <w:pPr>
              <w:pStyle w:val="Sraopastraipa"/>
              <w:numPr>
                <w:ilvl w:val="0"/>
                <w:numId w:val="40"/>
              </w:numPr>
              <w:ind w:left="0" w:firstLine="313"/>
              <w:jc w:val="both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 Pirkimo laimėtoju UAB „KRS“ 2015 m. gegužės 28 d. buvo sudaryta preliminarioji Pirkimo sutartis</w:t>
            </w:r>
            <w:r w:rsidR="00BD2D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 2015/05/28 (toliau – Preliminari</w:t>
            </w:r>
            <w:r w:rsidR="00AD71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oji</w:t>
            </w:r>
            <w:r w:rsidR="00BD2D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sutartis)</w:t>
            </w:r>
            <w:r w:rsidR="00D92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kurios 4.1.1</w:t>
            </w:r>
            <w:r w:rsidR="005E21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58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punkte </w:t>
            </w:r>
            <w:r w:rsidR="00D92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buvo nustatyta, kad pagrindinėse sutartyse bus nustatomi pasiūlyme nurodyti darbų įkainiai</w:t>
            </w:r>
            <w:r w:rsidR="00D927F3" w:rsidRPr="00603446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.</w:t>
            </w:r>
            <w:r w:rsidR="00EB0EEC" w:rsidRPr="00603446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093B2C" w:rsidRPr="00093B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Pažymėtina, kad </w:t>
            </w:r>
            <w:r w:rsidR="00093B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="0050545D" w:rsidRPr="00093B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ioje sutartyje nebuvo nustatytos</w:t>
            </w:r>
            <w:r w:rsidR="00EB0EEC" w:rsidRPr="00093B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apibrėžtos </w:t>
            </w:r>
            <w:r w:rsidR="00950E36" w:rsidRPr="00093B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maksimalios </w:t>
            </w:r>
            <w:r w:rsidR="00603446" w:rsidRPr="00093B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sutarčių vertės</w:t>
            </w:r>
            <w:r w:rsidR="00603446"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BD2D72" w:rsidRPr="002C38A6" w:rsidRDefault="002C38A6" w:rsidP="002179C6">
            <w:pPr>
              <w:pStyle w:val="Sraopastraipa"/>
              <w:numPr>
                <w:ilvl w:val="0"/>
                <w:numId w:val="40"/>
              </w:numPr>
              <w:ind w:left="0" w:firstLine="313"/>
              <w:jc w:val="both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2015</w:t>
            </w:r>
            <w:r w:rsidR="00BD2D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D2D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rugpjūčio 7 d. su UAB „KRS“ sudaryta rangos darbų sutartis Nr. 2015/08/07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dėl vandens tiekimo ir nuotekų tvarkymo infrastruktūros plėtros Viduklės miestelyje (defektų šalinimas ir darbų užbaigimas), kurios vertė 1 822 577,17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  <w:r w:rsidR="00950E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(1 506 262,12 </w:t>
            </w:r>
            <w:proofErr w:type="spellStart"/>
            <w:r w:rsidR="00950E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950E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PVM)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1 Sutartis).</w:t>
            </w:r>
          </w:p>
          <w:p w:rsidR="002C38A6" w:rsidRPr="00151FA3" w:rsidRDefault="002C38A6" w:rsidP="002179C6">
            <w:pPr>
              <w:pStyle w:val="Sraopastraipa"/>
              <w:numPr>
                <w:ilvl w:val="0"/>
                <w:numId w:val="40"/>
              </w:numPr>
              <w:ind w:left="0" w:firstLine="313"/>
              <w:jc w:val="both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2015 m. rugsėjo 29 d. su UAB „KRS“ sudaryta rangos darbų sutartis Nr. 2015/09/29-2 dėl vandens tiekimo ir nuotekų tvarkymo infrastruktūros plėtros Betygalos, Girkalnio, Viduklės </w:t>
            </w:r>
            <w:r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miesteliuose (defektų nustatymas ir statybos darbai), kurios vertė </w:t>
            </w:r>
            <w:r w:rsidR="00834366"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4 430 738,30 </w:t>
            </w:r>
            <w:proofErr w:type="spellStart"/>
            <w:r w:rsidR="00466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466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34366"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PVM (3 661 767,19 </w:t>
            </w:r>
            <w:proofErr w:type="spellStart"/>
            <w:r w:rsidR="00834366"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834366"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</w:t>
            </w:r>
            <w:r w:rsidRPr="0015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PVM (toliau –2 Sutartis).</w:t>
            </w:r>
          </w:p>
          <w:p w:rsidR="00411706" w:rsidRPr="00411D1D" w:rsidRDefault="00230BF6" w:rsidP="003B350D">
            <w:pPr>
              <w:pStyle w:val="Sraopastraipa"/>
              <w:numPr>
                <w:ilvl w:val="0"/>
                <w:numId w:val="40"/>
              </w:numPr>
              <w:ind w:left="0" w:firstLine="313"/>
              <w:jc w:val="both"/>
              <w:rPr>
                <w:sz w:val="24"/>
                <w:szCs w:val="24"/>
                <w:lang w:val="lt-LT"/>
              </w:rPr>
            </w:pPr>
            <w:r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2015 m. birželio ir liepos mėn. kreipėsi į Tarnybą konsultacijos dėl Pirkimo vertės nustatymo. Tarnyba 2015-07-24 raštu Nr. 4S-2517 ir 2015-08-28 raštu Nr. 4S-2945 pateikė nuomonę, </w:t>
            </w:r>
            <w:r w:rsidR="00B36D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nurodydama</w:t>
            </w:r>
            <w:r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B36D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jog, </w:t>
            </w:r>
            <w:r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kuomet nėra aiški galutinė darbų kaina, pirkimo vertė turi būti skaičiuojama pagal galimai didžiausią sutarčių vertę, preliminarios sutarties projekte nurodant maksimalią preliminarios sutarties vertę, kuri nebūtų viršijama.</w:t>
            </w:r>
            <w:r w:rsidR="00411D1D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Tarnybos nuomone, tikėtina, kad po Tarnybos konsultacijos perkančioji organizacija 2015 m. spalio 10 d. sudarė papildomą susitarimą </w:t>
            </w:r>
            <w:r w:rsidR="002B0BB0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1 prie Preliminarios sutarties, kuriame nustat</w:t>
            </w:r>
            <w:r w:rsidR="00411D1D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2B0BB0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sąlyg</w:t>
            </w:r>
            <w:r w:rsidR="00B36D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2B0BB0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jog „bendra pagrindinių sutarčių vertė negali viršyti 3 203 197 </w:t>
            </w:r>
            <w:proofErr w:type="spellStart"/>
            <w:r w:rsidR="002B0BB0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CA355C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o </w:t>
            </w:r>
            <w:r w:rsidR="00411706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2016 m. kovo 21 d. sudar</w:t>
            </w:r>
            <w:r w:rsid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 papildomą susitarimą</w:t>
            </w:r>
            <w:r w:rsidR="00411706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 2 prie Preliminarios sutarties, kuriame nustat</w:t>
            </w:r>
            <w:r w:rsidR="00B36D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411706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jog „bendra pagal pagrindines sutartis atliktų ir apmokėtų darbų vertė negali viršyti 4 324 533,20 </w:t>
            </w:r>
            <w:proofErr w:type="spellStart"/>
            <w:r w:rsidR="00411706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CA355C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411706" w:rsidRPr="00411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:rsidR="003D6C3F" w:rsidRDefault="00BB73D0" w:rsidP="00F72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</w:t>
            </w:r>
            <w:r w:rsidR="00DA7722" w:rsidRP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Aukščiau nurodytos faktinės aplinkybės patvirtina, kad perkančioji organizacija, sudarė Preliminarią sutartį su tiekėju, kurio pasiūlymo kaina 8 111 038,57 </w:t>
            </w:r>
            <w:proofErr w:type="spellStart"/>
            <w:r w:rsidR="00DA7722" w:rsidRP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DA7722" w:rsidRP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  <w:r w:rsidR="002B5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(6 703 337,66 </w:t>
            </w:r>
            <w:proofErr w:type="spellStart"/>
            <w:r w:rsidR="002B5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2B5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PVM)</w:t>
            </w:r>
            <w:r w:rsidR="00DA7722" w:rsidRP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viršijo ne tik perkančiosios organizacijos Pirkimui skirtų lėšų sumą </w:t>
            </w:r>
            <w:r w:rsidR="00A843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4 054 680,26 </w:t>
            </w:r>
            <w:proofErr w:type="spellStart"/>
            <w:r w:rsidR="00A8437F"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A8437F"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843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PVM</w:t>
            </w:r>
            <w:r w:rsidR="00DA7722" w:rsidRPr="00FF68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A7722" w:rsidRP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bet ir Pirkimo metu galiojusio tarptautinio pirkimo vertės ribą 5 186 000 </w:t>
            </w:r>
            <w:proofErr w:type="spellStart"/>
            <w:r w:rsidR="00DA7722" w:rsidRP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2B5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Pažymėtina, kad Pirkimo</w:t>
            </w:r>
            <w:r w:rsidR="00F72B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dokumentuose nustatyti perkamų darbų kiekiai reiškia, jog nurodyti kiekiai yra maksimalūs</w:t>
            </w:r>
            <w:r w:rsidR="00FC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dokumentuose nustatytos kainodaros</w:t>
            </w:r>
            <w:r w:rsidR="00FC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taisyklės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</w:t>
            </w:r>
            <w:r w:rsidR="00C30F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aksimalūs</w:t>
            </w:r>
            <w:r w:rsid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darbų </w:t>
            </w:r>
            <w:r w:rsidR="00FC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kiekiai</w:t>
            </w:r>
            <w:r w:rsidR="00DA5E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leidžia daryti išvadą, kad </w:t>
            </w:r>
            <w:r w:rsidR="003162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nors perkančiajai organizacijai n</w:t>
            </w:r>
            <w:r w:rsidR="00FF68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ebuvo</w:t>
            </w:r>
            <w:r w:rsidR="003162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žinomos</w:t>
            </w:r>
            <w:r w:rsidR="00FF68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tikslios </w:t>
            </w:r>
            <w:r w:rsidR="003162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darbų apimtys ir kiekiai, </w:t>
            </w:r>
            <w:r w:rsidR="00FF68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tačiau 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Pirkimo vertę turėjo apskaičiuoti remdamasi </w:t>
            </w:r>
            <w:r w:rsidR="003D6C3F" w:rsidRPr="00BB73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maksimaliais kiekiais.</w:t>
            </w:r>
            <w:r w:rsidR="00C30F38" w:rsidRPr="00BB73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B5BE4" w:rsidRPr="00BB73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Pažymėtina, kad</w:t>
            </w:r>
            <w:r w:rsidR="00C30F38" w:rsidRPr="00BB73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aplinkybė, kai darbų kiekių ir apimčių neįmanoma tiksliai </w:t>
            </w:r>
            <w:r w:rsidR="00C30F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nustatyti pirkimo pradžioje</w:t>
            </w:r>
            <w:r w:rsid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B5B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įpareigoja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</w:t>
            </w:r>
            <w:r w:rsidR="00CB5B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ąją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organizacij</w:t>
            </w:r>
            <w:r w:rsidR="00CB5B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61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vertę </w:t>
            </w:r>
            <w:r w:rsidR="007E2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apskaičiuoti atsižvelgu</w:t>
            </w:r>
            <w:r w:rsidR="002961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E2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 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galimai didžiausius kiekius ir </w:t>
            </w:r>
            <w:r w:rsidR="00E229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tai 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pasirinkti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A5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būdą.</w:t>
            </w:r>
          </w:p>
          <w:p w:rsidR="004518C3" w:rsidRDefault="0078290C" w:rsidP="003D6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svarbu pažymėti, kad nors Pirkimo objektas 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nebuvo skaidomas į atskiras dalis, tačiau 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pasiūlymuose buvo įkainuotos Pirkimo objekto sudėtinės dalys 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kiekvien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ame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miestel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 nurodytų objektų, darbų pavadinimus ir jų kiekius</w:t>
            </w:r>
            <w:r w:rsid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 įrodo, kad tiekėjai įsivertino bei apskaičiavo darbų kainą, kurią perkančioji organizacija turėtų sumokėti, jeigu darbų apim</w:t>
            </w:r>
            <w:r w:rsidR="00F72B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tys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kieki</w:t>
            </w:r>
            <w:r w:rsidR="0089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poreikis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būtų tok</w:t>
            </w:r>
            <w:r w:rsidR="0089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</w:t>
            </w:r>
            <w:r w:rsidR="0089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C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</w:t>
            </w:r>
            <w:r w:rsidR="0089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dokumentuose. </w:t>
            </w:r>
            <w:r w:rsidR="00653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pažymėtina, kad Pirkimo dokumentuose </w:t>
            </w:r>
            <w:r w:rsidR="00547A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  <w:r w:rsidR="00BD31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103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</w:t>
            </w:r>
            <w:r w:rsidR="00BD31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A103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3F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objekto sudėtinių dalių </w:t>
            </w:r>
            <w:r w:rsidR="00A103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darbų verčių rib</w:t>
            </w:r>
            <w:r w:rsidR="002B5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pagal objektus</w:t>
            </w:r>
            <w:r w:rsidR="00A103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kurios</w:t>
            </w:r>
            <w:r w:rsidR="00547A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negalė</w:t>
            </w:r>
            <w:r w:rsidR="00A103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tų būti viršytos.</w:t>
            </w:r>
            <w:r w:rsidR="00547A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tai, kad Pirkimui pateikusių tiekėjų pasiūlymų</w:t>
            </w:r>
            <w:r w:rsidR="00B03E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(buvo pateikti du pasiūlymai) 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kaina ženkliai viršijo Pirkimui skirtas lėšas, perkančioji organizacija turėjo svarstyti pasiūlytų </w:t>
            </w:r>
            <w:r w:rsidR="002B5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darbų 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kainų priimtinumą</w:t>
            </w:r>
            <w:r w:rsidR="00435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atsižvelgdama </w:t>
            </w:r>
            <w:r w:rsidR="00C30F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vertindama pagal </w:t>
            </w:r>
            <w:r w:rsidR="00435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maksimalius, o </w:t>
            </w:r>
            <w:r w:rsidR="008F08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</w:t>
            </w:r>
            <w:r w:rsidR="00435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minimalius darbų kiekius</w:t>
            </w:r>
            <w:r w:rsidR="00C64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taip pat įvertindama tai, kad poreikis įsigyti darbus buvo dėl visų keturių objektų, todėl turėjo</w:t>
            </w:r>
            <w:r w:rsidR="0089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atmesti tiekėjų pasiūlymus</w:t>
            </w:r>
            <w:r w:rsidR="004518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to nepadarė.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56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Tuo pažeidė Įstatymo 3 straipsnio 1 ir 2 dalies nuostatas ir </w:t>
            </w:r>
            <w:r w:rsidR="00214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556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 straipsnio 2 dalies 3 punktą.</w:t>
            </w:r>
          </w:p>
          <w:p w:rsidR="00CA655C" w:rsidRDefault="0078290C" w:rsidP="008F1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3D6C3F" w:rsidRPr="003D6C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Nagrinėjamu atveju, </w:t>
            </w:r>
            <w:r w:rsidR="00890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pripažindama laimėjusiu pasiūlymą ir sudarydama Preliminarią sutartį su tiekėju, kurio pasiūlyta Pirkimo objekte nurodytų darbų kaina viršijo ne tik Pirkimui skirtas lėšas, bet ir tarptautinio pirkimo vertės ribas, perkančioji organizacija </w:t>
            </w:r>
            <w:r w:rsidR="00890A65" w:rsidRPr="008F1A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pažeidė </w:t>
            </w:r>
            <w:r w:rsidR="008F1A44" w:rsidRPr="008F1A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9 straipsnio</w:t>
            </w:r>
            <w:r w:rsidR="00DA5E7E" w:rsidRPr="008F1A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A655C" w:rsidRPr="008F1A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dalies nuostatas, kad numatomo pirkimo vertė yra perkančiosios organizacijos numatomų </w:t>
            </w:r>
            <w:r w:rsidR="00CA655C" w:rsidRPr="008F1A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sudaryti pirkimo sutarčių vertė, skaičiuojama imant visą mokėtiną sumą, įskaitant visa</w:t>
            </w:r>
            <w:r w:rsidR="009D21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CA655C" w:rsidRPr="008F1A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pasirinkimo ir pratęsimo galimybes, Įstatymo 9 straipsnio 3 dalies nuostatas, kad pirkimo vertės nustatymo būdas negali būti pasirenkamas taip, kad būtų galima išvengti Įstatymo nuostatų dėl pirkimo būdų pasirinkimo bei pirkimo procedūrų vykdymo nuostatas.</w:t>
            </w:r>
          </w:p>
          <w:p w:rsidR="00B93F22" w:rsidRDefault="008F0889" w:rsidP="008F1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E56E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nustatyta, kad 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nei </w:t>
            </w:r>
            <w:r w:rsidR="008541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Sutartimi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541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</w:t>
            </w:r>
            <w:r w:rsidR="008541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Sutartimi nebuvo įsigyti vandens tiekimo ir nuotekų tvarkymo infrastruktūros plėtros darbai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Šiluvos miestelyje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 dėl to, kad nebuvo skirtas finansavimas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nors šių darbų poreikis išliko.</w:t>
            </w:r>
            <w:r w:rsidR="00FA70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Pirkimą laimėjusio tiekėjo pasiūlyme nurodyta kaina dėl šios sudėtinės Pirkimo objekto dalies buvo </w:t>
            </w:r>
            <w:r w:rsidR="00FA70CB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2 408 293,32 </w:t>
            </w:r>
            <w:proofErr w:type="spellStart"/>
            <w:r w:rsidR="00FA70CB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FA70CB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  <w:r w:rsidR="005D089F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(1 990 325,06 be PVM)</w:t>
            </w:r>
            <w:r w:rsidR="00FA70CB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B93F22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6457C3" w:rsidRPr="005D0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umavus šių darbų vertę</w:t>
            </w:r>
            <w:r w:rsidR="005A2E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Sutarti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2 Sutarti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darbų vertės, </w:t>
            </w:r>
            <w:r w:rsidR="00DB70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matyti, kad t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arptautinio pirkimo vertės ribos yra virš</w:t>
            </w:r>
            <w:r w:rsidR="005A2E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ijamos</w:t>
            </w:r>
            <w:r w:rsidR="006457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Atkreiptinas dėmesys į tai, kad </w:t>
            </w:r>
            <w:r w:rsidR="00B93F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</w:t>
            </w:r>
            <w:r w:rsidR="00BB73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Preliminarios sutarties sudarymo </w:t>
            </w:r>
            <w:r w:rsidR="007A3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atliktų veiksmų seka ir</w:t>
            </w:r>
            <w:r w:rsidR="00B93F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4A20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plinkybė</w:t>
            </w:r>
            <w:r w:rsidR="002B6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A20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2201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jog</w:t>
            </w:r>
            <w:r w:rsidR="004A20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faktinės sudarytų </w:t>
            </w:r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ir 2 Sutarčių vertės (5 168 029,31 </w:t>
            </w:r>
            <w:proofErr w:type="spellStart"/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PVM) neviršija tarptautinio pirkimo vertės ribų, </w:t>
            </w:r>
            <w:r w:rsidR="00CA35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 pat vėliau atlikti</w:t>
            </w:r>
            <w:r w:rsidR="002B6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Preliminarios sutarties papildyma</w:t>
            </w:r>
            <w:r w:rsidR="00CA35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2B6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101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taip pat </w:t>
            </w:r>
            <w:r w:rsidR="00F557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101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tai, kad faktinės įvykdytų sutarčių vertės </w:t>
            </w:r>
            <w:r w:rsidR="007A3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101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būtų mažesnės,</w:t>
            </w:r>
            <w:r w:rsidR="002B6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nagrinėjamu atveju, nepa</w:t>
            </w:r>
            <w:r w:rsidR="002B6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neigia</w:t>
            </w:r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perkančiosios organizacijos priimtų sprendimų</w:t>
            </w:r>
            <w:r w:rsidR="009D21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Pirkimą vykdyti supaprastinto riboto konkurso būdu,</w:t>
            </w:r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06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teisėtumo</w:t>
            </w:r>
            <w:r w:rsidR="00B93F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atsižvelgiant į tai, kad Pirkimo būdas parenkamas prieš vykdant pirkimo procedūras. </w:t>
            </w:r>
            <w:r w:rsidR="00870B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Apibendrindama išdėstytą, </w:t>
            </w:r>
            <w:r w:rsidR="00B93F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Tarnyba </w:t>
            </w:r>
            <w:r w:rsidR="000C5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konstatuoja</w:t>
            </w:r>
            <w:r w:rsidR="00B93F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</w:t>
            </w:r>
            <w:r w:rsidR="00870B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  <w:r w:rsidR="000C5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3E7D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tinkamai apskaičiavo Pirkimo vertę ir </w:t>
            </w:r>
            <w:r w:rsidR="00870B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pasirinko</w:t>
            </w:r>
            <w:r w:rsidR="000C5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</w:t>
            </w:r>
            <w:r w:rsidR="00870B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teisėtą Pirkimo būdą.</w:t>
            </w:r>
            <w:r w:rsidR="00B93F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5E0FBF" w:rsidRPr="00307F8F" w:rsidRDefault="005E0FBF" w:rsidP="00B93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073EC" w:rsidRPr="00307F8F" w:rsidTr="00F56B3B">
        <w:tc>
          <w:tcPr>
            <w:tcW w:w="9634" w:type="dxa"/>
            <w:gridSpan w:val="2"/>
          </w:tcPr>
          <w:p w:rsidR="00F073EC" w:rsidRPr="00307F8F" w:rsidRDefault="00F073EC" w:rsidP="005B4AC7">
            <w:pPr>
              <w:tabs>
                <w:tab w:val="left" w:pos="284"/>
              </w:tabs>
              <w:ind w:firstLine="85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:rsidR="00EE1A67" w:rsidRDefault="00EE1A6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Pr="00307F8F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445"/>
        <w:gridCol w:w="9331"/>
      </w:tblGrid>
      <w:tr w:rsidR="00FD74E9" w:rsidRPr="00307F8F" w:rsidTr="008C6EE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331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8C6EE5">
        <w:tc>
          <w:tcPr>
            <w:tcW w:w="9776" w:type="dxa"/>
            <w:gridSpan w:val="2"/>
          </w:tcPr>
          <w:p w:rsidR="004E098B" w:rsidRPr="00307F8F" w:rsidRDefault="000F6D6C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067CE8" w:rsidRDefault="00067CE8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90549B" w:rsidRPr="00EE199F" w:rsidRDefault="00EE199F" w:rsidP="009054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199F">
        <w:rPr>
          <w:rFonts w:ascii="Times New Roman" w:hAnsi="Times New Roman" w:cs="Times New Roman"/>
          <w:sz w:val="24"/>
          <w:szCs w:val="24"/>
          <w:lang w:val="lt-LT"/>
        </w:rPr>
        <w:t xml:space="preserve">Atsižvelgdama į nustatytus Įstatymo pažeidimus, nurodytus vertinimo </w:t>
      </w:r>
      <w:r w:rsidRPr="008D0A6F">
        <w:rPr>
          <w:rFonts w:ascii="Times New Roman" w:hAnsi="Times New Roman" w:cs="Times New Roman"/>
          <w:sz w:val="24"/>
          <w:szCs w:val="24"/>
          <w:lang w:val="lt-LT"/>
        </w:rPr>
        <w:t xml:space="preserve">išvados II dalyje, </w:t>
      </w:r>
      <w:r w:rsidR="0090549B" w:rsidRPr="008D0A6F">
        <w:rPr>
          <w:rFonts w:ascii="Times New Roman" w:hAnsi="Times New Roman" w:cs="Times New Roman"/>
          <w:sz w:val="24"/>
          <w:szCs w:val="24"/>
          <w:lang w:val="lt-LT"/>
        </w:rPr>
        <w:t>Tarnyb</w:t>
      </w:r>
      <w:r w:rsidR="00E56EF1">
        <w:rPr>
          <w:rFonts w:ascii="Times New Roman" w:hAnsi="Times New Roman" w:cs="Times New Roman"/>
          <w:sz w:val="24"/>
          <w:szCs w:val="24"/>
          <w:lang w:val="lt-LT"/>
        </w:rPr>
        <w:t>os nuomone,</w:t>
      </w:r>
      <w:r w:rsidR="0090549B">
        <w:rPr>
          <w:rFonts w:ascii="Times New Roman" w:hAnsi="Times New Roman" w:cs="Times New Roman"/>
          <w:sz w:val="24"/>
          <w:szCs w:val="24"/>
          <w:lang w:val="lt-LT"/>
        </w:rPr>
        <w:t xml:space="preserve"> 2 Sutartis</w:t>
      </w:r>
      <w:r w:rsidR="00E56E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3B02">
        <w:rPr>
          <w:rFonts w:ascii="Times New Roman" w:hAnsi="Times New Roman" w:cs="Times New Roman"/>
          <w:sz w:val="24"/>
          <w:szCs w:val="24"/>
          <w:lang w:val="lt-LT"/>
        </w:rPr>
        <w:t xml:space="preserve">(1 Sutartis įvykdyta) </w:t>
      </w:r>
      <w:r w:rsidR="00E56EF1">
        <w:rPr>
          <w:rFonts w:ascii="Times New Roman" w:hAnsi="Times New Roman" w:cs="Times New Roman"/>
          <w:sz w:val="24"/>
          <w:szCs w:val="24"/>
          <w:lang w:val="lt-LT"/>
        </w:rPr>
        <w:t>turėtų būti nutraukta</w:t>
      </w:r>
      <w:r w:rsidR="004E5E4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0549B" w:rsidRPr="00EE199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EE199F" w:rsidRPr="00B2434B" w:rsidRDefault="00EE199F" w:rsidP="00EE199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B2434B">
        <w:rPr>
          <w:rFonts w:ascii="Times New Roman" w:hAnsi="Times New Roman"/>
          <w:sz w:val="24"/>
          <w:szCs w:val="24"/>
          <w:lang w:val="lt-LT"/>
        </w:rPr>
        <w:t xml:space="preserve">Prašome ne vėliau kaip per 10 darbo dienų, nuo šios vertinimo išvados gavimo dienos, raštu informuoti Tarnybą apie priimtą sprendimą dėl Tarnybos rekomendacijos nutraukti </w:t>
      </w:r>
      <w:r>
        <w:rPr>
          <w:rFonts w:ascii="Times New Roman" w:hAnsi="Times New Roman"/>
          <w:sz w:val="24"/>
          <w:szCs w:val="24"/>
          <w:lang w:val="lt-LT"/>
        </w:rPr>
        <w:t>sutartis</w:t>
      </w:r>
      <w:r w:rsidRPr="00B2434B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DB55FB" w:rsidRPr="00017E71" w:rsidRDefault="00EE199F" w:rsidP="00DB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463C95" w:rsidRPr="00017E71">
        <w:rPr>
          <w:rFonts w:ascii="Times New Roman" w:hAnsi="Times New Roman" w:cs="Times New Roman"/>
          <w:sz w:val="24"/>
          <w:szCs w:val="24"/>
          <w:lang w:val="lt-LT"/>
        </w:rPr>
        <w:t>adovaujantis Lietuvos Respublikos administracinių bylų teisenos įstatymo 5 ir 1</w:t>
      </w:r>
      <w:r w:rsidR="00E96F86">
        <w:rPr>
          <w:rFonts w:ascii="Times New Roman" w:hAnsi="Times New Roman" w:cs="Times New Roman"/>
          <w:sz w:val="24"/>
          <w:szCs w:val="24"/>
          <w:lang w:val="lt-LT"/>
        </w:rPr>
        <w:t>7</w:t>
      </w:r>
      <w:bookmarkStart w:id="0" w:name="_GoBack"/>
      <w:bookmarkEnd w:id="0"/>
      <w:r w:rsidR="00463C95" w:rsidRPr="00017E71">
        <w:rPr>
          <w:rFonts w:ascii="Times New Roman" w:hAnsi="Times New Roman" w:cs="Times New Roman"/>
          <w:sz w:val="24"/>
          <w:szCs w:val="24"/>
          <w:lang w:val="lt-LT"/>
        </w:rPr>
        <w:t xml:space="preserve"> straipsniais, nesutikę su Tarnybos </w:t>
      </w:r>
      <w:r w:rsidR="000F1325" w:rsidRPr="00017E71">
        <w:rPr>
          <w:rFonts w:ascii="Times New Roman" w:hAnsi="Times New Roman" w:cs="Times New Roman"/>
          <w:sz w:val="24"/>
          <w:szCs w:val="24"/>
          <w:lang w:val="lt-LT"/>
        </w:rPr>
        <w:t>išvada</w:t>
      </w:r>
      <w:r w:rsidR="00463C95" w:rsidRPr="00017E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B55FB" w:rsidRPr="00017E71">
        <w:rPr>
          <w:rFonts w:ascii="Times New Roman" w:hAnsi="Times New Roman" w:cs="Times New Roman"/>
          <w:sz w:val="24"/>
          <w:szCs w:val="24"/>
          <w:lang w:val="lt-LT"/>
        </w:rPr>
        <w:t xml:space="preserve"> Jūs galite ją apskųsti teismui šio įstatymo nustatyta tvarka.</w:t>
      </w:r>
    </w:p>
    <w:p w:rsidR="008D0A6F" w:rsidRPr="00463C95" w:rsidRDefault="008D0A6F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709A" w:rsidRDefault="00CC709A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F139E" w:rsidRDefault="00FF139E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3A83" w:rsidRPr="00307F8F" w:rsidRDefault="00463A83" w:rsidP="00EB1582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961B38" w:rsidRDefault="00961B38" w:rsidP="00E93D32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8A5EF3" w:rsidRDefault="008A5EF3" w:rsidP="00E93D32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B46C0" w:rsidRDefault="000B46C0" w:rsidP="00E93D32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13DF0" w:rsidRDefault="00513DF0" w:rsidP="00E93D32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1178A" w:rsidRPr="00307F8F" w:rsidRDefault="00DE543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DE543B">
        <w:rPr>
          <w:rFonts w:ascii="Times New Roman" w:hAnsi="Times New Roman" w:cs="Times New Roman"/>
          <w:sz w:val="24"/>
          <w:szCs w:val="24"/>
        </w:rPr>
        <w:t xml:space="preserve">Albina Perlavičienė, </w:t>
      </w:r>
      <w:proofErr w:type="spellStart"/>
      <w:r w:rsidRPr="00DE543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E543B">
        <w:rPr>
          <w:rFonts w:ascii="Times New Roman" w:hAnsi="Times New Roman" w:cs="Times New Roman"/>
          <w:sz w:val="24"/>
          <w:szCs w:val="24"/>
        </w:rPr>
        <w:t xml:space="preserve">. (8 5) 219 7038, </w:t>
      </w:r>
      <w:proofErr w:type="spellStart"/>
      <w:r w:rsidRPr="00DE543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DE543B">
        <w:rPr>
          <w:rFonts w:ascii="Times New Roman" w:hAnsi="Times New Roman" w:cs="Times New Roman"/>
          <w:sz w:val="24"/>
          <w:szCs w:val="24"/>
        </w:rPr>
        <w:t xml:space="preserve">. p. </w:t>
      </w:r>
      <w:bookmarkStart w:id="1" w:name="_Hlt75580842"/>
      <w:r w:rsidRPr="00DE543B">
        <w:rPr>
          <w:rFonts w:ascii="Times New Roman" w:hAnsi="Times New Roman" w:cs="Times New Roman"/>
          <w:sz w:val="24"/>
          <w:szCs w:val="24"/>
        </w:rPr>
        <w:t>Albina.Perlaviciene</w:t>
      </w:r>
      <w:hyperlink r:id="rId9" w:history="1">
        <w:r w:rsidRPr="00DE543B">
          <w:rPr>
            <w:rStyle w:val="Hipersaitas"/>
            <w:rFonts w:ascii="Times New Roman" w:hAnsi="Times New Roman" w:cs="Times New Roman"/>
            <w:sz w:val="24"/>
            <w:szCs w:val="24"/>
          </w:rPr>
          <w:t>@vpt.lt</w:t>
        </w:r>
      </w:hyperlink>
      <w:bookmarkEnd w:id="1"/>
    </w:p>
    <w:sectPr w:rsidR="0001178A" w:rsidRPr="00307F8F" w:rsidSect="005A75A4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D412C8" w:rsidRPr="00D412C8" w:rsidRDefault="00D412C8" w:rsidP="00D412C8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8244B7">
        <w:rPr>
          <w:rStyle w:val="Puslapioinaosnuoroda"/>
          <w:rFonts w:ascii="Times New Roman" w:hAnsi="Times New Roman" w:cs="Times New Roman"/>
        </w:rPr>
        <w:footnoteRef/>
      </w:r>
      <w:r w:rsidRPr="008244B7">
        <w:rPr>
          <w:rFonts w:ascii="Times New Roman" w:hAnsi="Times New Roman" w:cs="Times New Roman"/>
        </w:rPr>
        <w:t xml:space="preserve"> </w:t>
      </w:r>
      <w:r w:rsidRPr="00660F6A">
        <w:rPr>
          <w:rFonts w:ascii="Times New Roman" w:hAnsi="Times New Roman" w:cs="Times New Roman"/>
          <w:lang w:val="lt-LT"/>
        </w:rPr>
        <w:t>„</w:t>
      </w:r>
      <w:r w:rsidRPr="00D412C8">
        <w:rPr>
          <w:rFonts w:ascii="Times New Roman" w:hAnsi="Times New Roman" w:cs="Times New Roman"/>
          <w:color w:val="000000"/>
          <w:lang w:val="lt-LT"/>
        </w:rPr>
        <w:t>Numatomo pirkimo vertė yra perkančiosios organizacijos numatomos sudaryti pirkimo sutarties vertė, skaičiuojama imant visą mokėtiną sumą be pridėtinės vertės mokesčio, įskaitant visas pirkimo sutarties pasirinkimo ir atnaujinimo galimybes &lt;...&gt; Numatomo pirkimo vertė skaičiuojama tokia, kokia ji yra pirkimo pradžioje, nustatytoje šio įstatymo 7 straipsnio 2 dalyje</w:t>
      </w:r>
      <w:r w:rsidRPr="00D412C8">
        <w:rPr>
          <w:rFonts w:ascii="Times New Roman" w:eastAsia="Calibri" w:hAnsi="Times New Roman" w:cs="Times New Roman"/>
          <w:bCs/>
          <w:lang w:val="lt-LT"/>
        </w:rPr>
        <w:t>“.</w:t>
      </w:r>
    </w:p>
  </w:footnote>
  <w:footnote w:id="2">
    <w:p w:rsidR="00D412C8" w:rsidRPr="00D412C8" w:rsidRDefault="00D412C8" w:rsidP="00D412C8">
      <w:pPr>
        <w:pStyle w:val="Puslapioinaostekstas"/>
        <w:jc w:val="both"/>
        <w:rPr>
          <w:lang w:val="lt-LT"/>
        </w:rPr>
      </w:pPr>
      <w:r w:rsidRPr="00D412C8">
        <w:rPr>
          <w:rStyle w:val="Puslapioinaosnuoroda"/>
          <w:lang w:val="lt-LT"/>
        </w:rPr>
        <w:footnoteRef/>
      </w:r>
      <w:r w:rsidRPr="00D412C8">
        <w:rPr>
          <w:lang w:val="lt-LT"/>
        </w:rPr>
        <w:t xml:space="preserve"> </w:t>
      </w:r>
      <w:r w:rsidRPr="00D412C8">
        <w:rPr>
          <w:rFonts w:ascii="Times New Roman" w:hAnsi="Times New Roman" w:cs="Times New Roman"/>
          <w:lang w:val="lt-LT"/>
        </w:rPr>
        <w:t>„Numatomo prekių, paslaugų ar darbų pirkimo vertė apskaičiuojama pagal Viešųjų pirkimų tarnybos patvirtintą pirkimo vertės apskaičiavimo metodiką“.</w:t>
      </w:r>
    </w:p>
  </w:footnote>
  <w:footnote w:id="3">
    <w:p w:rsidR="00D412C8" w:rsidRPr="00D412C8" w:rsidRDefault="00D412C8" w:rsidP="00D412C8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412C8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D412C8">
        <w:rPr>
          <w:rFonts w:ascii="Times New Roman" w:hAnsi="Times New Roman" w:cs="Times New Roman"/>
          <w:lang w:val="lt-LT"/>
        </w:rPr>
        <w:t xml:space="preserve"> </w:t>
      </w:r>
      <w:r w:rsidRPr="00D412C8">
        <w:rPr>
          <w:rFonts w:ascii="Times New Roman" w:hAnsi="Times New Roman" w:cs="Times New Roman"/>
          <w:lang w:val="lt-LT" w:eastAsia="lt-LT"/>
        </w:rPr>
        <w:t>„</w:t>
      </w:r>
      <w:r w:rsidRPr="00D412C8">
        <w:rPr>
          <w:rFonts w:ascii="Times New Roman" w:hAnsi="Times New Roman" w:cs="Times New Roman"/>
          <w:lang w:val="lt-LT"/>
        </w:rPr>
        <w:t>Siekdama nustatyti pirkimo vertę perkančioji organizacija turi &lt;...&gt; remdamasi skaičiuojamosiomis kainomis, panašių pirkimų praktika, rinkos ir kitais tyrimais nustatyti numatomos (numatomų) sudaryti pirkimo sutarties (sutarčių) preliminarią vertę“.</w:t>
      </w:r>
    </w:p>
  </w:footnote>
  <w:footnote w:id="4">
    <w:p w:rsidR="00D412C8" w:rsidRPr="00D412C8" w:rsidRDefault="00D412C8" w:rsidP="00D412C8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412C8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D412C8">
        <w:rPr>
          <w:rFonts w:ascii="Times New Roman" w:hAnsi="Times New Roman" w:cs="Times New Roman"/>
          <w:lang w:val="lt-LT"/>
        </w:rPr>
        <w:t xml:space="preserve"> Perkančioji organizacija neužtikrino </w:t>
      </w:r>
      <w:r w:rsidRPr="00D412C8">
        <w:rPr>
          <w:rFonts w:ascii="Times New Roman" w:hAnsi="Times New Roman" w:cs="Times New Roman"/>
          <w:lang w:val="lt-LT" w:eastAsia="lt-LT"/>
        </w:rPr>
        <w:t>Įstatymo 3 straipsnio 1 dalyje įtvirtintus lygiateisiškumo bei skaidrumo principus ir neužtikrino Viešųjų pirkimų įstatymo 3 straipsnio 2 dalyje nustatyto pirkimų tikslo („</w:t>
      </w:r>
      <w:r w:rsidRPr="00D412C8">
        <w:rPr>
          <w:rFonts w:ascii="Times New Roman" w:hAnsi="Times New Roman" w:cs="Times New Roman"/>
          <w:i/>
          <w:lang w:val="lt-LT" w:eastAsia="lt-LT"/>
        </w:rPr>
        <w:t>vadovaujantis šio įstatymo reikalavimais sudaryti pirkimo sutartį, leidžiančią įsigyti perkančiajai organizacijai (atlikti pirkimą įgaliojusiai organizacijai) ar tretiesiems asmenims reikalingų prekių, paslaugų ar darbų, racionaliai naudojant tam skirtas lėšas</w:t>
      </w:r>
      <w:r w:rsidRPr="00D412C8">
        <w:rPr>
          <w:rFonts w:ascii="Times New Roman" w:hAnsi="Times New Roman" w:cs="Times New Roman"/>
          <w:lang w:val="lt-LT" w:eastAsia="lt-LT"/>
        </w:rPr>
        <w:t>“) įgyvendinimo.</w:t>
      </w:r>
    </w:p>
  </w:footnote>
  <w:footnote w:id="5">
    <w:p w:rsidR="00D412C8" w:rsidRPr="00D412C8" w:rsidRDefault="00D412C8" w:rsidP="00D412C8">
      <w:pPr>
        <w:pStyle w:val="Puslapioinaostekstas"/>
        <w:jc w:val="both"/>
        <w:rPr>
          <w:lang w:val="lt-LT"/>
        </w:rPr>
      </w:pPr>
      <w:r w:rsidRPr="00D412C8">
        <w:rPr>
          <w:rStyle w:val="Puslapioinaosnuoroda"/>
          <w:lang w:val="lt-LT"/>
        </w:rPr>
        <w:footnoteRef/>
      </w:r>
      <w:r w:rsidRPr="00D412C8">
        <w:rPr>
          <w:lang w:val="lt-LT"/>
        </w:rPr>
        <w:t xml:space="preserve"> </w:t>
      </w:r>
      <w:r w:rsidRPr="00D412C8">
        <w:rPr>
          <w:rFonts w:ascii="Times New Roman" w:hAnsi="Times New Roman" w:cs="Times New Roman"/>
          <w:lang w:val="lt-LT"/>
        </w:rPr>
        <w:t>„P</w:t>
      </w:r>
      <w:r w:rsidRPr="00D412C8">
        <w:rPr>
          <w:rFonts w:ascii="Times New Roman" w:eastAsia="Calibri" w:hAnsi="Times New Roman" w:cs="Times New Roman"/>
          <w:lang w:val="lt-LT"/>
        </w:rPr>
        <w:t>erkančioji organizacija pasiūlymą turi atmesti, jeigu visų dalyvių, kurių pasiūlymai neatmesti dėl kitų priežasčių, buvo pasiūlytos per didelės, perkančiajai organizacijai nepriimtinos kainos“.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2B2D"/>
    <w:multiLevelType w:val="hybridMultilevel"/>
    <w:tmpl w:val="E0887E30"/>
    <w:lvl w:ilvl="0" w:tplc="D77C6BB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28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6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7" w15:restartNumberingAfterBreak="0">
    <w:nsid w:val="74EE0CD4"/>
    <w:multiLevelType w:val="hybridMultilevel"/>
    <w:tmpl w:val="D474E44A"/>
    <w:lvl w:ilvl="0" w:tplc="A8B83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9"/>
  </w:num>
  <w:num w:numId="3">
    <w:abstractNumId w:val="23"/>
  </w:num>
  <w:num w:numId="4">
    <w:abstractNumId w:val="32"/>
  </w:num>
  <w:num w:numId="5">
    <w:abstractNumId w:val="38"/>
  </w:num>
  <w:num w:numId="6">
    <w:abstractNumId w:val="4"/>
  </w:num>
  <w:num w:numId="7">
    <w:abstractNumId w:val="12"/>
  </w:num>
  <w:num w:numId="8">
    <w:abstractNumId w:val="31"/>
  </w:num>
  <w:num w:numId="9">
    <w:abstractNumId w:val="8"/>
  </w:num>
  <w:num w:numId="10">
    <w:abstractNumId w:val="24"/>
  </w:num>
  <w:num w:numId="11">
    <w:abstractNumId w:val="3"/>
  </w:num>
  <w:num w:numId="12">
    <w:abstractNumId w:val="22"/>
  </w:num>
  <w:num w:numId="13">
    <w:abstractNumId w:val="27"/>
  </w:num>
  <w:num w:numId="14">
    <w:abstractNumId w:val="6"/>
  </w:num>
  <w:num w:numId="15">
    <w:abstractNumId w:val="11"/>
  </w:num>
  <w:num w:numId="16">
    <w:abstractNumId w:val="29"/>
  </w:num>
  <w:num w:numId="17">
    <w:abstractNumId w:val="28"/>
  </w:num>
  <w:num w:numId="18">
    <w:abstractNumId w:val="35"/>
  </w:num>
  <w:num w:numId="19">
    <w:abstractNumId w:val="18"/>
  </w:num>
  <w:num w:numId="20">
    <w:abstractNumId w:val="17"/>
  </w:num>
  <w:num w:numId="21">
    <w:abstractNumId w:val="9"/>
  </w:num>
  <w:num w:numId="22">
    <w:abstractNumId w:val="1"/>
  </w:num>
  <w:num w:numId="23">
    <w:abstractNumId w:val="10"/>
  </w:num>
  <w:num w:numId="24">
    <w:abstractNumId w:val="0"/>
  </w:num>
  <w:num w:numId="25">
    <w:abstractNumId w:val="16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2"/>
  </w:num>
  <w:num w:numId="31">
    <w:abstractNumId w:val="34"/>
  </w:num>
  <w:num w:numId="32">
    <w:abstractNumId w:val="13"/>
  </w:num>
  <w:num w:numId="33">
    <w:abstractNumId w:val="33"/>
  </w:num>
  <w:num w:numId="34">
    <w:abstractNumId w:val="19"/>
  </w:num>
  <w:num w:numId="35">
    <w:abstractNumId w:val="25"/>
  </w:num>
  <w:num w:numId="36">
    <w:abstractNumId w:val="30"/>
  </w:num>
  <w:num w:numId="37">
    <w:abstractNumId w:val="26"/>
  </w:num>
  <w:num w:numId="38">
    <w:abstractNumId w:val="3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4111C"/>
    <w:rsid w:val="00041245"/>
    <w:rsid w:val="00043B22"/>
    <w:rsid w:val="000474AA"/>
    <w:rsid w:val="00054198"/>
    <w:rsid w:val="000552B0"/>
    <w:rsid w:val="00057F8C"/>
    <w:rsid w:val="00065B9B"/>
    <w:rsid w:val="00066D43"/>
    <w:rsid w:val="00067CE8"/>
    <w:rsid w:val="00075A88"/>
    <w:rsid w:val="00075B0D"/>
    <w:rsid w:val="0008234B"/>
    <w:rsid w:val="00085418"/>
    <w:rsid w:val="00093B02"/>
    <w:rsid w:val="00093B2C"/>
    <w:rsid w:val="000A2F8E"/>
    <w:rsid w:val="000A336E"/>
    <w:rsid w:val="000A66E6"/>
    <w:rsid w:val="000B46C0"/>
    <w:rsid w:val="000C19E9"/>
    <w:rsid w:val="000C20C2"/>
    <w:rsid w:val="000C515A"/>
    <w:rsid w:val="000C5F03"/>
    <w:rsid w:val="000C6ED4"/>
    <w:rsid w:val="000D1879"/>
    <w:rsid w:val="000D3D36"/>
    <w:rsid w:val="000D3E88"/>
    <w:rsid w:val="000E3558"/>
    <w:rsid w:val="000E4F6F"/>
    <w:rsid w:val="000E7B16"/>
    <w:rsid w:val="000F1325"/>
    <w:rsid w:val="000F1C2C"/>
    <w:rsid w:val="000F27D5"/>
    <w:rsid w:val="000F4593"/>
    <w:rsid w:val="000F6C05"/>
    <w:rsid w:val="000F6D6C"/>
    <w:rsid w:val="00101D0C"/>
    <w:rsid w:val="001057DE"/>
    <w:rsid w:val="00114DD4"/>
    <w:rsid w:val="001155C7"/>
    <w:rsid w:val="00120D6E"/>
    <w:rsid w:val="00121EA3"/>
    <w:rsid w:val="00121F78"/>
    <w:rsid w:val="00122F9E"/>
    <w:rsid w:val="00131CB4"/>
    <w:rsid w:val="0013683D"/>
    <w:rsid w:val="0014028C"/>
    <w:rsid w:val="001404F3"/>
    <w:rsid w:val="001426D8"/>
    <w:rsid w:val="0014601B"/>
    <w:rsid w:val="00151FA3"/>
    <w:rsid w:val="0015217D"/>
    <w:rsid w:val="00155525"/>
    <w:rsid w:val="00161236"/>
    <w:rsid w:val="0016439A"/>
    <w:rsid w:val="00165133"/>
    <w:rsid w:val="00170DA0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0CD"/>
    <w:rsid w:val="001A3A03"/>
    <w:rsid w:val="001A4E6D"/>
    <w:rsid w:val="001A59B7"/>
    <w:rsid w:val="001A6E55"/>
    <w:rsid w:val="001A7519"/>
    <w:rsid w:val="001B3C55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3DBD"/>
    <w:rsid w:val="002043AE"/>
    <w:rsid w:val="00213292"/>
    <w:rsid w:val="00214748"/>
    <w:rsid w:val="002179C6"/>
    <w:rsid w:val="00220083"/>
    <w:rsid w:val="002201D6"/>
    <w:rsid w:val="00221D89"/>
    <w:rsid w:val="00226F35"/>
    <w:rsid w:val="002271FE"/>
    <w:rsid w:val="00227537"/>
    <w:rsid w:val="00230BF6"/>
    <w:rsid w:val="00237ED3"/>
    <w:rsid w:val="0024059C"/>
    <w:rsid w:val="00242D24"/>
    <w:rsid w:val="00243FAC"/>
    <w:rsid w:val="002441C4"/>
    <w:rsid w:val="00246C98"/>
    <w:rsid w:val="0026481C"/>
    <w:rsid w:val="00275FB2"/>
    <w:rsid w:val="00276DEF"/>
    <w:rsid w:val="00277007"/>
    <w:rsid w:val="002806AD"/>
    <w:rsid w:val="00281F9A"/>
    <w:rsid w:val="002852A7"/>
    <w:rsid w:val="0029371F"/>
    <w:rsid w:val="00295E35"/>
    <w:rsid w:val="0029614D"/>
    <w:rsid w:val="002968F9"/>
    <w:rsid w:val="002A2BF1"/>
    <w:rsid w:val="002A2D0F"/>
    <w:rsid w:val="002A4102"/>
    <w:rsid w:val="002B0659"/>
    <w:rsid w:val="002B0BB0"/>
    <w:rsid w:val="002B4EE8"/>
    <w:rsid w:val="002B5E43"/>
    <w:rsid w:val="002B6789"/>
    <w:rsid w:val="002C38A6"/>
    <w:rsid w:val="002C4DB9"/>
    <w:rsid w:val="002C58E9"/>
    <w:rsid w:val="002C6680"/>
    <w:rsid w:val="002D3EDA"/>
    <w:rsid w:val="002E0E16"/>
    <w:rsid w:val="002E145F"/>
    <w:rsid w:val="002E2985"/>
    <w:rsid w:val="002E6F44"/>
    <w:rsid w:val="002F00A9"/>
    <w:rsid w:val="003021F6"/>
    <w:rsid w:val="003023DB"/>
    <w:rsid w:val="00307F8F"/>
    <w:rsid w:val="00311B02"/>
    <w:rsid w:val="00313361"/>
    <w:rsid w:val="00313455"/>
    <w:rsid w:val="003162F7"/>
    <w:rsid w:val="003251DE"/>
    <w:rsid w:val="00331C91"/>
    <w:rsid w:val="00334C30"/>
    <w:rsid w:val="003374EE"/>
    <w:rsid w:val="00340E5B"/>
    <w:rsid w:val="003565DE"/>
    <w:rsid w:val="00370765"/>
    <w:rsid w:val="0037586E"/>
    <w:rsid w:val="00377A8A"/>
    <w:rsid w:val="00377C32"/>
    <w:rsid w:val="00382EF1"/>
    <w:rsid w:val="00386B5E"/>
    <w:rsid w:val="00387828"/>
    <w:rsid w:val="00391A1D"/>
    <w:rsid w:val="00392B07"/>
    <w:rsid w:val="0039481D"/>
    <w:rsid w:val="003974B1"/>
    <w:rsid w:val="003A0F96"/>
    <w:rsid w:val="003A2E94"/>
    <w:rsid w:val="003A31F9"/>
    <w:rsid w:val="003A6AA8"/>
    <w:rsid w:val="003A7DCA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C3F"/>
    <w:rsid w:val="003E24C8"/>
    <w:rsid w:val="003E435E"/>
    <w:rsid w:val="003E7D47"/>
    <w:rsid w:val="003F01B6"/>
    <w:rsid w:val="003F2332"/>
    <w:rsid w:val="0040439F"/>
    <w:rsid w:val="00411706"/>
    <w:rsid w:val="00411D1D"/>
    <w:rsid w:val="00416B0D"/>
    <w:rsid w:val="00422723"/>
    <w:rsid w:val="004229AF"/>
    <w:rsid w:val="00426034"/>
    <w:rsid w:val="00430E4C"/>
    <w:rsid w:val="00431DC5"/>
    <w:rsid w:val="00432E27"/>
    <w:rsid w:val="00435485"/>
    <w:rsid w:val="00437480"/>
    <w:rsid w:val="00440769"/>
    <w:rsid w:val="00440936"/>
    <w:rsid w:val="004447F0"/>
    <w:rsid w:val="004450E7"/>
    <w:rsid w:val="00445145"/>
    <w:rsid w:val="00451209"/>
    <w:rsid w:val="004518C3"/>
    <w:rsid w:val="00455B55"/>
    <w:rsid w:val="00455BB0"/>
    <w:rsid w:val="00457788"/>
    <w:rsid w:val="004619B2"/>
    <w:rsid w:val="00463A83"/>
    <w:rsid w:val="00463C95"/>
    <w:rsid w:val="00464513"/>
    <w:rsid w:val="00465826"/>
    <w:rsid w:val="00465F98"/>
    <w:rsid w:val="00466224"/>
    <w:rsid w:val="00466E2D"/>
    <w:rsid w:val="004700B0"/>
    <w:rsid w:val="0047431D"/>
    <w:rsid w:val="004756E6"/>
    <w:rsid w:val="00476E8B"/>
    <w:rsid w:val="004908D0"/>
    <w:rsid w:val="00496DC5"/>
    <w:rsid w:val="004A15C1"/>
    <w:rsid w:val="004A20DB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E5E41"/>
    <w:rsid w:val="004F29DC"/>
    <w:rsid w:val="004F35FA"/>
    <w:rsid w:val="00504B73"/>
    <w:rsid w:val="0050545D"/>
    <w:rsid w:val="00513DF0"/>
    <w:rsid w:val="00514293"/>
    <w:rsid w:val="00522F8A"/>
    <w:rsid w:val="00525A89"/>
    <w:rsid w:val="00534448"/>
    <w:rsid w:val="00536648"/>
    <w:rsid w:val="00540E8A"/>
    <w:rsid w:val="00541357"/>
    <w:rsid w:val="005424AD"/>
    <w:rsid w:val="005457CC"/>
    <w:rsid w:val="00547AFF"/>
    <w:rsid w:val="00556F09"/>
    <w:rsid w:val="00562F97"/>
    <w:rsid w:val="005724EA"/>
    <w:rsid w:val="005776F4"/>
    <w:rsid w:val="00583661"/>
    <w:rsid w:val="00584815"/>
    <w:rsid w:val="00585A4D"/>
    <w:rsid w:val="0058741E"/>
    <w:rsid w:val="00593A6F"/>
    <w:rsid w:val="0059657F"/>
    <w:rsid w:val="005A2E1B"/>
    <w:rsid w:val="005A75A4"/>
    <w:rsid w:val="005A7F48"/>
    <w:rsid w:val="005B107C"/>
    <w:rsid w:val="005B15FD"/>
    <w:rsid w:val="005B4AC7"/>
    <w:rsid w:val="005B66C2"/>
    <w:rsid w:val="005D01A3"/>
    <w:rsid w:val="005D089F"/>
    <w:rsid w:val="005D0BC6"/>
    <w:rsid w:val="005D2CA2"/>
    <w:rsid w:val="005E0FBF"/>
    <w:rsid w:val="005E1D8D"/>
    <w:rsid w:val="005E21DF"/>
    <w:rsid w:val="005E4589"/>
    <w:rsid w:val="005F6C08"/>
    <w:rsid w:val="00603446"/>
    <w:rsid w:val="00603C4E"/>
    <w:rsid w:val="00607934"/>
    <w:rsid w:val="006111DA"/>
    <w:rsid w:val="00612DE8"/>
    <w:rsid w:val="00612F3B"/>
    <w:rsid w:val="00616C55"/>
    <w:rsid w:val="006233C9"/>
    <w:rsid w:val="00634CED"/>
    <w:rsid w:val="006352F3"/>
    <w:rsid w:val="00636CE3"/>
    <w:rsid w:val="00643583"/>
    <w:rsid w:val="0064529A"/>
    <w:rsid w:val="006457C3"/>
    <w:rsid w:val="0065379C"/>
    <w:rsid w:val="00662A11"/>
    <w:rsid w:val="00667A00"/>
    <w:rsid w:val="0067077F"/>
    <w:rsid w:val="006741AE"/>
    <w:rsid w:val="00674BB0"/>
    <w:rsid w:val="006760D4"/>
    <w:rsid w:val="00681361"/>
    <w:rsid w:val="006867B4"/>
    <w:rsid w:val="00690339"/>
    <w:rsid w:val="0069046E"/>
    <w:rsid w:val="00695442"/>
    <w:rsid w:val="006965FC"/>
    <w:rsid w:val="006A22AE"/>
    <w:rsid w:val="006A4755"/>
    <w:rsid w:val="006B5750"/>
    <w:rsid w:val="006C75D4"/>
    <w:rsid w:val="006C7E58"/>
    <w:rsid w:val="006D1A7C"/>
    <w:rsid w:val="006D53E8"/>
    <w:rsid w:val="006D6C10"/>
    <w:rsid w:val="006E5172"/>
    <w:rsid w:val="006F2575"/>
    <w:rsid w:val="006F6616"/>
    <w:rsid w:val="00702637"/>
    <w:rsid w:val="007032C0"/>
    <w:rsid w:val="00706930"/>
    <w:rsid w:val="00711D28"/>
    <w:rsid w:val="007126E1"/>
    <w:rsid w:val="00713117"/>
    <w:rsid w:val="0071396E"/>
    <w:rsid w:val="00713C2D"/>
    <w:rsid w:val="0072166C"/>
    <w:rsid w:val="00724A2F"/>
    <w:rsid w:val="007269F7"/>
    <w:rsid w:val="007274FE"/>
    <w:rsid w:val="00740F2F"/>
    <w:rsid w:val="0074598C"/>
    <w:rsid w:val="00747B85"/>
    <w:rsid w:val="0075243C"/>
    <w:rsid w:val="007540C1"/>
    <w:rsid w:val="00756C65"/>
    <w:rsid w:val="00762F32"/>
    <w:rsid w:val="00780C1E"/>
    <w:rsid w:val="0078290C"/>
    <w:rsid w:val="00783047"/>
    <w:rsid w:val="007846F0"/>
    <w:rsid w:val="0078555A"/>
    <w:rsid w:val="00787E66"/>
    <w:rsid w:val="00790165"/>
    <w:rsid w:val="00794970"/>
    <w:rsid w:val="007A1C3E"/>
    <w:rsid w:val="007A38B3"/>
    <w:rsid w:val="007A7ABA"/>
    <w:rsid w:val="007C01D0"/>
    <w:rsid w:val="007D3107"/>
    <w:rsid w:val="007D707A"/>
    <w:rsid w:val="007E0E8B"/>
    <w:rsid w:val="007E2DBB"/>
    <w:rsid w:val="007E4301"/>
    <w:rsid w:val="007E45B5"/>
    <w:rsid w:val="007E7047"/>
    <w:rsid w:val="007F09E8"/>
    <w:rsid w:val="0080716D"/>
    <w:rsid w:val="00814533"/>
    <w:rsid w:val="008147A8"/>
    <w:rsid w:val="00816D04"/>
    <w:rsid w:val="00820E33"/>
    <w:rsid w:val="008222C9"/>
    <w:rsid w:val="008244B7"/>
    <w:rsid w:val="0082697A"/>
    <w:rsid w:val="00830E7B"/>
    <w:rsid w:val="00834366"/>
    <w:rsid w:val="008461FE"/>
    <w:rsid w:val="0085037E"/>
    <w:rsid w:val="00850388"/>
    <w:rsid w:val="00854116"/>
    <w:rsid w:val="00857B02"/>
    <w:rsid w:val="008635E6"/>
    <w:rsid w:val="0086518C"/>
    <w:rsid w:val="00865E82"/>
    <w:rsid w:val="00870494"/>
    <w:rsid w:val="00870BC4"/>
    <w:rsid w:val="00872DC8"/>
    <w:rsid w:val="00884239"/>
    <w:rsid w:val="00884FF7"/>
    <w:rsid w:val="0088620F"/>
    <w:rsid w:val="008866BF"/>
    <w:rsid w:val="008870C7"/>
    <w:rsid w:val="008874FE"/>
    <w:rsid w:val="00890A65"/>
    <w:rsid w:val="008A0660"/>
    <w:rsid w:val="008A0C26"/>
    <w:rsid w:val="008A5BB1"/>
    <w:rsid w:val="008A5EF3"/>
    <w:rsid w:val="008A61F3"/>
    <w:rsid w:val="008A75FA"/>
    <w:rsid w:val="008B12E7"/>
    <w:rsid w:val="008B3D96"/>
    <w:rsid w:val="008C02FC"/>
    <w:rsid w:val="008C5C66"/>
    <w:rsid w:val="008C6EE5"/>
    <w:rsid w:val="008D000D"/>
    <w:rsid w:val="008D002A"/>
    <w:rsid w:val="008D0A6F"/>
    <w:rsid w:val="008D3B2A"/>
    <w:rsid w:val="008D6CAD"/>
    <w:rsid w:val="008D791E"/>
    <w:rsid w:val="008E0A49"/>
    <w:rsid w:val="008E118B"/>
    <w:rsid w:val="008E43A6"/>
    <w:rsid w:val="008F0889"/>
    <w:rsid w:val="008F152C"/>
    <w:rsid w:val="008F1A44"/>
    <w:rsid w:val="008F2E84"/>
    <w:rsid w:val="008F4663"/>
    <w:rsid w:val="008F4A7F"/>
    <w:rsid w:val="0090549B"/>
    <w:rsid w:val="009074C1"/>
    <w:rsid w:val="00916413"/>
    <w:rsid w:val="009267DF"/>
    <w:rsid w:val="009312DA"/>
    <w:rsid w:val="0093312F"/>
    <w:rsid w:val="00934736"/>
    <w:rsid w:val="0093671C"/>
    <w:rsid w:val="00940150"/>
    <w:rsid w:val="009422BA"/>
    <w:rsid w:val="00943A91"/>
    <w:rsid w:val="00945D83"/>
    <w:rsid w:val="00947885"/>
    <w:rsid w:val="00950E36"/>
    <w:rsid w:val="009539A7"/>
    <w:rsid w:val="0095761F"/>
    <w:rsid w:val="00960D71"/>
    <w:rsid w:val="00961B38"/>
    <w:rsid w:val="009629A5"/>
    <w:rsid w:val="009636B5"/>
    <w:rsid w:val="00963963"/>
    <w:rsid w:val="00974E79"/>
    <w:rsid w:val="009759D4"/>
    <w:rsid w:val="00980A7E"/>
    <w:rsid w:val="00980C2B"/>
    <w:rsid w:val="00981A33"/>
    <w:rsid w:val="009848DC"/>
    <w:rsid w:val="00985905"/>
    <w:rsid w:val="0098631E"/>
    <w:rsid w:val="0098733E"/>
    <w:rsid w:val="009902B2"/>
    <w:rsid w:val="009931B3"/>
    <w:rsid w:val="009A17C2"/>
    <w:rsid w:val="009A542C"/>
    <w:rsid w:val="009A6034"/>
    <w:rsid w:val="009A6F85"/>
    <w:rsid w:val="009B7505"/>
    <w:rsid w:val="009B78E3"/>
    <w:rsid w:val="009C3875"/>
    <w:rsid w:val="009C3E93"/>
    <w:rsid w:val="009D0218"/>
    <w:rsid w:val="009D1147"/>
    <w:rsid w:val="009D1808"/>
    <w:rsid w:val="009D21B3"/>
    <w:rsid w:val="009D594F"/>
    <w:rsid w:val="009E2E22"/>
    <w:rsid w:val="009E55F8"/>
    <w:rsid w:val="009E5E0A"/>
    <w:rsid w:val="009E77F1"/>
    <w:rsid w:val="009F3BD5"/>
    <w:rsid w:val="009F60D8"/>
    <w:rsid w:val="00A01C86"/>
    <w:rsid w:val="00A0645B"/>
    <w:rsid w:val="00A1021E"/>
    <w:rsid w:val="00A10326"/>
    <w:rsid w:val="00A1182C"/>
    <w:rsid w:val="00A17A11"/>
    <w:rsid w:val="00A21966"/>
    <w:rsid w:val="00A21B8A"/>
    <w:rsid w:val="00A220B9"/>
    <w:rsid w:val="00A34D03"/>
    <w:rsid w:val="00A37AA5"/>
    <w:rsid w:val="00A41914"/>
    <w:rsid w:val="00A43F16"/>
    <w:rsid w:val="00A46B9F"/>
    <w:rsid w:val="00A46F3E"/>
    <w:rsid w:val="00A500B8"/>
    <w:rsid w:val="00A51C74"/>
    <w:rsid w:val="00A541DF"/>
    <w:rsid w:val="00A56E73"/>
    <w:rsid w:val="00A57DDE"/>
    <w:rsid w:val="00A6251B"/>
    <w:rsid w:val="00A66E95"/>
    <w:rsid w:val="00A715BD"/>
    <w:rsid w:val="00A744D0"/>
    <w:rsid w:val="00A746EC"/>
    <w:rsid w:val="00A7490B"/>
    <w:rsid w:val="00A74C13"/>
    <w:rsid w:val="00A7589A"/>
    <w:rsid w:val="00A8437F"/>
    <w:rsid w:val="00A90060"/>
    <w:rsid w:val="00AA36BF"/>
    <w:rsid w:val="00AA4E04"/>
    <w:rsid w:val="00AA5B92"/>
    <w:rsid w:val="00AA5BBF"/>
    <w:rsid w:val="00AB12EC"/>
    <w:rsid w:val="00AB1809"/>
    <w:rsid w:val="00AB1C8E"/>
    <w:rsid w:val="00AB4E93"/>
    <w:rsid w:val="00AC3B04"/>
    <w:rsid w:val="00AD2D0B"/>
    <w:rsid w:val="00AD71B6"/>
    <w:rsid w:val="00AE07A6"/>
    <w:rsid w:val="00AF36B7"/>
    <w:rsid w:val="00AF3E0A"/>
    <w:rsid w:val="00AF484F"/>
    <w:rsid w:val="00AF795A"/>
    <w:rsid w:val="00B006B2"/>
    <w:rsid w:val="00B015AE"/>
    <w:rsid w:val="00B03E28"/>
    <w:rsid w:val="00B14E0B"/>
    <w:rsid w:val="00B21730"/>
    <w:rsid w:val="00B2434B"/>
    <w:rsid w:val="00B36DF2"/>
    <w:rsid w:val="00B448F0"/>
    <w:rsid w:val="00B4627F"/>
    <w:rsid w:val="00B5485F"/>
    <w:rsid w:val="00B54D6F"/>
    <w:rsid w:val="00B57A48"/>
    <w:rsid w:val="00B603E7"/>
    <w:rsid w:val="00B60D43"/>
    <w:rsid w:val="00B60FE5"/>
    <w:rsid w:val="00B61E6F"/>
    <w:rsid w:val="00B62D32"/>
    <w:rsid w:val="00B64236"/>
    <w:rsid w:val="00B66A4E"/>
    <w:rsid w:val="00B702A2"/>
    <w:rsid w:val="00B71DE3"/>
    <w:rsid w:val="00B72EC3"/>
    <w:rsid w:val="00B7669D"/>
    <w:rsid w:val="00B822E0"/>
    <w:rsid w:val="00B875B2"/>
    <w:rsid w:val="00B90296"/>
    <w:rsid w:val="00B92249"/>
    <w:rsid w:val="00B93F22"/>
    <w:rsid w:val="00B9471F"/>
    <w:rsid w:val="00B94791"/>
    <w:rsid w:val="00BA0568"/>
    <w:rsid w:val="00BA0688"/>
    <w:rsid w:val="00BA23BB"/>
    <w:rsid w:val="00BA2B50"/>
    <w:rsid w:val="00BA3D29"/>
    <w:rsid w:val="00BB1AE7"/>
    <w:rsid w:val="00BB73D0"/>
    <w:rsid w:val="00BB78F2"/>
    <w:rsid w:val="00BC0A77"/>
    <w:rsid w:val="00BD03B6"/>
    <w:rsid w:val="00BD1554"/>
    <w:rsid w:val="00BD1EE5"/>
    <w:rsid w:val="00BD2D72"/>
    <w:rsid w:val="00BD31EE"/>
    <w:rsid w:val="00BD3FF8"/>
    <w:rsid w:val="00BD414B"/>
    <w:rsid w:val="00BD7E32"/>
    <w:rsid w:val="00BE3B96"/>
    <w:rsid w:val="00BE6ECD"/>
    <w:rsid w:val="00BF1392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30F38"/>
    <w:rsid w:val="00C34BB1"/>
    <w:rsid w:val="00C356FB"/>
    <w:rsid w:val="00C40605"/>
    <w:rsid w:val="00C413AB"/>
    <w:rsid w:val="00C47A33"/>
    <w:rsid w:val="00C50805"/>
    <w:rsid w:val="00C510AC"/>
    <w:rsid w:val="00C52557"/>
    <w:rsid w:val="00C5404D"/>
    <w:rsid w:val="00C54789"/>
    <w:rsid w:val="00C55343"/>
    <w:rsid w:val="00C5562E"/>
    <w:rsid w:val="00C55815"/>
    <w:rsid w:val="00C55E19"/>
    <w:rsid w:val="00C56014"/>
    <w:rsid w:val="00C608CA"/>
    <w:rsid w:val="00C646CB"/>
    <w:rsid w:val="00C64A12"/>
    <w:rsid w:val="00C66589"/>
    <w:rsid w:val="00C66D44"/>
    <w:rsid w:val="00C678B6"/>
    <w:rsid w:val="00C70FC6"/>
    <w:rsid w:val="00C72D9B"/>
    <w:rsid w:val="00C77585"/>
    <w:rsid w:val="00C77BBE"/>
    <w:rsid w:val="00C82308"/>
    <w:rsid w:val="00C83E80"/>
    <w:rsid w:val="00C85377"/>
    <w:rsid w:val="00C85D46"/>
    <w:rsid w:val="00C93EA4"/>
    <w:rsid w:val="00C9591A"/>
    <w:rsid w:val="00CA00D9"/>
    <w:rsid w:val="00CA2725"/>
    <w:rsid w:val="00CA355C"/>
    <w:rsid w:val="00CA655C"/>
    <w:rsid w:val="00CB2564"/>
    <w:rsid w:val="00CB5BE4"/>
    <w:rsid w:val="00CC226F"/>
    <w:rsid w:val="00CC503E"/>
    <w:rsid w:val="00CC5A72"/>
    <w:rsid w:val="00CC5FA6"/>
    <w:rsid w:val="00CC6446"/>
    <w:rsid w:val="00CC709A"/>
    <w:rsid w:val="00CD1B75"/>
    <w:rsid w:val="00CD5FFF"/>
    <w:rsid w:val="00CE0DCA"/>
    <w:rsid w:val="00CF6DE2"/>
    <w:rsid w:val="00CF75E1"/>
    <w:rsid w:val="00D00B37"/>
    <w:rsid w:val="00D0440E"/>
    <w:rsid w:val="00D054D1"/>
    <w:rsid w:val="00D0747A"/>
    <w:rsid w:val="00D116EC"/>
    <w:rsid w:val="00D124EC"/>
    <w:rsid w:val="00D153D7"/>
    <w:rsid w:val="00D26829"/>
    <w:rsid w:val="00D32EBC"/>
    <w:rsid w:val="00D33365"/>
    <w:rsid w:val="00D37A87"/>
    <w:rsid w:val="00D412C8"/>
    <w:rsid w:val="00D4579D"/>
    <w:rsid w:val="00D50573"/>
    <w:rsid w:val="00D51A18"/>
    <w:rsid w:val="00D54DB6"/>
    <w:rsid w:val="00D666AA"/>
    <w:rsid w:val="00D67162"/>
    <w:rsid w:val="00D752A8"/>
    <w:rsid w:val="00D75383"/>
    <w:rsid w:val="00D80992"/>
    <w:rsid w:val="00D83099"/>
    <w:rsid w:val="00D85B74"/>
    <w:rsid w:val="00D873C8"/>
    <w:rsid w:val="00D87A05"/>
    <w:rsid w:val="00D915F4"/>
    <w:rsid w:val="00D927F3"/>
    <w:rsid w:val="00D93E8E"/>
    <w:rsid w:val="00D9660C"/>
    <w:rsid w:val="00DA049A"/>
    <w:rsid w:val="00DA0A5E"/>
    <w:rsid w:val="00DA157B"/>
    <w:rsid w:val="00DA20EB"/>
    <w:rsid w:val="00DA3252"/>
    <w:rsid w:val="00DA5E7E"/>
    <w:rsid w:val="00DA65FC"/>
    <w:rsid w:val="00DA6B7B"/>
    <w:rsid w:val="00DA7722"/>
    <w:rsid w:val="00DB1B06"/>
    <w:rsid w:val="00DB2A12"/>
    <w:rsid w:val="00DB55FB"/>
    <w:rsid w:val="00DB70C3"/>
    <w:rsid w:val="00DC4908"/>
    <w:rsid w:val="00DD19F3"/>
    <w:rsid w:val="00DD21BE"/>
    <w:rsid w:val="00DE086F"/>
    <w:rsid w:val="00DE10CF"/>
    <w:rsid w:val="00DE518B"/>
    <w:rsid w:val="00DE543B"/>
    <w:rsid w:val="00DE6B30"/>
    <w:rsid w:val="00DF625C"/>
    <w:rsid w:val="00DF7FB8"/>
    <w:rsid w:val="00E06340"/>
    <w:rsid w:val="00E074EB"/>
    <w:rsid w:val="00E10B4E"/>
    <w:rsid w:val="00E224A4"/>
    <w:rsid w:val="00E229B4"/>
    <w:rsid w:val="00E237F1"/>
    <w:rsid w:val="00E272A9"/>
    <w:rsid w:val="00E3057E"/>
    <w:rsid w:val="00E310EC"/>
    <w:rsid w:val="00E3540A"/>
    <w:rsid w:val="00E4194C"/>
    <w:rsid w:val="00E4274B"/>
    <w:rsid w:val="00E47623"/>
    <w:rsid w:val="00E537A7"/>
    <w:rsid w:val="00E53F3F"/>
    <w:rsid w:val="00E558CA"/>
    <w:rsid w:val="00E56EF1"/>
    <w:rsid w:val="00E57395"/>
    <w:rsid w:val="00E62AC6"/>
    <w:rsid w:val="00E70420"/>
    <w:rsid w:val="00E70F9C"/>
    <w:rsid w:val="00E831FA"/>
    <w:rsid w:val="00E8421E"/>
    <w:rsid w:val="00E90356"/>
    <w:rsid w:val="00E93D32"/>
    <w:rsid w:val="00E957CB"/>
    <w:rsid w:val="00E96F86"/>
    <w:rsid w:val="00E97437"/>
    <w:rsid w:val="00EA0D7B"/>
    <w:rsid w:val="00EA26BA"/>
    <w:rsid w:val="00EA4BA4"/>
    <w:rsid w:val="00EA5BA5"/>
    <w:rsid w:val="00EB024D"/>
    <w:rsid w:val="00EB0EEC"/>
    <w:rsid w:val="00EB1582"/>
    <w:rsid w:val="00EB1ACE"/>
    <w:rsid w:val="00EB21A2"/>
    <w:rsid w:val="00EB4966"/>
    <w:rsid w:val="00EB4B22"/>
    <w:rsid w:val="00EB4DCC"/>
    <w:rsid w:val="00EB7A30"/>
    <w:rsid w:val="00EC0919"/>
    <w:rsid w:val="00EC35DF"/>
    <w:rsid w:val="00EC6F75"/>
    <w:rsid w:val="00EC7C8F"/>
    <w:rsid w:val="00ED0B6C"/>
    <w:rsid w:val="00ED2E43"/>
    <w:rsid w:val="00ED4A71"/>
    <w:rsid w:val="00ED555E"/>
    <w:rsid w:val="00EE199F"/>
    <w:rsid w:val="00EE1A67"/>
    <w:rsid w:val="00EE6EFB"/>
    <w:rsid w:val="00EE7DE9"/>
    <w:rsid w:val="00EF1F6B"/>
    <w:rsid w:val="00EF2F7B"/>
    <w:rsid w:val="00F00AE1"/>
    <w:rsid w:val="00F01430"/>
    <w:rsid w:val="00F0491F"/>
    <w:rsid w:val="00F073EC"/>
    <w:rsid w:val="00F10811"/>
    <w:rsid w:val="00F10D84"/>
    <w:rsid w:val="00F11947"/>
    <w:rsid w:val="00F1709F"/>
    <w:rsid w:val="00F23CF4"/>
    <w:rsid w:val="00F300FC"/>
    <w:rsid w:val="00F307E1"/>
    <w:rsid w:val="00F3527F"/>
    <w:rsid w:val="00F35F41"/>
    <w:rsid w:val="00F37E9F"/>
    <w:rsid w:val="00F43787"/>
    <w:rsid w:val="00F462AE"/>
    <w:rsid w:val="00F53B5C"/>
    <w:rsid w:val="00F53E49"/>
    <w:rsid w:val="00F55732"/>
    <w:rsid w:val="00F56B3B"/>
    <w:rsid w:val="00F60F3B"/>
    <w:rsid w:val="00F67CB7"/>
    <w:rsid w:val="00F708C9"/>
    <w:rsid w:val="00F7296F"/>
    <w:rsid w:val="00F72B4C"/>
    <w:rsid w:val="00F7597D"/>
    <w:rsid w:val="00F8009F"/>
    <w:rsid w:val="00F818D6"/>
    <w:rsid w:val="00F82294"/>
    <w:rsid w:val="00F92E9F"/>
    <w:rsid w:val="00FA70CB"/>
    <w:rsid w:val="00FC0966"/>
    <w:rsid w:val="00FC2860"/>
    <w:rsid w:val="00FC420D"/>
    <w:rsid w:val="00FD285F"/>
    <w:rsid w:val="00FD452D"/>
    <w:rsid w:val="00FD6E65"/>
    <w:rsid w:val="00FD74E9"/>
    <w:rsid w:val="00FE0518"/>
    <w:rsid w:val="00FF139E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78DC1-C06F-4DDF-8A34-7E08C3A3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4</Pages>
  <Words>7084</Words>
  <Characters>4038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144</cp:revision>
  <cp:lastPrinted>2016-10-13T07:48:00Z</cp:lastPrinted>
  <dcterms:created xsi:type="dcterms:W3CDTF">2016-09-28T11:01:00Z</dcterms:created>
  <dcterms:modified xsi:type="dcterms:W3CDTF">2016-12-06T11:51:00Z</dcterms:modified>
</cp:coreProperties>
</file>