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46" w:rsidRDefault="00787846" w:rsidP="0011395D">
      <w:pPr>
        <w:suppressAutoHyphens/>
        <w:textAlignment w:val="center"/>
        <w:rPr>
          <w:rFonts w:eastAsia="Calibri"/>
          <w:b/>
          <w:szCs w:val="24"/>
        </w:rPr>
      </w:pPr>
    </w:p>
    <w:p w:rsidR="009C7CD8" w:rsidRDefault="009C7CD8" w:rsidP="002A07F4">
      <w:pPr>
        <w:spacing w:line="254" w:lineRule="auto"/>
        <w:ind w:right="49"/>
        <w:jc w:val="center"/>
        <w:rPr>
          <w:b/>
          <w:szCs w:val="24"/>
        </w:rPr>
      </w:pPr>
    </w:p>
    <w:p w:rsidR="002A07F4" w:rsidRDefault="002A07F4" w:rsidP="002A07F4">
      <w:pPr>
        <w:spacing w:line="254" w:lineRule="auto"/>
        <w:ind w:right="49"/>
        <w:jc w:val="center"/>
        <w:rPr>
          <w:b/>
          <w:szCs w:val="24"/>
        </w:rPr>
      </w:pPr>
      <w:r>
        <w:rPr>
          <w:rFonts w:eastAsia="Calibri"/>
          <w:noProof/>
          <w:szCs w:val="24"/>
          <w:lang w:eastAsia="lt-LT"/>
        </w:rPr>
        <w:drawing>
          <wp:inline distT="0" distB="0" distL="0" distR="0">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rsidR="00002C5B" w:rsidRDefault="00002C5B" w:rsidP="002A07F4">
      <w:pPr>
        <w:spacing w:line="254" w:lineRule="auto"/>
        <w:ind w:right="49"/>
        <w:jc w:val="center"/>
        <w:rPr>
          <w:b/>
          <w:szCs w:val="24"/>
        </w:rPr>
      </w:pPr>
    </w:p>
    <w:p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rsidR="002A07F4" w:rsidRDefault="002A07F4" w:rsidP="00EE6033">
      <w:pPr>
        <w:spacing w:line="254" w:lineRule="auto"/>
        <w:ind w:right="49"/>
        <w:rPr>
          <w:b/>
          <w:szCs w:val="24"/>
        </w:rPr>
      </w:pPr>
    </w:p>
    <w:p w:rsidR="002A07F4"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EA368F" w:rsidTr="00197368">
        <w:trPr>
          <w:cantSplit/>
          <w:trHeight w:val="1170"/>
        </w:trPr>
        <w:tc>
          <w:tcPr>
            <w:tcW w:w="5564" w:type="dxa"/>
          </w:tcPr>
          <w:p w:rsidR="00253945" w:rsidRDefault="007D3079" w:rsidP="00250424">
            <w:pPr>
              <w:tabs>
                <w:tab w:val="left" w:pos="273"/>
                <w:tab w:val="left" w:pos="900"/>
              </w:tabs>
              <w:ind w:hanging="88"/>
              <w:rPr>
                <w:szCs w:val="24"/>
              </w:rPr>
            </w:pPr>
            <w:r>
              <w:rPr>
                <w:szCs w:val="24"/>
              </w:rPr>
              <w:t xml:space="preserve">VšĮ </w:t>
            </w:r>
            <w:r w:rsidR="00627674">
              <w:rPr>
                <w:szCs w:val="24"/>
              </w:rPr>
              <w:t>Rokiškio</w:t>
            </w:r>
            <w:r w:rsidR="00253945">
              <w:rPr>
                <w:szCs w:val="24"/>
              </w:rPr>
              <w:t xml:space="preserve"> pirminės </w:t>
            </w:r>
            <w:r w:rsidR="00627674">
              <w:rPr>
                <w:szCs w:val="24"/>
              </w:rPr>
              <w:t>asmens</w:t>
            </w:r>
          </w:p>
          <w:p w:rsidR="00250424" w:rsidRDefault="00253945" w:rsidP="00250424">
            <w:pPr>
              <w:tabs>
                <w:tab w:val="left" w:pos="273"/>
                <w:tab w:val="left" w:pos="900"/>
              </w:tabs>
              <w:ind w:hanging="88"/>
              <w:rPr>
                <w:szCs w:val="24"/>
              </w:rPr>
            </w:pPr>
            <w:r>
              <w:rPr>
                <w:szCs w:val="24"/>
              </w:rPr>
              <w:t>sveikatos priežiūros centrui</w:t>
            </w:r>
          </w:p>
          <w:p w:rsidR="00D84F53" w:rsidRPr="00961043" w:rsidRDefault="00627674" w:rsidP="00250424">
            <w:pPr>
              <w:tabs>
                <w:tab w:val="left" w:pos="273"/>
                <w:tab w:val="left" w:pos="900"/>
              </w:tabs>
              <w:ind w:hanging="88"/>
              <w:rPr>
                <w:szCs w:val="24"/>
              </w:rPr>
            </w:pPr>
            <w:r>
              <w:rPr>
                <w:szCs w:val="24"/>
              </w:rPr>
              <w:t>Juodupės g. 1A</w:t>
            </w:r>
          </w:p>
          <w:p w:rsidR="00D84F53" w:rsidRPr="00961043" w:rsidRDefault="00D84F53" w:rsidP="00D84F53">
            <w:pPr>
              <w:tabs>
                <w:tab w:val="left" w:pos="273"/>
                <w:tab w:val="left" w:pos="900"/>
              </w:tabs>
              <w:ind w:hanging="88"/>
              <w:rPr>
                <w:szCs w:val="24"/>
              </w:rPr>
            </w:pPr>
            <w:r w:rsidRPr="00961043">
              <w:rPr>
                <w:szCs w:val="24"/>
              </w:rPr>
              <w:t>LT-</w:t>
            </w:r>
            <w:r w:rsidR="00627674">
              <w:rPr>
                <w:szCs w:val="24"/>
              </w:rPr>
              <w:t>42106 Rokiškis</w:t>
            </w:r>
          </w:p>
          <w:p w:rsidR="00D84F53" w:rsidRPr="00961043" w:rsidRDefault="00D84F53" w:rsidP="00D84F53">
            <w:pPr>
              <w:tabs>
                <w:tab w:val="left" w:pos="273"/>
                <w:tab w:val="left" w:pos="900"/>
              </w:tabs>
              <w:ind w:hanging="88"/>
              <w:rPr>
                <w:szCs w:val="24"/>
              </w:rPr>
            </w:pPr>
            <w:r w:rsidRPr="00961043">
              <w:rPr>
                <w:szCs w:val="24"/>
              </w:rPr>
              <w:t xml:space="preserve">El. p. </w:t>
            </w:r>
            <w:r w:rsidR="00627674">
              <w:rPr>
                <w:szCs w:val="24"/>
              </w:rPr>
              <w:t>rokpaspc</w:t>
            </w:r>
            <w:r w:rsidRPr="00961043">
              <w:rPr>
                <w:szCs w:val="24"/>
              </w:rPr>
              <w:t>@</w:t>
            </w:r>
            <w:r w:rsidR="00627674">
              <w:rPr>
                <w:szCs w:val="24"/>
              </w:rPr>
              <w:t>gmail</w:t>
            </w:r>
            <w:r w:rsidRPr="00961043">
              <w:rPr>
                <w:szCs w:val="24"/>
              </w:rPr>
              <w:t>.</w:t>
            </w:r>
            <w:r w:rsidR="00627674">
              <w:rPr>
                <w:szCs w:val="24"/>
              </w:rPr>
              <w:t>com</w:t>
            </w:r>
          </w:p>
          <w:p w:rsidR="00D84F53" w:rsidRPr="00EA368F" w:rsidRDefault="00D84F53" w:rsidP="00D84F53">
            <w:pPr>
              <w:tabs>
                <w:tab w:val="left" w:pos="6120"/>
              </w:tabs>
              <w:ind w:hanging="88"/>
              <w:rPr>
                <w:szCs w:val="24"/>
              </w:rPr>
            </w:pPr>
          </w:p>
        </w:tc>
        <w:tc>
          <w:tcPr>
            <w:tcW w:w="1545" w:type="dxa"/>
          </w:tcPr>
          <w:p w:rsidR="00DD272F" w:rsidRDefault="00D84F53" w:rsidP="00D84F53">
            <w:pPr>
              <w:tabs>
                <w:tab w:val="left" w:pos="900"/>
              </w:tabs>
              <w:rPr>
                <w:szCs w:val="24"/>
              </w:rPr>
            </w:pPr>
            <w:r w:rsidRPr="00EA368F">
              <w:rPr>
                <w:szCs w:val="24"/>
              </w:rPr>
              <w:t>201</w:t>
            </w:r>
            <w:r>
              <w:rPr>
                <w:szCs w:val="24"/>
              </w:rPr>
              <w:t>9</w:t>
            </w:r>
            <w:r w:rsidR="00253945">
              <w:rPr>
                <w:szCs w:val="24"/>
              </w:rPr>
              <w:t>-</w:t>
            </w:r>
            <w:r>
              <w:rPr>
                <w:szCs w:val="24"/>
              </w:rPr>
              <w:t xml:space="preserve"> </w:t>
            </w:r>
            <w:r w:rsidR="00253945">
              <w:rPr>
                <w:szCs w:val="24"/>
              </w:rPr>
              <w:t>03-</w:t>
            </w:r>
            <w:r>
              <w:rPr>
                <w:szCs w:val="24"/>
              </w:rPr>
              <w:t xml:space="preserve">   </w:t>
            </w:r>
          </w:p>
          <w:p w:rsidR="00D84F53" w:rsidRPr="00EA368F" w:rsidRDefault="00DD272F" w:rsidP="00D84F53">
            <w:pPr>
              <w:tabs>
                <w:tab w:val="left" w:pos="900"/>
              </w:tabs>
              <w:rPr>
                <w:szCs w:val="24"/>
              </w:rPr>
            </w:pPr>
            <w:r>
              <w:rPr>
                <w:szCs w:val="24"/>
              </w:rPr>
              <w:t>2019-02-21</w:t>
            </w:r>
            <w:r w:rsidR="00D84F53">
              <w:rPr>
                <w:szCs w:val="24"/>
              </w:rPr>
              <w:t xml:space="preserve">  </w:t>
            </w: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tc>
        <w:tc>
          <w:tcPr>
            <w:tcW w:w="2693" w:type="dxa"/>
          </w:tcPr>
          <w:p w:rsidR="00D84F53" w:rsidRPr="00EA368F" w:rsidRDefault="00D84F53" w:rsidP="00D84F53">
            <w:pPr>
              <w:tabs>
                <w:tab w:val="left" w:pos="900"/>
              </w:tabs>
              <w:rPr>
                <w:szCs w:val="24"/>
              </w:rPr>
            </w:pPr>
            <w:r w:rsidRPr="00EA368F">
              <w:rPr>
                <w:szCs w:val="24"/>
              </w:rPr>
              <w:t>Nr.</w:t>
            </w:r>
          </w:p>
          <w:p w:rsidR="00D84F53" w:rsidRPr="00EA368F" w:rsidRDefault="00DD272F" w:rsidP="00D84F53">
            <w:pPr>
              <w:tabs>
                <w:tab w:val="left" w:pos="900"/>
              </w:tabs>
              <w:rPr>
                <w:szCs w:val="24"/>
              </w:rPr>
            </w:pPr>
            <w:r>
              <w:rPr>
                <w:szCs w:val="24"/>
              </w:rPr>
              <w:t>Nr.          b/n</w:t>
            </w:r>
            <w:bookmarkStart w:id="0" w:name="_GoBack"/>
            <w:bookmarkEnd w:id="0"/>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p w:rsidR="00D84F53" w:rsidRPr="00EA368F" w:rsidRDefault="00D84F53" w:rsidP="00D84F53">
            <w:pPr>
              <w:tabs>
                <w:tab w:val="left" w:pos="900"/>
              </w:tabs>
              <w:rPr>
                <w:szCs w:val="24"/>
              </w:rPr>
            </w:pPr>
          </w:p>
        </w:tc>
        <w:tc>
          <w:tcPr>
            <w:tcW w:w="1483" w:type="dxa"/>
          </w:tcPr>
          <w:p w:rsidR="00D84F53" w:rsidRPr="00EA368F" w:rsidRDefault="00D84F53" w:rsidP="00D84F53">
            <w:pPr>
              <w:tabs>
                <w:tab w:val="left" w:pos="1422"/>
              </w:tabs>
              <w:ind w:left="-108"/>
              <w:rPr>
                <w:szCs w:val="24"/>
              </w:rPr>
            </w:pPr>
          </w:p>
        </w:tc>
      </w:tr>
    </w:tbl>
    <w:p w:rsidR="0074767A" w:rsidRDefault="0074767A" w:rsidP="0074767A">
      <w:pPr>
        <w:jc w:val="center"/>
        <w:rPr>
          <w:b/>
          <w:bCs/>
          <w:szCs w:val="24"/>
        </w:rPr>
      </w:pPr>
    </w:p>
    <w:p w:rsidR="0074767A" w:rsidRPr="00631C4F" w:rsidRDefault="0074767A" w:rsidP="0074767A">
      <w:pPr>
        <w:jc w:val="center"/>
        <w:rPr>
          <w:b/>
          <w:bCs/>
          <w:szCs w:val="24"/>
        </w:rPr>
      </w:pPr>
      <w:r w:rsidRPr="00631C4F">
        <w:rPr>
          <w:b/>
          <w:bCs/>
          <w:szCs w:val="24"/>
        </w:rPr>
        <w:t>VERTINIMO IŠVADA</w:t>
      </w:r>
    </w:p>
    <w:p w:rsidR="00400208" w:rsidRPr="00631C4F" w:rsidRDefault="00400208" w:rsidP="0074767A">
      <w:pPr>
        <w:rPr>
          <w:szCs w:val="24"/>
        </w:rPr>
      </w:pPr>
    </w:p>
    <w:p w:rsidR="003D5064" w:rsidRPr="00F40D60" w:rsidRDefault="003D5064" w:rsidP="00F058E5">
      <w:pPr>
        <w:ind w:left="-142" w:firstLine="568"/>
        <w:jc w:val="both"/>
        <w:rPr>
          <w:szCs w:val="24"/>
        </w:rPr>
      </w:pPr>
      <w:r w:rsidRPr="00F40D60">
        <w:rPr>
          <w:bCs/>
          <w:szCs w:val="24"/>
        </w:rPr>
        <w:t>Viešųjų pirkimų tarnyba (toliau – Tarnyba), vadovaudamasi Lietuvos Respublikos viešųjų</w:t>
      </w:r>
      <w:r w:rsidR="00F058E5">
        <w:rPr>
          <w:bCs/>
          <w:szCs w:val="24"/>
        </w:rPr>
        <w:t xml:space="preserve"> </w:t>
      </w:r>
      <w:r w:rsidRPr="00F40D60">
        <w:rPr>
          <w:bCs/>
          <w:szCs w:val="24"/>
        </w:rPr>
        <w:t xml:space="preserve">pirkimų įstatymo 95 straipsnio 1 dalies 2 punktu, </w:t>
      </w:r>
      <w:r w:rsidRPr="00F40D60">
        <w:rPr>
          <w:szCs w:val="24"/>
        </w:rPr>
        <w:t xml:space="preserve"> </w:t>
      </w:r>
      <w:r>
        <w:rPr>
          <w:szCs w:val="24"/>
        </w:rPr>
        <w:t>atliko</w:t>
      </w:r>
      <w:r w:rsidRPr="00F40D60">
        <w:rPr>
          <w:bCs/>
          <w:szCs w:val="24"/>
        </w:rPr>
        <w:t xml:space="preserve"> </w:t>
      </w:r>
      <w:r w:rsidR="00253945">
        <w:rPr>
          <w:bCs/>
          <w:szCs w:val="24"/>
        </w:rPr>
        <w:t xml:space="preserve">VšĮ </w:t>
      </w:r>
      <w:r w:rsidR="00627674">
        <w:rPr>
          <w:bCs/>
          <w:szCs w:val="24"/>
        </w:rPr>
        <w:t>Rokiškio</w:t>
      </w:r>
      <w:r w:rsidR="00253945">
        <w:rPr>
          <w:bCs/>
          <w:szCs w:val="24"/>
        </w:rPr>
        <w:t xml:space="preserve"> pir</w:t>
      </w:r>
      <w:r w:rsidR="00627674">
        <w:rPr>
          <w:bCs/>
          <w:szCs w:val="24"/>
        </w:rPr>
        <w:t>m</w:t>
      </w:r>
      <w:r w:rsidR="00253945">
        <w:rPr>
          <w:bCs/>
          <w:szCs w:val="24"/>
        </w:rPr>
        <w:t>i</w:t>
      </w:r>
      <w:r w:rsidR="00627674">
        <w:rPr>
          <w:bCs/>
          <w:szCs w:val="24"/>
        </w:rPr>
        <w:t>n</w:t>
      </w:r>
      <w:r w:rsidR="00253945">
        <w:rPr>
          <w:bCs/>
          <w:szCs w:val="24"/>
        </w:rPr>
        <w:t xml:space="preserve">ės </w:t>
      </w:r>
      <w:r w:rsidR="00627674">
        <w:rPr>
          <w:bCs/>
          <w:szCs w:val="24"/>
        </w:rPr>
        <w:t xml:space="preserve">asmens </w:t>
      </w:r>
      <w:r w:rsidR="00253945">
        <w:rPr>
          <w:bCs/>
          <w:szCs w:val="24"/>
        </w:rPr>
        <w:t>sveikatos priežiūros centro</w:t>
      </w:r>
      <w:r w:rsidRPr="00F40D60">
        <w:rPr>
          <w:bCs/>
          <w:szCs w:val="24"/>
        </w:rPr>
        <w:t xml:space="preserve"> (toliau – Perkančioji organizacija) vykdyt</w:t>
      </w:r>
      <w:r>
        <w:rPr>
          <w:bCs/>
          <w:szCs w:val="24"/>
        </w:rPr>
        <w:t>o</w:t>
      </w:r>
      <w:r w:rsidRPr="00F40D60">
        <w:rPr>
          <w:bCs/>
          <w:szCs w:val="24"/>
        </w:rPr>
        <w:t xml:space="preserve"> viešoj</w:t>
      </w:r>
      <w:r>
        <w:rPr>
          <w:bCs/>
          <w:szCs w:val="24"/>
        </w:rPr>
        <w:t>o</w:t>
      </w:r>
      <w:r w:rsidRPr="00F40D60">
        <w:rPr>
          <w:bCs/>
          <w:szCs w:val="24"/>
        </w:rPr>
        <w:t xml:space="preserve"> pirkim</w:t>
      </w:r>
      <w:r>
        <w:rPr>
          <w:bCs/>
          <w:szCs w:val="24"/>
        </w:rPr>
        <w:t>o dalinį vertinimą</w:t>
      </w:r>
      <w:r w:rsidRPr="00F40D60">
        <w:rPr>
          <w:bCs/>
          <w:szCs w:val="24"/>
        </w:rPr>
        <w:t>.</w:t>
      </w:r>
    </w:p>
    <w:p w:rsidR="002A07F4" w:rsidRPr="003C3987" w:rsidRDefault="002A07F4" w:rsidP="002A07F4">
      <w:pPr>
        <w:rPr>
          <w:b/>
          <w:szCs w:val="14"/>
        </w:rPr>
      </w:pPr>
    </w:p>
    <w:p w:rsidR="002A07F4" w:rsidRDefault="002A07F4" w:rsidP="002A07F4">
      <w:pPr>
        <w:spacing w:line="254" w:lineRule="auto"/>
        <w:ind w:right="49"/>
        <w:jc w:val="center"/>
        <w:rPr>
          <w:szCs w:val="24"/>
        </w:rPr>
      </w:pPr>
      <w:r>
        <w:rPr>
          <w:b/>
          <w:szCs w:val="24"/>
        </w:rPr>
        <w:t>I dalis. Bendra informacija</w:t>
      </w:r>
    </w:p>
    <w:p w:rsidR="002A07F4" w:rsidRPr="003C3987"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rsidR="002A07F4" w:rsidRPr="002A07F4" w:rsidRDefault="003D5064" w:rsidP="001A204A">
            <w:pPr>
              <w:spacing w:line="254" w:lineRule="auto"/>
              <w:jc w:val="both"/>
              <w:rPr>
                <w:szCs w:val="24"/>
              </w:rPr>
            </w:pPr>
            <w:r w:rsidRPr="009B0F26">
              <w:rPr>
                <w:bCs/>
                <w:i/>
                <w:szCs w:val="24"/>
              </w:rPr>
              <w:t>„</w:t>
            </w:r>
            <w:r w:rsidR="00627674">
              <w:rPr>
                <w:bCs/>
                <w:i/>
                <w:szCs w:val="24"/>
              </w:rPr>
              <w:t>Reagentų, medicinos priemonių laboratoriniams tyrimams pirkimas bei analizatorių panauda</w:t>
            </w:r>
            <w:r w:rsidRPr="009B0F26">
              <w:rPr>
                <w:bCs/>
                <w:i/>
                <w:szCs w:val="24"/>
              </w:rPr>
              <w:t xml:space="preserve">“ </w:t>
            </w:r>
            <w:r w:rsidRPr="009B0F26">
              <w:rPr>
                <w:bCs/>
                <w:szCs w:val="24"/>
              </w:rPr>
              <w:t>(</w:t>
            </w:r>
            <w:r w:rsidRPr="00AA6C82">
              <w:rPr>
                <w:bCs/>
                <w:szCs w:val="24"/>
              </w:rPr>
              <w:t xml:space="preserve">Centrinėje viešųjų pirkimų informacinėje sistemoje </w:t>
            </w:r>
            <w:r w:rsidRPr="00F90D8B">
              <w:rPr>
                <w:bCs/>
                <w:szCs w:val="24"/>
              </w:rPr>
              <w:t>(toliau – CVP IS)</w:t>
            </w:r>
            <w:r w:rsidRPr="00AA6C82">
              <w:rPr>
                <w:bCs/>
                <w:szCs w:val="24"/>
              </w:rPr>
              <w:t xml:space="preserve"> </w:t>
            </w:r>
            <w:r w:rsidRPr="009B0F26">
              <w:rPr>
                <w:bCs/>
                <w:szCs w:val="24"/>
              </w:rPr>
              <w:t>skelbtas 201</w:t>
            </w:r>
            <w:r w:rsidR="00627674">
              <w:rPr>
                <w:bCs/>
                <w:szCs w:val="24"/>
              </w:rPr>
              <w:t>8-11-16</w:t>
            </w:r>
            <w:r w:rsidRPr="009B0F26">
              <w:rPr>
                <w:bCs/>
                <w:szCs w:val="24"/>
              </w:rPr>
              <w:t xml:space="preserve">, pirkimo Nr. </w:t>
            </w:r>
            <w:r w:rsidR="00253945">
              <w:rPr>
                <w:bCs/>
                <w:szCs w:val="24"/>
              </w:rPr>
              <w:t>4</w:t>
            </w:r>
            <w:r w:rsidR="00627674">
              <w:rPr>
                <w:bCs/>
                <w:szCs w:val="24"/>
              </w:rPr>
              <w:t>08449</w:t>
            </w:r>
            <w:r w:rsidRPr="009B0F26">
              <w:rPr>
                <w:bCs/>
                <w:szCs w:val="24"/>
              </w:rPr>
              <w:t>)</w:t>
            </w:r>
            <w:r w:rsidRPr="009B0F26">
              <w:rPr>
                <w:bCs/>
                <w:i/>
                <w:szCs w:val="24"/>
              </w:rPr>
              <w:t xml:space="preserve"> </w:t>
            </w:r>
            <w:r w:rsidRPr="007D580D">
              <w:rPr>
                <w:bCs/>
                <w:szCs w:val="24"/>
              </w:rPr>
              <w:t>(toliau – Pirkimas)</w:t>
            </w:r>
            <w:r w:rsidRPr="00F40D60">
              <w:rPr>
                <w:bCs/>
                <w:szCs w:val="24"/>
              </w:rPr>
              <w:t>.</w:t>
            </w:r>
          </w:p>
        </w:tc>
      </w:tr>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pPr>
              <w:jc w:val="both"/>
              <w:rPr>
                <w:szCs w:val="24"/>
              </w:rPr>
            </w:pPr>
            <w:r w:rsidRPr="002A07F4">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rsidR="002A07F4" w:rsidRPr="002A07F4" w:rsidRDefault="003D5064" w:rsidP="000F5336">
            <w:pPr>
              <w:spacing w:line="254" w:lineRule="auto"/>
              <w:jc w:val="both"/>
              <w:rPr>
                <w:szCs w:val="24"/>
              </w:rPr>
            </w:pPr>
            <w:r w:rsidRPr="00F40D60">
              <w:rPr>
                <w:bCs/>
                <w:szCs w:val="24"/>
              </w:rPr>
              <w:t>Lietuvos Respublikos viešųjų pirkimų įstatymas (redakcija nuo 201</w:t>
            </w:r>
            <w:r>
              <w:rPr>
                <w:bCs/>
                <w:szCs w:val="24"/>
              </w:rPr>
              <w:t>8</w:t>
            </w:r>
            <w:r w:rsidRPr="00F40D60">
              <w:rPr>
                <w:bCs/>
                <w:szCs w:val="24"/>
              </w:rPr>
              <w:t xml:space="preserve">-01-01) (toliau – </w:t>
            </w:r>
            <w:r w:rsidR="003F2DD6">
              <w:rPr>
                <w:bCs/>
                <w:szCs w:val="24"/>
              </w:rPr>
              <w:t>Įstatymas)</w:t>
            </w:r>
            <w:r w:rsidRPr="003D5064">
              <w:rPr>
                <w:bCs/>
                <w:szCs w:val="24"/>
              </w:rPr>
              <w:t>.</w:t>
            </w:r>
          </w:p>
        </w:tc>
      </w:tr>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F35058" w:rsidRDefault="003D5064" w:rsidP="00D060BB">
            <w:pPr>
              <w:rPr>
                <w:szCs w:val="24"/>
              </w:rPr>
            </w:pPr>
            <w:r w:rsidRPr="009B0F26">
              <w:rPr>
                <w:bCs/>
                <w:szCs w:val="24"/>
              </w:rPr>
              <w:t>S</w:t>
            </w:r>
            <w:r w:rsidR="00AB7E38">
              <w:rPr>
                <w:bCs/>
                <w:szCs w:val="24"/>
              </w:rPr>
              <w:t>upaprastintas atviras konkursas</w:t>
            </w:r>
            <w:r w:rsidRPr="009B0F26">
              <w:rPr>
                <w:bCs/>
                <w:szCs w:val="24"/>
              </w:rPr>
              <w:t>.</w:t>
            </w:r>
          </w:p>
        </w:tc>
      </w:tr>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rsidP="002A07F4">
            <w:pPr>
              <w:jc w:val="both"/>
              <w:rPr>
                <w:rFonts w:eastAsia="Calibri"/>
              </w:rPr>
            </w:pPr>
            <w:r w:rsidRPr="002A07F4">
              <w:rPr>
                <w:rFonts w:eastAsia="Calibri"/>
              </w:rPr>
              <w:t xml:space="preserve">Planuojama (nenurodoma, jeigu pirkimas vertinamas iki vokų su pasiūlymais atplėšimo procedūros), faktinė pirkimo/sutarties vertė Eur </w:t>
            </w:r>
            <w:r w:rsidR="00A67280">
              <w:rPr>
                <w:rFonts w:eastAsia="Calibri"/>
              </w:rPr>
              <w:t>su</w:t>
            </w:r>
            <w:r w:rsidRPr="002A07F4">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rsidR="003D5064" w:rsidRDefault="00880887" w:rsidP="003D5064">
            <w:pPr>
              <w:jc w:val="both"/>
              <w:rPr>
                <w:szCs w:val="24"/>
              </w:rPr>
            </w:pPr>
            <w:r>
              <w:rPr>
                <w:szCs w:val="24"/>
              </w:rPr>
              <w:t>R</w:t>
            </w:r>
            <w:r w:rsidR="003D5064" w:rsidRPr="00F90D8B">
              <w:rPr>
                <w:szCs w:val="24"/>
              </w:rPr>
              <w:t>eagentai</w:t>
            </w:r>
            <w:r w:rsidR="00AB7E38">
              <w:rPr>
                <w:szCs w:val="24"/>
              </w:rPr>
              <w:t xml:space="preserve">, eksploatacinės ir </w:t>
            </w:r>
            <w:r>
              <w:rPr>
                <w:szCs w:val="24"/>
              </w:rPr>
              <w:t xml:space="preserve">papildomos priemonės </w:t>
            </w:r>
            <w:r w:rsidR="00AB7E38">
              <w:rPr>
                <w:szCs w:val="24"/>
              </w:rPr>
              <w:t xml:space="preserve">hematologiniams </w:t>
            </w:r>
            <w:r>
              <w:rPr>
                <w:szCs w:val="24"/>
              </w:rPr>
              <w:t>tyrimams</w:t>
            </w:r>
            <w:r w:rsidR="00AB7E38">
              <w:rPr>
                <w:szCs w:val="24"/>
              </w:rPr>
              <w:t xml:space="preserve"> atlikti su 3 (trijų) dalių leukocitų diferenciacijos hematologinių tyrimų automatiniais</w:t>
            </w:r>
            <w:r>
              <w:rPr>
                <w:szCs w:val="24"/>
              </w:rPr>
              <w:t xml:space="preserve"> analizatori</w:t>
            </w:r>
            <w:r w:rsidR="00AB7E38">
              <w:rPr>
                <w:szCs w:val="24"/>
              </w:rPr>
              <w:t xml:space="preserve">ais „ABX </w:t>
            </w:r>
            <w:proofErr w:type="spellStart"/>
            <w:r w:rsidR="00AB7E38">
              <w:rPr>
                <w:szCs w:val="24"/>
              </w:rPr>
              <w:t>Micros</w:t>
            </w:r>
            <w:proofErr w:type="spellEnd"/>
            <w:r w:rsidR="00AB7E38">
              <w:rPr>
                <w:szCs w:val="24"/>
              </w:rPr>
              <w:t xml:space="preserve"> 60“</w:t>
            </w:r>
            <w:r w:rsidR="00C73B84">
              <w:rPr>
                <w:szCs w:val="24"/>
              </w:rPr>
              <w:t xml:space="preserve"> </w:t>
            </w:r>
            <w:r w:rsidR="00C73B84" w:rsidRPr="00F90D8B">
              <w:rPr>
                <w:szCs w:val="24"/>
              </w:rPr>
              <w:t>–</w:t>
            </w:r>
            <w:r w:rsidR="00AB7E38">
              <w:rPr>
                <w:szCs w:val="24"/>
              </w:rPr>
              <w:t>9 248,58</w:t>
            </w:r>
            <w:r w:rsidR="003D5064" w:rsidRPr="00F90D8B">
              <w:rPr>
                <w:szCs w:val="24"/>
              </w:rPr>
              <w:t xml:space="preserve"> Eur </w:t>
            </w:r>
            <w:r w:rsidR="009350BE">
              <w:rPr>
                <w:szCs w:val="24"/>
              </w:rPr>
              <w:t>su</w:t>
            </w:r>
            <w:r w:rsidR="003D5064" w:rsidRPr="00F90D8B">
              <w:rPr>
                <w:szCs w:val="24"/>
              </w:rPr>
              <w:t xml:space="preserve"> PVM</w:t>
            </w:r>
            <w:r w:rsidR="00A67280">
              <w:rPr>
                <w:szCs w:val="24"/>
              </w:rPr>
              <w:t xml:space="preserve"> (Pirkimo 1 dalis)</w:t>
            </w:r>
            <w:r w:rsidR="003D5064" w:rsidRPr="00F90D8B">
              <w:rPr>
                <w:szCs w:val="24"/>
              </w:rPr>
              <w:t>;</w:t>
            </w:r>
          </w:p>
          <w:p w:rsidR="00AB7E38" w:rsidRDefault="00AB7E38" w:rsidP="003D5064">
            <w:pPr>
              <w:jc w:val="both"/>
              <w:rPr>
                <w:szCs w:val="24"/>
              </w:rPr>
            </w:pPr>
            <w:r>
              <w:rPr>
                <w:szCs w:val="24"/>
              </w:rPr>
              <w:t>R</w:t>
            </w:r>
            <w:r w:rsidRPr="00F90D8B">
              <w:rPr>
                <w:szCs w:val="24"/>
              </w:rPr>
              <w:t>eagentai</w:t>
            </w:r>
            <w:r>
              <w:rPr>
                <w:szCs w:val="24"/>
              </w:rPr>
              <w:t xml:space="preserve">, eksploatacinės ir papildomos priemonės  tyrimų atlikimui </w:t>
            </w:r>
            <w:r w:rsidR="00C73B84">
              <w:rPr>
                <w:szCs w:val="24"/>
              </w:rPr>
              <w:t xml:space="preserve">gliukozės </w:t>
            </w:r>
            <w:r>
              <w:rPr>
                <w:szCs w:val="24"/>
              </w:rPr>
              <w:t>a</w:t>
            </w:r>
            <w:r w:rsidR="00C73B84">
              <w:rPr>
                <w:szCs w:val="24"/>
              </w:rPr>
              <w:t>na</w:t>
            </w:r>
            <w:r>
              <w:rPr>
                <w:szCs w:val="24"/>
              </w:rPr>
              <w:t>lizatori</w:t>
            </w:r>
            <w:r w:rsidR="00C73B84">
              <w:rPr>
                <w:szCs w:val="24"/>
              </w:rPr>
              <w:t>umi „</w:t>
            </w:r>
            <w:proofErr w:type="spellStart"/>
            <w:r w:rsidR="00C73B84">
              <w:rPr>
                <w:szCs w:val="24"/>
              </w:rPr>
              <w:t>Super</w:t>
            </w:r>
            <w:proofErr w:type="spellEnd"/>
            <w:r w:rsidR="00C73B84">
              <w:rPr>
                <w:szCs w:val="24"/>
              </w:rPr>
              <w:t xml:space="preserve"> </w:t>
            </w:r>
            <w:proofErr w:type="spellStart"/>
            <w:r w:rsidR="00C73B84">
              <w:rPr>
                <w:szCs w:val="24"/>
              </w:rPr>
              <w:t>Gl</w:t>
            </w:r>
            <w:proofErr w:type="spellEnd"/>
            <w:r w:rsidR="00C73B84">
              <w:rPr>
                <w:szCs w:val="24"/>
              </w:rPr>
              <w:t xml:space="preserve"> </w:t>
            </w:r>
            <w:proofErr w:type="spellStart"/>
            <w:r w:rsidR="00C73B84">
              <w:rPr>
                <w:szCs w:val="24"/>
              </w:rPr>
              <w:t>Easy</w:t>
            </w:r>
            <w:proofErr w:type="spellEnd"/>
            <w:r w:rsidR="00C73B84">
              <w:rPr>
                <w:szCs w:val="24"/>
              </w:rPr>
              <w:t>“</w:t>
            </w:r>
            <w:r>
              <w:rPr>
                <w:szCs w:val="24"/>
              </w:rPr>
              <w:t xml:space="preserve"> </w:t>
            </w:r>
            <w:r w:rsidRPr="00F90D8B">
              <w:rPr>
                <w:szCs w:val="24"/>
              </w:rPr>
              <w:t>–</w:t>
            </w:r>
            <w:r w:rsidR="00C73B84">
              <w:rPr>
                <w:szCs w:val="24"/>
              </w:rPr>
              <w:t xml:space="preserve"> 745,50 Eur su PVM</w:t>
            </w:r>
            <w:r w:rsidRPr="00F90D8B">
              <w:rPr>
                <w:szCs w:val="24"/>
              </w:rPr>
              <w:t xml:space="preserve"> </w:t>
            </w:r>
            <w:r>
              <w:rPr>
                <w:szCs w:val="24"/>
              </w:rPr>
              <w:t xml:space="preserve">(Pirkimo </w:t>
            </w:r>
            <w:r w:rsidR="00C73B84">
              <w:rPr>
                <w:szCs w:val="24"/>
              </w:rPr>
              <w:t>4</w:t>
            </w:r>
            <w:r>
              <w:rPr>
                <w:szCs w:val="24"/>
              </w:rPr>
              <w:t xml:space="preserve"> dalis</w:t>
            </w:r>
            <w:r w:rsidR="00C73B84">
              <w:rPr>
                <w:szCs w:val="24"/>
              </w:rPr>
              <w:t>)</w:t>
            </w:r>
            <w:r>
              <w:rPr>
                <w:szCs w:val="24"/>
              </w:rPr>
              <w:t>;</w:t>
            </w:r>
          </w:p>
          <w:p w:rsidR="00AB7E38" w:rsidRDefault="00C73B84" w:rsidP="003D5064">
            <w:pPr>
              <w:jc w:val="both"/>
              <w:rPr>
                <w:szCs w:val="24"/>
              </w:rPr>
            </w:pPr>
            <w:r>
              <w:rPr>
                <w:szCs w:val="24"/>
              </w:rPr>
              <w:t>R</w:t>
            </w:r>
            <w:r w:rsidRPr="00F90D8B">
              <w:rPr>
                <w:szCs w:val="24"/>
              </w:rPr>
              <w:t>eagentai</w:t>
            </w:r>
            <w:r>
              <w:rPr>
                <w:szCs w:val="24"/>
              </w:rPr>
              <w:t xml:space="preserve">, eksploatacinės ir papildomos medžiagos kraujo krešėjimo sistemos tyrimų atlikimui pusiau automatiniu analizatoriumi START 4 “ </w:t>
            </w:r>
            <w:r w:rsidRPr="00F90D8B">
              <w:rPr>
                <w:szCs w:val="24"/>
              </w:rPr>
              <w:t>–</w:t>
            </w:r>
            <w:r>
              <w:rPr>
                <w:szCs w:val="24"/>
              </w:rPr>
              <w:t xml:space="preserve"> 18 326,78 Eur su PVM (Pirkimo 5 dalis); </w:t>
            </w:r>
          </w:p>
          <w:p w:rsidR="00C73B84" w:rsidRDefault="00C73B84" w:rsidP="00C73B84">
            <w:pPr>
              <w:jc w:val="both"/>
              <w:rPr>
                <w:szCs w:val="24"/>
              </w:rPr>
            </w:pPr>
            <w:r>
              <w:rPr>
                <w:szCs w:val="24"/>
              </w:rPr>
              <w:t>R</w:t>
            </w:r>
            <w:r w:rsidRPr="00F90D8B">
              <w:rPr>
                <w:szCs w:val="24"/>
              </w:rPr>
              <w:t>eagentai</w:t>
            </w:r>
            <w:r>
              <w:rPr>
                <w:szCs w:val="24"/>
              </w:rPr>
              <w:t>, eksploatacinės ir papildomos priemonės imunologiniams tyrimams atlikti kartu su panaudai siūlomu automatiniu imunologiniu analizatoriumi</w:t>
            </w:r>
            <w:r w:rsidR="006D72FB">
              <w:rPr>
                <w:szCs w:val="24"/>
              </w:rPr>
              <w:t xml:space="preserve"> </w:t>
            </w:r>
            <w:r w:rsidRPr="00F90D8B">
              <w:rPr>
                <w:szCs w:val="24"/>
              </w:rPr>
              <w:t>–</w:t>
            </w:r>
            <w:r>
              <w:rPr>
                <w:szCs w:val="24"/>
              </w:rPr>
              <w:t xml:space="preserve"> </w:t>
            </w:r>
            <w:r w:rsidR="006D72FB">
              <w:rPr>
                <w:szCs w:val="24"/>
              </w:rPr>
              <w:t>15 319,76</w:t>
            </w:r>
            <w:r>
              <w:rPr>
                <w:szCs w:val="24"/>
              </w:rPr>
              <w:t xml:space="preserve"> Eur su PVM (Pirkimo </w:t>
            </w:r>
            <w:r w:rsidR="006D72FB">
              <w:rPr>
                <w:szCs w:val="24"/>
              </w:rPr>
              <w:t>6</w:t>
            </w:r>
            <w:r>
              <w:rPr>
                <w:szCs w:val="24"/>
              </w:rPr>
              <w:t xml:space="preserve"> dalis); </w:t>
            </w:r>
          </w:p>
          <w:p w:rsidR="006D72FB" w:rsidRDefault="006D72FB" w:rsidP="006D72FB">
            <w:pPr>
              <w:jc w:val="both"/>
              <w:rPr>
                <w:szCs w:val="24"/>
              </w:rPr>
            </w:pPr>
            <w:r>
              <w:rPr>
                <w:szCs w:val="24"/>
              </w:rPr>
              <w:t>R</w:t>
            </w:r>
            <w:r w:rsidRPr="00F90D8B">
              <w:rPr>
                <w:szCs w:val="24"/>
              </w:rPr>
              <w:t>eagentai</w:t>
            </w:r>
            <w:r>
              <w:rPr>
                <w:szCs w:val="24"/>
              </w:rPr>
              <w:t xml:space="preserve">, eksploatacinės ir papildomos priemonės elektrolitų  tyrimams atlikti </w:t>
            </w:r>
            <w:r w:rsidRPr="00F90D8B">
              <w:rPr>
                <w:szCs w:val="24"/>
              </w:rPr>
              <w:t>–</w:t>
            </w:r>
            <w:r>
              <w:rPr>
                <w:szCs w:val="24"/>
              </w:rPr>
              <w:t xml:space="preserve"> 3 118,50 Eur su PVM (Pirkimo 7 dalis); </w:t>
            </w:r>
          </w:p>
          <w:p w:rsidR="006D72FB" w:rsidRDefault="006D72FB" w:rsidP="003D5064">
            <w:pPr>
              <w:jc w:val="both"/>
              <w:rPr>
                <w:szCs w:val="24"/>
              </w:rPr>
            </w:pPr>
            <w:r>
              <w:rPr>
                <w:szCs w:val="24"/>
              </w:rPr>
              <w:lastRenderedPageBreak/>
              <w:t>R</w:t>
            </w:r>
            <w:r w:rsidRPr="00F90D8B">
              <w:rPr>
                <w:szCs w:val="24"/>
              </w:rPr>
              <w:t>eagentai</w:t>
            </w:r>
            <w:r>
              <w:rPr>
                <w:szCs w:val="24"/>
              </w:rPr>
              <w:t xml:space="preserve">, eksploatacinės ir papildomos priemonės CRB  tyrimams atlikti analizatoriais </w:t>
            </w:r>
            <w:proofErr w:type="spellStart"/>
            <w:r>
              <w:rPr>
                <w:szCs w:val="24"/>
              </w:rPr>
              <w:t>QuikRead</w:t>
            </w:r>
            <w:proofErr w:type="spellEnd"/>
            <w:r>
              <w:rPr>
                <w:szCs w:val="24"/>
              </w:rPr>
              <w:t xml:space="preserve"> 101 </w:t>
            </w:r>
            <w:r w:rsidRPr="00F90D8B">
              <w:rPr>
                <w:szCs w:val="24"/>
              </w:rPr>
              <w:t>–</w:t>
            </w:r>
            <w:r>
              <w:rPr>
                <w:szCs w:val="24"/>
              </w:rPr>
              <w:t xml:space="preserve"> 5 367,60 Eur su PVM (Pirkimo 8 dalis);  </w:t>
            </w:r>
          </w:p>
          <w:p w:rsidR="00FD7860" w:rsidRDefault="00FD7860" w:rsidP="00FD7860">
            <w:pPr>
              <w:jc w:val="both"/>
              <w:rPr>
                <w:szCs w:val="24"/>
              </w:rPr>
            </w:pPr>
            <w:r>
              <w:rPr>
                <w:szCs w:val="24"/>
              </w:rPr>
              <w:t>R</w:t>
            </w:r>
            <w:r w:rsidRPr="00F90D8B">
              <w:rPr>
                <w:szCs w:val="24"/>
              </w:rPr>
              <w:t>eagentai</w:t>
            </w:r>
            <w:r>
              <w:rPr>
                <w:szCs w:val="24"/>
              </w:rPr>
              <w:t xml:space="preserve">, eksploatacinės ir papildomos priemonės   tyrimams atlikti biocheminiais reflektoriais </w:t>
            </w:r>
            <w:r w:rsidRPr="00F90D8B">
              <w:rPr>
                <w:szCs w:val="24"/>
              </w:rPr>
              <w:t>–</w:t>
            </w:r>
            <w:r>
              <w:rPr>
                <w:szCs w:val="24"/>
              </w:rPr>
              <w:t xml:space="preserve"> 8 005,83 Eur su PVM (Pirkimo 9 dalis); </w:t>
            </w:r>
          </w:p>
          <w:p w:rsidR="00FD7860" w:rsidRDefault="00FD7860" w:rsidP="00FD7860">
            <w:pPr>
              <w:jc w:val="both"/>
              <w:rPr>
                <w:szCs w:val="24"/>
              </w:rPr>
            </w:pPr>
            <w:r>
              <w:rPr>
                <w:szCs w:val="24"/>
              </w:rPr>
              <w:t>R</w:t>
            </w:r>
            <w:r w:rsidRPr="00F90D8B">
              <w:rPr>
                <w:szCs w:val="24"/>
              </w:rPr>
              <w:t>eagentai</w:t>
            </w:r>
            <w:r>
              <w:rPr>
                <w:szCs w:val="24"/>
              </w:rPr>
              <w:t xml:space="preserve">, eksploatacinės ir papildomos priemonės biocheminiams tyrimams atlikti kartu su panaudai siūlomais POCT analizatoriais </w:t>
            </w:r>
            <w:r w:rsidRPr="00F90D8B">
              <w:rPr>
                <w:szCs w:val="24"/>
              </w:rPr>
              <w:t>–</w:t>
            </w:r>
            <w:r>
              <w:rPr>
                <w:szCs w:val="24"/>
              </w:rPr>
              <w:t xml:space="preserve"> 5 362,35 Eur su PVM (Pirkimo 10 dalis); </w:t>
            </w:r>
          </w:p>
          <w:p w:rsidR="00FD7860" w:rsidRDefault="00FD7860" w:rsidP="00FD7860">
            <w:pPr>
              <w:jc w:val="both"/>
              <w:rPr>
                <w:szCs w:val="24"/>
              </w:rPr>
            </w:pPr>
            <w:r>
              <w:rPr>
                <w:szCs w:val="24"/>
              </w:rPr>
              <w:t>R</w:t>
            </w:r>
            <w:r w:rsidRPr="00F90D8B">
              <w:rPr>
                <w:szCs w:val="24"/>
              </w:rPr>
              <w:t>eagentai</w:t>
            </w:r>
            <w:r>
              <w:rPr>
                <w:szCs w:val="24"/>
              </w:rPr>
              <w:t xml:space="preserve">, eksploatacinės ir papildomos priemonės gliukozės tyrimams atlikti kartu su panaudai siūlomais gliukozės analizatoriais </w:t>
            </w:r>
            <w:r w:rsidRPr="00F90D8B">
              <w:rPr>
                <w:szCs w:val="24"/>
              </w:rPr>
              <w:t>–</w:t>
            </w:r>
            <w:r>
              <w:rPr>
                <w:szCs w:val="24"/>
              </w:rPr>
              <w:t xml:space="preserve"> 365,40 Eur su PVM (Pirkimo 1</w:t>
            </w:r>
            <w:r w:rsidR="00866D0D">
              <w:rPr>
                <w:szCs w:val="24"/>
              </w:rPr>
              <w:t>1</w:t>
            </w:r>
            <w:r>
              <w:rPr>
                <w:szCs w:val="24"/>
              </w:rPr>
              <w:t xml:space="preserve"> dalis); </w:t>
            </w:r>
          </w:p>
          <w:p w:rsidR="00FD7860" w:rsidRDefault="00FD7860" w:rsidP="00FD7860">
            <w:pPr>
              <w:jc w:val="both"/>
              <w:rPr>
                <w:szCs w:val="24"/>
              </w:rPr>
            </w:pPr>
            <w:r>
              <w:rPr>
                <w:szCs w:val="24"/>
              </w:rPr>
              <w:t>R</w:t>
            </w:r>
            <w:r w:rsidRPr="00F90D8B">
              <w:rPr>
                <w:szCs w:val="24"/>
              </w:rPr>
              <w:t>eagentai</w:t>
            </w:r>
            <w:r>
              <w:rPr>
                <w:szCs w:val="24"/>
              </w:rPr>
              <w:t>, eksploatacinės ir papildomos priemonės ENG  tyrimams atlikti analizatoriumi</w:t>
            </w:r>
            <w:r w:rsidR="00866D0D">
              <w:rPr>
                <w:szCs w:val="24"/>
              </w:rPr>
              <w:t xml:space="preserve"> MONITOR V10</w:t>
            </w:r>
            <w:r>
              <w:rPr>
                <w:szCs w:val="24"/>
              </w:rPr>
              <w:t xml:space="preserve"> </w:t>
            </w:r>
            <w:r w:rsidRPr="00F90D8B">
              <w:rPr>
                <w:szCs w:val="24"/>
              </w:rPr>
              <w:t>–</w:t>
            </w:r>
            <w:r>
              <w:rPr>
                <w:szCs w:val="24"/>
              </w:rPr>
              <w:t xml:space="preserve"> </w:t>
            </w:r>
            <w:r w:rsidR="00866D0D">
              <w:rPr>
                <w:szCs w:val="24"/>
              </w:rPr>
              <w:t>703,50</w:t>
            </w:r>
            <w:r>
              <w:rPr>
                <w:szCs w:val="24"/>
              </w:rPr>
              <w:t xml:space="preserve"> Eur su PVM (Pirkimo </w:t>
            </w:r>
            <w:r w:rsidR="00866D0D">
              <w:rPr>
                <w:szCs w:val="24"/>
              </w:rPr>
              <w:t>12</w:t>
            </w:r>
            <w:r>
              <w:rPr>
                <w:szCs w:val="24"/>
              </w:rPr>
              <w:t xml:space="preserve">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šlapimo tyrimams atlikti kartu su panaudai siūlomais pusiau automatiniais šlapimo analizatoriais </w:t>
            </w:r>
            <w:r w:rsidRPr="00F90D8B">
              <w:rPr>
                <w:szCs w:val="24"/>
              </w:rPr>
              <w:t>–</w:t>
            </w:r>
            <w:r>
              <w:rPr>
                <w:szCs w:val="24"/>
              </w:rPr>
              <w:t xml:space="preserve"> 3 470,66 Eur su PVM (Pirkimo 13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biocheminiams  tyrimams  </w:t>
            </w:r>
            <w:r w:rsidRPr="00F90D8B">
              <w:rPr>
                <w:szCs w:val="24"/>
              </w:rPr>
              <w:t>–</w:t>
            </w:r>
            <w:r>
              <w:rPr>
                <w:szCs w:val="24"/>
              </w:rPr>
              <w:t xml:space="preserve"> 15 955,36 Eur su PVM (Pirkimo 14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w:t>
            </w:r>
            <w:proofErr w:type="spellStart"/>
            <w:r>
              <w:rPr>
                <w:szCs w:val="24"/>
              </w:rPr>
              <w:t>imunohematologinių</w:t>
            </w:r>
            <w:proofErr w:type="spellEnd"/>
            <w:r>
              <w:rPr>
                <w:szCs w:val="24"/>
              </w:rPr>
              <w:t xml:space="preserve"> tyrimų atlikimui </w:t>
            </w:r>
            <w:proofErr w:type="spellStart"/>
            <w:r>
              <w:rPr>
                <w:szCs w:val="24"/>
              </w:rPr>
              <w:t>monokloniniais</w:t>
            </w:r>
            <w:proofErr w:type="spellEnd"/>
            <w:r>
              <w:rPr>
                <w:szCs w:val="24"/>
              </w:rPr>
              <w:t xml:space="preserve"> serumais rankiniu būdu</w:t>
            </w:r>
            <w:r w:rsidRPr="00F90D8B">
              <w:rPr>
                <w:szCs w:val="24"/>
              </w:rPr>
              <w:t>–</w:t>
            </w:r>
            <w:r>
              <w:rPr>
                <w:szCs w:val="24"/>
              </w:rPr>
              <w:t xml:space="preserve"> 592,52 Eur su PVM (Pirkimo 15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sifilio serologinei diagnostikai  </w:t>
            </w:r>
            <w:r w:rsidRPr="00F90D8B">
              <w:rPr>
                <w:szCs w:val="24"/>
              </w:rPr>
              <w:t>–</w:t>
            </w:r>
            <w:r>
              <w:rPr>
                <w:szCs w:val="24"/>
              </w:rPr>
              <w:t xml:space="preserve"> 74,55 Eur su PVM (Pirkimo 16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greitiems vienkartiniams -  </w:t>
            </w:r>
            <w:proofErr w:type="spellStart"/>
            <w:r>
              <w:rPr>
                <w:szCs w:val="24"/>
              </w:rPr>
              <w:t>imunochromatografiniams</w:t>
            </w:r>
            <w:proofErr w:type="spellEnd"/>
            <w:r>
              <w:rPr>
                <w:szCs w:val="24"/>
              </w:rPr>
              <w:t xml:space="preserve"> testams  </w:t>
            </w:r>
            <w:r w:rsidRPr="00F90D8B">
              <w:rPr>
                <w:szCs w:val="24"/>
              </w:rPr>
              <w:t>–</w:t>
            </w:r>
            <w:r>
              <w:rPr>
                <w:szCs w:val="24"/>
              </w:rPr>
              <w:t xml:space="preserve"> 900,00 Eur su PVM (Pirkimo 17 dalis); </w:t>
            </w:r>
          </w:p>
          <w:p w:rsidR="00866D0D" w:rsidRDefault="00866D0D" w:rsidP="00866D0D">
            <w:pPr>
              <w:jc w:val="both"/>
              <w:rPr>
                <w:szCs w:val="24"/>
              </w:rPr>
            </w:pPr>
            <w:r>
              <w:rPr>
                <w:szCs w:val="24"/>
              </w:rPr>
              <w:t>R</w:t>
            </w:r>
            <w:r w:rsidRPr="00F90D8B">
              <w:rPr>
                <w:szCs w:val="24"/>
              </w:rPr>
              <w:t>eagentai</w:t>
            </w:r>
            <w:r>
              <w:rPr>
                <w:szCs w:val="24"/>
              </w:rPr>
              <w:t xml:space="preserve">, eksploatacinės ir papildomos priemonės tepinėlių dažymui </w:t>
            </w:r>
            <w:r w:rsidR="00AF3AAF">
              <w:rPr>
                <w:szCs w:val="24"/>
              </w:rPr>
              <w:t xml:space="preserve">ir </w:t>
            </w:r>
            <w:proofErr w:type="spellStart"/>
            <w:r w:rsidR="00AF3AAF">
              <w:rPr>
                <w:szCs w:val="24"/>
              </w:rPr>
              <w:t>mikroskopavimui</w:t>
            </w:r>
            <w:proofErr w:type="spellEnd"/>
            <w:r>
              <w:rPr>
                <w:szCs w:val="24"/>
              </w:rPr>
              <w:t xml:space="preserve">  </w:t>
            </w:r>
            <w:r w:rsidRPr="00F90D8B">
              <w:rPr>
                <w:szCs w:val="24"/>
              </w:rPr>
              <w:t>–</w:t>
            </w:r>
            <w:r>
              <w:rPr>
                <w:szCs w:val="24"/>
              </w:rPr>
              <w:t xml:space="preserve"> </w:t>
            </w:r>
            <w:r w:rsidR="00AF3AAF">
              <w:rPr>
                <w:szCs w:val="24"/>
              </w:rPr>
              <w:t>746,66</w:t>
            </w:r>
            <w:r>
              <w:rPr>
                <w:szCs w:val="24"/>
              </w:rPr>
              <w:t xml:space="preserve"> Eur su PVM (Pirkimo 1</w:t>
            </w:r>
            <w:r w:rsidR="00AF3AAF">
              <w:rPr>
                <w:szCs w:val="24"/>
              </w:rPr>
              <w:t>8</w:t>
            </w:r>
            <w:r>
              <w:rPr>
                <w:szCs w:val="24"/>
              </w:rPr>
              <w:t xml:space="preserve"> dalis); </w:t>
            </w:r>
          </w:p>
          <w:p w:rsidR="00AF3AAF" w:rsidRDefault="00AF3AAF" w:rsidP="00AF3AAF">
            <w:pPr>
              <w:jc w:val="both"/>
              <w:rPr>
                <w:szCs w:val="24"/>
              </w:rPr>
            </w:pPr>
            <w:r>
              <w:rPr>
                <w:szCs w:val="24"/>
              </w:rPr>
              <w:t xml:space="preserve">Vienkartinės kapiliarinio kraujo paėmimo priemonės laboratoriniams tyrimams </w:t>
            </w:r>
            <w:r w:rsidRPr="00F90D8B">
              <w:rPr>
                <w:szCs w:val="24"/>
              </w:rPr>
              <w:t>–</w:t>
            </w:r>
            <w:r>
              <w:rPr>
                <w:szCs w:val="24"/>
              </w:rPr>
              <w:t xml:space="preserve"> 1 522,50 Eur su PVM (Pirkimo 19 dalis); </w:t>
            </w:r>
          </w:p>
          <w:p w:rsidR="00880887" w:rsidRPr="002A07F4" w:rsidRDefault="00AF3AAF" w:rsidP="00AF3AAF">
            <w:pPr>
              <w:jc w:val="both"/>
              <w:rPr>
                <w:szCs w:val="24"/>
              </w:rPr>
            </w:pPr>
            <w:r>
              <w:rPr>
                <w:szCs w:val="24"/>
              </w:rPr>
              <w:t xml:space="preserve">Kitos papildomos vienkartinės eksploatacinės priemonės laboratoriniams tyrimams </w:t>
            </w:r>
            <w:r w:rsidRPr="00F90D8B">
              <w:rPr>
                <w:szCs w:val="24"/>
              </w:rPr>
              <w:t>–</w:t>
            </w:r>
            <w:r>
              <w:rPr>
                <w:szCs w:val="24"/>
              </w:rPr>
              <w:t xml:space="preserve"> 1 897,05 Eur su PVM (Pirkimo 20 dalis).</w:t>
            </w:r>
          </w:p>
        </w:tc>
      </w:tr>
      <w:tr w:rsidR="002A07F4" w:rsidTr="0012700D">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rsidP="002A07F4">
            <w:pPr>
              <w:jc w:val="both"/>
              <w:rPr>
                <w:szCs w:val="24"/>
              </w:rPr>
            </w:pPr>
            <w:r w:rsidRPr="00123178">
              <w:rPr>
                <w:rFonts w:eastAsia="Calibri"/>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rsidR="0012700D" w:rsidRDefault="00123178" w:rsidP="0012700D">
            <w:pPr>
              <w:jc w:val="both"/>
              <w:rPr>
                <w:szCs w:val="24"/>
              </w:rPr>
            </w:pPr>
            <w:r>
              <w:rPr>
                <w:szCs w:val="24"/>
              </w:rPr>
              <w:t xml:space="preserve">Su </w:t>
            </w:r>
            <w:r w:rsidR="0012700D">
              <w:rPr>
                <w:szCs w:val="24"/>
              </w:rPr>
              <w:t>UAB „</w:t>
            </w:r>
            <w:proofErr w:type="spellStart"/>
            <w:r w:rsidR="00286EEC">
              <w:rPr>
                <w:szCs w:val="24"/>
              </w:rPr>
              <w:t>Limeta</w:t>
            </w:r>
            <w:proofErr w:type="spellEnd"/>
            <w:r w:rsidR="0012700D">
              <w:rPr>
                <w:szCs w:val="24"/>
              </w:rPr>
              <w:t xml:space="preserve">“ (į. k. </w:t>
            </w:r>
            <w:r w:rsidR="00732159">
              <w:rPr>
                <w:szCs w:val="24"/>
              </w:rPr>
              <w:t>122263421</w:t>
            </w:r>
            <w:r w:rsidR="007D18C8">
              <w:rPr>
                <w:szCs w:val="24"/>
              </w:rPr>
              <w:t>)</w:t>
            </w:r>
            <w:r>
              <w:rPr>
                <w:szCs w:val="24"/>
              </w:rPr>
              <w:t xml:space="preserve"> sudaryt</w:t>
            </w:r>
            <w:r w:rsidR="00732159">
              <w:rPr>
                <w:szCs w:val="24"/>
              </w:rPr>
              <w:t>os</w:t>
            </w:r>
            <w:r>
              <w:rPr>
                <w:szCs w:val="24"/>
              </w:rPr>
              <w:t xml:space="preserve"> sutart</w:t>
            </w:r>
            <w:r w:rsidR="00732159">
              <w:rPr>
                <w:szCs w:val="24"/>
              </w:rPr>
              <w:t>ys</w:t>
            </w:r>
            <w:r>
              <w:rPr>
                <w:szCs w:val="24"/>
              </w:rPr>
              <w:t xml:space="preserve"> dėl </w:t>
            </w:r>
            <w:r w:rsidR="00A06C00">
              <w:rPr>
                <w:szCs w:val="24"/>
              </w:rPr>
              <w:t xml:space="preserve">Pirkimo </w:t>
            </w:r>
            <w:r w:rsidR="00732159">
              <w:rPr>
                <w:szCs w:val="24"/>
              </w:rPr>
              <w:t xml:space="preserve">1 ir 4 </w:t>
            </w:r>
            <w:r w:rsidR="004F0322">
              <w:rPr>
                <w:szCs w:val="24"/>
              </w:rPr>
              <w:t>daly</w:t>
            </w:r>
            <w:r w:rsidR="00732159">
              <w:rPr>
                <w:szCs w:val="24"/>
              </w:rPr>
              <w:t>s</w:t>
            </w:r>
            <w:r w:rsidR="004F0322">
              <w:rPr>
                <w:szCs w:val="24"/>
              </w:rPr>
              <w:t xml:space="preserve">e </w:t>
            </w:r>
            <w:r>
              <w:rPr>
                <w:szCs w:val="24"/>
              </w:rPr>
              <w:t>nurodytų medžiagų</w:t>
            </w:r>
            <w:r w:rsidR="00DC7A36">
              <w:rPr>
                <w:szCs w:val="24"/>
              </w:rPr>
              <w:t>, priemonių tyrimams atlikti automatiniais analizatoriais;</w:t>
            </w:r>
          </w:p>
          <w:p w:rsidR="00732159" w:rsidRDefault="00732159" w:rsidP="00732159">
            <w:pPr>
              <w:jc w:val="both"/>
              <w:rPr>
                <w:szCs w:val="24"/>
              </w:rPr>
            </w:pPr>
            <w:r>
              <w:rPr>
                <w:szCs w:val="24"/>
              </w:rPr>
              <w:t xml:space="preserve">Su UAB „Diagnostinės sistemos“ (į. k. 221906050) sudaryta sutartis dėl Pirkimo 5, 7 ir 9 dalyse </w:t>
            </w:r>
            <w:r>
              <w:rPr>
                <w:szCs w:val="24"/>
              </w:rPr>
              <w:lastRenderedPageBreak/>
              <w:t>nurodytų medžiagų</w:t>
            </w:r>
            <w:r w:rsidR="00DC7A36">
              <w:rPr>
                <w:szCs w:val="24"/>
              </w:rPr>
              <w:t>, priemonių tyrimams atlikti, automatinio analizatoriaus panauda</w:t>
            </w:r>
            <w:r>
              <w:rPr>
                <w:szCs w:val="24"/>
              </w:rPr>
              <w:t>;</w:t>
            </w:r>
          </w:p>
          <w:p w:rsidR="007113BE" w:rsidRDefault="007113BE" w:rsidP="007113BE">
            <w:pPr>
              <w:jc w:val="both"/>
              <w:rPr>
                <w:szCs w:val="24"/>
              </w:rPr>
            </w:pPr>
            <w:r>
              <w:rPr>
                <w:szCs w:val="24"/>
              </w:rPr>
              <w:t>Su UAB „</w:t>
            </w:r>
            <w:proofErr w:type="spellStart"/>
            <w:r>
              <w:rPr>
                <w:szCs w:val="24"/>
              </w:rPr>
              <w:t>Bioeksma</w:t>
            </w:r>
            <w:proofErr w:type="spellEnd"/>
            <w:r>
              <w:rPr>
                <w:szCs w:val="24"/>
              </w:rPr>
              <w:t>“ (į. k. 300096612) sudaryta sutartis dėl Pirkimo 6 ir 14 dalyse nurodytų medžiagų, testų, priemonių</w:t>
            </w:r>
            <w:r w:rsidR="00DC7A36">
              <w:rPr>
                <w:szCs w:val="24"/>
              </w:rPr>
              <w:t xml:space="preserve"> tyrimams, automatinio analizatoriaus panauda</w:t>
            </w:r>
            <w:r>
              <w:rPr>
                <w:szCs w:val="24"/>
              </w:rPr>
              <w:t>;</w:t>
            </w:r>
          </w:p>
          <w:p w:rsidR="007D18C8" w:rsidRDefault="004F0322" w:rsidP="0012700D">
            <w:pPr>
              <w:jc w:val="both"/>
              <w:rPr>
                <w:szCs w:val="24"/>
              </w:rPr>
            </w:pPr>
            <w:r>
              <w:rPr>
                <w:szCs w:val="24"/>
              </w:rPr>
              <w:t xml:space="preserve">Su </w:t>
            </w:r>
            <w:r w:rsidR="007D18C8">
              <w:rPr>
                <w:szCs w:val="24"/>
              </w:rPr>
              <w:t>UAB „</w:t>
            </w:r>
            <w:proofErr w:type="spellStart"/>
            <w:r w:rsidR="00C12BF8">
              <w:rPr>
                <w:szCs w:val="24"/>
              </w:rPr>
              <w:t>Mediq</w:t>
            </w:r>
            <w:proofErr w:type="spellEnd"/>
            <w:r w:rsidR="00C12BF8">
              <w:rPr>
                <w:szCs w:val="24"/>
              </w:rPr>
              <w:t xml:space="preserve"> Lietuva</w:t>
            </w:r>
            <w:r w:rsidR="007D18C8">
              <w:rPr>
                <w:szCs w:val="24"/>
              </w:rPr>
              <w:t xml:space="preserve">“ (į. k. </w:t>
            </w:r>
            <w:r w:rsidR="00C12BF8">
              <w:rPr>
                <w:szCs w:val="24"/>
              </w:rPr>
              <w:t>302513086</w:t>
            </w:r>
            <w:r w:rsidR="007D18C8">
              <w:rPr>
                <w:szCs w:val="24"/>
              </w:rPr>
              <w:t>)</w:t>
            </w:r>
            <w:r>
              <w:rPr>
                <w:szCs w:val="24"/>
              </w:rPr>
              <w:t xml:space="preserve"> sudaryta sutartis dėl </w:t>
            </w:r>
            <w:r w:rsidR="00A06C00">
              <w:rPr>
                <w:szCs w:val="24"/>
              </w:rPr>
              <w:t xml:space="preserve">Pirkimo </w:t>
            </w:r>
            <w:r w:rsidR="007113BE">
              <w:rPr>
                <w:szCs w:val="24"/>
              </w:rPr>
              <w:t xml:space="preserve">8, 10, 11, 12, 13, 16, 19 ir 20 </w:t>
            </w:r>
            <w:r>
              <w:rPr>
                <w:szCs w:val="24"/>
              </w:rPr>
              <w:t>daly</w:t>
            </w:r>
            <w:r w:rsidR="007113BE">
              <w:rPr>
                <w:szCs w:val="24"/>
              </w:rPr>
              <w:t>se</w:t>
            </w:r>
            <w:r>
              <w:rPr>
                <w:szCs w:val="24"/>
              </w:rPr>
              <w:t xml:space="preserve"> nurodytų medžiagų</w:t>
            </w:r>
            <w:r w:rsidR="00C557F7">
              <w:rPr>
                <w:szCs w:val="24"/>
              </w:rPr>
              <w:t>, testų, priemonių</w:t>
            </w:r>
            <w:r>
              <w:rPr>
                <w:szCs w:val="24"/>
              </w:rPr>
              <w:t xml:space="preserve"> </w:t>
            </w:r>
            <w:r w:rsidR="0042456D">
              <w:rPr>
                <w:szCs w:val="24"/>
              </w:rPr>
              <w:t>tyrimams, automatinio analizatoriaus panauda</w:t>
            </w:r>
            <w:r>
              <w:rPr>
                <w:szCs w:val="24"/>
              </w:rPr>
              <w:t>;</w:t>
            </w:r>
          </w:p>
          <w:p w:rsidR="007D18C8" w:rsidRDefault="004F0322" w:rsidP="0012700D">
            <w:pPr>
              <w:jc w:val="both"/>
              <w:rPr>
                <w:szCs w:val="24"/>
              </w:rPr>
            </w:pPr>
            <w:r>
              <w:rPr>
                <w:szCs w:val="24"/>
              </w:rPr>
              <w:t xml:space="preserve">Su </w:t>
            </w:r>
            <w:r w:rsidR="007113BE">
              <w:rPr>
                <w:szCs w:val="24"/>
              </w:rPr>
              <w:t>MB</w:t>
            </w:r>
            <w:r w:rsidR="007D18C8">
              <w:rPr>
                <w:szCs w:val="24"/>
              </w:rPr>
              <w:t xml:space="preserve"> „</w:t>
            </w:r>
            <w:proofErr w:type="spellStart"/>
            <w:r w:rsidR="00C12BF8">
              <w:rPr>
                <w:szCs w:val="24"/>
              </w:rPr>
              <w:t>Medit</w:t>
            </w:r>
            <w:r w:rsidR="007113BE">
              <w:rPr>
                <w:szCs w:val="24"/>
              </w:rPr>
              <w:t>estas</w:t>
            </w:r>
            <w:proofErr w:type="spellEnd"/>
            <w:r w:rsidR="007D18C8">
              <w:rPr>
                <w:szCs w:val="24"/>
              </w:rPr>
              <w:t xml:space="preserve">“ (į. k. </w:t>
            </w:r>
            <w:r w:rsidR="003145AE">
              <w:rPr>
                <w:szCs w:val="24"/>
              </w:rPr>
              <w:t>302944709</w:t>
            </w:r>
            <w:r w:rsidR="007D18C8">
              <w:rPr>
                <w:szCs w:val="24"/>
              </w:rPr>
              <w:t>)</w:t>
            </w:r>
            <w:r>
              <w:rPr>
                <w:szCs w:val="24"/>
              </w:rPr>
              <w:t xml:space="preserve"> sudaryta sutartis dėl </w:t>
            </w:r>
            <w:r w:rsidR="00A06C00">
              <w:rPr>
                <w:szCs w:val="24"/>
              </w:rPr>
              <w:t xml:space="preserve">Pirkimo </w:t>
            </w:r>
            <w:r w:rsidR="003145AE">
              <w:rPr>
                <w:szCs w:val="24"/>
              </w:rPr>
              <w:t>17</w:t>
            </w:r>
            <w:r>
              <w:rPr>
                <w:szCs w:val="24"/>
              </w:rPr>
              <w:t xml:space="preserve"> dalyje nurodytų medžiagų ir </w:t>
            </w:r>
            <w:r w:rsidR="003145AE">
              <w:rPr>
                <w:szCs w:val="24"/>
              </w:rPr>
              <w:t>priemonių testams</w:t>
            </w:r>
            <w:r>
              <w:rPr>
                <w:szCs w:val="24"/>
              </w:rPr>
              <w:t>;</w:t>
            </w:r>
            <w:r w:rsidR="003145AE">
              <w:rPr>
                <w:szCs w:val="24"/>
              </w:rPr>
              <w:t xml:space="preserve"> </w:t>
            </w:r>
          </w:p>
          <w:p w:rsidR="00DC7A36" w:rsidRDefault="00DC7A36" w:rsidP="00DC7A36">
            <w:pPr>
              <w:jc w:val="both"/>
              <w:rPr>
                <w:szCs w:val="24"/>
              </w:rPr>
            </w:pPr>
            <w:r>
              <w:rPr>
                <w:szCs w:val="24"/>
              </w:rPr>
              <w:t>Su UAB „</w:t>
            </w:r>
            <w:proofErr w:type="spellStart"/>
            <w:r>
              <w:rPr>
                <w:szCs w:val="24"/>
              </w:rPr>
              <w:t>Medfarmos</w:t>
            </w:r>
            <w:proofErr w:type="spellEnd"/>
            <w:r>
              <w:rPr>
                <w:szCs w:val="24"/>
              </w:rPr>
              <w:t xml:space="preserve"> laboratorija“ (į. k. 124484379) sudaryta sutartis dėl Pirkimo 18 dalyje nurodytų medžiagų ir priemonių; </w:t>
            </w:r>
          </w:p>
          <w:p w:rsidR="007D18C8" w:rsidRPr="002A07F4" w:rsidRDefault="004F0322" w:rsidP="00C12BF8">
            <w:pPr>
              <w:jc w:val="both"/>
              <w:rPr>
                <w:szCs w:val="24"/>
              </w:rPr>
            </w:pPr>
            <w:r>
              <w:rPr>
                <w:szCs w:val="24"/>
              </w:rPr>
              <w:t xml:space="preserve">Su </w:t>
            </w:r>
            <w:r w:rsidR="007D18C8">
              <w:rPr>
                <w:szCs w:val="24"/>
              </w:rPr>
              <w:t>UAB „</w:t>
            </w:r>
            <w:proofErr w:type="spellStart"/>
            <w:r w:rsidR="00C12BF8">
              <w:rPr>
                <w:szCs w:val="24"/>
              </w:rPr>
              <w:t>Sormedica</w:t>
            </w:r>
            <w:proofErr w:type="spellEnd"/>
            <w:r w:rsidR="007D18C8">
              <w:rPr>
                <w:szCs w:val="24"/>
              </w:rPr>
              <w:t xml:space="preserve">“ (į. k. </w:t>
            </w:r>
            <w:r w:rsidR="00C557F7">
              <w:rPr>
                <w:szCs w:val="24"/>
              </w:rPr>
              <w:t>123961895</w:t>
            </w:r>
            <w:r w:rsidR="007D18C8">
              <w:rPr>
                <w:szCs w:val="24"/>
              </w:rPr>
              <w:t>)</w:t>
            </w:r>
            <w:r>
              <w:rPr>
                <w:szCs w:val="24"/>
              </w:rPr>
              <w:t xml:space="preserve"> sudaryta sutartis dėl </w:t>
            </w:r>
            <w:r w:rsidR="00A06C00">
              <w:rPr>
                <w:szCs w:val="24"/>
              </w:rPr>
              <w:t xml:space="preserve">Pirkimo </w:t>
            </w:r>
            <w:r w:rsidR="007113BE">
              <w:rPr>
                <w:szCs w:val="24"/>
              </w:rPr>
              <w:t>15</w:t>
            </w:r>
            <w:r>
              <w:rPr>
                <w:szCs w:val="24"/>
              </w:rPr>
              <w:t xml:space="preserve"> dalyje nurodytų medžiagų</w:t>
            </w:r>
            <w:r w:rsidR="003145AE">
              <w:rPr>
                <w:szCs w:val="24"/>
              </w:rPr>
              <w:t>, priemonių tyrimų atlikimui</w:t>
            </w:r>
            <w:r w:rsidR="00C12BF8">
              <w:rPr>
                <w:szCs w:val="24"/>
              </w:rPr>
              <w:t>.</w:t>
            </w:r>
          </w:p>
        </w:tc>
      </w:tr>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rsidP="002A07F4">
            <w:pPr>
              <w:jc w:val="both"/>
              <w:rPr>
                <w:rFonts w:eastAsia="Calibri"/>
              </w:rPr>
            </w:pPr>
            <w:r w:rsidRPr="002A07F4">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rsidR="002A07F4" w:rsidRPr="002A07F4" w:rsidRDefault="003D5064" w:rsidP="0025094E">
            <w:pPr>
              <w:spacing w:line="254" w:lineRule="auto"/>
              <w:jc w:val="both"/>
              <w:rPr>
                <w:szCs w:val="24"/>
              </w:rPr>
            </w:pPr>
            <w:r>
              <w:rPr>
                <w:szCs w:val="24"/>
              </w:rPr>
              <w:t>Dalinis</w:t>
            </w:r>
            <w:r w:rsidRPr="00F40D60">
              <w:rPr>
                <w:szCs w:val="24"/>
              </w:rPr>
              <w:t xml:space="preserve"> vertinimas </w:t>
            </w:r>
            <w:r>
              <w:rPr>
                <w:szCs w:val="24"/>
              </w:rPr>
              <w:t xml:space="preserve">dėl </w:t>
            </w:r>
            <w:r w:rsidRPr="003D5064">
              <w:rPr>
                <w:szCs w:val="24"/>
              </w:rPr>
              <w:t>Perkančiosios organizacijos atsisakymo suinteresuotiems dalyviams atskleisti laimėjusiais pripažintuose pasiūlymuose  esančią informaciją /</w:t>
            </w:r>
            <w:r w:rsidRPr="00F40D60">
              <w:rPr>
                <w:szCs w:val="24"/>
              </w:rPr>
              <w:t xml:space="preserve"> Pirkimo procedūrų vertinimas po</w:t>
            </w:r>
            <w:r>
              <w:rPr>
                <w:szCs w:val="24"/>
              </w:rPr>
              <w:t xml:space="preserve"> sutar</w:t>
            </w:r>
            <w:r w:rsidR="00AE6A61">
              <w:rPr>
                <w:szCs w:val="24"/>
              </w:rPr>
              <w:t>čių sudarymo</w:t>
            </w:r>
            <w:r w:rsidRPr="00F40D60">
              <w:rPr>
                <w:szCs w:val="24"/>
              </w:rPr>
              <w:t>.</w:t>
            </w:r>
          </w:p>
        </w:tc>
      </w:tr>
      <w:tr w:rsidR="002A07F4" w:rsidTr="00197368">
        <w:tc>
          <w:tcPr>
            <w:tcW w:w="4677" w:type="dxa"/>
            <w:tcBorders>
              <w:top w:val="single" w:sz="4" w:space="0" w:color="auto"/>
              <w:left w:val="single" w:sz="4" w:space="0" w:color="auto"/>
              <w:bottom w:val="single" w:sz="4" w:space="0" w:color="auto"/>
              <w:right w:val="single" w:sz="4" w:space="0" w:color="auto"/>
            </w:tcBorders>
            <w:hideMark/>
          </w:tcPr>
          <w:p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rsidR="002A07F4" w:rsidRPr="002A07F4" w:rsidRDefault="00CE7BA1" w:rsidP="002F32BA">
            <w:pPr>
              <w:jc w:val="both"/>
              <w:rPr>
                <w:szCs w:val="24"/>
              </w:rPr>
            </w:pPr>
            <w:r>
              <w:rPr>
                <w:szCs w:val="24"/>
              </w:rPr>
              <w:t>–</w:t>
            </w:r>
          </w:p>
        </w:tc>
      </w:tr>
      <w:tr w:rsidR="00D060BB" w:rsidRPr="00631C4F" w:rsidTr="00197368">
        <w:tc>
          <w:tcPr>
            <w:tcW w:w="4677" w:type="dxa"/>
            <w:shd w:val="clear" w:color="auto" w:fill="auto"/>
            <w:vAlign w:val="center"/>
          </w:tcPr>
          <w:p w:rsidR="00D060BB" w:rsidRPr="00C94DB3" w:rsidRDefault="00D060BB" w:rsidP="00D060BB">
            <w:pPr>
              <w:jc w:val="both"/>
              <w:rPr>
                <w:szCs w:val="24"/>
              </w:rPr>
            </w:pPr>
            <w:r w:rsidRPr="00C94DB3">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rsidR="00D060BB" w:rsidRPr="007168C0" w:rsidRDefault="008627F9" w:rsidP="007168C0">
            <w:pPr>
              <w:jc w:val="both"/>
              <w:rPr>
                <w:szCs w:val="24"/>
              </w:rPr>
            </w:pPr>
            <w:r w:rsidRPr="007168C0">
              <w:rPr>
                <w:rFonts w:eastAsia="Calibri"/>
                <w:szCs w:val="24"/>
              </w:rPr>
              <w:t>Panevėžio apygardos  teisme nagrinėjama civilinė byla Nr. e2-355-278/2019</w:t>
            </w:r>
            <w:r w:rsidR="0056562C" w:rsidRPr="007168C0">
              <w:rPr>
                <w:rFonts w:eastAsia="Calibri"/>
                <w:szCs w:val="24"/>
              </w:rPr>
              <w:t xml:space="preserve"> dėl</w:t>
            </w:r>
            <w:r w:rsidRPr="007168C0">
              <w:rPr>
                <w:rFonts w:eastAsia="Calibri"/>
                <w:szCs w:val="24"/>
              </w:rPr>
              <w:t xml:space="preserve"> </w:t>
            </w:r>
            <w:r w:rsidRPr="007168C0">
              <w:rPr>
                <w:bCs/>
                <w:szCs w:val="24"/>
              </w:rPr>
              <w:t>„Reagentų, medicinos priemonių laboratoriniams tyrimams pirkimas bei analizatorių panauda“</w:t>
            </w:r>
            <w:r w:rsidR="0056562C" w:rsidRPr="007168C0">
              <w:rPr>
                <w:bCs/>
                <w:szCs w:val="24"/>
              </w:rPr>
              <w:t xml:space="preserve"> (pirkimo Nr. 408449)  draudimo susipažinti </w:t>
            </w:r>
            <w:r w:rsidR="007168C0">
              <w:rPr>
                <w:bCs/>
                <w:szCs w:val="24"/>
              </w:rPr>
              <w:t xml:space="preserve">vienam iš Pirkimo dalyvių </w:t>
            </w:r>
            <w:r w:rsidR="0056562C" w:rsidRPr="007168C0">
              <w:rPr>
                <w:bCs/>
                <w:szCs w:val="24"/>
              </w:rPr>
              <w:t>(su prekių kiekiai</w:t>
            </w:r>
            <w:r w:rsidR="009D5ED6">
              <w:rPr>
                <w:bCs/>
                <w:szCs w:val="24"/>
              </w:rPr>
              <w:t>s</w:t>
            </w:r>
            <w:r w:rsidR="0056562C" w:rsidRPr="007168C0">
              <w:rPr>
                <w:bCs/>
                <w:szCs w:val="24"/>
              </w:rPr>
              <w:t>, fiksuotais įkainiais ir analizatoriaus darbo vadovu, atitikties techninės specifikacijos reikalavimams lentele ir kt.)  su laimėtojo pateiktu pasiūlymu P</w:t>
            </w:r>
            <w:r w:rsidRPr="007168C0">
              <w:rPr>
                <w:bCs/>
                <w:szCs w:val="24"/>
              </w:rPr>
              <w:t xml:space="preserve">irkimo </w:t>
            </w:r>
            <w:r w:rsidR="0056562C" w:rsidRPr="007168C0">
              <w:rPr>
                <w:bCs/>
                <w:szCs w:val="24"/>
              </w:rPr>
              <w:t xml:space="preserve">2 dalyje. </w:t>
            </w:r>
            <w:r w:rsidR="007168C0" w:rsidRPr="007168C0">
              <w:rPr>
                <w:bCs/>
                <w:szCs w:val="24"/>
              </w:rPr>
              <w:t>Panevėžio apygardos teismas 2019-02-20 nutartimi nutarė sustabdyti Pirkimo 2 dalies p</w:t>
            </w:r>
            <w:r w:rsidR="007168C0">
              <w:rPr>
                <w:bCs/>
                <w:szCs w:val="24"/>
              </w:rPr>
              <w:t>r</w:t>
            </w:r>
            <w:r w:rsidR="007168C0" w:rsidRPr="007168C0">
              <w:rPr>
                <w:bCs/>
                <w:szCs w:val="24"/>
              </w:rPr>
              <w:t>ocedūras.</w:t>
            </w:r>
          </w:p>
        </w:tc>
      </w:tr>
    </w:tbl>
    <w:p w:rsidR="003F255A" w:rsidRDefault="003F255A" w:rsidP="002A07F4">
      <w:pPr>
        <w:jc w:val="center"/>
        <w:rPr>
          <w:b/>
          <w:szCs w:val="24"/>
        </w:rPr>
      </w:pPr>
    </w:p>
    <w:p w:rsidR="002A07F4" w:rsidRPr="002A07F4" w:rsidRDefault="002A07F4" w:rsidP="002A07F4">
      <w:pPr>
        <w:jc w:val="center"/>
        <w:rPr>
          <w:b/>
          <w:szCs w:val="24"/>
        </w:rPr>
      </w:pPr>
      <w:r w:rsidRPr="002A07F4">
        <w:rPr>
          <w:b/>
          <w:szCs w:val="24"/>
        </w:rPr>
        <w:t>II dalis. Vertinimo apimtyje nustatyti pažeidimai</w:t>
      </w:r>
    </w:p>
    <w:p w:rsidR="002A07F4" w:rsidRPr="002A07F4"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197368" w:rsidRPr="0028302A" w:rsidTr="00F81E5F">
        <w:tc>
          <w:tcPr>
            <w:tcW w:w="567" w:type="dxa"/>
            <w:shd w:val="clear" w:color="auto" w:fill="auto"/>
            <w:vAlign w:val="center"/>
          </w:tcPr>
          <w:p w:rsidR="00197368" w:rsidRPr="0028302A" w:rsidRDefault="00197368" w:rsidP="00BC7168">
            <w:pPr>
              <w:spacing w:before="120" w:after="120"/>
              <w:ind w:left="227"/>
              <w:jc w:val="center"/>
              <w:rPr>
                <w:szCs w:val="24"/>
              </w:rPr>
            </w:pPr>
            <w:bookmarkStart w:id="1" w:name="_Hlk767378"/>
          </w:p>
        </w:tc>
        <w:tc>
          <w:tcPr>
            <w:tcW w:w="9214" w:type="dxa"/>
            <w:shd w:val="clear" w:color="auto" w:fill="auto"/>
          </w:tcPr>
          <w:p w:rsidR="00197368" w:rsidRPr="0028302A" w:rsidRDefault="00C534AC" w:rsidP="00451A7B">
            <w:pPr>
              <w:spacing w:before="120" w:after="120"/>
              <w:rPr>
                <w:b/>
                <w:szCs w:val="24"/>
                <w:highlight w:val="yellow"/>
              </w:rPr>
            </w:pPr>
            <w:r>
              <w:rPr>
                <w:i/>
                <w:szCs w:val="24"/>
              </w:rPr>
              <w:t>Įstatymo 1</w:t>
            </w:r>
            <w:r w:rsidR="00AE6A61" w:rsidRPr="002D5078">
              <w:rPr>
                <w:i/>
                <w:szCs w:val="24"/>
              </w:rPr>
              <w:t>7 straipsnio 1 dalis</w:t>
            </w:r>
            <w:r w:rsidR="00AE6A61" w:rsidRPr="002D5078">
              <w:rPr>
                <w:i/>
                <w:szCs w:val="24"/>
                <w:vertAlign w:val="superscript"/>
              </w:rPr>
              <w:footnoteReference w:id="1"/>
            </w:r>
          </w:p>
        </w:tc>
      </w:tr>
      <w:tr w:rsidR="00197368" w:rsidRPr="00DB7A86" w:rsidTr="00197368">
        <w:tc>
          <w:tcPr>
            <w:tcW w:w="9781" w:type="dxa"/>
            <w:gridSpan w:val="2"/>
            <w:shd w:val="clear" w:color="auto" w:fill="auto"/>
          </w:tcPr>
          <w:p w:rsidR="00696B45" w:rsidRPr="00DB7A86" w:rsidRDefault="00197368" w:rsidP="00696B45">
            <w:pPr>
              <w:ind w:firstLine="459"/>
              <w:jc w:val="both"/>
              <w:rPr>
                <w:szCs w:val="24"/>
              </w:rPr>
            </w:pPr>
            <w:r w:rsidRPr="00DB7A86">
              <w:rPr>
                <w:szCs w:val="24"/>
              </w:rPr>
              <w:t>Nustačius pasiūlymų eilę</w:t>
            </w:r>
            <w:r w:rsidR="00C557F7" w:rsidRPr="00DB7A86">
              <w:rPr>
                <w:szCs w:val="24"/>
              </w:rPr>
              <w:t xml:space="preserve"> ir </w:t>
            </w:r>
            <w:r w:rsidR="00F204B4" w:rsidRPr="00DB7A86">
              <w:rPr>
                <w:szCs w:val="24"/>
              </w:rPr>
              <w:t>informavus t</w:t>
            </w:r>
            <w:r w:rsidR="00887B9D">
              <w:rPr>
                <w:szCs w:val="24"/>
              </w:rPr>
              <w:t>i</w:t>
            </w:r>
            <w:r w:rsidR="00F204B4" w:rsidRPr="00DB7A86">
              <w:rPr>
                <w:szCs w:val="24"/>
              </w:rPr>
              <w:t>ekėjus dėl pirkimo sutarčių sudarymo</w:t>
            </w:r>
            <w:r w:rsidRPr="00DB7A86">
              <w:rPr>
                <w:rStyle w:val="FootnoteReference"/>
                <w:szCs w:val="24"/>
              </w:rPr>
              <w:footnoteReference w:id="2"/>
            </w:r>
            <w:r w:rsidRPr="00DB7A86">
              <w:rPr>
                <w:szCs w:val="24"/>
              </w:rPr>
              <w:t>, suinteresuotas dalyvis UAB „</w:t>
            </w:r>
            <w:proofErr w:type="spellStart"/>
            <w:r w:rsidR="00F204B4" w:rsidRPr="00DB7A86">
              <w:rPr>
                <w:szCs w:val="24"/>
              </w:rPr>
              <w:t>Diamedica</w:t>
            </w:r>
            <w:proofErr w:type="spellEnd"/>
            <w:r w:rsidRPr="00DB7A86">
              <w:rPr>
                <w:szCs w:val="24"/>
              </w:rPr>
              <w:t>“ (toliau – Suinteresuotas dalyvis) 201</w:t>
            </w:r>
            <w:r w:rsidR="00F204B4" w:rsidRPr="00DB7A86">
              <w:rPr>
                <w:szCs w:val="24"/>
              </w:rPr>
              <w:t>9</w:t>
            </w:r>
            <w:r w:rsidRPr="00DB7A86">
              <w:rPr>
                <w:szCs w:val="24"/>
              </w:rPr>
              <w:t>-0</w:t>
            </w:r>
            <w:r w:rsidR="00182969">
              <w:rPr>
                <w:szCs w:val="24"/>
              </w:rPr>
              <w:t>1</w:t>
            </w:r>
            <w:r w:rsidRPr="00DB7A86">
              <w:rPr>
                <w:szCs w:val="24"/>
              </w:rPr>
              <w:t>-</w:t>
            </w:r>
            <w:r w:rsidR="00182969">
              <w:rPr>
                <w:szCs w:val="24"/>
              </w:rPr>
              <w:t>29</w:t>
            </w:r>
            <w:r w:rsidRPr="00DB7A86">
              <w:rPr>
                <w:szCs w:val="24"/>
              </w:rPr>
              <w:t xml:space="preserve"> CVP IS pranešimu Nr. 6</w:t>
            </w:r>
            <w:r w:rsidR="00F204B4" w:rsidRPr="00DB7A86">
              <w:rPr>
                <w:szCs w:val="24"/>
              </w:rPr>
              <w:t>89</w:t>
            </w:r>
            <w:r w:rsidR="00182969">
              <w:rPr>
                <w:szCs w:val="24"/>
              </w:rPr>
              <w:t>0841</w:t>
            </w:r>
            <w:r w:rsidRPr="00DB7A86">
              <w:rPr>
                <w:szCs w:val="24"/>
              </w:rPr>
              <w:t xml:space="preserve"> kreipėsi į Perkančiąją organizaciją su prašymu leisti susipažinti su UAB „</w:t>
            </w:r>
            <w:proofErr w:type="spellStart"/>
            <w:r w:rsidR="00F204B4" w:rsidRPr="00DB7A86">
              <w:rPr>
                <w:szCs w:val="24"/>
              </w:rPr>
              <w:t>Limeta</w:t>
            </w:r>
            <w:proofErr w:type="spellEnd"/>
            <w:r w:rsidRPr="00DB7A86">
              <w:rPr>
                <w:szCs w:val="24"/>
              </w:rPr>
              <w:t xml:space="preserve">“ Pirkimo </w:t>
            </w:r>
            <w:r w:rsidR="00A06C00" w:rsidRPr="00DB7A86">
              <w:rPr>
                <w:szCs w:val="24"/>
              </w:rPr>
              <w:t xml:space="preserve">2 </w:t>
            </w:r>
            <w:r w:rsidRPr="00DB7A86">
              <w:rPr>
                <w:szCs w:val="24"/>
              </w:rPr>
              <w:t>dalyje pateiktu pasiūlymu (eilėje pirmu</w:t>
            </w:r>
            <w:r w:rsidR="00182969">
              <w:rPr>
                <w:szCs w:val="24"/>
              </w:rPr>
              <w:t>) ir s</w:t>
            </w:r>
            <w:r w:rsidR="00F204B4" w:rsidRPr="00DB7A86">
              <w:rPr>
                <w:szCs w:val="24"/>
              </w:rPr>
              <w:t>u UAB „</w:t>
            </w:r>
            <w:proofErr w:type="spellStart"/>
            <w:r w:rsidR="00182969">
              <w:rPr>
                <w:szCs w:val="24"/>
              </w:rPr>
              <w:t>Sormedika</w:t>
            </w:r>
            <w:proofErr w:type="spellEnd"/>
            <w:r w:rsidR="00F204B4" w:rsidRPr="00DB7A86">
              <w:rPr>
                <w:szCs w:val="24"/>
              </w:rPr>
              <w:t xml:space="preserve">“ Pirkimo </w:t>
            </w:r>
            <w:r w:rsidR="00182969">
              <w:rPr>
                <w:szCs w:val="24"/>
              </w:rPr>
              <w:t>15</w:t>
            </w:r>
            <w:r w:rsidR="00F204B4" w:rsidRPr="00DB7A86">
              <w:rPr>
                <w:szCs w:val="24"/>
              </w:rPr>
              <w:t xml:space="preserve"> dalyje pateiktu pasiūlymu (eilėje pirmu)</w:t>
            </w:r>
            <w:r w:rsidR="00182969">
              <w:rPr>
                <w:szCs w:val="24"/>
              </w:rPr>
              <w:t xml:space="preserve">. </w:t>
            </w:r>
            <w:r w:rsidR="00C614D3" w:rsidRPr="00DB7A86">
              <w:rPr>
                <w:szCs w:val="24"/>
              </w:rPr>
              <w:t xml:space="preserve">Suinteresuotas dalyvis </w:t>
            </w:r>
            <w:r w:rsidR="00696B45">
              <w:rPr>
                <w:szCs w:val="24"/>
              </w:rPr>
              <w:t xml:space="preserve">savo prašyme pažymėjo, kad bendra pasiūlymo </w:t>
            </w:r>
            <w:r w:rsidR="00696B45">
              <w:rPr>
                <w:szCs w:val="24"/>
              </w:rPr>
              <w:lastRenderedPageBreak/>
              <w:t xml:space="preserve">kaina, </w:t>
            </w:r>
            <w:r w:rsidR="00696B45" w:rsidRPr="00DB7A86">
              <w:rPr>
                <w:szCs w:val="24"/>
              </w:rPr>
              <w:t xml:space="preserve">fiksuoti įkainiai (įkainiai nėra laikomi sudedamosiomis dalimis), </w:t>
            </w:r>
            <w:r w:rsidR="00696B45">
              <w:rPr>
                <w:szCs w:val="24"/>
              </w:rPr>
              <w:t>siūlomų prekių pavadinimai, gamintojai, kodai</w:t>
            </w:r>
            <w:r w:rsidR="00A45978">
              <w:rPr>
                <w:szCs w:val="24"/>
              </w:rPr>
              <w:t>,</w:t>
            </w:r>
            <w:r w:rsidR="00696B45">
              <w:rPr>
                <w:szCs w:val="24"/>
              </w:rPr>
              <w:t xml:space="preserve"> įrenginio </w:t>
            </w:r>
            <w:r w:rsidR="00696B45" w:rsidRPr="00DB7A86">
              <w:rPr>
                <w:szCs w:val="24"/>
              </w:rPr>
              <w:t>naudojimo instrukcij</w:t>
            </w:r>
            <w:r w:rsidR="00696B45">
              <w:rPr>
                <w:szCs w:val="24"/>
              </w:rPr>
              <w:t>os,</w:t>
            </w:r>
            <w:r w:rsidR="00696B45" w:rsidRPr="00DB7A86">
              <w:rPr>
                <w:szCs w:val="24"/>
              </w:rPr>
              <w:t xml:space="preserve"> vadovaujantis Įstatymo reglamentavimu negali būti laikomi konfidencialia informacija. </w:t>
            </w:r>
            <w:r w:rsidR="00696B45">
              <w:rPr>
                <w:szCs w:val="24"/>
              </w:rPr>
              <w:t>Minėta informacija turi būti viešinama, tiek viešinant sutart</w:t>
            </w:r>
            <w:r w:rsidR="00206CB2">
              <w:rPr>
                <w:szCs w:val="24"/>
              </w:rPr>
              <w:t>į</w:t>
            </w:r>
            <w:r w:rsidR="00696B45">
              <w:rPr>
                <w:szCs w:val="24"/>
              </w:rPr>
              <w:t xml:space="preserve">, tiek supažindinant kitus tiekėjus su laimėtojų pasiūlymais. </w:t>
            </w:r>
            <w:r w:rsidR="00E53724">
              <w:rPr>
                <w:szCs w:val="24"/>
              </w:rPr>
              <w:t xml:space="preserve">Kitas Pirkimo dalyvis - </w:t>
            </w:r>
            <w:r w:rsidR="00696B45">
              <w:rPr>
                <w:szCs w:val="24"/>
              </w:rPr>
              <w:t>UAB „</w:t>
            </w:r>
            <w:proofErr w:type="spellStart"/>
            <w:r w:rsidR="00696B45">
              <w:rPr>
                <w:szCs w:val="24"/>
              </w:rPr>
              <w:t>Limeta</w:t>
            </w:r>
            <w:proofErr w:type="spellEnd"/>
            <w:r w:rsidR="00696B45">
              <w:rPr>
                <w:szCs w:val="24"/>
              </w:rPr>
              <w:t xml:space="preserve">“ </w:t>
            </w:r>
            <w:r w:rsidR="00C45881">
              <w:rPr>
                <w:szCs w:val="24"/>
              </w:rPr>
              <w:t>2019-01-30 raštu Nr. 4-018 „Prašymas dėl susipažinimo su dalyvio pasiūlymu“ (</w:t>
            </w:r>
            <w:r w:rsidR="00696B45">
              <w:rPr>
                <w:szCs w:val="24"/>
              </w:rPr>
              <w:t>CVP IS pranešim</w:t>
            </w:r>
            <w:r w:rsidR="00C45881">
              <w:rPr>
                <w:szCs w:val="24"/>
              </w:rPr>
              <w:t>as</w:t>
            </w:r>
            <w:r w:rsidR="00696B45">
              <w:rPr>
                <w:szCs w:val="24"/>
              </w:rPr>
              <w:t xml:space="preserve"> Nr. 6891943) kreipėsi į Perkančiąją organizaciją ir prašė leisti susipažinti su Pirkimo 19 dalies laimėtojo UAB „</w:t>
            </w:r>
            <w:proofErr w:type="spellStart"/>
            <w:r w:rsidR="00696B45">
              <w:rPr>
                <w:szCs w:val="24"/>
              </w:rPr>
              <w:t>Mediq</w:t>
            </w:r>
            <w:proofErr w:type="spellEnd"/>
            <w:r w:rsidR="00696B45">
              <w:rPr>
                <w:szCs w:val="24"/>
              </w:rPr>
              <w:t xml:space="preserve"> Lietuva“</w:t>
            </w:r>
            <w:r w:rsidR="00206CB2">
              <w:rPr>
                <w:szCs w:val="24"/>
              </w:rPr>
              <w:t xml:space="preserve"> </w:t>
            </w:r>
            <w:r w:rsidR="00696B45">
              <w:rPr>
                <w:szCs w:val="24"/>
              </w:rPr>
              <w:t>pasiūlymu</w:t>
            </w:r>
            <w:r w:rsidR="00206CB2">
              <w:rPr>
                <w:szCs w:val="24"/>
              </w:rPr>
              <w:t xml:space="preserve">. </w:t>
            </w:r>
          </w:p>
          <w:p w:rsidR="00206CB2" w:rsidRDefault="00197368" w:rsidP="00DB7A86">
            <w:pPr>
              <w:ind w:firstLine="459"/>
              <w:jc w:val="both"/>
              <w:rPr>
                <w:szCs w:val="24"/>
              </w:rPr>
            </w:pPr>
            <w:r w:rsidRPr="00DB7A86">
              <w:rPr>
                <w:szCs w:val="24"/>
              </w:rPr>
              <w:t xml:space="preserve">Perkančioji organizacija dėl šios informacijos atskleidimo </w:t>
            </w:r>
            <w:r w:rsidR="00C45881">
              <w:rPr>
                <w:szCs w:val="24"/>
              </w:rPr>
              <w:t xml:space="preserve">nutarė </w:t>
            </w:r>
            <w:r w:rsidRPr="00DB7A86">
              <w:rPr>
                <w:szCs w:val="24"/>
              </w:rPr>
              <w:t>kreip</w:t>
            </w:r>
            <w:r w:rsidR="00C45881">
              <w:rPr>
                <w:szCs w:val="24"/>
              </w:rPr>
              <w:t>tis</w:t>
            </w:r>
            <w:r w:rsidR="00A834D3">
              <w:rPr>
                <w:rStyle w:val="FootnoteReference"/>
                <w:szCs w:val="24"/>
              </w:rPr>
              <w:footnoteReference w:id="3"/>
            </w:r>
            <w:r w:rsidRPr="00DB7A86">
              <w:rPr>
                <w:szCs w:val="24"/>
              </w:rPr>
              <w:t xml:space="preserve"> į minėtus UAB „</w:t>
            </w:r>
            <w:proofErr w:type="spellStart"/>
            <w:r w:rsidR="00B24E38" w:rsidRPr="00DB7A86">
              <w:rPr>
                <w:szCs w:val="24"/>
              </w:rPr>
              <w:t>Limeta</w:t>
            </w:r>
            <w:proofErr w:type="spellEnd"/>
            <w:r w:rsidRPr="00DB7A86">
              <w:rPr>
                <w:szCs w:val="24"/>
              </w:rPr>
              <w:t>“</w:t>
            </w:r>
            <w:r w:rsidR="00E53724">
              <w:rPr>
                <w:rStyle w:val="FootnoteReference"/>
                <w:szCs w:val="24"/>
              </w:rPr>
              <w:footnoteReference w:id="4"/>
            </w:r>
            <w:r w:rsidR="00206CB2">
              <w:rPr>
                <w:szCs w:val="24"/>
              </w:rPr>
              <w:t xml:space="preserve"> ir </w:t>
            </w:r>
            <w:r w:rsidR="00206CB2" w:rsidRPr="00DB7A86">
              <w:rPr>
                <w:szCs w:val="24"/>
              </w:rPr>
              <w:t>UAB „</w:t>
            </w:r>
            <w:proofErr w:type="spellStart"/>
            <w:r w:rsidR="00206CB2">
              <w:rPr>
                <w:szCs w:val="24"/>
              </w:rPr>
              <w:t>Sormedica</w:t>
            </w:r>
            <w:proofErr w:type="spellEnd"/>
            <w:r w:rsidR="00206CB2" w:rsidRPr="00DB7A86">
              <w:rPr>
                <w:szCs w:val="24"/>
              </w:rPr>
              <w:t>“</w:t>
            </w:r>
            <w:r w:rsidR="00C45881">
              <w:rPr>
                <w:rStyle w:val="FootnoteReference"/>
                <w:szCs w:val="24"/>
              </w:rPr>
              <w:footnoteReference w:id="5"/>
            </w:r>
            <w:r w:rsidR="00206CB2" w:rsidRPr="00DB7A86">
              <w:rPr>
                <w:szCs w:val="24"/>
              </w:rPr>
              <w:t>.</w:t>
            </w:r>
            <w:r w:rsidR="00206CB2">
              <w:rPr>
                <w:szCs w:val="24"/>
              </w:rPr>
              <w:t xml:space="preserve"> </w:t>
            </w:r>
            <w:r w:rsidR="00B26398">
              <w:rPr>
                <w:szCs w:val="24"/>
              </w:rPr>
              <w:t xml:space="preserve"> </w:t>
            </w:r>
            <w:r w:rsidR="00206CB2">
              <w:rPr>
                <w:szCs w:val="24"/>
              </w:rPr>
              <w:t>Atsižvelgiant į tai, kad</w:t>
            </w:r>
            <w:r w:rsidR="00191F37">
              <w:rPr>
                <w:szCs w:val="24"/>
              </w:rPr>
              <w:t xml:space="preserve"> Viešojo pirkimo komisijos</w:t>
            </w:r>
            <w:r w:rsidR="00206CB2">
              <w:rPr>
                <w:szCs w:val="24"/>
              </w:rPr>
              <w:t xml:space="preserve"> </w:t>
            </w:r>
            <w:r w:rsidR="00191F37">
              <w:rPr>
                <w:szCs w:val="24"/>
              </w:rPr>
              <w:t>vertinimu</w:t>
            </w:r>
            <w:r w:rsidR="00DC4184">
              <w:rPr>
                <w:rStyle w:val="FootnoteReference"/>
                <w:szCs w:val="24"/>
              </w:rPr>
              <w:footnoteReference w:id="6"/>
            </w:r>
            <w:r w:rsidR="00191F37">
              <w:rPr>
                <w:szCs w:val="24"/>
              </w:rPr>
              <w:t xml:space="preserve">, </w:t>
            </w:r>
            <w:r w:rsidR="00B24E38" w:rsidRPr="00DB7A86">
              <w:rPr>
                <w:szCs w:val="24"/>
              </w:rPr>
              <w:t>UAB „</w:t>
            </w:r>
            <w:proofErr w:type="spellStart"/>
            <w:r w:rsidR="00B24E38" w:rsidRPr="00DB7A86">
              <w:rPr>
                <w:szCs w:val="24"/>
              </w:rPr>
              <w:t>Mediq</w:t>
            </w:r>
            <w:proofErr w:type="spellEnd"/>
            <w:r w:rsidR="00B24E38" w:rsidRPr="00DB7A86">
              <w:rPr>
                <w:szCs w:val="24"/>
              </w:rPr>
              <w:t xml:space="preserve"> Lietuva“ </w:t>
            </w:r>
            <w:r w:rsidR="00206CB2">
              <w:rPr>
                <w:szCs w:val="24"/>
              </w:rPr>
              <w:t>pateiktas pasiūlymas yra nekonfidenciali informacija, Perkančioji organizacija priėmė sprendimą leisti UAB „</w:t>
            </w:r>
            <w:proofErr w:type="spellStart"/>
            <w:r w:rsidR="00206CB2">
              <w:rPr>
                <w:szCs w:val="24"/>
              </w:rPr>
              <w:t>Limeta</w:t>
            </w:r>
            <w:proofErr w:type="spellEnd"/>
            <w:r w:rsidR="00206CB2">
              <w:rPr>
                <w:szCs w:val="24"/>
              </w:rPr>
              <w:t>“ susipažinti su pateiktu  Pirkimo</w:t>
            </w:r>
            <w:r w:rsidR="00F53DBE">
              <w:rPr>
                <w:szCs w:val="24"/>
              </w:rPr>
              <w:t xml:space="preserve"> </w:t>
            </w:r>
            <w:r w:rsidR="00206CB2">
              <w:rPr>
                <w:szCs w:val="24"/>
              </w:rPr>
              <w:t>19 dali</w:t>
            </w:r>
            <w:r w:rsidR="00C45881">
              <w:rPr>
                <w:szCs w:val="24"/>
              </w:rPr>
              <w:t>es</w:t>
            </w:r>
            <w:r w:rsidR="00206CB2">
              <w:rPr>
                <w:szCs w:val="24"/>
              </w:rPr>
              <w:t xml:space="preserve"> laimėtojo pasiūlymu. </w:t>
            </w:r>
          </w:p>
          <w:p w:rsidR="009D5ED6" w:rsidRDefault="009D5ED6" w:rsidP="00DB7A86">
            <w:pPr>
              <w:ind w:firstLine="459"/>
              <w:jc w:val="both"/>
              <w:rPr>
                <w:szCs w:val="24"/>
              </w:rPr>
            </w:pPr>
            <w:r>
              <w:rPr>
                <w:szCs w:val="24"/>
              </w:rPr>
              <w:t xml:space="preserve">Atsižvelgiant į tai, kad </w:t>
            </w:r>
            <w:r w:rsidRPr="007168C0">
              <w:rPr>
                <w:rFonts w:eastAsia="Calibri"/>
                <w:szCs w:val="24"/>
              </w:rPr>
              <w:t>Panevėžio apygardos  teisme nagrinėjama civilinė byla Nr. e2-355-278/2019</w:t>
            </w:r>
            <w:r>
              <w:rPr>
                <w:rFonts w:eastAsia="Calibri"/>
                <w:szCs w:val="24"/>
              </w:rPr>
              <w:t xml:space="preserve">, kuri susijusi su </w:t>
            </w:r>
            <w:r>
              <w:rPr>
                <w:szCs w:val="24"/>
              </w:rPr>
              <w:t>Pirkimo 2 dalimi, šiuo klausimu, Tarnyba nepasisako.</w:t>
            </w:r>
          </w:p>
          <w:p w:rsidR="00632F19" w:rsidRDefault="00197368" w:rsidP="00DB7A86">
            <w:pPr>
              <w:ind w:firstLine="459"/>
              <w:jc w:val="both"/>
              <w:rPr>
                <w:i/>
                <w:szCs w:val="24"/>
              </w:rPr>
            </w:pPr>
            <w:r w:rsidRPr="00DB7A86">
              <w:rPr>
                <w:szCs w:val="24"/>
              </w:rPr>
              <w:t>UAB „</w:t>
            </w:r>
            <w:proofErr w:type="spellStart"/>
            <w:r w:rsidR="009D5ED6">
              <w:rPr>
                <w:szCs w:val="24"/>
              </w:rPr>
              <w:t>Sormedica</w:t>
            </w:r>
            <w:proofErr w:type="spellEnd"/>
            <w:r w:rsidRPr="00DB7A86">
              <w:rPr>
                <w:szCs w:val="24"/>
              </w:rPr>
              <w:t>“ 201</w:t>
            </w:r>
            <w:r w:rsidR="00391AE6" w:rsidRPr="00DB7A86">
              <w:rPr>
                <w:szCs w:val="24"/>
              </w:rPr>
              <w:t>9</w:t>
            </w:r>
            <w:r w:rsidRPr="00DB7A86">
              <w:rPr>
                <w:szCs w:val="24"/>
              </w:rPr>
              <w:t>-0</w:t>
            </w:r>
            <w:r w:rsidR="00391AE6" w:rsidRPr="00DB7A86">
              <w:rPr>
                <w:szCs w:val="24"/>
              </w:rPr>
              <w:t>2</w:t>
            </w:r>
            <w:r w:rsidRPr="00DB7A86">
              <w:rPr>
                <w:szCs w:val="24"/>
              </w:rPr>
              <w:t>-</w:t>
            </w:r>
            <w:r w:rsidR="00391AE6" w:rsidRPr="00DB7A86">
              <w:rPr>
                <w:szCs w:val="24"/>
              </w:rPr>
              <w:t>0</w:t>
            </w:r>
            <w:r w:rsidR="009D5ED6">
              <w:rPr>
                <w:szCs w:val="24"/>
              </w:rPr>
              <w:t>5</w:t>
            </w:r>
            <w:r w:rsidRPr="00DB7A86">
              <w:rPr>
                <w:szCs w:val="24"/>
              </w:rPr>
              <w:t xml:space="preserve"> raštu </w:t>
            </w:r>
            <w:r w:rsidR="009D5ED6">
              <w:rPr>
                <w:szCs w:val="24"/>
              </w:rPr>
              <w:t xml:space="preserve">Nr. 13 „Dėl konfidencialios informacijos (pirkimo Nr. 408449)“ </w:t>
            </w:r>
            <w:r w:rsidRPr="00DB7A86">
              <w:rPr>
                <w:szCs w:val="24"/>
              </w:rPr>
              <w:t>(</w:t>
            </w:r>
            <w:r w:rsidR="009D5ED6">
              <w:rPr>
                <w:szCs w:val="24"/>
              </w:rPr>
              <w:t xml:space="preserve">2019-02-06 </w:t>
            </w:r>
            <w:r w:rsidRPr="00DB7A86">
              <w:rPr>
                <w:szCs w:val="24"/>
              </w:rPr>
              <w:t>CVP IS pranešimas Nr. 6</w:t>
            </w:r>
            <w:r w:rsidR="00391AE6" w:rsidRPr="00DB7A86">
              <w:rPr>
                <w:szCs w:val="24"/>
              </w:rPr>
              <w:t>91</w:t>
            </w:r>
            <w:r w:rsidR="009D5ED6">
              <w:rPr>
                <w:szCs w:val="24"/>
              </w:rPr>
              <w:t>1052</w:t>
            </w:r>
            <w:r w:rsidRPr="00DB7A86">
              <w:rPr>
                <w:szCs w:val="24"/>
              </w:rPr>
              <w:t xml:space="preserve">) Perkančiajai organizacijai atsakė, kad: </w:t>
            </w:r>
            <w:r w:rsidRPr="00DB7A86">
              <w:rPr>
                <w:i/>
                <w:szCs w:val="24"/>
              </w:rPr>
              <w:t>„&lt;...&gt;</w:t>
            </w:r>
            <w:r w:rsidR="007D2820" w:rsidRPr="00DB7A86">
              <w:rPr>
                <w:i/>
                <w:szCs w:val="24"/>
              </w:rPr>
              <w:t xml:space="preserve"> </w:t>
            </w:r>
            <w:r w:rsidR="00632F19">
              <w:rPr>
                <w:i/>
                <w:szCs w:val="24"/>
              </w:rPr>
              <w:t>tokios komplektacijos pirkimo objekto sudėtinių dalių kainų nežino tretieji asmenys ir tai suteikia UAB „</w:t>
            </w:r>
            <w:proofErr w:type="spellStart"/>
            <w:r w:rsidR="00632F19">
              <w:rPr>
                <w:i/>
                <w:szCs w:val="24"/>
              </w:rPr>
              <w:t>Sormedica</w:t>
            </w:r>
            <w:proofErr w:type="spellEnd"/>
            <w:r w:rsidR="00632F19">
              <w:rPr>
                <w:i/>
                <w:szCs w:val="24"/>
              </w:rPr>
              <w:t xml:space="preserve">“ konkurencinį pranašumą. </w:t>
            </w:r>
            <w:r w:rsidR="00B36378" w:rsidRPr="00DB7A86">
              <w:rPr>
                <w:i/>
                <w:szCs w:val="24"/>
              </w:rPr>
              <w:t>&lt;...&gt;</w:t>
            </w:r>
            <w:r w:rsidR="00B36378">
              <w:rPr>
                <w:i/>
                <w:szCs w:val="24"/>
              </w:rPr>
              <w:t xml:space="preserve"> Be to Tiekėjas pažymi, kad atskirų pozicijų kainos, išskyrus galimai neteisėtą konkurento siekį įgyti konkurencinį pranašumą, neturi jokios reikšmės ir nedaro jokios įtakos konkurso teisėtumui, kai yra žinoma bendra pasiūlymo kaina. </w:t>
            </w:r>
            <w:r w:rsidR="00B36378" w:rsidRPr="00DB7A86">
              <w:rPr>
                <w:i/>
                <w:szCs w:val="24"/>
              </w:rPr>
              <w:t>&lt;...&gt;</w:t>
            </w:r>
            <w:r w:rsidR="00B36378">
              <w:rPr>
                <w:i/>
                <w:szCs w:val="24"/>
              </w:rPr>
              <w:t xml:space="preserve"> tiekėjai nuolatos dalyvauja  </w:t>
            </w:r>
            <w:r w:rsidR="00B36378" w:rsidRPr="00DB7A86">
              <w:rPr>
                <w:i/>
                <w:szCs w:val="24"/>
              </w:rPr>
              <w:t>&lt;...&gt;</w:t>
            </w:r>
            <w:r w:rsidR="00B36378">
              <w:rPr>
                <w:i/>
                <w:szCs w:val="24"/>
              </w:rPr>
              <w:t xml:space="preserve"> viešuosiuose pirkimuose, siekdami juos laimėti, sužinoję nurodytą informaciją, tretieji asmenys (tiekėjai( gali ketinti ją panaudoti prieš tokią informaciją atskleidusį tiekėją. </w:t>
            </w:r>
            <w:r w:rsidR="00B36378" w:rsidRPr="00DB7A86">
              <w:rPr>
                <w:i/>
                <w:szCs w:val="24"/>
              </w:rPr>
              <w:t>&lt;...&gt;</w:t>
            </w:r>
            <w:r w:rsidR="00B36378">
              <w:rPr>
                <w:i/>
                <w:szCs w:val="24"/>
              </w:rPr>
              <w:t xml:space="preserve"> atskleidus atskirų pozicijų kainas, gali prarasti savo konkurencinį pranašumą.</w:t>
            </w:r>
            <w:r w:rsidR="00B36378" w:rsidRPr="00DB7A86">
              <w:rPr>
                <w:i/>
                <w:szCs w:val="24"/>
              </w:rPr>
              <w:t xml:space="preserve"> &lt;...&gt;</w:t>
            </w:r>
            <w:r w:rsidR="00F04306">
              <w:rPr>
                <w:i/>
                <w:szCs w:val="24"/>
              </w:rPr>
              <w:t xml:space="preserve"> Pagal tarpusavio bendradarbiavimo sąlygas siūlomų prekių gamintojų yra numatyta, jog gamintojo dokumentacija yra konfidenciali informacija.</w:t>
            </w:r>
            <w:r w:rsidR="00F04306" w:rsidRPr="00DB7A86">
              <w:rPr>
                <w:i/>
                <w:szCs w:val="24"/>
              </w:rPr>
              <w:t xml:space="preserve"> &lt;...&gt;</w:t>
            </w:r>
            <w:r w:rsidR="00F04306">
              <w:rPr>
                <w:i/>
                <w:szCs w:val="24"/>
              </w:rPr>
              <w:t xml:space="preserve"> - prekių techninės specifikacijos kvalifikavimas komercine paslaptimi gamintojui suteikia tam tikrų verslo privalumų, gamybinio pranašumo ir finansinės naudos,  </w:t>
            </w:r>
            <w:r w:rsidR="00F04306" w:rsidRPr="00DB7A86">
              <w:rPr>
                <w:i/>
                <w:szCs w:val="24"/>
              </w:rPr>
              <w:t>&lt;...&gt;</w:t>
            </w:r>
            <w:r w:rsidR="00F04306">
              <w:rPr>
                <w:i/>
                <w:szCs w:val="24"/>
              </w:rPr>
              <w:t>UAB „</w:t>
            </w:r>
            <w:proofErr w:type="spellStart"/>
            <w:r w:rsidR="00F04306">
              <w:rPr>
                <w:i/>
                <w:szCs w:val="24"/>
              </w:rPr>
              <w:t>Sormedica</w:t>
            </w:r>
            <w:proofErr w:type="spellEnd"/>
            <w:r w:rsidR="00F04306">
              <w:rPr>
                <w:i/>
                <w:szCs w:val="24"/>
              </w:rPr>
              <w:t>“ pasiūlyme nurodyta konfidenciali informacija nėra vieša ir negali būti viešinama informacija“.</w:t>
            </w:r>
            <w:r w:rsidR="00F04306" w:rsidRPr="00A84545">
              <w:rPr>
                <w:szCs w:val="24"/>
              </w:rPr>
              <w:t xml:space="preserve"> (t</w:t>
            </w:r>
            <w:r w:rsidR="00F04306" w:rsidRPr="00F04306">
              <w:rPr>
                <w:szCs w:val="24"/>
              </w:rPr>
              <w:t>oliau – Paaiškinimas</w:t>
            </w:r>
            <w:r w:rsidR="00F04306" w:rsidRPr="00A84545">
              <w:rPr>
                <w:szCs w:val="24"/>
              </w:rPr>
              <w:t>)</w:t>
            </w:r>
            <w:r w:rsidR="00F04306">
              <w:rPr>
                <w:i/>
                <w:szCs w:val="24"/>
              </w:rPr>
              <w:t>.</w:t>
            </w:r>
          </w:p>
          <w:p w:rsidR="00F04306" w:rsidRDefault="00197368" w:rsidP="00DB7A86">
            <w:pPr>
              <w:ind w:firstLine="459"/>
              <w:jc w:val="both"/>
              <w:rPr>
                <w:szCs w:val="24"/>
              </w:rPr>
            </w:pPr>
            <w:r w:rsidRPr="00DB7A86">
              <w:rPr>
                <w:szCs w:val="24"/>
              </w:rPr>
              <w:t>Perkančioji organizacija</w:t>
            </w:r>
            <w:r w:rsidR="00F04306">
              <w:rPr>
                <w:szCs w:val="24"/>
              </w:rPr>
              <w:t>, susipažinusi su Paaiškinime pateikta informacija</w:t>
            </w:r>
            <w:r w:rsidR="00815868">
              <w:rPr>
                <w:szCs w:val="24"/>
              </w:rPr>
              <w:t>,</w:t>
            </w:r>
            <w:r w:rsidR="00F04306">
              <w:rPr>
                <w:szCs w:val="24"/>
              </w:rPr>
              <w:t xml:space="preserve"> </w:t>
            </w:r>
            <w:r w:rsidR="00815868">
              <w:rPr>
                <w:szCs w:val="24"/>
              </w:rPr>
              <w:t xml:space="preserve">Suinteresuotam dalyviui atskleidė (2019-02-07 CVP IS pranešimu Nr. 6912519) </w:t>
            </w:r>
            <w:r w:rsidR="00815868" w:rsidRPr="00DB7A86">
              <w:rPr>
                <w:szCs w:val="24"/>
              </w:rPr>
              <w:t>UAB „</w:t>
            </w:r>
            <w:proofErr w:type="spellStart"/>
            <w:r w:rsidR="00815868">
              <w:rPr>
                <w:szCs w:val="24"/>
              </w:rPr>
              <w:t>Sormedika</w:t>
            </w:r>
            <w:proofErr w:type="spellEnd"/>
            <w:r w:rsidR="00815868" w:rsidRPr="00DB7A86">
              <w:rPr>
                <w:szCs w:val="24"/>
              </w:rPr>
              <w:t xml:space="preserve">“ Pirkimo </w:t>
            </w:r>
            <w:r w:rsidR="00815868">
              <w:rPr>
                <w:szCs w:val="24"/>
              </w:rPr>
              <w:t>15</w:t>
            </w:r>
            <w:r w:rsidR="00815868" w:rsidRPr="00DB7A86">
              <w:rPr>
                <w:szCs w:val="24"/>
              </w:rPr>
              <w:t xml:space="preserve"> dal</w:t>
            </w:r>
            <w:r w:rsidR="00815868">
              <w:rPr>
                <w:szCs w:val="24"/>
              </w:rPr>
              <w:t>ies laimėtojo</w:t>
            </w:r>
            <w:r w:rsidR="00815868" w:rsidRPr="00DB7A86">
              <w:rPr>
                <w:szCs w:val="24"/>
              </w:rPr>
              <w:t xml:space="preserve"> pasiūlym</w:t>
            </w:r>
            <w:r w:rsidR="00815868">
              <w:rPr>
                <w:szCs w:val="24"/>
              </w:rPr>
              <w:t>o tik bendrą pasiūlymo kainą, nurodydama, kad kita tiekėjo informacija yra konfidenciali</w:t>
            </w:r>
            <w:r w:rsidR="00D67797">
              <w:rPr>
                <w:szCs w:val="24"/>
              </w:rPr>
              <w:t>.</w:t>
            </w:r>
            <w:r w:rsidR="00815868" w:rsidRPr="00DB7A86">
              <w:rPr>
                <w:szCs w:val="24"/>
              </w:rPr>
              <w:t xml:space="preserve"> </w:t>
            </w:r>
          </w:p>
          <w:p w:rsidR="00197368" w:rsidRPr="00DB7A86" w:rsidRDefault="00197368" w:rsidP="00DB7A86">
            <w:pPr>
              <w:ind w:firstLine="459"/>
              <w:jc w:val="both"/>
              <w:rPr>
                <w:szCs w:val="24"/>
              </w:rPr>
            </w:pPr>
            <w:r w:rsidRPr="00DB7A86">
              <w:rPr>
                <w:szCs w:val="24"/>
              </w:rPr>
              <w:t>Išnagrinėjusi Paaiškinim</w:t>
            </w:r>
            <w:r w:rsidR="00D67797">
              <w:rPr>
                <w:szCs w:val="24"/>
              </w:rPr>
              <w:t>ą</w:t>
            </w:r>
            <w:r w:rsidRPr="00DB7A86">
              <w:rPr>
                <w:szCs w:val="24"/>
              </w:rPr>
              <w:t xml:space="preserve">, Tarnyba pažymi, kad </w:t>
            </w:r>
            <w:r w:rsidR="006856FD">
              <w:rPr>
                <w:szCs w:val="24"/>
              </w:rPr>
              <w:t>Įstatymo</w:t>
            </w:r>
            <w:r w:rsidRPr="00DB7A86">
              <w:rPr>
                <w:szCs w:val="24"/>
              </w:rPr>
              <w:t xml:space="preserve"> 20 straipsnio 1 dalyje įtvirtinta perkančiųjų organizacijų pareiga neatskleisti tretiesiems asmenims iš tiekėjų gautos informacijos, kurią jie nurodė kaip konfidencialią, neatsiejama nuo tiekėjų prievolės ne formaliai, bet realiai pagrįsti informacijos konfidencialumą. Vadovaujantis </w:t>
            </w:r>
            <w:r w:rsidR="006856FD">
              <w:rPr>
                <w:szCs w:val="24"/>
              </w:rPr>
              <w:t>Įstatymo</w:t>
            </w:r>
            <w:r w:rsidRPr="00DB7A86">
              <w:rPr>
                <w:szCs w:val="24"/>
              </w:rPr>
              <w:t xml:space="preserve"> 20 straipsnio 3 dalimi, </w:t>
            </w:r>
            <w:r w:rsidRPr="00DB7A86">
              <w:rPr>
                <w:i/>
                <w:szCs w:val="24"/>
              </w:rPr>
              <w:t>„jeigu perkančiajai organizacijai kyla abejonių dėl tiekėjo pasiūlyme nurodytos informacijos konfidencialumo, ji privalo prašyti tiekėjo įrodyti, kodėl nurodyta informacija yra konfidenciali. Jeigu tiekėjas &lt;...&gt; nepateikia tokių įrodymų arba pateikia netinkamus įrodymus, laikoma, kad tokia informacija yra nekonfidenciali“</w:t>
            </w:r>
            <w:r w:rsidRPr="00DB7A86">
              <w:rPr>
                <w:szCs w:val="24"/>
              </w:rPr>
              <w:t xml:space="preserve">. </w:t>
            </w:r>
          </w:p>
          <w:p w:rsidR="00C127B4" w:rsidRPr="00DB7A86" w:rsidRDefault="00DB7A86" w:rsidP="00DB7A86">
            <w:pPr>
              <w:jc w:val="both"/>
              <w:rPr>
                <w:color w:val="000000"/>
                <w:szCs w:val="24"/>
              </w:rPr>
            </w:pPr>
            <w:r>
              <w:rPr>
                <w:szCs w:val="24"/>
                <w:lang w:eastAsia="zh-CN"/>
              </w:rPr>
              <w:t xml:space="preserve">        </w:t>
            </w:r>
            <w:r w:rsidR="00C127B4" w:rsidRPr="00DB7A86">
              <w:rPr>
                <w:szCs w:val="24"/>
                <w:lang w:eastAsia="zh-CN"/>
              </w:rPr>
              <w:t>Perkančiosios organizacijos sprendimas motyvuojamas iš esmės remiantis tik tiekėj</w:t>
            </w:r>
            <w:r w:rsidR="00D67797">
              <w:rPr>
                <w:szCs w:val="24"/>
                <w:lang w:eastAsia="zh-CN"/>
              </w:rPr>
              <w:t>o</w:t>
            </w:r>
            <w:r w:rsidR="00C127B4" w:rsidRPr="00DB7A86">
              <w:rPr>
                <w:szCs w:val="24"/>
                <w:lang w:eastAsia="zh-CN"/>
              </w:rPr>
              <w:t xml:space="preserve"> argumentais.</w:t>
            </w:r>
            <w:r w:rsidR="00C127B4" w:rsidRPr="00DB7A86">
              <w:rPr>
                <w:color w:val="000000"/>
                <w:szCs w:val="24"/>
              </w:rPr>
              <w:t xml:space="preserve"> Pateikti dokumentai nepatvirtina to fakto, kad Perkančioji organizacija kruopščiai vertino jai pateiktos informacijos pobūdį. Vien kreipimasis į tiekėją dėl informacijos pripažinimo konfidencialia ir atsakymo nagrinėjimas tik parodo, kad procedūriniai veiksmai buvo atlikti, tačiau tokie veiksmai savaime neužtikrina Perkančiosios organizacijos tinkamo pareigų vykdymo.</w:t>
            </w:r>
          </w:p>
          <w:p w:rsidR="00DB7A86" w:rsidRPr="00D51E88" w:rsidRDefault="00DB7A86" w:rsidP="00416AE4">
            <w:pPr>
              <w:jc w:val="both"/>
              <w:rPr>
                <w:szCs w:val="24"/>
              </w:rPr>
            </w:pPr>
            <w:r>
              <w:rPr>
                <w:szCs w:val="24"/>
              </w:rPr>
              <w:t xml:space="preserve">        </w:t>
            </w:r>
            <w:r w:rsidRPr="008841E2">
              <w:rPr>
                <w:szCs w:val="24"/>
              </w:rPr>
              <w:t>Tarnybos pozicija grindžiama</w:t>
            </w:r>
            <w:r w:rsidRPr="00D55653">
              <w:rPr>
                <w:szCs w:val="24"/>
              </w:rPr>
              <w:t xml:space="preserve"> suformuluota t</w:t>
            </w:r>
            <w:r>
              <w:rPr>
                <w:szCs w:val="24"/>
              </w:rPr>
              <w:t>eismų praktika</w:t>
            </w:r>
            <w:r w:rsidRPr="00D55653">
              <w:rPr>
                <w:szCs w:val="24"/>
              </w:rPr>
              <w:t xml:space="preserve"> bylose dėl konfidencialumo instituto taikymo </w:t>
            </w:r>
            <w:r w:rsidRPr="00D55653">
              <w:rPr>
                <w:b/>
                <w:szCs w:val="24"/>
              </w:rPr>
              <w:t>viešųjų pirkimų teisiniuose ginčuose</w:t>
            </w:r>
            <w:r>
              <w:rPr>
                <w:szCs w:val="24"/>
              </w:rPr>
              <w:t>:</w:t>
            </w:r>
          </w:p>
          <w:p w:rsidR="00DB7A86" w:rsidRPr="008841E2" w:rsidRDefault="00DB7A86" w:rsidP="00416AE4">
            <w:pPr>
              <w:numPr>
                <w:ilvl w:val="0"/>
                <w:numId w:val="4"/>
              </w:numPr>
              <w:jc w:val="both"/>
              <w:rPr>
                <w:color w:val="000000"/>
                <w:szCs w:val="24"/>
              </w:rPr>
            </w:pPr>
            <w:r w:rsidRPr="008841E2">
              <w:rPr>
                <w:color w:val="000000"/>
                <w:szCs w:val="24"/>
              </w:rPr>
              <w:lastRenderedPageBreak/>
              <w:t>Dėl komercinę p</w:t>
            </w:r>
            <w:r>
              <w:rPr>
                <w:color w:val="000000"/>
                <w:szCs w:val="24"/>
              </w:rPr>
              <w:t>aslaptį sudarančios</w:t>
            </w:r>
            <w:r w:rsidRPr="008841E2">
              <w:rPr>
                <w:color w:val="000000"/>
                <w:szCs w:val="24"/>
              </w:rPr>
              <w:t xml:space="preserve"> informacijos, visų pirma, Tarnyba atkreipia dėmesį į ginčų dėl viešųjų pirkimų specifiką. Teismų konstatuota, kad konfidencialios informacijos apsaugos viešuosiuose pirkimuose tikslas – teisėta viešumo ribojimo priemonė, kuri turi būti aiškinama siaura</w:t>
            </w:r>
            <w:r>
              <w:rPr>
                <w:color w:val="000000"/>
                <w:szCs w:val="24"/>
              </w:rPr>
              <w:t>i</w:t>
            </w:r>
            <w:r w:rsidRPr="008841E2">
              <w:rPr>
                <w:color w:val="000000"/>
                <w:szCs w:val="24"/>
              </w:rPr>
              <w:t xml:space="preserve"> ir - taikoma nepiktnaudžiaujant įstatymų suteiktomis teisėmis, pavyzdžiui, nurodžius, kad visą pasiūlymą (plačiąja prasme) sudaro konfidenciali informacija; informacijos konfidencialumas siejamas su galimos žalos grėsme; </w:t>
            </w:r>
          </w:p>
          <w:p w:rsidR="00DB7A86" w:rsidRDefault="00DB7A86" w:rsidP="00DB7A86">
            <w:pPr>
              <w:numPr>
                <w:ilvl w:val="0"/>
                <w:numId w:val="4"/>
              </w:numPr>
              <w:suppressAutoHyphens/>
              <w:autoSpaceDE w:val="0"/>
              <w:autoSpaceDN w:val="0"/>
              <w:adjustRightInd w:val="0"/>
              <w:jc w:val="both"/>
              <w:textAlignment w:val="center"/>
              <w:rPr>
                <w:szCs w:val="24"/>
              </w:rPr>
            </w:pPr>
            <w:r w:rsidRPr="00467950">
              <w:rPr>
                <w:szCs w:val="24"/>
              </w:rPr>
              <w:t xml:space="preserve">Lietuvos Aukščiausias Teismas yra nurodęs, kad atsižvelgiant į tai, jog </w:t>
            </w:r>
            <w:r w:rsidRPr="00467950">
              <w:rPr>
                <w:i/>
                <w:szCs w:val="24"/>
              </w:rPr>
              <w:t>„&lt;...&gt; konfidencialios informacijos apsaugos tikslas – teisėta viešumo ribojimo priemonė, ji turi būti aiškinama siaurai, taikoma nepiktnaudžiaujant įstatymų suteiktomis teisėmis, o &lt;...&gt;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w:t>
            </w:r>
            <w:r w:rsidRPr="00467950">
              <w:rPr>
                <w:szCs w:val="24"/>
                <w:vertAlign w:val="superscript"/>
              </w:rPr>
              <w:footnoteReference w:id="7"/>
            </w:r>
            <w:r w:rsidRPr="00467950">
              <w:rPr>
                <w:szCs w:val="24"/>
              </w:rPr>
              <w:t>.</w:t>
            </w:r>
            <w:r w:rsidRPr="00467950">
              <w:rPr>
                <w:szCs w:val="24"/>
                <w:vertAlign w:val="superscript"/>
              </w:rPr>
              <w:t xml:space="preserve"> </w:t>
            </w:r>
            <w:r w:rsidRPr="00467950">
              <w:rPr>
                <w:szCs w:val="24"/>
              </w:rPr>
              <w:t>Tiekėjo nurodymas dėl pasiūlyme nurodytos informacijos konfidencialumo nėra privalomas perkančiajai organizacijai, ji turi pati įvertinti prašomos įslaptinti informacijos pobūdį ir nuspręsti, ar prašymas pagrįstas, o tiekėjas turi pateikti patikimus argumentus, kad duomenų atskleidim</w:t>
            </w:r>
            <w:r>
              <w:rPr>
                <w:szCs w:val="24"/>
              </w:rPr>
              <w:t>as pažeis jo teisėtus interesus;</w:t>
            </w:r>
          </w:p>
          <w:p w:rsidR="00DB7A86" w:rsidRPr="00DD37A1" w:rsidRDefault="00DB7A86" w:rsidP="00DB7A86">
            <w:pPr>
              <w:numPr>
                <w:ilvl w:val="0"/>
                <w:numId w:val="4"/>
              </w:numPr>
              <w:suppressAutoHyphens/>
              <w:autoSpaceDE w:val="0"/>
              <w:autoSpaceDN w:val="0"/>
              <w:adjustRightInd w:val="0"/>
              <w:jc w:val="both"/>
              <w:textAlignment w:val="center"/>
              <w:rPr>
                <w:szCs w:val="24"/>
              </w:rPr>
            </w:pPr>
            <w:r w:rsidRPr="008841E2">
              <w:rPr>
                <w:color w:val="000000"/>
                <w:szCs w:val="24"/>
              </w:rPr>
              <w:t xml:space="preserve">duomenų slaptumas aiškintinas siaurai, neproporcingai neapribojant teisės į gynybą ir turint tik tikslą nepakenkti tos informacijos šaltiniui ar kitiems asmenims. </w:t>
            </w:r>
            <w:r>
              <w:rPr>
                <w:color w:val="000000"/>
                <w:szCs w:val="24"/>
              </w:rPr>
              <w:t>P</w:t>
            </w:r>
            <w:r w:rsidRPr="00DD37A1">
              <w:rPr>
                <w:szCs w:val="24"/>
              </w:rPr>
              <w:t>irkimo vykdytojai</w:t>
            </w:r>
            <w:r>
              <w:rPr>
                <w:szCs w:val="24"/>
              </w:rPr>
              <w:t>,</w:t>
            </w:r>
            <w:r w:rsidRPr="00DD37A1">
              <w:rPr>
                <w:szCs w:val="24"/>
              </w:rPr>
              <w:t xml:space="preserve">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w:t>
            </w:r>
            <w:r w:rsidRPr="00DD37A1">
              <w:rPr>
                <w:i/>
                <w:szCs w:val="24"/>
              </w:rPr>
              <w:t xml:space="preserve">„&lt;...&gt; </w:t>
            </w:r>
            <w:r w:rsidRPr="00DD37A1">
              <w:rPr>
                <w:i/>
                <w:iCs/>
                <w:szCs w:val="24"/>
              </w:rPr>
              <w:t>įtvirtinta tiekėjo teisė apsaugoti pasiūlyme atskirai nurodytą neviešintiną informaciją apima tik tokius duomenis, kurie kvalifikuotini kaip komercinė (gamybinė) paslaptis CK 1.116 straipsnio 1 dalies prasme</w:t>
            </w:r>
            <w:r w:rsidRPr="00DD37A1">
              <w:rPr>
                <w:i/>
                <w:szCs w:val="24"/>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Pr="00DD37A1">
              <w:rPr>
                <w:szCs w:val="24"/>
                <w:vertAlign w:val="superscript"/>
              </w:rPr>
              <w:footnoteReference w:id="8"/>
            </w:r>
          </w:p>
          <w:p w:rsidR="00DB7A86" w:rsidRPr="00FB3354" w:rsidRDefault="00DB7A86" w:rsidP="00DB7A86">
            <w:pPr>
              <w:ind w:firstLine="709"/>
              <w:jc w:val="both"/>
              <w:rPr>
                <w:b/>
                <w:bCs/>
                <w:color w:val="FF0000"/>
                <w:szCs w:val="24"/>
              </w:rPr>
            </w:pPr>
            <w:r>
              <w:rPr>
                <w:color w:val="000000"/>
                <w:szCs w:val="24"/>
              </w:rPr>
              <w:t>Teismų pozicija išplaukia iš pareigos užtikrinti viešųjų pirkimų principus, viešumą ir skaidrumą, kas</w:t>
            </w:r>
            <w:r w:rsidRPr="009823EF">
              <w:rPr>
                <w:szCs w:val="24"/>
              </w:rPr>
              <w:t xml:space="preserve"> reiškia, kad tiekėjas, dalyvaudamas </w:t>
            </w:r>
            <w:r>
              <w:rPr>
                <w:szCs w:val="24"/>
              </w:rPr>
              <w:t>viešajame pirkime turi apsispręsti ir sutikti su tuo, kad jo manymu konfidencialūs ar galimai turintys ypatingą reikšmę duomenys gali būti, o Įstatyme nustatytais atvejais privalo būti išviešinti. Viešojo pirkimo sutarties sudarymo atveju, kitaip nei įprastos komercinės sutarties atveju, informacijos ar duomenų atskleidimas grindžiamas ir pateisinamas su viešojo intereso tikslų įgyvendinimu susijusiais tikslais bei apsauga.</w:t>
            </w:r>
            <w:r w:rsidRPr="00FB3354">
              <w:rPr>
                <w:bCs/>
                <w:color w:val="FF0000"/>
                <w:szCs w:val="24"/>
              </w:rPr>
              <w:t xml:space="preserve"> </w:t>
            </w:r>
          </w:p>
          <w:p w:rsidR="00DB7A86" w:rsidRPr="00F326A7" w:rsidRDefault="000F37F3" w:rsidP="000F37F3">
            <w:pPr>
              <w:jc w:val="both"/>
              <w:rPr>
                <w:rFonts w:ascii="Open Sans" w:hAnsi="Open Sans" w:cs="Arial"/>
                <w:color w:val="000000"/>
                <w:sz w:val="20"/>
              </w:rPr>
            </w:pPr>
            <w:r>
              <w:rPr>
                <w:szCs w:val="24"/>
              </w:rPr>
              <w:t xml:space="preserve">   </w:t>
            </w:r>
            <w:r w:rsidR="00F72D44">
              <w:rPr>
                <w:szCs w:val="24"/>
              </w:rPr>
              <w:t xml:space="preserve">     </w:t>
            </w:r>
            <w:r>
              <w:rPr>
                <w:szCs w:val="24"/>
              </w:rPr>
              <w:t xml:space="preserve">   </w:t>
            </w:r>
            <w:r w:rsidR="00DB7A86">
              <w:rPr>
                <w:szCs w:val="24"/>
              </w:rPr>
              <w:t xml:space="preserve">Pažymėtina, kad viešųjų pirkimų teisiniai santykiai reguliuojami </w:t>
            </w:r>
            <w:r w:rsidR="00DB7A86" w:rsidRPr="00F326A7">
              <w:rPr>
                <w:szCs w:val="24"/>
              </w:rPr>
              <w:t>Įstatymo</w:t>
            </w:r>
            <w:r w:rsidR="00DB7A86">
              <w:rPr>
                <w:szCs w:val="24"/>
              </w:rPr>
              <w:t xml:space="preserve">, todėl </w:t>
            </w:r>
            <w:r w:rsidR="00DB7A86" w:rsidRPr="00F326A7">
              <w:rPr>
                <w:szCs w:val="24"/>
              </w:rPr>
              <w:t xml:space="preserve">Civilinio kodekso 6. 382 straipsnyje įtvirtinta taisyklė, kad viešojo pirkimo sutartims </w:t>
            </w:r>
            <w:r w:rsidR="00DB7A86">
              <w:rPr>
                <w:szCs w:val="24"/>
              </w:rPr>
              <w:t xml:space="preserve">Civilinio kodekso normos taikomos tiek, kiek kiti įstatymai nenustato ko kita, todėl Civilinio kodekso nuostatos taikomos </w:t>
            </w:r>
            <w:proofErr w:type="spellStart"/>
            <w:r w:rsidR="00DB7A86">
              <w:rPr>
                <w:szCs w:val="24"/>
              </w:rPr>
              <w:t>subsidiariai</w:t>
            </w:r>
            <w:proofErr w:type="spellEnd"/>
            <w:r w:rsidR="00DB7A86">
              <w:rPr>
                <w:szCs w:val="24"/>
              </w:rPr>
              <w:t xml:space="preserve"> specialiųjų viešųjų pirkimų teisės normų atžvilgiu.</w:t>
            </w:r>
          </w:p>
          <w:p w:rsidR="00DB7A86" w:rsidRDefault="00794763" w:rsidP="00DB7A86">
            <w:pPr>
              <w:tabs>
                <w:tab w:val="left" w:pos="0"/>
                <w:tab w:val="left" w:pos="851"/>
              </w:tabs>
              <w:jc w:val="both"/>
              <w:rPr>
                <w:bCs/>
                <w:szCs w:val="24"/>
              </w:rPr>
            </w:pPr>
            <w:r>
              <w:rPr>
                <w:bCs/>
                <w:szCs w:val="24"/>
              </w:rPr>
              <w:t xml:space="preserve">    </w:t>
            </w:r>
            <w:r w:rsidR="00F72D44">
              <w:rPr>
                <w:bCs/>
                <w:szCs w:val="24"/>
              </w:rPr>
              <w:t xml:space="preserve">    </w:t>
            </w:r>
            <w:r>
              <w:rPr>
                <w:bCs/>
                <w:szCs w:val="24"/>
              </w:rPr>
              <w:t xml:space="preserve">   </w:t>
            </w:r>
            <w:r w:rsidR="00DB7A86">
              <w:rPr>
                <w:bCs/>
                <w:szCs w:val="24"/>
              </w:rPr>
              <w:t xml:space="preserve">Viešųjų pirkimų principais privalu vadovautis taikant ir aiškinant visų Įstatymo nuostatų turinį, tame tarpe ir nuostatų, susijusių su konfidencialumu, atsižvelgiant į tai, kad viešųjų pirkimų principų pažeidimų absoliutumas reiškia, kad kiekvienas viešųjų pirkimų principų pažeidimas lemia perkančiosios organizacijos veiksmų neteisėtumą, o viešųjų principų pažeidimas laikytinas esminiu pažeidimu. </w:t>
            </w:r>
          </w:p>
          <w:p w:rsidR="00491A87" w:rsidRPr="00DB7A86" w:rsidRDefault="00794763" w:rsidP="00794763">
            <w:pPr>
              <w:jc w:val="both"/>
              <w:rPr>
                <w:bCs/>
                <w:color w:val="000000"/>
                <w:szCs w:val="24"/>
              </w:rPr>
            </w:pPr>
            <w:r>
              <w:rPr>
                <w:bCs/>
                <w:szCs w:val="24"/>
              </w:rPr>
              <w:lastRenderedPageBreak/>
              <w:t xml:space="preserve">     </w:t>
            </w:r>
            <w:r w:rsidR="00F72D44">
              <w:rPr>
                <w:bCs/>
                <w:szCs w:val="24"/>
              </w:rPr>
              <w:t xml:space="preserve">     </w:t>
            </w:r>
            <w:r>
              <w:rPr>
                <w:bCs/>
                <w:szCs w:val="24"/>
              </w:rPr>
              <w:t xml:space="preserve"> </w:t>
            </w:r>
            <w:r w:rsidR="00DB7A86" w:rsidRPr="00DC4326">
              <w:rPr>
                <w:bCs/>
                <w:szCs w:val="24"/>
              </w:rPr>
              <w:t xml:space="preserve">Nagrinėjamu atveju, </w:t>
            </w:r>
            <w:r w:rsidR="00DB7A86">
              <w:rPr>
                <w:bCs/>
                <w:szCs w:val="24"/>
              </w:rPr>
              <w:t>buvo</w:t>
            </w:r>
            <w:r w:rsidR="00DB7A86">
              <w:rPr>
                <w:szCs w:val="24"/>
              </w:rPr>
              <w:t xml:space="preserve"> prašoma leisti susipažinti su informacija, susijusia su prekės gamintojo, pavadinimo, kodo identifikavimu</w:t>
            </w:r>
            <w:r w:rsidR="0089174E">
              <w:rPr>
                <w:szCs w:val="24"/>
              </w:rPr>
              <w:t xml:space="preserve">, įrenginio naudojimosi instrukcija, </w:t>
            </w:r>
            <w:r w:rsidR="000F37F3">
              <w:rPr>
                <w:szCs w:val="24"/>
              </w:rPr>
              <w:t>kaina, įkainiais.</w:t>
            </w:r>
            <w:r w:rsidR="00DB7A86">
              <w:rPr>
                <w:szCs w:val="24"/>
              </w:rPr>
              <w:t xml:space="preserve"> T</w:t>
            </w:r>
            <w:r w:rsidR="00DB7A86">
              <w:rPr>
                <w:bCs/>
                <w:szCs w:val="24"/>
              </w:rPr>
              <w:t>iekėj</w:t>
            </w:r>
            <w:r w:rsidR="000F37F3">
              <w:rPr>
                <w:bCs/>
                <w:szCs w:val="24"/>
              </w:rPr>
              <w:t>ui</w:t>
            </w:r>
            <w:r w:rsidR="00DB7A86">
              <w:rPr>
                <w:bCs/>
                <w:szCs w:val="24"/>
              </w:rPr>
              <w:t xml:space="preserve"> buvo leista susipažinti tik su tam tikrais pasiūlymo duomenimis, atskleidžiant </w:t>
            </w:r>
            <w:r w:rsidR="000F37F3">
              <w:rPr>
                <w:bCs/>
                <w:szCs w:val="24"/>
              </w:rPr>
              <w:t>tik bendrą pasiūlymo kainą</w:t>
            </w:r>
            <w:r w:rsidR="00DB7A86">
              <w:rPr>
                <w:bCs/>
                <w:szCs w:val="24"/>
              </w:rPr>
              <w:t xml:space="preserve">. Neabejotinai, už pasiūlymų vertinimą atsakinga tik </w:t>
            </w:r>
            <w:r w:rsidR="00E77CCD">
              <w:rPr>
                <w:bCs/>
                <w:szCs w:val="24"/>
              </w:rPr>
              <w:t>P</w:t>
            </w:r>
            <w:r w:rsidR="00DB7A86">
              <w:rPr>
                <w:bCs/>
                <w:szCs w:val="24"/>
              </w:rPr>
              <w:t xml:space="preserve">erkančioji organizacija ir tik ji priima galutinius sprendimus, tačiau siekiant užtikrinti skaidrumo principo laikymąsi, draudimas susipažinti su laimėtojo pasiūlymu pirkimo dalyviams, turi būti taikomas tik išimtiniais atvejais ir ta apimtimi, kai egzistuoja informacijos slaptumo išsaugojimo būtinybė, nes priešingu atveju, kitiems tiekėjams užkertamas kelias ginti savo teisėtus interesus. </w:t>
            </w:r>
            <w:r w:rsidR="00DB7A86" w:rsidRPr="002043B8">
              <w:rPr>
                <w:i/>
                <w:szCs w:val="24"/>
              </w:rPr>
              <w:t>Kasacinio teismo pasisakyta, kad perkančioji organizacija, nors ji nėra peržiūros institucija, bet dėl ikiteisminės ginčų sprendimo sistemos turi plačius įgaliojimus bendradarbiauti su tiekėjais (prašančiuoju ir prašomuoju), o kartais ir pareigą, išplaukiančią iš tiekėjų veiksmingos teisių apsaugos tikslo, pagal jos kompetenciją ir turimas priemones imtis reikalingų veiksmų, užtikrinančių tiekėjams realias galimybes apginti galbūt pažeistus interesus</w:t>
            </w:r>
            <w:r w:rsidR="00DB7A86">
              <w:rPr>
                <w:rStyle w:val="FootnoteReference"/>
                <w:i/>
                <w:szCs w:val="24"/>
              </w:rPr>
              <w:footnoteReference w:id="9"/>
            </w:r>
            <w:r w:rsidR="00973003">
              <w:rPr>
                <w:i/>
                <w:szCs w:val="24"/>
              </w:rPr>
              <w:t>.</w:t>
            </w:r>
          </w:p>
          <w:p w:rsidR="00DB7A86" w:rsidRPr="003B5AE5" w:rsidRDefault="007D2532" w:rsidP="007D2532">
            <w:pPr>
              <w:jc w:val="both"/>
              <w:rPr>
                <w:szCs w:val="24"/>
                <w:shd w:val="clear" w:color="auto" w:fill="FFFFFF"/>
              </w:rPr>
            </w:pPr>
            <w:r>
              <w:rPr>
                <w:szCs w:val="24"/>
                <w:shd w:val="clear" w:color="auto" w:fill="FFFFFF"/>
              </w:rPr>
              <w:t xml:space="preserve">      </w:t>
            </w:r>
            <w:r w:rsidR="00F72D44">
              <w:rPr>
                <w:szCs w:val="24"/>
                <w:shd w:val="clear" w:color="auto" w:fill="FFFFFF"/>
              </w:rPr>
              <w:t xml:space="preserve">   </w:t>
            </w:r>
            <w:r w:rsidR="00DB7A86" w:rsidRPr="003B5AE5">
              <w:rPr>
                <w:szCs w:val="24"/>
                <w:shd w:val="clear" w:color="auto" w:fill="FFFFFF"/>
              </w:rPr>
              <w:t xml:space="preserve">Pažymėtina, kad Įstatyme numatyta tiekėjų teisė susipažinti su laimėjusio tiekėjo pasiūlymu yra skirta ne paprastam tiekėjų smalsumui patenkinti – šio mechanizmo tikslas yra užtikrinti </w:t>
            </w:r>
            <w:r w:rsidR="00DB7A86" w:rsidRPr="003B5AE5">
              <w:rPr>
                <w:color w:val="000000"/>
                <w:szCs w:val="24"/>
                <w:shd w:val="clear" w:color="auto" w:fill="FFFFFF"/>
              </w:rPr>
              <w:t xml:space="preserve">tiekėjams realias galimybes apginti galbūt pažeistus interesus, pavyzdžiui tuo atveju, jeigu perkančioji organizacija laimėjusiu pripažintų ne jų, o kito tiekėjo, galbūt pateikusio klaidingus duomenis apie savo siūlomų prekių atitiktį nustatytiems reikalavimams, pasiūlymą. Atsižvelgiant į tai, protingos, apdairios bei skaidrios perkančiosios organizacijos elgesys turėtų būti nukreiptas į viešumą, siekiant kuo anksčiau išsiaiškinti tokias aplinkybes, o ne priešingai – apsaugoti „laimėjusį“ tiekėją nuo tokių aplinkybių atskleidimo. </w:t>
            </w:r>
          </w:p>
          <w:p w:rsidR="00D67797" w:rsidRDefault="00197368" w:rsidP="00DB7A86">
            <w:pPr>
              <w:ind w:firstLine="459"/>
              <w:jc w:val="both"/>
              <w:rPr>
                <w:szCs w:val="24"/>
                <w:lang w:eastAsia="lt-LT"/>
              </w:rPr>
            </w:pPr>
            <w:r w:rsidRPr="00DB7A86">
              <w:t>Atsižvelgdama į tai, kas aukščiau išdėstyta bei įvertinusi Paaiškinim</w:t>
            </w:r>
            <w:r w:rsidR="00D67797">
              <w:t>e pateiktą informaciją</w:t>
            </w:r>
            <w:r w:rsidRPr="00DB7A86">
              <w:t>, Tarnyba sprendžia, kad laimėję</w:t>
            </w:r>
            <w:r w:rsidR="00D67797">
              <w:t>s</w:t>
            </w:r>
            <w:r w:rsidRPr="00DB7A86">
              <w:t xml:space="preserve"> tiekėja</w:t>
            </w:r>
            <w:r w:rsidR="00D67797">
              <w:t>s</w:t>
            </w:r>
            <w:r w:rsidRPr="00DB7A86">
              <w:t xml:space="preserve"> be deklaratyvių teiginių, </w:t>
            </w:r>
            <w:r w:rsidRPr="00DB7A86">
              <w:rPr>
                <w:szCs w:val="24"/>
                <w:lang w:eastAsia="lt-LT"/>
              </w:rPr>
              <w:t>ne</w:t>
            </w:r>
            <w:r w:rsidR="0043508D">
              <w:rPr>
                <w:szCs w:val="24"/>
                <w:lang w:eastAsia="lt-LT"/>
              </w:rPr>
              <w:t>įrodė</w:t>
            </w:r>
            <w:r w:rsidRPr="00DB7A86">
              <w:rPr>
                <w:szCs w:val="24"/>
                <w:lang w:eastAsia="lt-LT"/>
              </w:rPr>
              <w:t>, kodėl pasiūlym</w:t>
            </w:r>
            <w:r w:rsidR="0043508D">
              <w:rPr>
                <w:szCs w:val="24"/>
                <w:lang w:eastAsia="lt-LT"/>
              </w:rPr>
              <w:t>o</w:t>
            </w:r>
            <w:r w:rsidRPr="00DB7A86">
              <w:rPr>
                <w:szCs w:val="24"/>
                <w:lang w:eastAsia="lt-LT"/>
              </w:rPr>
              <w:t xml:space="preserve"> informacija </w:t>
            </w:r>
            <w:r w:rsidRPr="006C5A5A">
              <w:rPr>
                <w:szCs w:val="24"/>
                <w:lang w:eastAsia="lt-LT"/>
              </w:rPr>
              <w:t>ar esminės j</w:t>
            </w:r>
            <w:r w:rsidR="0043508D">
              <w:rPr>
                <w:szCs w:val="24"/>
                <w:lang w:eastAsia="lt-LT"/>
              </w:rPr>
              <w:t>o</w:t>
            </w:r>
            <w:r w:rsidRPr="006C5A5A">
              <w:rPr>
                <w:szCs w:val="24"/>
                <w:lang w:eastAsia="lt-LT"/>
              </w:rPr>
              <w:t xml:space="preserve"> dalys (gamintoj</w:t>
            </w:r>
            <w:r w:rsidR="00B837AF">
              <w:rPr>
                <w:szCs w:val="24"/>
                <w:lang w:eastAsia="lt-LT"/>
              </w:rPr>
              <w:t>o dokumentai, prekių gamintojai, modeliai, prekių techninė specifikacija ir pirkimo dalies atskirų pozicijų kainos</w:t>
            </w:r>
            <w:r w:rsidRPr="006C5A5A">
              <w:rPr>
                <w:szCs w:val="24"/>
                <w:lang w:eastAsia="lt-LT"/>
              </w:rPr>
              <w:t>)</w:t>
            </w:r>
            <w:r w:rsidRPr="00DB7A86">
              <w:rPr>
                <w:szCs w:val="24"/>
                <w:lang w:eastAsia="lt-LT"/>
              </w:rPr>
              <w:t xml:space="preserve"> turėtų būti laikomos komercine paslaptimi ar saugotinos bet kokiu kitu aspektu, kuo </w:t>
            </w:r>
            <w:r w:rsidRPr="00DB7A86">
              <w:t>šių duomenų atskleidim</w:t>
            </w:r>
            <w:r w:rsidRPr="00DB7A86">
              <w:rPr>
                <w:szCs w:val="24"/>
                <w:lang w:eastAsia="lt-LT"/>
              </w:rPr>
              <w:t>as pažeistų įstatymų saugomas tiekėjų teises ir teisėtus interesus. Paaiškinim</w:t>
            </w:r>
            <w:r w:rsidR="00D67797">
              <w:rPr>
                <w:szCs w:val="24"/>
                <w:lang w:eastAsia="lt-LT"/>
              </w:rPr>
              <w:t>o</w:t>
            </w:r>
            <w:r w:rsidRPr="00DB7A86">
              <w:rPr>
                <w:szCs w:val="24"/>
                <w:lang w:eastAsia="lt-LT"/>
              </w:rPr>
              <w:t xml:space="preserve"> teiginiai – abstraktūs ir iš esmės galėtų būti pasitelkiami saugant bendradarbiavimo konfidencialumą su bet kuriuo gamintoju. </w:t>
            </w:r>
            <w:r w:rsidR="00106473" w:rsidRPr="00DB7A86">
              <w:rPr>
                <w:szCs w:val="24"/>
                <w:lang w:eastAsia="lt-LT"/>
              </w:rPr>
              <w:t>P</w:t>
            </w:r>
            <w:r w:rsidR="001479BB" w:rsidRPr="00DB7A86">
              <w:rPr>
                <w:szCs w:val="24"/>
                <w:lang w:eastAsia="lt-LT"/>
              </w:rPr>
              <w:t>asiūlym</w:t>
            </w:r>
            <w:r w:rsidR="00D67797">
              <w:rPr>
                <w:szCs w:val="24"/>
                <w:lang w:eastAsia="lt-LT"/>
              </w:rPr>
              <w:t>e</w:t>
            </w:r>
            <w:r w:rsidR="001479BB" w:rsidRPr="00DB7A86">
              <w:rPr>
                <w:szCs w:val="24"/>
                <w:lang w:eastAsia="lt-LT"/>
              </w:rPr>
              <w:t xml:space="preserve"> nurodyt</w:t>
            </w:r>
            <w:r w:rsidR="0043508D">
              <w:rPr>
                <w:szCs w:val="24"/>
                <w:lang w:eastAsia="lt-LT"/>
              </w:rPr>
              <w:t>os pozicijų kainos</w:t>
            </w:r>
            <w:r w:rsidR="0071153A" w:rsidRPr="00DB7A86">
              <w:rPr>
                <w:rStyle w:val="Emphasis"/>
                <w:i w:val="0"/>
              </w:rPr>
              <w:t xml:space="preserve"> nesaugotin</w:t>
            </w:r>
            <w:r w:rsidR="0043508D">
              <w:rPr>
                <w:rStyle w:val="Emphasis"/>
                <w:i w:val="0"/>
              </w:rPr>
              <w:t>os</w:t>
            </w:r>
            <w:r w:rsidR="0071153A" w:rsidRPr="00DB7A86">
              <w:rPr>
                <w:rStyle w:val="Emphasis"/>
                <w:i w:val="0"/>
              </w:rPr>
              <w:t xml:space="preserve"> kaip konfidenciali informacija, nes </w:t>
            </w:r>
            <w:r w:rsidR="004F2600" w:rsidRPr="00DB7A86">
              <w:rPr>
                <w:rStyle w:val="Emphasis"/>
                <w:i w:val="0"/>
              </w:rPr>
              <w:t xml:space="preserve">nurodo tik </w:t>
            </w:r>
            <w:r w:rsidR="0043508D">
              <w:rPr>
                <w:rStyle w:val="Emphasis"/>
                <w:i w:val="0"/>
              </w:rPr>
              <w:t>atskirų pozicijų kainas, pakuočių kainas</w:t>
            </w:r>
            <w:r w:rsidR="004F2600" w:rsidRPr="00DB7A86">
              <w:rPr>
                <w:rStyle w:val="Emphasis"/>
                <w:i w:val="0"/>
              </w:rPr>
              <w:t xml:space="preserve">, paslaugų vienetų kainas, bet ne </w:t>
            </w:r>
            <w:r w:rsidR="007B2E49" w:rsidRPr="00DB7A86">
              <w:rPr>
                <w:rStyle w:val="Emphasis"/>
                <w:i w:val="0"/>
              </w:rPr>
              <w:t>pačių vienetų</w:t>
            </w:r>
            <w:r w:rsidR="0071153A" w:rsidRPr="00DB7A86">
              <w:rPr>
                <w:rStyle w:val="Emphasis"/>
                <w:i w:val="0"/>
              </w:rPr>
              <w:t xml:space="preserve"> kain</w:t>
            </w:r>
            <w:r w:rsidR="007B2E49" w:rsidRPr="00DB7A86">
              <w:rPr>
                <w:rStyle w:val="Emphasis"/>
                <w:i w:val="0"/>
              </w:rPr>
              <w:t>ų</w:t>
            </w:r>
            <w:r w:rsidR="0071153A" w:rsidRPr="00DB7A86">
              <w:rPr>
                <w:rStyle w:val="Emphasis"/>
                <w:i w:val="0"/>
              </w:rPr>
              <w:t xml:space="preserve"> sudėtin</w:t>
            </w:r>
            <w:r w:rsidR="007B2E49" w:rsidRPr="00DB7A86">
              <w:rPr>
                <w:rStyle w:val="Emphasis"/>
                <w:i w:val="0"/>
              </w:rPr>
              <w:t>es</w:t>
            </w:r>
            <w:r w:rsidR="0071153A" w:rsidRPr="00DB7A86">
              <w:rPr>
                <w:rStyle w:val="Emphasis"/>
                <w:i w:val="0"/>
              </w:rPr>
              <w:t xml:space="preserve"> dalis</w:t>
            </w:r>
            <w:r w:rsidR="001479BB" w:rsidRPr="00DB7A86">
              <w:rPr>
                <w:rStyle w:val="Emphasis"/>
                <w:i w:val="0"/>
              </w:rPr>
              <w:t>.</w:t>
            </w:r>
            <w:r w:rsidR="0071153A" w:rsidRPr="00DB7A86">
              <w:rPr>
                <w:rStyle w:val="Emphasis"/>
              </w:rPr>
              <w:t xml:space="preserve"> </w:t>
            </w:r>
            <w:r w:rsidRPr="00DB7A86">
              <w:t xml:space="preserve">Paaiškinime  </w:t>
            </w:r>
            <w:r w:rsidRPr="00DB7A86">
              <w:rPr>
                <w:szCs w:val="24"/>
                <w:lang w:eastAsia="lt-LT"/>
              </w:rPr>
              <w:t xml:space="preserve">nėra  argumentų apie tai, kokią tikrą ar potencialią komercinę (gamybinę) vertę turi informacija apie gamintoją ir prekės modelį dėl to, kad jos nežino tretieji asmenys ir ji negali būti laisvai prieinama ir kokių pastangų imtasi minėtos informacijos slaptumui išsaugoti. Teiginiai, kad komercine prasme patrauklių techninių charakteristikų slaptumo išsaugojimu suinteresuotas pats gamintojas būtų pagrįsti tik tokiu atveju, jei pats gamintojas nesiektų savo gaminių platinimo ir pelno. Jei iš gamintojo teiktų naudotojo instrukcijų, sertifikatų ar atitiktį nustatytiems reikalavimams patvirtinančių dokumentų (jų išrašų) būtų įmanoma perimti gamintojo praktinę patirtį (angl. </w:t>
            </w:r>
            <w:proofErr w:type="spellStart"/>
            <w:r w:rsidRPr="00DB7A86">
              <w:rPr>
                <w:szCs w:val="24"/>
                <w:lang w:eastAsia="lt-LT"/>
              </w:rPr>
              <w:t>know-how</w:t>
            </w:r>
            <w:proofErr w:type="spellEnd"/>
            <w:r w:rsidRPr="00DB7A86">
              <w:rPr>
                <w:szCs w:val="24"/>
                <w:lang w:eastAsia="lt-LT"/>
              </w:rPr>
              <w:t>), konkurentams pakaktų tik įsigyti vieną gamintojo gaminį.</w:t>
            </w:r>
            <w:r w:rsidR="00BC5CE7" w:rsidRPr="00DB7A86">
              <w:rPr>
                <w:szCs w:val="24"/>
                <w:lang w:eastAsia="lt-LT"/>
              </w:rPr>
              <w:t xml:space="preserve"> </w:t>
            </w:r>
          </w:p>
          <w:p w:rsidR="00BC7168" w:rsidRPr="00DB7A86" w:rsidRDefault="00197368" w:rsidP="007D2532">
            <w:pPr>
              <w:ind w:firstLine="459"/>
              <w:jc w:val="both"/>
              <w:rPr>
                <w:szCs w:val="24"/>
              </w:rPr>
            </w:pPr>
            <w:r w:rsidRPr="00DB7A86">
              <w:rPr>
                <w:szCs w:val="24"/>
              </w:rPr>
              <w:t>Tarnyba konstatuoja, kad priėmusi sprendim</w:t>
            </w:r>
            <w:r w:rsidR="00A1756F">
              <w:rPr>
                <w:szCs w:val="24"/>
              </w:rPr>
              <w:t>ą</w:t>
            </w:r>
            <w:r w:rsidRPr="00DB7A86">
              <w:rPr>
                <w:szCs w:val="24"/>
              </w:rPr>
              <w:t xml:space="preserve"> atsisakyti atskleisti laimėjusi</w:t>
            </w:r>
            <w:r w:rsidR="00A45978">
              <w:rPr>
                <w:szCs w:val="24"/>
              </w:rPr>
              <w:t>o</w:t>
            </w:r>
            <w:r w:rsidRPr="00DB7A86">
              <w:rPr>
                <w:szCs w:val="24"/>
              </w:rPr>
              <w:t xml:space="preserve"> </w:t>
            </w:r>
            <w:r w:rsidRPr="00DB7A86">
              <w:rPr>
                <w:szCs w:val="24"/>
                <w:lang w:eastAsia="lt-LT"/>
              </w:rPr>
              <w:t>pasiūlym</w:t>
            </w:r>
            <w:r w:rsidR="00A45978">
              <w:rPr>
                <w:szCs w:val="24"/>
                <w:lang w:eastAsia="lt-LT"/>
              </w:rPr>
              <w:t>o</w:t>
            </w:r>
            <w:r w:rsidRPr="00DB7A86">
              <w:rPr>
                <w:szCs w:val="24"/>
                <w:lang w:eastAsia="lt-LT"/>
              </w:rPr>
              <w:t xml:space="preserve"> esmines dalis </w:t>
            </w:r>
            <w:r w:rsidRPr="00852DA1">
              <w:rPr>
                <w:szCs w:val="24"/>
                <w:lang w:eastAsia="lt-LT"/>
              </w:rPr>
              <w:t>(</w:t>
            </w:r>
            <w:r w:rsidR="00A45978">
              <w:rPr>
                <w:szCs w:val="24"/>
              </w:rPr>
              <w:t xml:space="preserve">siūlomų prekių pavadinimai, pozicijų kainos, sumos, pakuotės, gamintojas, atitikimas kokybiniams ir techniniams reikalavimams </w:t>
            </w:r>
            <w:r w:rsidR="00B22761">
              <w:rPr>
                <w:szCs w:val="24"/>
                <w:lang w:eastAsia="lt-LT"/>
              </w:rPr>
              <w:t>ir kt.</w:t>
            </w:r>
            <w:r w:rsidRPr="00852DA1">
              <w:rPr>
                <w:szCs w:val="24"/>
                <w:lang w:eastAsia="lt-LT"/>
              </w:rPr>
              <w:t>)</w:t>
            </w:r>
            <w:r w:rsidRPr="00852DA1">
              <w:rPr>
                <w:szCs w:val="24"/>
              </w:rPr>
              <w:t>,</w:t>
            </w:r>
            <w:r w:rsidRPr="00DB7A86">
              <w:rPr>
                <w:szCs w:val="24"/>
              </w:rPr>
              <w:t xml:space="preserve"> Perkančioji organizacija pažeidė Įstatymo 17 straipsnio 1 dalyje įtvirtintą skaidrumo principą bei Suinteresuot</w:t>
            </w:r>
            <w:r w:rsidR="00A44042">
              <w:rPr>
                <w:szCs w:val="24"/>
              </w:rPr>
              <w:t>o</w:t>
            </w:r>
            <w:r w:rsidRPr="00DB7A86">
              <w:rPr>
                <w:szCs w:val="24"/>
              </w:rPr>
              <w:t xml:space="preserve"> dalyvi</w:t>
            </w:r>
            <w:r w:rsidR="00A44042">
              <w:rPr>
                <w:szCs w:val="24"/>
              </w:rPr>
              <w:t>o</w:t>
            </w:r>
            <w:r w:rsidRPr="00DB7A86">
              <w:rPr>
                <w:szCs w:val="24"/>
              </w:rPr>
              <w:t xml:space="preserve"> teisę į veiksmingą pažeistų teisių gynybą.</w:t>
            </w:r>
          </w:p>
        </w:tc>
      </w:tr>
      <w:bookmarkEnd w:id="1"/>
    </w:tbl>
    <w:p w:rsidR="002A07F4" w:rsidRPr="002A07F4" w:rsidRDefault="002A07F4" w:rsidP="002A07F4">
      <w:pPr>
        <w:ind w:left="-113"/>
        <w:jc w:val="center"/>
        <w:rPr>
          <w:b/>
          <w:szCs w:val="24"/>
        </w:rPr>
      </w:pPr>
    </w:p>
    <w:p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58"/>
      </w:tblGrid>
      <w:tr w:rsidR="002A07F4" w:rsidRPr="002A07F4" w:rsidTr="00D34E8C">
        <w:tc>
          <w:tcPr>
            <w:tcW w:w="562" w:type="dxa"/>
            <w:tcBorders>
              <w:top w:val="single" w:sz="4" w:space="0" w:color="auto"/>
              <w:left w:val="single" w:sz="4" w:space="0" w:color="auto"/>
              <w:bottom w:val="single" w:sz="4" w:space="0" w:color="auto"/>
              <w:right w:val="single" w:sz="4" w:space="0" w:color="auto"/>
            </w:tcBorders>
            <w:hideMark/>
          </w:tcPr>
          <w:p w:rsidR="002A07F4" w:rsidRPr="00106473" w:rsidRDefault="002A07F4" w:rsidP="00D34E8C">
            <w:pPr>
              <w:spacing w:before="120" w:after="120"/>
              <w:ind w:left="360"/>
              <w:jc w:val="center"/>
              <w:rPr>
                <w:szCs w:val="24"/>
                <w:highlight w:val="yellow"/>
              </w:rPr>
            </w:pPr>
          </w:p>
        </w:tc>
        <w:tc>
          <w:tcPr>
            <w:tcW w:w="9358" w:type="dxa"/>
            <w:tcBorders>
              <w:top w:val="single" w:sz="4" w:space="0" w:color="auto"/>
              <w:left w:val="single" w:sz="4" w:space="0" w:color="auto"/>
              <w:bottom w:val="single" w:sz="4" w:space="0" w:color="auto"/>
              <w:right w:val="single" w:sz="4" w:space="0" w:color="auto"/>
            </w:tcBorders>
            <w:hideMark/>
          </w:tcPr>
          <w:p w:rsidR="002A07F4" w:rsidRPr="00D654A6" w:rsidRDefault="00C534AC" w:rsidP="00D34E8C">
            <w:pPr>
              <w:spacing w:before="120" w:after="120"/>
              <w:jc w:val="both"/>
              <w:rPr>
                <w:i/>
                <w:szCs w:val="24"/>
              </w:rPr>
            </w:pPr>
            <w:r>
              <w:rPr>
                <w:i/>
                <w:szCs w:val="24"/>
              </w:rPr>
              <w:t>Įstatymo</w:t>
            </w:r>
            <w:r w:rsidR="000A309E" w:rsidRPr="0028302A">
              <w:rPr>
                <w:i/>
                <w:szCs w:val="24"/>
              </w:rPr>
              <w:t xml:space="preserve"> </w:t>
            </w:r>
            <w:r w:rsidR="000A309E" w:rsidRPr="002D5078">
              <w:rPr>
                <w:i/>
                <w:szCs w:val="24"/>
              </w:rPr>
              <w:t>17 straipsnio 1 dalis</w:t>
            </w:r>
            <w:r w:rsidR="000A309E" w:rsidRPr="002D5078">
              <w:rPr>
                <w:i/>
                <w:szCs w:val="24"/>
                <w:vertAlign w:val="superscript"/>
              </w:rPr>
              <w:footnoteReference w:id="10"/>
            </w:r>
            <w:r w:rsidR="00D654A6">
              <w:rPr>
                <w:i/>
                <w:szCs w:val="24"/>
              </w:rPr>
              <w:t xml:space="preserve">, </w:t>
            </w:r>
            <w:r w:rsidR="00D654A6" w:rsidRPr="00D654A6">
              <w:rPr>
                <w:rFonts w:eastAsia="Calibri"/>
                <w:i/>
                <w:szCs w:val="24"/>
              </w:rPr>
              <w:t>86 straipsnio 9 dalis</w:t>
            </w:r>
            <w:r w:rsidR="00D654A6" w:rsidRPr="00D654A6">
              <w:rPr>
                <w:rFonts w:eastAsia="Calibri"/>
                <w:i/>
                <w:szCs w:val="24"/>
                <w:vertAlign w:val="superscript"/>
              </w:rPr>
              <w:footnoteReference w:id="11"/>
            </w:r>
          </w:p>
          <w:p w:rsidR="0022436C" w:rsidRPr="002A07F4" w:rsidRDefault="0022436C" w:rsidP="00D34E8C">
            <w:pPr>
              <w:spacing w:before="120" w:after="120"/>
              <w:ind w:left="-113"/>
              <w:jc w:val="both"/>
              <w:rPr>
                <w:i/>
                <w:szCs w:val="24"/>
              </w:rPr>
            </w:pPr>
          </w:p>
        </w:tc>
      </w:tr>
      <w:tr w:rsidR="002A07F4" w:rsidRPr="002A07F4" w:rsidTr="00D34E8C">
        <w:tc>
          <w:tcPr>
            <w:tcW w:w="9920" w:type="dxa"/>
            <w:gridSpan w:val="2"/>
            <w:tcBorders>
              <w:top w:val="single" w:sz="4" w:space="0" w:color="auto"/>
              <w:left w:val="single" w:sz="4" w:space="0" w:color="auto"/>
              <w:bottom w:val="single" w:sz="4" w:space="0" w:color="auto"/>
              <w:right w:val="single" w:sz="4" w:space="0" w:color="auto"/>
            </w:tcBorders>
            <w:hideMark/>
          </w:tcPr>
          <w:p w:rsidR="00B3271A" w:rsidRDefault="006856FD" w:rsidP="00674230">
            <w:pPr>
              <w:ind w:left="32" w:firstLine="425"/>
              <w:jc w:val="both"/>
            </w:pPr>
            <w:r>
              <w:rPr>
                <w:szCs w:val="24"/>
              </w:rPr>
              <w:lastRenderedPageBreak/>
              <w:t xml:space="preserve">Įstatymo 86 straipsnio 9 dalyje nurodyta, kad </w:t>
            </w:r>
            <w:r>
              <w:t xml:space="preserve">„Perkančioji organizacija </w:t>
            </w:r>
            <w:r w:rsidRPr="006856FD">
              <w:rPr>
                <w:u w:val="single"/>
              </w:rPr>
              <w:t>laimėjusio dalyvio pasiūlymą</w:t>
            </w:r>
            <w:r>
              <w:t xml:space="preserve">, sudarytą pirkimo sutartį &lt;...&gt;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 </w:t>
            </w:r>
            <w:r>
              <w:rPr>
                <w:szCs w:val="24"/>
              </w:rPr>
              <w:t>Pažymėtina, kad Įstatymo 2 straipsnio 44 dalyje pateikta sąvokos, kas  yra pasiūlymas reikšmė</w:t>
            </w:r>
            <w:r w:rsidR="0065374B">
              <w:rPr>
                <w:szCs w:val="24"/>
              </w:rPr>
              <w:t>:</w:t>
            </w:r>
            <w:r>
              <w:rPr>
                <w:szCs w:val="24"/>
              </w:rPr>
              <w:t xml:space="preserve"> „Viešojo pirkimo pasiūlymas &lt;...&gt; - </w:t>
            </w:r>
            <w:r w:rsidRPr="006856FD">
              <w:rPr>
                <w:szCs w:val="24"/>
                <w:u w:val="single"/>
              </w:rPr>
              <w:t>tiekėjo raštu pateikiamų dokumentų ir duomenų visuma</w:t>
            </w:r>
            <w:r w:rsidR="009039FB">
              <w:rPr>
                <w:szCs w:val="24"/>
                <w:u w:val="single"/>
              </w:rPr>
              <w:t xml:space="preserve"> </w:t>
            </w:r>
            <w:r w:rsidR="009039FB">
              <w:rPr>
                <w:szCs w:val="24"/>
              </w:rPr>
              <w:t>&lt;...&gt;</w:t>
            </w:r>
            <w:r>
              <w:rPr>
                <w:szCs w:val="24"/>
              </w:rPr>
              <w:t>“</w:t>
            </w:r>
            <w:r w:rsidR="00467C3C">
              <w:rPr>
                <w:szCs w:val="24"/>
              </w:rPr>
              <w:t xml:space="preserve">, </w:t>
            </w:r>
            <w:r w:rsidR="009039FB">
              <w:rPr>
                <w:szCs w:val="24"/>
              </w:rPr>
              <w:t xml:space="preserve"> </w:t>
            </w:r>
            <w:r w:rsidR="00467C3C">
              <w:rPr>
                <w:szCs w:val="24"/>
              </w:rPr>
              <w:t>t</w:t>
            </w:r>
            <w:r w:rsidR="009039FB">
              <w:rPr>
                <w:szCs w:val="24"/>
              </w:rPr>
              <w:t>odėl, kartu su pasiūlymu turi būti viešinami visi tiekėjo kartu pateikti dokumentai ir duomenys (prekių sąrašas, prekių</w:t>
            </w:r>
            <w:r w:rsidR="00A84545">
              <w:rPr>
                <w:szCs w:val="24"/>
              </w:rPr>
              <w:t xml:space="preserve"> kainos</w:t>
            </w:r>
            <w:r w:rsidR="009039FB">
              <w:rPr>
                <w:szCs w:val="24"/>
              </w:rPr>
              <w:t xml:space="preserve">, priemonių kainos, pozicijų kainos, informacija apie įrenginį (modelis, gamintojas, kodas, metai, techninės charakteristikos, naudotojo vadovas), išskyrus tie, kuriuos tiekėjas </w:t>
            </w:r>
            <w:r w:rsidR="009039FB" w:rsidRPr="00467C3C">
              <w:rPr>
                <w:szCs w:val="24"/>
                <w:u w:val="single"/>
              </w:rPr>
              <w:t>pagrįstai</w:t>
            </w:r>
            <w:r w:rsidR="009039FB">
              <w:rPr>
                <w:szCs w:val="24"/>
              </w:rPr>
              <w:t xml:space="preserve"> nurodė kaip konfidencialius. </w:t>
            </w:r>
            <w:r>
              <w:t xml:space="preserve">Tuo tarpu, nustatyta, </w:t>
            </w:r>
            <w:r w:rsidR="006B787A" w:rsidRPr="00B35B08">
              <w:rPr>
                <w:szCs w:val="24"/>
              </w:rPr>
              <w:t xml:space="preserve"> kad įvykdžius Pirkimą, </w:t>
            </w:r>
            <w:r w:rsidR="006B787A">
              <w:rPr>
                <w:szCs w:val="24"/>
              </w:rPr>
              <w:t xml:space="preserve">Perkančioji organizacija </w:t>
            </w:r>
            <w:r w:rsidR="00864B5B">
              <w:rPr>
                <w:szCs w:val="24"/>
              </w:rPr>
              <w:t xml:space="preserve">CVP IS ne pilna apimtimi paviešino reikalingą informaciją, t. y. </w:t>
            </w:r>
            <w:r w:rsidR="003E284B">
              <w:rPr>
                <w:szCs w:val="24"/>
              </w:rPr>
              <w:t>n</w:t>
            </w:r>
            <w:r w:rsidR="00B837AF">
              <w:rPr>
                <w:szCs w:val="24"/>
              </w:rPr>
              <w:t>e</w:t>
            </w:r>
            <w:r w:rsidR="003E284B">
              <w:rPr>
                <w:szCs w:val="24"/>
              </w:rPr>
              <w:t xml:space="preserve">paviešino </w:t>
            </w:r>
            <w:r w:rsidR="00A06C00">
              <w:rPr>
                <w:szCs w:val="24"/>
              </w:rPr>
              <w:t xml:space="preserve">Pirkimo </w:t>
            </w:r>
            <w:r w:rsidR="003E284B">
              <w:rPr>
                <w:szCs w:val="24"/>
              </w:rPr>
              <w:t>1</w:t>
            </w:r>
            <w:r w:rsidR="00852DA1">
              <w:rPr>
                <w:szCs w:val="24"/>
              </w:rPr>
              <w:t xml:space="preserve">,  4, </w:t>
            </w:r>
            <w:r w:rsidR="00B837AF">
              <w:rPr>
                <w:szCs w:val="24"/>
              </w:rPr>
              <w:t xml:space="preserve"> 8, 10, 11, 12, 13, 15, 16, 18 ir 20</w:t>
            </w:r>
            <w:r w:rsidR="003E284B">
              <w:rPr>
                <w:szCs w:val="24"/>
              </w:rPr>
              <w:t xml:space="preserve"> dal</w:t>
            </w:r>
            <w:r w:rsidR="007E5772">
              <w:rPr>
                <w:szCs w:val="24"/>
              </w:rPr>
              <w:t>i</w:t>
            </w:r>
            <w:r w:rsidR="00852DA1">
              <w:rPr>
                <w:szCs w:val="24"/>
              </w:rPr>
              <w:t>ų</w:t>
            </w:r>
            <w:r w:rsidR="003E284B">
              <w:rPr>
                <w:szCs w:val="24"/>
              </w:rPr>
              <w:t xml:space="preserve"> </w:t>
            </w:r>
            <w:r w:rsidR="00BE4A81">
              <w:t>laimėjusių dalyvių pasiūlym</w:t>
            </w:r>
            <w:r w:rsidR="00BC1D8A">
              <w:t>ų</w:t>
            </w:r>
            <w:r w:rsidR="009039FB">
              <w:t xml:space="preserve"> visa apimtimi. Pažymėtina, kad </w:t>
            </w:r>
            <w:r w:rsidR="00B3271A">
              <w:t xml:space="preserve">Pirkimo 17 </w:t>
            </w:r>
            <w:r w:rsidR="00DC4184">
              <w:t xml:space="preserve">ir 19 </w:t>
            </w:r>
            <w:r w:rsidR="00B3271A">
              <w:t>dali</w:t>
            </w:r>
            <w:r w:rsidR="00DC4184">
              <w:t>ų</w:t>
            </w:r>
            <w:r w:rsidR="00B3271A">
              <w:t xml:space="preserve"> pasiūlyma</w:t>
            </w:r>
            <w:r w:rsidR="00DC4184">
              <w:t>i</w:t>
            </w:r>
            <w:r w:rsidR="00B3271A">
              <w:t xml:space="preserve"> taip pat nėra paviešint</w:t>
            </w:r>
            <w:r w:rsidR="00DC4184">
              <w:t>i</w:t>
            </w:r>
            <w:r w:rsidR="00B3271A">
              <w:t>, nors pateikt</w:t>
            </w:r>
            <w:r w:rsidR="00DC4184">
              <w:t>uos</w:t>
            </w:r>
            <w:r w:rsidR="00B3271A">
              <w:t>e pasiūlym</w:t>
            </w:r>
            <w:r w:rsidR="00DC4184">
              <w:t>uose</w:t>
            </w:r>
            <w:r w:rsidR="00B3271A">
              <w:t xml:space="preserve"> nėra nurodyt</w:t>
            </w:r>
            <w:r w:rsidR="00DC34CD">
              <w:t xml:space="preserve">a, kad </w:t>
            </w:r>
            <w:r w:rsidR="00B3271A">
              <w:t xml:space="preserve"> informacij</w:t>
            </w:r>
            <w:r w:rsidR="00DC34CD">
              <w:t>a konfidenciali</w:t>
            </w:r>
            <w:r w:rsidR="00FA0A57">
              <w:rPr>
                <w:rStyle w:val="FootnoteReference"/>
              </w:rPr>
              <w:footnoteReference w:id="12"/>
            </w:r>
            <w:r w:rsidR="003130FC">
              <w:t xml:space="preserve">. </w:t>
            </w:r>
            <w:r w:rsidR="00B3271A">
              <w:t xml:space="preserve"> </w:t>
            </w:r>
          </w:p>
          <w:p w:rsidR="00C745F5" w:rsidRDefault="00D57311" w:rsidP="00C745F5">
            <w:pPr>
              <w:ind w:firstLine="459"/>
              <w:jc w:val="both"/>
              <w:rPr>
                <w:szCs w:val="24"/>
              </w:rPr>
            </w:pPr>
            <w:r>
              <w:rPr>
                <w:szCs w:val="24"/>
              </w:rPr>
              <w:t>Įstatymo</w:t>
            </w:r>
            <w:r w:rsidRPr="00DB7A86">
              <w:rPr>
                <w:szCs w:val="24"/>
              </w:rPr>
              <w:t xml:space="preserve"> 20 straipsnio 1 dalyje įtvirtinta perkančiųjų organizacijų pareiga neatskleisti tretiesiems asmenims iš tiekėjų gautos informacijos, kurią jie nurodė kaip konfidencialią, neatsiejama nuo tiekėjų prievolės ne formaliai, bet realiai pagrįsti informacijos konfidencialumą. </w:t>
            </w:r>
            <w:r w:rsidR="00BB75D7">
              <w:rPr>
                <w:szCs w:val="24"/>
              </w:rPr>
              <w:t xml:space="preserve">Perkančioji organizacija </w:t>
            </w:r>
            <w:r w:rsidR="0065374B">
              <w:rPr>
                <w:szCs w:val="24"/>
              </w:rPr>
              <w:t xml:space="preserve">  </w:t>
            </w:r>
            <w:r w:rsidR="00BB75D7">
              <w:rPr>
                <w:szCs w:val="24"/>
              </w:rPr>
              <w:t xml:space="preserve">neprašė Pirkimo  4, </w:t>
            </w:r>
            <w:r w:rsidR="0065374B">
              <w:rPr>
                <w:szCs w:val="24"/>
              </w:rPr>
              <w:t xml:space="preserve">5, 6, 7, </w:t>
            </w:r>
            <w:r w:rsidR="00BB75D7">
              <w:rPr>
                <w:szCs w:val="24"/>
              </w:rPr>
              <w:t xml:space="preserve"> 8, </w:t>
            </w:r>
            <w:r w:rsidR="0065374B">
              <w:rPr>
                <w:szCs w:val="24"/>
              </w:rPr>
              <w:t xml:space="preserve">9, </w:t>
            </w:r>
            <w:r w:rsidR="00BB75D7">
              <w:rPr>
                <w:szCs w:val="24"/>
              </w:rPr>
              <w:t xml:space="preserve">10, 11, 12, 13, </w:t>
            </w:r>
            <w:r w:rsidR="0065374B">
              <w:rPr>
                <w:szCs w:val="24"/>
              </w:rPr>
              <w:t xml:space="preserve">14, </w:t>
            </w:r>
            <w:r w:rsidR="00BB75D7">
              <w:rPr>
                <w:szCs w:val="24"/>
              </w:rPr>
              <w:t>16, 18 ir 20 dal</w:t>
            </w:r>
            <w:r w:rsidR="0065374B">
              <w:rPr>
                <w:szCs w:val="24"/>
              </w:rPr>
              <w:t>yse</w:t>
            </w:r>
            <w:r w:rsidR="00BB75D7">
              <w:rPr>
                <w:szCs w:val="24"/>
              </w:rPr>
              <w:t xml:space="preserve"> </w:t>
            </w:r>
            <w:r w:rsidR="00BB75D7">
              <w:t xml:space="preserve">laimėjusių dalyvių </w:t>
            </w:r>
            <w:r w:rsidR="00BB75D7">
              <w:rPr>
                <w:szCs w:val="24"/>
              </w:rPr>
              <w:t xml:space="preserve"> </w:t>
            </w:r>
            <w:r w:rsidR="0065374B">
              <w:rPr>
                <w:szCs w:val="24"/>
              </w:rPr>
              <w:t xml:space="preserve">įrodyti, kodėl </w:t>
            </w:r>
            <w:r w:rsidR="00622738">
              <w:rPr>
                <w:szCs w:val="24"/>
              </w:rPr>
              <w:t xml:space="preserve">pasiūlymų </w:t>
            </w:r>
            <w:r w:rsidR="0065374B">
              <w:rPr>
                <w:szCs w:val="24"/>
              </w:rPr>
              <w:t>informacija yra konfidencial</w:t>
            </w:r>
            <w:r w:rsidR="00C745F5">
              <w:rPr>
                <w:szCs w:val="24"/>
              </w:rPr>
              <w:t>i</w:t>
            </w:r>
            <w:r w:rsidR="00FA0A57">
              <w:rPr>
                <w:szCs w:val="24"/>
              </w:rPr>
              <w:t>.</w:t>
            </w:r>
          </w:p>
          <w:p w:rsidR="002A07F4" w:rsidRDefault="006B787A" w:rsidP="00C745F5">
            <w:pPr>
              <w:ind w:firstLine="459"/>
              <w:jc w:val="both"/>
              <w:rPr>
                <w:szCs w:val="24"/>
              </w:rPr>
            </w:pPr>
            <w:r>
              <w:rPr>
                <w:szCs w:val="24"/>
              </w:rPr>
              <w:t xml:space="preserve">Remiantis tuo, </w:t>
            </w:r>
            <w:r w:rsidR="009F7B12">
              <w:rPr>
                <w:szCs w:val="24"/>
              </w:rPr>
              <w:t>Tarnyba konstatuoja, kad</w:t>
            </w:r>
            <w:r w:rsidRPr="00B35B08">
              <w:rPr>
                <w:szCs w:val="24"/>
              </w:rPr>
              <w:t xml:space="preserve"> </w:t>
            </w:r>
            <w:r w:rsidR="00DC34CD">
              <w:rPr>
                <w:szCs w:val="24"/>
              </w:rPr>
              <w:t xml:space="preserve">Perkančioji organizacija, nesivadovavo Įstatymo </w:t>
            </w:r>
            <w:r w:rsidR="00DC34CD" w:rsidRPr="00DB7A86">
              <w:rPr>
                <w:szCs w:val="24"/>
              </w:rPr>
              <w:t>20 straipsnio 3 dalimi</w:t>
            </w:r>
            <w:r w:rsidR="00DC34CD">
              <w:rPr>
                <w:rStyle w:val="FootnoteReference"/>
                <w:szCs w:val="24"/>
              </w:rPr>
              <w:footnoteReference w:id="13"/>
            </w:r>
            <w:r w:rsidR="00DC34CD" w:rsidRPr="00B35B08">
              <w:rPr>
                <w:szCs w:val="24"/>
              </w:rPr>
              <w:t xml:space="preserve"> </w:t>
            </w:r>
            <w:r w:rsidR="00DC34CD">
              <w:rPr>
                <w:szCs w:val="24"/>
              </w:rPr>
              <w:t xml:space="preserve">ir nesikreipė į tiekėjus dėl pasiūlymuose pateiktos informacijos pasiūlymų pagrįstumo įrodymo, o </w:t>
            </w:r>
            <w:r w:rsidR="00622738">
              <w:rPr>
                <w:szCs w:val="24"/>
              </w:rPr>
              <w:t>CVP</w:t>
            </w:r>
            <w:r w:rsidRPr="00B35B08">
              <w:rPr>
                <w:szCs w:val="24"/>
              </w:rPr>
              <w:t xml:space="preserve"> IS </w:t>
            </w:r>
            <w:r w:rsidR="009F7B12">
              <w:rPr>
                <w:szCs w:val="24"/>
              </w:rPr>
              <w:t>ne</w:t>
            </w:r>
            <w:r w:rsidR="006C1BB5">
              <w:rPr>
                <w:szCs w:val="24"/>
              </w:rPr>
              <w:t>pa</w:t>
            </w:r>
            <w:r w:rsidRPr="00B35B08">
              <w:rPr>
                <w:szCs w:val="24"/>
              </w:rPr>
              <w:t>viešin</w:t>
            </w:r>
            <w:r w:rsidR="009F7B12">
              <w:rPr>
                <w:szCs w:val="24"/>
              </w:rPr>
              <w:t>usi</w:t>
            </w:r>
            <w:r w:rsidRPr="00B35B08">
              <w:rPr>
                <w:szCs w:val="24"/>
              </w:rPr>
              <w:t xml:space="preserve"> </w:t>
            </w:r>
            <w:r w:rsidR="00E740D2">
              <w:rPr>
                <w:szCs w:val="24"/>
              </w:rPr>
              <w:t xml:space="preserve">Pirkimo 1,  4, 5, 6, 7, 8, 9, 10, 11, 12, 13, 14, 15, 16, 17, 18, 19 ir 20 dalių </w:t>
            </w:r>
            <w:r w:rsidR="00E740D2">
              <w:t>laimėjusių dalyvių pasiūlymų</w:t>
            </w:r>
            <w:r w:rsidR="00864B5B">
              <w:t xml:space="preserve"> </w:t>
            </w:r>
            <w:r w:rsidR="00DC4184">
              <w:t>visa apimtimi</w:t>
            </w:r>
            <w:r w:rsidR="00E94FD2" w:rsidRPr="00864895">
              <w:rPr>
                <w:szCs w:val="24"/>
              </w:rPr>
              <w:t xml:space="preserve">, </w:t>
            </w:r>
            <w:r w:rsidR="00E740D2">
              <w:t xml:space="preserve"> </w:t>
            </w:r>
            <w:r w:rsidR="006F2693">
              <w:t xml:space="preserve"> (</w:t>
            </w:r>
            <w:r w:rsidR="00BD6F07">
              <w:rPr>
                <w:szCs w:val="24"/>
              </w:rPr>
              <w:t>išskyrus</w:t>
            </w:r>
            <w:r w:rsidR="006C1BB5">
              <w:rPr>
                <w:szCs w:val="24"/>
              </w:rPr>
              <w:t xml:space="preserve"> </w:t>
            </w:r>
            <w:r w:rsidR="00BD6F07">
              <w:rPr>
                <w:szCs w:val="24"/>
              </w:rPr>
              <w:t xml:space="preserve">informaciją, kuri pagal teisinį reglamentavimą ir LAT praktiką, pripažintina </w:t>
            </w:r>
            <w:r w:rsidR="006C1BB5">
              <w:rPr>
                <w:szCs w:val="24"/>
              </w:rPr>
              <w:t>nevieš</w:t>
            </w:r>
            <w:r w:rsidR="00BD6F07">
              <w:rPr>
                <w:szCs w:val="24"/>
              </w:rPr>
              <w:t>a</w:t>
            </w:r>
            <w:r w:rsidR="006C1BB5">
              <w:rPr>
                <w:szCs w:val="24"/>
              </w:rPr>
              <w:t xml:space="preserve">), Perkančioji organizacija </w:t>
            </w:r>
            <w:r w:rsidRPr="00B35B08">
              <w:rPr>
                <w:szCs w:val="24"/>
              </w:rPr>
              <w:t>pažei</w:t>
            </w:r>
            <w:r w:rsidR="006C1BB5">
              <w:rPr>
                <w:szCs w:val="24"/>
              </w:rPr>
              <w:t>dė</w:t>
            </w:r>
            <w:r w:rsidRPr="00B35B08">
              <w:rPr>
                <w:szCs w:val="24"/>
              </w:rPr>
              <w:t xml:space="preserve"> </w:t>
            </w:r>
            <w:r w:rsidR="00B870EA">
              <w:rPr>
                <w:szCs w:val="24"/>
              </w:rPr>
              <w:t>Įstatymo</w:t>
            </w:r>
            <w:r w:rsidRPr="00B35B08">
              <w:rPr>
                <w:szCs w:val="24"/>
              </w:rPr>
              <w:t xml:space="preserve"> 86 straipsnio 9 dalies </w:t>
            </w:r>
            <w:r>
              <w:rPr>
                <w:szCs w:val="24"/>
              </w:rPr>
              <w:t>reikalavim</w:t>
            </w:r>
            <w:r w:rsidR="006C1BB5">
              <w:rPr>
                <w:szCs w:val="24"/>
              </w:rPr>
              <w:t>us</w:t>
            </w:r>
            <w:r>
              <w:rPr>
                <w:szCs w:val="24"/>
              </w:rPr>
              <w:t xml:space="preserve"> </w:t>
            </w:r>
            <w:r w:rsidRPr="00B35B08">
              <w:rPr>
                <w:szCs w:val="24"/>
              </w:rPr>
              <w:t xml:space="preserve">ir </w:t>
            </w:r>
            <w:r w:rsidR="006C1BB5">
              <w:rPr>
                <w:szCs w:val="24"/>
              </w:rPr>
              <w:t>Į</w:t>
            </w:r>
            <w:r w:rsidR="00B870EA">
              <w:rPr>
                <w:szCs w:val="24"/>
              </w:rPr>
              <w:t>statymo</w:t>
            </w:r>
            <w:r w:rsidRPr="00B35B08">
              <w:rPr>
                <w:szCs w:val="24"/>
              </w:rPr>
              <w:t xml:space="preserve"> 17 straipsnio 1 dalyje įtvirtint</w:t>
            </w:r>
            <w:r w:rsidR="006C1BB5">
              <w:rPr>
                <w:szCs w:val="24"/>
              </w:rPr>
              <w:t>ą</w:t>
            </w:r>
            <w:r w:rsidRPr="00B35B08">
              <w:rPr>
                <w:szCs w:val="24"/>
              </w:rPr>
              <w:t xml:space="preserve"> skaidrumo princip</w:t>
            </w:r>
            <w:r w:rsidR="006C1BB5">
              <w:rPr>
                <w:szCs w:val="24"/>
              </w:rPr>
              <w:t>ą</w:t>
            </w:r>
            <w:r w:rsidRPr="00B35B08">
              <w:rPr>
                <w:szCs w:val="24"/>
              </w:rPr>
              <w:t>.</w:t>
            </w:r>
          </w:p>
          <w:p w:rsidR="006B787A" w:rsidRPr="006B787A" w:rsidRDefault="006B787A" w:rsidP="006B787A">
            <w:pPr>
              <w:tabs>
                <w:tab w:val="left" w:pos="993"/>
              </w:tabs>
              <w:ind w:left="32" w:right="49" w:firstLine="425"/>
              <w:jc w:val="both"/>
              <w:rPr>
                <w:szCs w:val="24"/>
              </w:rPr>
            </w:pPr>
          </w:p>
        </w:tc>
      </w:tr>
    </w:tbl>
    <w:p w:rsidR="002A07F4" w:rsidRPr="002A07F4" w:rsidRDefault="002A07F4" w:rsidP="002A07F4">
      <w:pPr>
        <w:jc w:val="center"/>
        <w:rPr>
          <w:b/>
          <w:szCs w:val="24"/>
        </w:rPr>
      </w:pPr>
    </w:p>
    <w:p w:rsidR="002A07F4" w:rsidRPr="002A07F4" w:rsidRDefault="002A07F4" w:rsidP="002A07F4">
      <w:pPr>
        <w:jc w:val="center"/>
        <w:rPr>
          <w:b/>
          <w:szCs w:val="24"/>
        </w:rPr>
      </w:pPr>
      <w:r w:rsidRPr="002A07F4">
        <w:rPr>
          <w:b/>
          <w:szCs w:val="24"/>
        </w:rPr>
        <w:t>IV dalis. Sprendimas</w:t>
      </w:r>
    </w:p>
    <w:p w:rsidR="002A07F4" w:rsidRPr="002A07F4"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2A07F4" w:rsidTr="002A07F4">
        <w:tc>
          <w:tcPr>
            <w:tcW w:w="9776" w:type="dxa"/>
            <w:tcBorders>
              <w:top w:val="single" w:sz="4" w:space="0" w:color="auto"/>
              <w:left w:val="single" w:sz="4" w:space="0" w:color="auto"/>
              <w:bottom w:val="single" w:sz="4" w:space="0" w:color="auto"/>
              <w:right w:val="single" w:sz="4" w:space="0" w:color="auto"/>
            </w:tcBorders>
            <w:hideMark/>
          </w:tcPr>
          <w:p w:rsidR="008B5850" w:rsidRDefault="0073636D" w:rsidP="00197368">
            <w:pPr>
              <w:ind w:firstLine="459"/>
              <w:jc w:val="both"/>
              <w:rPr>
                <w:szCs w:val="24"/>
              </w:rPr>
            </w:pPr>
            <w:r w:rsidRPr="006E0473">
              <w:rPr>
                <w:szCs w:val="24"/>
              </w:rPr>
              <w:t xml:space="preserve">Atsižvelgdama į šios išvados </w:t>
            </w:r>
            <w:r w:rsidR="00E740D2">
              <w:rPr>
                <w:szCs w:val="24"/>
              </w:rPr>
              <w:t xml:space="preserve"> II ir </w:t>
            </w:r>
            <w:r w:rsidRPr="006E0473">
              <w:rPr>
                <w:szCs w:val="24"/>
              </w:rPr>
              <w:t>II</w:t>
            </w:r>
            <w:r>
              <w:rPr>
                <w:szCs w:val="24"/>
              </w:rPr>
              <w:t>I</w:t>
            </w:r>
            <w:r w:rsidRPr="006E0473">
              <w:rPr>
                <w:szCs w:val="24"/>
              </w:rPr>
              <w:t xml:space="preserve"> dal</w:t>
            </w:r>
            <w:r>
              <w:rPr>
                <w:szCs w:val="24"/>
              </w:rPr>
              <w:t xml:space="preserve">yje </w:t>
            </w:r>
            <w:r w:rsidRPr="006E0473">
              <w:rPr>
                <w:szCs w:val="24"/>
              </w:rPr>
              <w:t xml:space="preserve">nustatytus </w:t>
            </w:r>
            <w:r w:rsidR="00C534AC">
              <w:rPr>
                <w:szCs w:val="24"/>
              </w:rPr>
              <w:t>Įstatymo</w:t>
            </w:r>
            <w:r w:rsidRPr="006E0473">
              <w:rPr>
                <w:szCs w:val="24"/>
              </w:rPr>
              <w:t xml:space="preserve"> pažeidimus, Tarnyba, vadovaudamasi </w:t>
            </w:r>
            <w:r w:rsidR="00C534AC">
              <w:rPr>
                <w:szCs w:val="24"/>
              </w:rPr>
              <w:t>Įstatymo</w:t>
            </w:r>
            <w:r w:rsidRPr="006E0473">
              <w:rPr>
                <w:szCs w:val="24"/>
              </w:rPr>
              <w:t xml:space="preserve"> 95 straipsnio 2 dalies 5 punktu, įpareigoja </w:t>
            </w:r>
            <w:r>
              <w:rPr>
                <w:szCs w:val="24"/>
              </w:rPr>
              <w:t>Perkančiąją organizaciją</w:t>
            </w:r>
            <w:r w:rsidR="002973CF">
              <w:rPr>
                <w:szCs w:val="24"/>
              </w:rPr>
              <w:t>:</w:t>
            </w:r>
            <w:r w:rsidRPr="00B35B08">
              <w:rPr>
                <w:szCs w:val="24"/>
              </w:rPr>
              <w:t xml:space="preserve"> </w:t>
            </w:r>
          </w:p>
          <w:p w:rsidR="00FC6790" w:rsidRPr="00864895" w:rsidRDefault="00EC048B" w:rsidP="00FC6790">
            <w:pPr>
              <w:pStyle w:val="ListParagraph"/>
              <w:numPr>
                <w:ilvl w:val="0"/>
                <w:numId w:val="6"/>
              </w:numPr>
              <w:ind w:left="34"/>
              <w:jc w:val="both"/>
              <w:rPr>
                <w:szCs w:val="24"/>
              </w:rPr>
            </w:pPr>
            <w:r>
              <w:rPr>
                <w:szCs w:val="24"/>
              </w:rPr>
              <w:t xml:space="preserve">       </w:t>
            </w:r>
            <w:r w:rsidR="00B413B1">
              <w:rPr>
                <w:szCs w:val="24"/>
              </w:rPr>
              <w:t xml:space="preserve">1. </w:t>
            </w:r>
            <w:r w:rsidR="008B5850" w:rsidRPr="00B870EA">
              <w:rPr>
                <w:szCs w:val="24"/>
              </w:rPr>
              <w:t xml:space="preserve">Leisti susipažinti </w:t>
            </w:r>
            <w:r w:rsidR="00E740D2">
              <w:rPr>
                <w:szCs w:val="24"/>
              </w:rPr>
              <w:t>Suinteresuotam dalyviui</w:t>
            </w:r>
            <w:r w:rsidR="008B5850" w:rsidRPr="00B870EA">
              <w:rPr>
                <w:szCs w:val="24"/>
              </w:rPr>
              <w:t xml:space="preserve"> su </w:t>
            </w:r>
            <w:r w:rsidR="002973CF" w:rsidRPr="00B870EA">
              <w:rPr>
                <w:szCs w:val="24"/>
              </w:rPr>
              <w:t>UAB „</w:t>
            </w:r>
            <w:proofErr w:type="spellStart"/>
            <w:r w:rsidR="00E740D2">
              <w:rPr>
                <w:szCs w:val="24"/>
              </w:rPr>
              <w:t>Sormedica</w:t>
            </w:r>
            <w:proofErr w:type="spellEnd"/>
            <w:r w:rsidR="002973CF" w:rsidRPr="00B870EA">
              <w:rPr>
                <w:szCs w:val="24"/>
              </w:rPr>
              <w:t xml:space="preserve">“ </w:t>
            </w:r>
            <w:r w:rsidR="008B5850" w:rsidRPr="00B870EA">
              <w:rPr>
                <w:szCs w:val="24"/>
              </w:rPr>
              <w:t>pasiūlym</w:t>
            </w:r>
            <w:r w:rsidR="00DC4184">
              <w:rPr>
                <w:szCs w:val="24"/>
              </w:rPr>
              <w:t>u</w:t>
            </w:r>
            <w:r w:rsidR="00FC6790">
              <w:rPr>
                <w:szCs w:val="24"/>
              </w:rPr>
              <w:t xml:space="preserve">, </w:t>
            </w:r>
            <w:r w:rsidR="00FC6790" w:rsidRPr="00864895">
              <w:rPr>
                <w:szCs w:val="24"/>
              </w:rPr>
              <w:t>išskyrus informaciją, kuri pagal teisinį reglamentavimą ir LAT praktiką, pripažintina nevieša;</w:t>
            </w:r>
          </w:p>
          <w:p w:rsidR="00FC6790" w:rsidRPr="00DC4184" w:rsidRDefault="00B413B1" w:rsidP="00B413B1">
            <w:pPr>
              <w:pStyle w:val="ListParagraph"/>
              <w:numPr>
                <w:ilvl w:val="0"/>
                <w:numId w:val="6"/>
              </w:numPr>
              <w:ind w:left="0"/>
              <w:jc w:val="both"/>
              <w:rPr>
                <w:szCs w:val="24"/>
              </w:rPr>
            </w:pPr>
            <w:r>
              <w:rPr>
                <w:bCs/>
                <w:szCs w:val="24"/>
              </w:rPr>
              <w:t xml:space="preserve">        2.  </w:t>
            </w:r>
            <w:r w:rsidR="00FC6790" w:rsidRPr="00DC4184">
              <w:rPr>
                <w:bCs/>
                <w:szCs w:val="24"/>
              </w:rPr>
              <w:t xml:space="preserve">CVP IS </w:t>
            </w:r>
            <w:r w:rsidR="00864B5B" w:rsidRPr="00DC4184">
              <w:rPr>
                <w:szCs w:val="24"/>
              </w:rPr>
              <w:t xml:space="preserve"> Pirkimo 1,  4, 5, 6, 7, 8, 9, 10, 11, 12, 13, 14, 15, 16, </w:t>
            </w:r>
            <w:r w:rsidR="00024CAC" w:rsidRPr="00DC4184">
              <w:rPr>
                <w:szCs w:val="24"/>
              </w:rPr>
              <w:t xml:space="preserve">17, </w:t>
            </w:r>
            <w:r w:rsidR="00864B5B" w:rsidRPr="00DC4184">
              <w:rPr>
                <w:szCs w:val="24"/>
              </w:rPr>
              <w:t xml:space="preserve">18, 19 ir 20 dalių </w:t>
            </w:r>
            <w:r w:rsidR="00864B5B">
              <w:t xml:space="preserve">laimėjusių dalyvių pasiūlymus </w:t>
            </w:r>
            <w:r w:rsidR="00DC4184">
              <w:t xml:space="preserve">paviešinti </w:t>
            </w:r>
            <w:r w:rsidR="00FC6790" w:rsidRPr="00DC4184">
              <w:rPr>
                <w:bCs/>
                <w:szCs w:val="24"/>
              </w:rPr>
              <w:t>pilna apimtimi</w:t>
            </w:r>
            <w:r w:rsidR="00467C3C">
              <w:rPr>
                <w:bCs/>
                <w:szCs w:val="24"/>
              </w:rPr>
              <w:t>,</w:t>
            </w:r>
            <w:r w:rsidR="00FC6790" w:rsidRPr="00DC4184">
              <w:rPr>
                <w:szCs w:val="24"/>
              </w:rPr>
              <w:t xml:space="preserve"> </w:t>
            </w:r>
            <w:r w:rsidR="00FC6790" w:rsidRPr="00DC4184">
              <w:rPr>
                <w:rFonts w:eastAsia="Calibri"/>
                <w:szCs w:val="24"/>
              </w:rPr>
              <w:t xml:space="preserve">ne vėliau kaip per </w:t>
            </w:r>
            <w:r w:rsidR="00DC4184" w:rsidRPr="00DC4184">
              <w:rPr>
                <w:rFonts w:eastAsia="Calibri"/>
                <w:szCs w:val="24"/>
              </w:rPr>
              <w:t>10</w:t>
            </w:r>
            <w:r w:rsidR="00FC6790" w:rsidRPr="00DC4184">
              <w:rPr>
                <w:rFonts w:eastAsia="Calibri"/>
                <w:szCs w:val="24"/>
              </w:rPr>
              <w:t xml:space="preserve"> d. d. nuo vertinimo išvados gavimo dienos,</w:t>
            </w:r>
            <w:r w:rsidR="00FC6790" w:rsidRPr="00DC4184">
              <w:rPr>
                <w:szCs w:val="24"/>
              </w:rPr>
              <w:t xml:space="preserve"> išskyrus informaciją, kuri pagal teisinį reglamentavimą ir LAT praktiką, pripažintina nevieša.</w:t>
            </w:r>
          </w:p>
          <w:p w:rsidR="00DC4184" w:rsidRPr="00DC4184" w:rsidRDefault="00DC4184" w:rsidP="00B413B1">
            <w:pPr>
              <w:pStyle w:val="ListParagraph"/>
              <w:ind w:left="459"/>
              <w:jc w:val="both"/>
              <w:rPr>
                <w:szCs w:val="24"/>
              </w:rPr>
            </w:pPr>
            <w:r>
              <w:rPr>
                <w:szCs w:val="24"/>
              </w:rPr>
              <w:t>Per 21 d. d. informuoti Tarnybą apie įpareigojimo įvykdymą ir pateikti pagrindžiančius dokumentus</w:t>
            </w:r>
            <w:r w:rsidR="00B413B1">
              <w:rPr>
                <w:szCs w:val="24"/>
              </w:rPr>
              <w:t>.</w:t>
            </w:r>
          </w:p>
          <w:p w:rsidR="00197368" w:rsidRPr="009117E6" w:rsidRDefault="001B3EB7" w:rsidP="00197368">
            <w:pPr>
              <w:ind w:firstLine="459"/>
              <w:jc w:val="both"/>
            </w:pPr>
            <w:r>
              <w:lastRenderedPageBreak/>
              <w:t xml:space="preserve">  </w:t>
            </w:r>
            <w:r w:rsidR="00197368" w:rsidRPr="009117E6">
              <w:t xml:space="preserve">Vadovaujantis Lietuvos Respublikos administracinių bylų teisenos įstatymo 5 ir 17 straipsniais, nesutikę su Tarnybos </w:t>
            </w:r>
            <w:r w:rsidR="0075723B">
              <w:t>sprendimu</w:t>
            </w:r>
            <w:r w:rsidR="00197368" w:rsidRPr="009117E6">
              <w:t>, Jūs galite j</w:t>
            </w:r>
            <w:r w:rsidR="0075723B">
              <w:t>į</w:t>
            </w:r>
            <w:r w:rsidR="00197368" w:rsidRPr="009117E6">
              <w:t xml:space="preserve"> apskųsti teismui šio įstatymo nustatyta tvarka.</w:t>
            </w:r>
          </w:p>
          <w:p w:rsidR="002A07F4" w:rsidRPr="002A07F4" w:rsidRDefault="002A07F4">
            <w:pPr>
              <w:jc w:val="both"/>
              <w:rPr>
                <w:b/>
                <w:i/>
                <w:szCs w:val="24"/>
              </w:rPr>
            </w:pPr>
          </w:p>
        </w:tc>
      </w:tr>
    </w:tbl>
    <w:p w:rsidR="002A07F4" w:rsidRPr="002A07F4" w:rsidRDefault="002A07F4" w:rsidP="002A07F4"/>
    <w:p w:rsidR="002A07F4" w:rsidRPr="002A07F4" w:rsidRDefault="002A07F4" w:rsidP="002A07F4">
      <w:pPr>
        <w:jc w:val="center"/>
        <w:rPr>
          <w:b/>
          <w:szCs w:val="24"/>
        </w:rPr>
      </w:pPr>
      <w:r w:rsidRPr="002A07F4">
        <w:rPr>
          <w:b/>
          <w:szCs w:val="24"/>
        </w:rPr>
        <w:t>Pastabos</w:t>
      </w:r>
    </w:p>
    <w:p w:rsidR="002A07F4" w:rsidRPr="002A07F4"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2A07F4" w:rsidTr="00F72D44">
        <w:trPr>
          <w:trHeight w:val="491"/>
        </w:trPr>
        <w:tc>
          <w:tcPr>
            <w:tcW w:w="9776" w:type="dxa"/>
            <w:tcBorders>
              <w:top w:val="single" w:sz="4" w:space="0" w:color="auto"/>
              <w:left w:val="single" w:sz="4" w:space="0" w:color="auto"/>
              <w:bottom w:val="single" w:sz="4" w:space="0" w:color="auto"/>
              <w:right w:val="single" w:sz="4" w:space="0" w:color="auto"/>
            </w:tcBorders>
            <w:hideMark/>
          </w:tcPr>
          <w:p w:rsidR="007D33E9" w:rsidRPr="002876AF" w:rsidRDefault="007D33E9" w:rsidP="00864B5B">
            <w:pPr>
              <w:ind w:firstLine="449"/>
              <w:jc w:val="both"/>
              <w:rPr>
                <w:b/>
                <w:szCs w:val="24"/>
              </w:rPr>
            </w:pPr>
          </w:p>
        </w:tc>
      </w:tr>
    </w:tbl>
    <w:p w:rsidR="002876AF" w:rsidRDefault="002876AF" w:rsidP="002A07F4">
      <w:pPr>
        <w:spacing w:line="254" w:lineRule="auto"/>
        <w:ind w:right="49"/>
        <w:jc w:val="both"/>
        <w:rPr>
          <w:szCs w:val="24"/>
        </w:rPr>
      </w:pPr>
    </w:p>
    <w:p w:rsidR="002A07F4" w:rsidRDefault="002A07F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Pr="002A07F4" w:rsidRDefault="00F72D44" w:rsidP="002A07F4">
      <w:pPr>
        <w:rPr>
          <w:sz w:val="14"/>
          <w:szCs w:val="14"/>
        </w:rPr>
      </w:pPr>
    </w:p>
    <w:p w:rsidR="002A07F4" w:rsidRPr="002A07F4" w:rsidRDefault="002A07F4" w:rsidP="002A07F4">
      <w:pPr>
        <w:spacing w:line="254" w:lineRule="auto"/>
        <w:ind w:right="49"/>
        <w:jc w:val="both"/>
        <w:rPr>
          <w:b/>
          <w:szCs w:val="24"/>
        </w:rPr>
      </w:pPr>
      <w:r w:rsidRPr="002A07F4">
        <w:rPr>
          <w:szCs w:val="24"/>
        </w:rPr>
        <w:t>Direktorė</w:t>
      </w:r>
      <w:r w:rsidRPr="002A07F4">
        <w:rPr>
          <w:szCs w:val="24"/>
        </w:rPr>
        <w:tab/>
      </w:r>
      <w:r w:rsidRPr="002A07F4">
        <w:rPr>
          <w:szCs w:val="24"/>
        </w:rPr>
        <w:tab/>
      </w:r>
      <w:r w:rsidRPr="002A07F4">
        <w:rPr>
          <w:szCs w:val="24"/>
        </w:rPr>
        <w:tab/>
      </w:r>
      <w:r w:rsidRPr="002A07F4">
        <w:rPr>
          <w:szCs w:val="24"/>
        </w:rPr>
        <w:tab/>
        <w:t xml:space="preserve">              </w:t>
      </w:r>
      <w:r w:rsidR="000D6E31">
        <w:rPr>
          <w:szCs w:val="24"/>
        </w:rPr>
        <w:t xml:space="preserve">            </w:t>
      </w:r>
      <w:r w:rsidRPr="002A07F4">
        <w:rPr>
          <w:szCs w:val="24"/>
        </w:rPr>
        <w:t xml:space="preserve">                           Diana Vilytė</w:t>
      </w:r>
    </w:p>
    <w:p w:rsidR="002A07F4" w:rsidRPr="002A07F4" w:rsidRDefault="002A07F4" w:rsidP="002A07F4">
      <w:pPr>
        <w:spacing w:line="254" w:lineRule="auto"/>
        <w:ind w:right="49"/>
        <w:jc w:val="both"/>
        <w:rPr>
          <w:b/>
          <w:szCs w:val="24"/>
        </w:rPr>
      </w:pPr>
    </w:p>
    <w:p w:rsidR="002A07F4" w:rsidRPr="002A07F4" w:rsidRDefault="002A07F4" w:rsidP="002A07F4">
      <w:pPr>
        <w:rPr>
          <w:sz w:val="14"/>
          <w:szCs w:val="14"/>
        </w:rPr>
      </w:pPr>
    </w:p>
    <w:p w:rsidR="002A07F4" w:rsidRPr="002A07F4" w:rsidRDefault="002A07F4" w:rsidP="002A07F4">
      <w:pPr>
        <w:rPr>
          <w:sz w:val="14"/>
          <w:szCs w:val="14"/>
        </w:rPr>
      </w:pPr>
    </w:p>
    <w:p w:rsidR="003454A0" w:rsidRDefault="003454A0" w:rsidP="002A07F4">
      <w:pPr>
        <w:rPr>
          <w:sz w:val="14"/>
          <w:szCs w:val="14"/>
        </w:rPr>
      </w:pPr>
    </w:p>
    <w:p w:rsidR="005B36E8" w:rsidRDefault="005B36E8"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B413B1" w:rsidRDefault="00B413B1"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F72D44" w:rsidRDefault="00F72D44" w:rsidP="002A07F4">
      <w:pPr>
        <w:rPr>
          <w:sz w:val="14"/>
          <w:szCs w:val="14"/>
        </w:rPr>
      </w:pPr>
    </w:p>
    <w:p w:rsidR="005B36E8" w:rsidRDefault="005B36E8" w:rsidP="002A07F4">
      <w:pPr>
        <w:rPr>
          <w:sz w:val="14"/>
          <w:szCs w:val="14"/>
        </w:rPr>
      </w:pPr>
    </w:p>
    <w:p w:rsidR="005B36E8" w:rsidRDefault="005B36E8" w:rsidP="002A07F4">
      <w:pPr>
        <w:rPr>
          <w:sz w:val="14"/>
          <w:szCs w:val="14"/>
        </w:rPr>
      </w:pPr>
    </w:p>
    <w:p w:rsidR="001B5BB2" w:rsidRPr="0032707E" w:rsidRDefault="00400208" w:rsidP="001B5BB2">
      <w:pPr>
        <w:tabs>
          <w:tab w:val="left" w:pos="900"/>
        </w:tabs>
      </w:pPr>
      <w:r>
        <w:t>L</w:t>
      </w:r>
      <w:r w:rsidR="001B5BB2" w:rsidRPr="0032707E">
        <w:t>. Tautvaišienė, tel. (8 5) 219 7036, faks. (8 5) 213 6213, el. p. Laimute.Tautvaisiene@vpt.lt</w:t>
      </w:r>
    </w:p>
    <w:sectPr w:rsidR="001B5BB2" w:rsidRPr="0032707E" w:rsidSect="003F255A">
      <w:headerReference w:type="default" r:id="rId9"/>
      <w:footerReference w:type="first" r:id="rId10"/>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470" w:rsidRDefault="00DE2470" w:rsidP="00B60E72">
      <w:r>
        <w:separator/>
      </w:r>
    </w:p>
  </w:endnote>
  <w:endnote w:type="continuationSeparator" w:id="0">
    <w:p w:rsidR="00DE2470" w:rsidRDefault="00DE247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C1" w:rsidRPr="00EF1EBC" w:rsidRDefault="00C45CC1" w:rsidP="00C45CC1">
    <w:pPr>
      <w:pBdr>
        <w:top w:val="single" w:sz="4" w:space="1" w:color="auto"/>
      </w:pBdr>
      <w:rPr>
        <w:sz w:val="20"/>
      </w:rPr>
    </w:pPr>
    <w:r w:rsidRPr="00EF1EBC">
      <w:rPr>
        <w:sz w:val="20"/>
      </w:rPr>
      <w:t xml:space="preserve">Biudžetinė įstaiga                              </w:t>
    </w:r>
    <w:r w:rsidRPr="00132FD4">
      <w:rPr>
        <w:sz w:val="20"/>
      </w:rPr>
      <w:t xml:space="preserve">        </w:t>
    </w:r>
    <w:r w:rsidR="0027186C">
      <w:rPr>
        <w:sz w:val="20"/>
      </w:rPr>
      <w:t xml:space="preserve">               </w:t>
    </w:r>
    <w:r w:rsidRPr="00EF1EBC">
      <w:rPr>
        <w:sz w:val="20"/>
      </w:rPr>
      <w:t xml:space="preserve"> Tel.  (8 5) 219 7001        </w:t>
    </w:r>
    <w:r w:rsidRPr="00132FD4">
      <w:rPr>
        <w:sz w:val="20"/>
      </w:rPr>
      <w:t xml:space="preserve">    </w:t>
    </w:r>
    <w:r w:rsidR="001B1E35">
      <w:rPr>
        <w:sz w:val="20"/>
      </w:rPr>
      <w:t xml:space="preserve">   </w:t>
    </w:r>
    <w:r w:rsidR="0027186C">
      <w:rPr>
        <w:sz w:val="20"/>
      </w:rPr>
      <w:t xml:space="preserve">       </w:t>
    </w:r>
    <w:r w:rsidRPr="00EF1EBC">
      <w:rPr>
        <w:sz w:val="20"/>
      </w:rPr>
      <w:t>Duomenys kaupiami ir saugomi </w:t>
    </w:r>
  </w:p>
  <w:p w:rsidR="00C45CC1" w:rsidRPr="00EF1EBC" w:rsidRDefault="00C45CC1" w:rsidP="00C45CC1">
    <w:pPr>
      <w:pBdr>
        <w:top w:val="single" w:sz="4" w:space="1" w:color="auto"/>
      </w:pBdr>
      <w:jc w:val="both"/>
      <w:rPr>
        <w:sz w:val="20"/>
      </w:rPr>
    </w:pPr>
    <w:r w:rsidRPr="00EF1EBC">
      <w:rPr>
        <w:sz w:val="20"/>
      </w:rPr>
      <w:t xml:space="preserve">Kareivių g. 1, LT-08221 Vilnius          </w:t>
    </w:r>
    <w:r w:rsidR="00132FD4">
      <w:rPr>
        <w:sz w:val="20"/>
      </w:rPr>
      <w:t xml:space="preserve">                  </w:t>
    </w:r>
    <w:r w:rsidRPr="00132FD4">
      <w:rPr>
        <w:sz w:val="20"/>
      </w:rPr>
      <w:t xml:space="preserve">   </w:t>
    </w:r>
    <w:r w:rsidRPr="00EF1EBC">
      <w:rPr>
        <w:sz w:val="20"/>
      </w:rPr>
      <w:t xml:space="preserve">Faks. (8 5) 213 6213    </w:t>
    </w:r>
    <w:r w:rsidR="00132FD4">
      <w:rPr>
        <w:sz w:val="20"/>
      </w:rPr>
      <w:t xml:space="preserve">    </w:t>
    </w:r>
    <w:r w:rsidR="0027186C">
      <w:rPr>
        <w:sz w:val="20"/>
      </w:rPr>
      <w:t xml:space="preserve">    </w:t>
    </w:r>
    <w:r w:rsidR="001B1E35">
      <w:rPr>
        <w:sz w:val="20"/>
      </w:rPr>
      <w:t xml:space="preserve">     </w:t>
    </w:r>
    <w:r w:rsidR="00132FD4">
      <w:rPr>
        <w:sz w:val="20"/>
      </w:rPr>
      <w:t xml:space="preserve">   </w:t>
    </w:r>
    <w:r w:rsidRPr="00EF1EBC">
      <w:rPr>
        <w:sz w:val="20"/>
      </w:rPr>
      <w:t xml:space="preserve">Juridinių asmenų registre </w:t>
    </w:r>
  </w:p>
  <w:p w:rsidR="00C45CC1" w:rsidRPr="00EF1EBC" w:rsidRDefault="00C45CC1" w:rsidP="00C45CC1">
    <w:pPr>
      <w:pBdr>
        <w:top w:val="single" w:sz="4" w:space="1" w:color="auto"/>
      </w:pBdr>
      <w:jc w:val="both"/>
      <w:rPr>
        <w:sz w:val="20"/>
      </w:rPr>
    </w:pPr>
    <w:r w:rsidRPr="00EF1EBC">
      <w:rPr>
        <w:sz w:val="20"/>
      </w:rPr>
      <w:t xml:space="preserve">http://www.vpt.lt                                 </w:t>
    </w:r>
    <w:r w:rsidRPr="00132FD4">
      <w:rPr>
        <w:sz w:val="20"/>
      </w:rPr>
      <w:t xml:space="preserve">       </w:t>
    </w:r>
    <w:r w:rsidR="0027186C">
      <w:rPr>
        <w:sz w:val="20"/>
      </w:rPr>
      <w:t xml:space="preserve">            </w:t>
    </w:r>
    <w:r w:rsidR="00132FD4">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sidRPr="00132FD4">
      <w:rPr>
        <w:sz w:val="20"/>
      </w:rPr>
      <w:t xml:space="preserve">  </w:t>
    </w:r>
    <w:r w:rsidR="0027186C">
      <w:rPr>
        <w:sz w:val="20"/>
      </w:rPr>
      <w:t xml:space="preserve">       </w:t>
    </w:r>
    <w:r w:rsidRPr="00EF1EBC">
      <w:rPr>
        <w:sz w:val="20"/>
      </w:rPr>
      <w:t xml:space="preserve"> </w:t>
    </w:r>
    <w:r w:rsidR="001B1E35">
      <w:rPr>
        <w:sz w:val="20"/>
      </w:rPr>
      <w:t xml:space="preserve">   </w:t>
    </w:r>
    <w:r w:rsidRPr="00EF1EBC">
      <w:rPr>
        <w:sz w:val="20"/>
      </w:rPr>
      <w:t xml:space="preserve">    Kodas 188656261</w:t>
    </w:r>
  </w:p>
  <w:p w:rsidR="00C45CC1" w:rsidRPr="00132FD4" w:rsidRDefault="00C45CC1" w:rsidP="00C45CC1">
    <w:pPr>
      <w:pStyle w:val="Footer"/>
      <w:rPr>
        <w:sz w:val="20"/>
      </w:rPr>
    </w:pPr>
  </w:p>
  <w:p w:rsidR="00526B7B" w:rsidRDefault="0052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470" w:rsidRDefault="00DE2470" w:rsidP="00B60E72">
      <w:r>
        <w:separator/>
      </w:r>
    </w:p>
  </w:footnote>
  <w:footnote w:type="continuationSeparator" w:id="0">
    <w:p w:rsidR="00DE2470" w:rsidRDefault="00DE2470" w:rsidP="00B60E72">
      <w:r>
        <w:continuationSeparator/>
      </w:r>
    </w:p>
  </w:footnote>
  <w:footnote w:id="1">
    <w:p w:rsidR="00AE6A61" w:rsidRPr="004A0320" w:rsidRDefault="00AE6A61" w:rsidP="00AE6A61">
      <w:pPr>
        <w:pStyle w:val="FootnoteText"/>
        <w:jc w:val="both"/>
      </w:pPr>
      <w:r w:rsidRPr="004A0320">
        <w:rPr>
          <w:rStyle w:val="FootnoteReference"/>
        </w:rPr>
        <w:footnoteRef/>
      </w:r>
      <w:r w:rsidRPr="004A0320">
        <w:t xml:space="preserve"> </w:t>
      </w:r>
      <w:r>
        <w:t>„</w:t>
      </w:r>
      <w:r w:rsidRPr="004A0320">
        <w:t>Perkančioji organizacija užtikrina, kad vykdant pirkimą būtų laikomasi lygiateisiškumo, nediskriminavimo, abipusio pripažinimo, proporcingumo, skaidrumo principų</w:t>
      </w:r>
      <w:r>
        <w:t>“</w:t>
      </w:r>
      <w:r w:rsidRPr="004A0320">
        <w:t>.</w:t>
      </w:r>
    </w:p>
  </w:footnote>
  <w:footnote w:id="2">
    <w:p w:rsidR="00197368" w:rsidRPr="004A0320" w:rsidRDefault="00197368" w:rsidP="00F81E5F">
      <w:pPr>
        <w:pStyle w:val="FootnoteText"/>
        <w:jc w:val="both"/>
        <w:rPr>
          <w:szCs w:val="16"/>
        </w:rPr>
      </w:pPr>
      <w:r w:rsidRPr="004A0320">
        <w:rPr>
          <w:rStyle w:val="FootnoteReference"/>
          <w:szCs w:val="16"/>
        </w:rPr>
        <w:footnoteRef/>
      </w:r>
      <w:r w:rsidRPr="004A0320">
        <w:rPr>
          <w:szCs w:val="16"/>
        </w:rPr>
        <w:t xml:space="preserve"> </w:t>
      </w:r>
      <w:r>
        <w:rPr>
          <w:szCs w:val="16"/>
        </w:rPr>
        <w:t>Pirkimo komisijos 201</w:t>
      </w:r>
      <w:r w:rsidR="00A834D3">
        <w:rPr>
          <w:szCs w:val="16"/>
        </w:rPr>
        <w:t>9</w:t>
      </w:r>
      <w:r>
        <w:rPr>
          <w:szCs w:val="16"/>
        </w:rPr>
        <w:t>-0</w:t>
      </w:r>
      <w:r w:rsidR="00A834D3">
        <w:rPr>
          <w:szCs w:val="16"/>
        </w:rPr>
        <w:t>1</w:t>
      </w:r>
      <w:r>
        <w:rPr>
          <w:szCs w:val="16"/>
        </w:rPr>
        <w:t>-</w:t>
      </w:r>
      <w:r w:rsidR="007948BC">
        <w:rPr>
          <w:szCs w:val="16"/>
        </w:rPr>
        <w:t>29</w:t>
      </w:r>
      <w:r>
        <w:rPr>
          <w:szCs w:val="16"/>
        </w:rPr>
        <w:t xml:space="preserve"> posėdžio protokolas Nr. </w:t>
      </w:r>
      <w:r w:rsidR="00A834D3">
        <w:rPr>
          <w:szCs w:val="16"/>
        </w:rPr>
        <w:t>1</w:t>
      </w:r>
      <w:r w:rsidR="00080759">
        <w:rPr>
          <w:szCs w:val="16"/>
        </w:rPr>
        <w:t>2</w:t>
      </w:r>
      <w:r w:rsidR="00A834D3">
        <w:rPr>
          <w:szCs w:val="16"/>
        </w:rPr>
        <w:t>.</w:t>
      </w:r>
    </w:p>
  </w:footnote>
  <w:footnote w:id="3">
    <w:p w:rsidR="00A834D3" w:rsidRDefault="00A834D3">
      <w:pPr>
        <w:pStyle w:val="FootnoteText"/>
      </w:pPr>
      <w:r>
        <w:rPr>
          <w:rStyle w:val="FootnoteReference"/>
        </w:rPr>
        <w:footnoteRef/>
      </w:r>
      <w:r>
        <w:t xml:space="preserve"> </w:t>
      </w:r>
      <w:r>
        <w:rPr>
          <w:szCs w:val="16"/>
        </w:rPr>
        <w:t>Pirkimo komisijos 2019-0</w:t>
      </w:r>
      <w:r w:rsidR="00322059">
        <w:rPr>
          <w:szCs w:val="16"/>
        </w:rPr>
        <w:t>1</w:t>
      </w:r>
      <w:r>
        <w:rPr>
          <w:szCs w:val="16"/>
        </w:rPr>
        <w:t>-</w:t>
      </w:r>
      <w:r w:rsidR="00322059">
        <w:rPr>
          <w:szCs w:val="16"/>
        </w:rPr>
        <w:t>3</w:t>
      </w:r>
      <w:r w:rsidR="00206CB2">
        <w:rPr>
          <w:szCs w:val="16"/>
        </w:rPr>
        <w:t>0</w:t>
      </w:r>
      <w:r>
        <w:rPr>
          <w:szCs w:val="16"/>
        </w:rPr>
        <w:t xml:space="preserve"> posėdžio protokolas Nr. 1</w:t>
      </w:r>
      <w:r w:rsidR="00206CB2">
        <w:rPr>
          <w:szCs w:val="16"/>
        </w:rPr>
        <w:t>3</w:t>
      </w:r>
      <w:r>
        <w:rPr>
          <w:szCs w:val="16"/>
        </w:rPr>
        <w:t>.</w:t>
      </w:r>
    </w:p>
  </w:footnote>
  <w:footnote w:id="4">
    <w:p w:rsidR="00E53724" w:rsidRDefault="00E53724">
      <w:pPr>
        <w:pStyle w:val="FootnoteText"/>
      </w:pPr>
      <w:r>
        <w:rPr>
          <w:rStyle w:val="FootnoteReference"/>
        </w:rPr>
        <w:footnoteRef/>
      </w:r>
      <w:r>
        <w:t xml:space="preserve"> Perkančiosios organizacijos 2019-01-30 raštas Nr. VP-</w:t>
      </w:r>
      <w:r w:rsidR="00C45881">
        <w:t>(4.45)-37.</w:t>
      </w:r>
    </w:p>
  </w:footnote>
  <w:footnote w:id="5">
    <w:p w:rsidR="00C45881" w:rsidRDefault="00C45881">
      <w:pPr>
        <w:pStyle w:val="FootnoteText"/>
      </w:pPr>
      <w:r>
        <w:rPr>
          <w:rStyle w:val="FootnoteReference"/>
        </w:rPr>
        <w:footnoteRef/>
      </w:r>
      <w:r>
        <w:t xml:space="preserve"> Perkančiosios organizacijos 2019-01-30 raštas Nr. VP-(4.45)-37.</w:t>
      </w:r>
    </w:p>
  </w:footnote>
  <w:footnote w:id="6">
    <w:p w:rsidR="00DC4184" w:rsidRDefault="00DC4184">
      <w:pPr>
        <w:pStyle w:val="FootnoteText"/>
      </w:pPr>
      <w:r>
        <w:rPr>
          <w:rStyle w:val="FootnoteReference"/>
        </w:rPr>
        <w:footnoteRef/>
      </w:r>
      <w:r>
        <w:t xml:space="preserve"> </w:t>
      </w:r>
      <w:r>
        <w:rPr>
          <w:szCs w:val="16"/>
        </w:rPr>
        <w:t>Pirkimo komisijos 2019-01-30 posėdžio protokolas Nr. 13.</w:t>
      </w:r>
    </w:p>
  </w:footnote>
  <w:footnote w:id="7">
    <w:p w:rsidR="00DB7A86" w:rsidRPr="00420CFF" w:rsidRDefault="00DB7A86" w:rsidP="00DB7A86">
      <w:pPr>
        <w:pStyle w:val="FootnoteText"/>
      </w:pPr>
      <w:r w:rsidRPr="00420CFF">
        <w:rPr>
          <w:rStyle w:val="FootnoteReference"/>
        </w:rPr>
        <w:footnoteRef/>
      </w:r>
      <w:r w:rsidRPr="00420CFF">
        <w:t xml:space="preserve"> Lietuvos Aukščiausiojo Teismo 2013-10-18 nutartis byloje  3K-3-495/2013</w:t>
      </w:r>
      <w:r>
        <w:t>;</w:t>
      </w:r>
    </w:p>
  </w:footnote>
  <w:footnote w:id="8">
    <w:p w:rsidR="00DB7A86" w:rsidRPr="00420CFF" w:rsidRDefault="00DB7A86" w:rsidP="00DB7A86">
      <w:pPr>
        <w:pStyle w:val="FootnoteText"/>
      </w:pPr>
      <w:r w:rsidRPr="00420CFF">
        <w:rPr>
          <w:rStyle w:val="FootnoteReference"/>
        </w:rPr>
        <w:footnoteRef/>
      </w:r>
      <w:r w:rsidRPr="00420CFF">
        <w:t xml:space="preserve"> Lietuvos Aukščiausiojo Teismo 2018-01-04 nutart</w:t>
      </w:r>
      <w:r>
        <w:t>is byloje Nr. e3K-3-16-378/2018.</w:t>
      </w:r>
    </w:p>
  </w:footnote>
  <w:footnote w:id="9">
    <w:p w:rsidR="00DB7A86" w:rsidRDefault="00DB7A86">
      <w:pPr>
        <w:pStyle w:val="FootnoteText"/>
      </w:pPr>
      <w:r>
        <w:rPr>
          <w:rStyle w:val="FootnoteReference"/>
        </w:rPr>
        <w:footnoteRef/>
      </w:r>
      <w:r>
        <w:t xml:space="preserve"> </w:t>
      </w:r>
      <w:r w:rsidRPr="002043B8">
        <w:t xml:space="preserve">LAT Civilinių bylų skyriaus teisėjų kolegijos 2011 m. kovo 21 d. nutartis civilinėje byloje Nr. </w:t>
      </w:r>
      <w:hyperlink r:id="rId1" w:history="1">
        <w:r w:rsidRPr="002043B8">
          <w:rPr>
            <w:rStyle w:val="Hyperlink"/>
          </w:rPr>
          <w:t>3K-3-119/2011</w:t>
        </w:r>
      </w:hyperlink>
      <w:r w:rsidR="00973003">
        <w:rPr>
          <w:rStyle w:val="Hyperlink"/>
        </w:rPr>
        <w:t>.</w:t>
      </w:r>
    </w:p>
  </w:footnote>
  <w:footnote w:id="10">
    <w:p w:rsidR="000A309E" w:rsidRPr="004A0320" w:rsidRDefault="000A309E" w:rsidP="000A309E">
      <w:pPr>
        <w:pStyle w:val="FootnoteText"/>
        <w:jc w:val="both"/>
      </w:pPr>
      <w:r w:rsidRPr="004A0320">
        <w:rPr>
          <w:rStyle w:val="FootnoteReference"/>
        </w:rPr>
        <w:footnoteRef/>
      </w:r>
      <w:r w:rsidRPr="004A0320">
        <w:t xml:space="preserve"> </w:t>
      </w:r>
      <w:r w:rsidR="00852DA1">
        <w:t>„</w:t>
      </w:r>
      <w:r w:rsidR="00852DA1" w:rsidRPr="004A0320">
        <w:t>Perkančioji organizacija užtikrina, kad vykdant pirkimą būtų laikomasi lygiateisiškumo, nediskriminavimo, abipusio pripažinimo, proporcingumo, skaidrumo principų</w:t>
      </w:r>
      <w:r w:rsidR="00852DA1">
        <w:t>“</w:t>
      </w:r>
      <w:r w:rsidR="00852DA1" w:rsidRPr="004A0320">
        <w:t>.</w:t>
      </w:r>
    </w:p>
  </w:footnote>
  <w:footnote w:id="11">
    <w:p w:rsidR="00D654A6" w:rsidRDefault="00D654A6" w:rsidP="00D654A6">
      <w:pPr>
        <w:pStyle w:val="FootnoteText"/>
        <w:jc w:val="both"/>
      </w:pPr>
      <w:r>
        <w:rPr>
          <w:rStyle w:val="FootnoteReference"/>
        </w:rPr>
        <w:footnoteRef/>
      </w:r>
      <w:r>
        <w:t xml:space="preserve"> „</w:t>
      </w:r>
      <w:r w:rsidR="00E9087B">
        <w:t>Perkančioji organizacija laimėjusio dalyvio pasiūlymą, sudarytą pirkimo sutartį &lt;...&gt;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r>
        <w:t>“</w:t>
      </w:r>
      <w:r w:rsidR="00852DA1">
        <w:t>.</w:t>
      </w:r>
    </w:p>
  </w:footnote>
  <w:footnote w:id="12">
    <w:p w:rsidR="00FA0A57" w:rsidRDefault="00FA0A57">
      <w:pPr>
        <w:pStyle w:val="FootnoteText"/>
      </w:pPr>
      <w:r>
        <w:rPr>
          <w:rStyle w:val="FootnoteReference"/>
        </w:rPr>
        <w:footnoteRef/>
      </w:r>
      <w:r>
        <w:t xml:space="preserve"> Dėl Pirkimo 19 dalies pasiūlymo konfidencialumo sprendė pati Perkančioji organizacija, </w:t>
      </w:r>
      <w:r>
        <w:rPr>
          <w:szCs w:val="16"/>
        </w:rPr>
        <w:t>Pirkimo komisijos 2019-01-30 posėdžio protokolas Nr. 13.</w:t>
      </w:r>
    </w:p>
  </w:footnote>
  <w:footnote w:id="13">
    <w:p w:rsidR="00DC34CD" w:rsidRPr="00DC34CD" w:rsidRDefault="00DC34CD" w:rsidP="00C745F5">
      <w:pPr>
        <w:jc w:val="both"/>
        <w:rPr>
          <w:sz w:val="20"/>
        </w:rPr>
      </w:pPr>
      <w:r>
        <w:rPr>
          <w:rStyle w:val="FootnoteReference"/>
        </w:rPr>
        <w:footnoteRef/>
      </w:r>
      <w:r>
        <w:t xml:space="preserve"> </w:t>
      </w:r>
      <w:r w:rsidRPr="00DC34CD">
        <w:rPr>
          <w:sz w:val="20"/>
        </w:rPr>
        <w:t>„</w:t>
      </w:r>
      <w:r w:rsidR="00FA0A57">
        <w:rPr>
          <w:sz w:val="20"/>
        </w:rPr>
        <w:t>J</w:t>
      </w:r>
      <w:r w:rsidRPr="00DC34CD">
        <w:rPr>
          <w:sz w:val="20"/>
        </w:rPr>
        <w:t xml:space="preserve">eigu perkančiajai organizacijai kyla abejonių dėl tiekėjo pasiūlyme nurodytos informacijos konfidencialumo, ji privalo prašyti tiekėjo įrodyti, kodėl nurodyta informacija yra konfidenciali. Jeigu tiekėjas &lt;...&gt; nepateikia tokių įrodymų arba pateikia netinkamus įrodymus, laikoma, kad tokia informacija yra nekonfidenciali“. </w:t>
      </w:r>
    </w:p>
    <w:p w:rsidR="00DC34CD" w:rsidRDefault="00DC34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493383"/>
      <w:docPartObj>
        <w:docPartGallery w:val="Page Numbers (Top of Page)"/>
        <w:docPartUnique/>
      </w:docPartObj>
    </w:sdtPr>
    <w:sdtEndPr/>
    <w:sdtContent>
      <w:p w:rsidR="000A77EF" w:rsidRDefault="000A77EF">
        <w:pPr>
          <w:pStyle w:val="Header"/>
          <w:jc w:val="center"/>
        </w:pPr>
        <w:r>
          <w:fldChar w:fldCharType="begin"/>
        </w:r>
        <w:r>
          <w:instrText>PAGE   \* MERGEFORMAT</w:instrText>
        </w:r>
        <w:r>
          <w:fldChar w:fldCharType="separate"/>
        </w:r>
        <w:r>
          <w:t>2</w:t>
        </w:r>
        <w:r>
          <w:fldChar w:fldCharType="end"/>
        </w:r>
      </w:p>
    </w:sdtContent>
  </w:sdt>
  <w:p w:rsidR="0027186C" w:rsidRDefault="0027186C" w:rsidP="008A58F2">
    <w:pPr>
      <w:pStyle w:val="Header"/>
      <w:pageBreakBefor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FCD"/>
    <w:multiLevelType w:val="hybridMultilevel"/>
    <w:tmpl w:val="A2CAC334"/>
    <w:lvl w:ilvl="0" w:tplc="CBFAAFCC">
      <w:start w:val="1"/>
      <w:numFmt w:val="decimal"/>
      <w:lvlText w:val="%1."/>
      <w:lvlJc w:val="left"/>
      <w:pPr>
        <w:ind w:left="502" w:hanging="360"/>
      </w:pPr>
      <w:rPr>
        <w:rFonts w:hint="default"/>
      </w:rPr>
    </w:lvl>
    <w:lvl w:ilvl="1" w:tplc="04270019" w:tentative="1">
      <w:start w:val="1"/>
      <w:numFmt w:val="lowerLetter"/>
      <w:lvlText w:val="%2."/>
      <w:lvlJc w:val="left"/>
      <w:pPr>
        <w:ind w:left="2358" w:hanging="360"/>
      </w:pPr>
    </w:lvl>
    <w:lvl w:ilvl="2" w:tplc="0427001B" w:tentative="1">
      <w:start w:val="1"/>
      <w:numFmt w:val="lowerRoman"/>
      <w:lvlText w:val="%3."/>
      <w:lvlJc w:val="right"/>
      <w:pPr>
        <w:ind w:left="3078" w:hanging="180"/>
      </w:pPr>
    </w:lvl>
    <w:lvl w:ilvl="3" w:tplc="0427000F" w:tentative="1">
      <w:start w:val="1"/>
      <w:numFmt w:val="decimal"/>
      <w:lvlText w:val="%4."/>
      <w:lvlJc w:val="left"/>
      <w:pPr>
        <w:ind w:left="3798" w:hanging="360"/>
      </w:pPr>
    </w:lvl>
    <w:lvl w:ilvl="4" w:tplc="04270019" w:tentative="1">
      <w:start w:val="1"/>
      <w:numFmt w:val="lowerLetter"/>
      <w:lvlText w:val="%5."/>
      <w:lvlJc w:val="left"/>
      <w:pPr>
        <w:ind w:left="4518" w:hanging="360"/>
      </w:pPr>
    </w:lvl>
    <w:lvl w:ilvl="5" w:tplc="0427001B" w:tentative="1">
      <w:start w:val="1"/>
      <w:numFmt w:val="lowerRoman"/>
      <w:lvlText w:val="%6."/>
      <w:lvlJc w:val="right"/>
      <w:pPr>
        <w:ind w:left="5238" w:hanging="180"/>
      </w:pPr>
    </w:lvl>
    <w:lvl w:ilvl="6" w:tplc="0427000F" w:tentative="1">
      <w:start w:val="1"/>
      <w:numFmt w:val="decimal"/>
      <w:lvlText w:val="%7."/>
      <w:lvlJc w:val="left"/>
      <w:pPr>
        <w:ind w:left="5958" w:hanging="360"/>
      </w:pPr>
    </w:lvl>
    <w:lvl w:ilvl="7" w:tplc="04270019" w:tentative="1">
      <w:start w:val="1"/>
      <w:numFmt w:val="lowerLetter"/>
      <w:lvlText w:val="%8."/>
      <w:lvlJc w:val="left"/>
      <w:pPr>
        <w:ind w:left="6678" w:hanging="360"/>
      </w:pPr>
    </w:lvl>
    <w:lvl w:ilvl="8" w:tplc="0427001B" w:tentative="1">
      <w:start w:val="1"/>
      <w:numFmt w:val="lowerRoman"/>
      <w:lvlText w:val="%9."/>
      <w:lvlJc w:val="right"/>
      <w:pPr>
        <w:ind w:left="739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690110"/>
    <w:multiLevelType w:val="hybridMultilevel"/>
    <w:tmpl w:val="F2CE7616"/>
    <w:lvl w:ilvl="0" w:tplc="3FC009BC">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3"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900659"/>
    <w:multiLevelType w:val="hybridMultilevel"/>
    <w:tmpl w:val="EFD4618A"/>
    <w:lvl w:ilvl="0" w:tplc="F54E3524">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2C5B"/>
    <w:rsid w:val="00024CAC"/>
    <w:rsid w:val="000250C3"/>
    <w:rsid w:val="00043242"/>
    <w:rsid w:val="00056EEC"/>
    <w:rsid w:val="0006596D"/>
    <w:rsid w:val="000738AE"/>
    <w:rsid w:val="00080759"/>
    <w:rsid w:val="00087B20"/>
    <w:rsid w:val="000A309E"/>
    <w:rsid w:val="000A77EF"/>
    <w:rsid w:val="000B23BE"/>
    <w:rsid w:val="000C387E"/>
    <w:rsid w:val="000C7196"/>
    <w:rsid w:val="000D5ABA"/>
    <w:rsid w:val="000D6E31"/>
    <w:rsid w:val="000E4048"/>
    <w:rsid w:val="000E4574"/>
    <w:rsid w:val="000E634C"/>
    <w:rsid w:val="000F1A98"/>
    <w:rsid w:val="000F37F3"/>
    <w:rsid w:val="000F3886"/>
    <w:rsid w:val="000F5336"/>
    <w:rsid w:val="001000FF"/>
    <w:rsid w:val="00105196"/>
    <w:rsid w:val="00106473"/>
    <w:rsid w:val="0011077A"/>
    <w:rsid w:val="001119E6"/>
    <w:rsid w:val="0011395D"/>
    <w:rsid w:val="00114DFB"/>
    <w:rsid w:val="0012061A"/>
    <w:rsid w:val="00123178"/>
    <w:rsid w:val="0012700D"/>
    <w:rsid w:val="00132FD4"/>
    <w:rsid w:val="00134418"/>
    <w:rsid w:val="00134745"/>
    <w:rsid w:val="001373AB"/>
    <w:rsid w:val="00137405"/>
    <w:rsid w:val="00140032"/>
    <w:rsid w:val="001460AB"/>
    <w:rsid w:val="001479BB"/>
    <w:rsid w:val="00153E4A"/>
    <w:rsid w:val="00163908"/>
    <w:rsid w:val="00182969"/>
    <w:rsid w:val="00191F37"/>
    <w:rsid w:val="00194CA9"/>
    <w:rsid w:val="00197368"/>
    <w:rsid w:val="001A204A"/>
    <w:rsid w:val="001A2215"/>
    <w:rsid w:val="001B1E35"/>
    <w:rsid w:val="001B3EB7"/>
    <w:rsid w:val="001B4077"/>
    <w:rsid w:val="001B5BB2"/>
    <w:rsid w:val="001D5966"/>
    <w:rsid w:val="001D5A2A"/>
    <w:rsid w:val="001D617F"/>
    <w:rsid w:val="001F4BB4"/>
    <w:rsid w:val="00200CF5"/>
    <w:rsid w:val="00206CB2"/>
    <w:rsid w:val="0022436C"/>
    <w:rsid w:val="0022780E"/>
    <w:rsid w:val="00234843"/>
    <w:rsid w:val="00237F62"/>
    <w:rsid w:val="00250424"/>
    <w:rsid w:val="0025094E"/>
    <w:rsid w:val="00253945"/>
    <w:rsid w:val="0025635F"/>
    <w:rsid w:val="0027186C"/>
    <w:rsid w:val="0027770B"/>
    <w:rsid w:val="00280AB0"/>
    <w:rsid w:val="00283CA1"/>
    <w:rsid w:val="002866A6"/>
    <w:rsid w:val="00286EEC"/>
    <w:rsid w:val="002876AF"/>
    <w:rsid w:val="00294F97"/>
    <w:rsid w:val="002973CF"/>
    <w:rsid w:val="002A07F4"/>
    <w:rsid w:val="002A18A5"/>
    <w:rsid w:val="002A6D67"/>
    <w:rsid w:val="002D136D"/>
    <w:rsid w:val="002F32BA"/>
    <w:rsid w:val="003130FC"/>
    <w:rsid w:val="003145AE"/>
    <w:rsid w:val="00322059"/>
    <w:rsid w:val="00325CFB"/>
    <w:rsid w:val="003328C2"/>
    <w:rsid w:val="00336743"/>
    <w:rsid w:val="003454A0"/>
    <w:rsid w:val="003618DD"/>
    <w:rsid w:val="00374F55"/>
    <w:rsid w:val="00382F94"/>
    <w:rsid w:val="00387196"/>
    <w:rsid w:val="00391AE6"/>
    <w:rsid w:val="00397F1E"/>
    <w:rsid w:val="003C16FF"/>
    <w:rsid w:val="003C3987"/>
    <w:rsid w:val="003C3EA7"/>
    <w:rsid w:val="003D1AEF"/>
    <w:rsid w:val="003D225E"/>
    <w:rsid w:val="003D5064"/>
    <w:rsid w:val="003D6FBC"/>
    <w:rsid w:val="003E284B"/>
    <w:rsid w:val="003E67BA"/>
    <w:rsid w:val="003F2389"/>
    <w:rsid w:val="003F255A"/>
    <w:rsid w:val="003F2DD6"/>
    <w:rsid w:val="003F3484"/>
    <w:rsid w:val="00400208"/>
    <w:rsid w:val="00416AE4"/>
    <w:rsid w:val="0042456D"/>
    <w:rsid w:val="00426547"/>
    <w:rsid w:val="0043508D"/>
    <w:rsid w:val="00463E1D"/>
    <w:rsid w:val="00467C3C"/>
    <w:rsid w:val="00473F2C"/>
    <w:rsid w:val="00485137"/>
    <w:rsid w:val="004918E3"/>
    <w:rsid w:val="00491A87"/>
    <w:rsid w:val="004A17FC"/>
    <w:rsid w:val="004A6047"/>
    <w:rsid w:val="004C2177"/>
    <w:rsid w:val="004C541A"/>
    <w:rsid w:val="004D0DEB"/>
    <w:rsid w:val="004D0EEB"/>
    <w:rsid w:val="004D25C2"/>
    <w:rsid w:val="004D3707"/>
    <w:rsid w:val="004F0322"/>
    <w:rsid w:val="004F2600"/>
    <w:rsid w:val="0050210C"/>
    <w:rsid w:val="005164BF"/>
    <w:rsid w:val="00526B7B"/>
    <w:rsid w:val="00527B80"/>
    <w:rsid w:val="00534618"/>
    <w:rsid w:val="0054272F"/>
    <w:rsid w:val="0056562C"/>
    <w:rsid w:val="00570717"/>
    <w:rsid w:val="00581126"/>
    <w:rsid w:val="00590709"/>
    <w:rsid w:val="00590913"/>
    <w:rsid w:val="005924ED"/>
    <w:rsid w:val="00594A0A"/>
    <w:rsid w:val="00597800"/>
    <w:rsid w:val="005B36E8"/>
    <w:rsid w:val="005C28B1"/>
    <w:rsid w:val="005F3399"/>
    <w:rsid w:val="00602696"/>
    <w:rsid w:val="00613D89"/>
    <w:rsid w:val="00621383"/>
    <w:rsid w:val="00622738"/>
    <w:rsid w:val="00627674"/>
    <w:rsid w:val="00630ECD"/>
    <w:rsid w:val="00632F19"/>
    <w:rsid w:val="00636BB3"/>
    <w:rsid w:val="0064672C"/>
    <w:rsid w:val="0065374B"/>
    <w:rsid w:val="00657135"/>
    <w:rsid w:val="00664E3F"/>
    <w:rsid w:val="00674230"/>
    <w:rsid w:val="006856FD"/>
    <w:rsid w:val="006865E7"/>
    <w:rsid w:val="00696B45"/>
    <w:rsid w:val="006B12AF"/>
    <w:rsid w:val="006B787A"/>
    <w:rsid w:val="006C100A"/>
    <w:rsid w:val="006C1BB5"/>
    <w:rsid w:val="006C5A5A"/>
    <w:rsid w:val="006D72FB"/>
    <w:rsid w:val="006E3795"/>
    <w:rsid w:val="006E5353"/>
    <w:rsid w:val="006F2693"/>
    <w:rsid w:val="006F5818"/>
    <w:rsid w:val="007010E2"/>
    <w:rsid w:val="00706447"/>
    <w:rsid w:val="00707387"/>
    <w:rsid w:val="007113BE"/>
    <w:rsid w:val="0071153A"/>
    <w:rsid w:val="00712D7F"/>
    <w:rsid w:val="007168C0"/>
    <w:rsid w:val="00732159"/>
    <w:rsid w:val="007345DB"/>
    <w:rsid w:val="0073636D"/>
    <w:rsid w:val="00737E28"/>
    <w:rsid w:val="00742757"/>
    <w:rsid w:val="0074767A"/>
    <w:rsid w:val="00754AB6"/>
    <w:rsid w:val="0075723B"/>
    <w:rsid w:val="007832E1"/>
    <w:rsid w:val="00787846"/>
    <w:rsid w:val="00791449"/>
    <w:rsid w:val="00794763"/>
    <w:rsid w:val="007948BC"/>
    <w:rsid w:val="007B2E49"/>
    <w:rsid w:val="007C17E1"/>
    <w:rsid w:val="007D18C8"/>
    <w:rsid w:val="007D2532"/>
    <w:rsid w:val="007D2820"/>
    <w:rsid w:val="007D2C7E"/>
    <w:rsid w:val="007D3079"/>
    <w:rsid w:val="007D33E9"/>
    <w:rsid w:val="007E5772"/>
    <w:rsid w:val="007F2011"/>
    <w:rsid w:val="007F3ED0"/>
    <w:rsid w:val="007F3FE5"/>
    <w:rsid w:val="008006B5"/>
    <w:rsid w:val="00803BC4"/>
    <w:rsid w:val="00813C36"/>
    <w:rsid w:val="00815868"/>
    <w:rsid w:val="00845FFF"/>
    <w:rsid w:val="008461B1"/>
    <w:rsid w:val="00852DA1"/>
    <w:rsid w:val="008553FB"/>
    <w:rsid w:val="008627F9"/>
    <w:rsid w:val="00864B5B"/>
    <w:rsid w:val="00866D0D"/>
    <w:rsid w:val="008743F2"/>
    <w:rsid w:val="00880887"/>
    <w:rsid w:val="00884729"/>
    <w:rsid w:val="00887B9D"/>
    <w:rsid w:val="0089174E"/>
    <w:rsid w:val="008A58F2"/>
    <w:rsid w:val="008B5850"/>
    <w:rsid w:val="008B62CB"/>
    <w:rsid w:val="008C1445"/>
    <w:rsid w:val="008C29CB"/>
    <w:rsid w:val="008C65E5"/>
    <w:rsid w:val="008D15E0"/>
    <w:rsid w:val="009015E0"/>
    <w:rsid w:val="009039FB"/>
    <w:rsid w:val="009350BE"/>
    <w:rsid w:val="00935E7B"/>
    <w:rsid w:val="0093750F"/>
    <w:rsid w:val="0095063C"/>
    <w:rsid w:val="00955776"/>
    <w:rsid w:val="009658AD"/>
    <w:rsid w:val="00965F5D"/>
    <w:rsid w:val="00973003"/>
    <w:rsid w:val="00985B7B"/>
    <w:rsid w:val="009A6CBB"/>
    <w:rsid w:val="009B0A6E"/>
    <w:rsid w:val="009C01F2"/>
    <w:rsid w:val="009C7CD8"/>
    <w:rsid w:val="009D5ED6"/>
    <w:rsid w:val="009E3DA1"/>
    <w:rsid w:val="009E48A6"/>
    <w:rsid w:val="009F7B12"/>
    <w:rsid w:val="00A011AB"/>
    <w:rsid w:val="00A05869"/>
    <w:rsid w:val="00A06C00"/>
    <w:rsid w:val="00A1756F"/>
    <w:rsid w:val="00A24A91"/>
    <w:rsid w:val="00A24B02"/>
    <w:rsid w:val="00A324F3"/>
    <w:rsid w:val="00A40B74"/>
    <w:rsid w:val="00A44042"/>
    <w:rsid w:val="00A45978"/>
    <w:rsid w:val="00A46A96"/>
    <w:rsid w:val="00A668D4"/>
    <w:rsid w:val="00A67280"/>
    <w:rsid w:val="00A834D3"/>
    <w:rsid w:val="00A84545"/>
    <w:rsid w:val="00AB7E38"/>
    <w:rsid w:val="00AD365C"/>
    <w:rsid w:val="00AE1737"/>
    <w:rsid w:val="00AE6A61"/>
    <w:rsid w:val="00AF3AAF"/>
    <w:rsid w:val="00AF6D4D"/>
    <w:rsid w:val="00B22761"/>
    <w:rsid w:val="00B24E38"/>
    <w:rsid w:val="00B2583D"/>
    <w:rsid w:val="00B26398"/>
    <w:rsid w:val="00B3271A"/>
    <w:rsid w:val="00B36378"/>
    <w:rsid w:val="00B367C0"/>
    <w:rsid w:val="00B413B1"/>
    <w:rsid w:val="00B469C7"/>
    <w:rsid w:val="00B60E72"/>
    <w:rsid w:val="00B6609C"/>
    <w:rsid w:val="00B66FE2"/>
    <w:rsid w:val="00B722E2"/>
    <w:rsid w:val="00B75533"/>
    <w:rsid w:val="00B75711"/>
    <w:rsid w:val="00B837AF"/>
    <w:rsid w:val="00B870EA"/>
    <w:rsid w:val="00B903C8"/>
    <w:rsid w:val="00B957FE"/>
    <w:rsid w:val="00BB6287"/>
    <w:rsid w:val="00BB75D7"/>
    <w:rsid w:val="00BC1D8A"/>
    <w:rsid w:val="00BC33B7"/>
    <w:rsid w:val="00BC5CE7"/>
    <w:rsid w:val="00BC7168"/>
    <w:rsid w:val="00BD5EE2"/>
    <w:rsid w:val="00BD6F07"/>
    <w:rsid w:val="00BE4A81"/>
    <w:rsid w:val="00C07DDB"/>
    <w:rsid w:val="00C127B4"/>
    <w:rsid w:val="00C12BF8"/>
    <w:rsid w:val="00C24514"/>
    <w:rsid w:val="00C27610"/>
    <w:rsid w:val="00C32280"/>
    <w:rsid w:val="00C36166"/>
    <w:rsid w:val="00C45881"/>
    <w:rsid w:val="00C45CC1"/>
    <w:rsid w:val="00C516C8"/>
    <w:rsid w:val="00C534AC"/>
    <w:rsid w:val="00C536E7"/>
    <w:rsid w:val="00C557F7"/>
    <w:rsid w:val="00C56C20"/>
    <w:rsid w:val="00C61208"/>
    <w:rsid w:val="00C614D3"/>
    <w:rsid w:val="00C6290D"/>
    <w:rsid w:val="00C73B84"/>
    <w:rsid w:val="00C7400D"/>
    <w:rsid w:val="00C745F5"/>
    <w:rsid w:val="00C86409"/>
    <w:rsid w:val="00C900E4"/>
    <w:rsid w:val="00C907D3"/>
    <w:rsid w:val="00C94DB3"/>
    <w:rsid w:val="00CC0286"/>
    <w:rsid w:val="00CD0A97"/>
    <w:rsid w:val="00CE0E50"/>
    <w:rsid w:val="00CE243D"/>
    <w:rsid w:val="00CE7BA1"/>
    <w:rsid w:val="00CF529C"/>
    <w:rsid w:val="00D060BB"/>
    <w:rsid w:val="00D130A8"/>
    <w:rsid w:val="00D172A3"/>
    <w:rsid w:val="00D24F1F"/>
    <w:rsid w:val="00D34470"/>
    <w:rsid w:val="00D34E8C"/>
    <w:rsid w:val="00D37305"/>
    <w:rsid w:val="00D57311"/>
    <w:rsid w:val="00D5761C"/>
    <w:rsid w:val="00D57768"/>
    <w:rsid w:val="00D654A6"/>
    <w:rsid w:val="00D67797"/>
    <w:rsid w:val="00D84F53"/>
    <w:rsid w:val="00D86578"/>
    <w:rsid w:val="00DA2E17"/>
    <w:rsid w:val="00DB7A86"/>
    <w:rsid w:val="00DC34CD"/>
    <w:rsid w:val="00DC4184"/>
    <w:rsid w:val="00DC7A36"/>
    <w:rsid w:val="00DD272F"/>
    <w:rsid w:val="00DE2470"/>
    <w:rsid w:val="00DF0FD8"/>
    <w:rsid w:val="00E20C9D"/>
    <w:rsid w:val="00E2649D"/>
    <w:rsid w:val="00E30508"/>
    <w:rsid w:val="00E33440"/>
    <w:rsid w:val="00E33742"/>
    <w:rsid w:val="00E33D01"/>
    <w:rsid w:val="00E441E6"/>
    <w:rsid w:val="00E45A6D"/>
    <w:rsid w:val="00E53724"/>
    <w:rsid w:val="00E537EF"/>
    <w:rsid w:val="00E6014D"/>
    <w:rsid w:val="00E740D2"/>
    <w:rsid w:val="00E77CCD"/>
    <w:rsid w:val="00E9087B"/>
    <w:rsid w:val="00E94FD2"/>
    <w:rsid w:val="00EA1A92"/>
    <w:rsid w:val="00EA1DFE"/>
    <w:rsid w:val="00EA3058"/>
    <w:rsid w:val="00EA515B"/>
    <w:rsid w:val="00EB023F"/>
    <w:rsid w:val="00EC048B"/>
    <w:rsid w:val="00EE3111"/>
    <w:rsid w:val="00EE6033"/>
    <w:rsid w:val="00EF1EBC"/>
    <w:rsid w:val="00F00654"/>
    <w:rsid w:val="00F04306"/>
    <w:rsid w:val="00F058E5"/>
    <w:rsid w:val="00F1207C"/>
    <w:rsid w:val="00F204B4"/>
    <w:rsid w:val="00F241AA"/>
    <w:rsid w:val="00F4290A"/>
    <w:rsid w:val="00F5022C"/>
    <w:rsid w:val="00F53DBE"/>
    <w:rsid w:val="00F57301"/>
    <w:rsid w:val="00F72D44"/>
    <w:rsid w:val="00F7507E"/>
    <w:rsid w:val="00F762A6"/>
    <w:rsid w:val="00F80BB6"/>
    <w:rsid w:val="00F81E5F"/>
    <w:rsid w:val="00F94F18"/>
    <w:rsid w:val="00FA0A57"/>
    <w:rsid w:val="00FB37B4"/>
    <w:rsid w:val="00FB3CA6"/>
    <w:rsid w:val="00FC1D95"/>
    <w:rsid w:val="00FC6790"/>
    <w:rsid w:val="00FD7860"/>
    <w:rsid w:val="00FD7DBE"/>
    <w:rsid w:val="00FE7049"/>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2B9D4"/>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0E72"/>
    <w:rPr>
      <w:sz w:val="20"/>
    </w:rPr>
  </w:style>
  <w:style w:type="character" w:customStyle="1" w:styleId="FootnoteTextChar">
    <w:name w:val="Footnote Text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4532">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teismai.lt/byla/26793844672157/3K-3-119/201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997E-4CE3-488F-B687-E516E9D1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14841</Words>
  <Characters>8460</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Laimutė Tautvaišienė</cp:lastModifiedBy>
  <cp:revision>44</cp:revision>
  <cp:lastPrinted>2019-03-13T11:52:00Z</cp:lastPrinted>
  <dcterms:created xsi:type="dcterms:W3CDTF">2019-03-06T09:01:00Z</dcterms:created>
  <dcterms:modified xsi:type="dcterms:W3CDTF">2019-03-13T12:39:00Z</dcterms:modified>
</cp:coreProperties>
</file>