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Default="00FC5CFE" w:rsidP="00823BD8">
      <w:pPr>
        <w:suppressAutoHyphens/>
        <w:textAlignment w:val="center"/>
        <w:rPr>
          <w:rFonts w:eastAsia="Calibri"/>
          <w:b/>
          <w:szCs w:val="24"/>
          <w:lang w:eastAsia="lt-LT"/>
        </w:rPr>
      </w:pPr>
    </w:p>
    <w:p w14:paraId="1E63F4F4" w14:textId="77777777" w:rsidR="0083730F" w:rsidRPr="00007472" w:rsidRDefault="0083730F" w:rsidP="0083730F">
      <w:pPr>
        <w:spacing w:line="254" w:lineRule="auto"/>
        <w:ind w:right="49"/>
        <w:jc w:val="center"/>
        <w:rPr>
          <w:b/>
          <w:szCs w:val="24"/>
        </w:rPr>
      </w:pPr>
      <w:r w:rsidRPr="00007472">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007472" w:rsidRDefault="0083730F" w:rsidP="0083730F">
      <w:pPr>
        <w:spacing w:line="254" w:lineRule="auto"/>
        <w:ind w:right="49"/>
        <w:jc w:val="center"/>
        <w:rPr>
          <w:b/>
          <w:sz w:val="16"/>
          <w:szCs w:val="16"/>
        </w:rPr>
      </w:pPr>
    </w:p>
    <w:p w14:paraId="01FDBDEF" w14:textId="77777777" w:rsidR="0083730F" w:rsidRPr="00007472" w:rsidRDefault="0083730F" w:rsidP="0083730F">
      <w:pPr>
        <w:tabs>
          <w:tab w:val="left" w:pos="709"/>
        </w:tabs>
        <w:spacing w:line="259" w:lineRule="auto"/>
        <w:ind w:right="3" w:firstLine="426"/>
        <w:jc w:val="center"/>
        <w:rPr>
          <w:b/>
          <w:szCs w:val="24"/>
        </w:rPr>
      </w:pPr>
      <w:r w:rsidRPr="00007472">
        <w:rPr>
          <w:b/>
          <w:szCs w:val="24"/>
        </w:rPr>
        <w:t>VIEŠŲJŲ PIRKIMŲ TARNYBA</w:t>
      </w:r>
    </w:p>
    <w:p w14:paraId="7E6C27E7" w14:textId="77777777" w:rsidR="0083730F" w:rsidRPr="00007472"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007472" w14:paraId="071B5230" w14:textId="77777777" w:rsidTr="0083730F">
        <w:trPr>
          <w:cantSplit/>
          <w:trHeight w:val="3407"/>
        </w:trPr>
        <w:tc>
          <w:tcPr>
            <w:tcW w:w="5387" w:type="dxa"/>
          </w:tcPr>
          <w:p w14:paraId="0CBF974A" w14:textId="77777777" w:rsidR="005D00D9" w:rsidRPr="004C0E9B" w:rsidRDefault="005D00D9" w:rsidP="005D00D9">
            <w:pPr>
              <w:keepNext/>
              <w:widowControl w:val="0"/>
              <w:tabs>
                <w:tab w:val="left" w:pos="900"/>
              </w:tabs>
              <w:rPr>
                <w:szCs w:val="24"/>
                <w:lang w:eastAsia="lt-LT"/>
              </w:rPr>
            </w:pPr>
            <w:r>
              <w:rPr>
                <w:szCs w:val="24"/>
                <w:lang w:eastAsia="lt-LT"/>
              </w:rPr>
              <w:t>Viešajai įstaigai Raseinių ligoninei</w:t>
            </w:r>
          </w:p>
          <w:p w14:paraId="2D1B9D31" w14:textId="77777777" w:rsidR="005D00D9" w:rsidRPr="004737F8" w:rsidRDefault="005D00D9" w:rsidP="005D00D9">
            <w:pPr>
              <w:rPr>
                <w:szCs w:val="24"/>
              </w:rPr>
            </w:pPr>
            <w:r w:rsidRPr="004737F8">
              <w:rPr>
                <w:szCs w:val="24"/>
              </w:rPr>
              <w:t xml:space="preserve">Ligoninės g. 4 </w:t>
            </w:r>
          </w:p>
          <w:p w14:paraId="176A3A31" w14:textId="77777777" w:rsidR="005D00D9" w:rsidRDefault="005D00D9" w:rsidP="005D00D9">
            <w:pPr>
              <w:rPr>
                <w:szCs w:val="24"/>
              </w:rPr>
            </w:pPr>
            <w:r w:rsidRPr="004737F8">
              <w:rPr>
                <w:szCs w:val="24"/>
              </w:rPr>
              <w:t>60127</w:t>
            </w:r>
            <w:r>
              <w:rPr>
                <w:szCs w:val="24"/>
              </w:rPr>
              <w:t xml:space="preserve"> </w:t>
            </w:r>
            <w:r w:rsidRPr="004737F8">
              <w:rPr>
                <w:szCs w:val="24"/>
              </w:rPr>
              <w:t>Raseiniai</w:t>
            </w:r>
          </w:p>
          <w:p w14:paraId="61473806" w14:textId="77777777" w:rsidR="005D00D9" w:rsidRPr="004C0E9B" w:rsidRDefault="005D00D9" w:rsidP="005D00D9">
            <w:pPr>
              <w:rPr>
                <w:szCs w:val="24"/>
              </w:rPr>
            </w:pPr>
          </w:p>
          <w:p w14:paraId="043D304D" w14:textId="77777777" w:rsidR="005D00D9" w:rsidRPr="004C0E9B" w:rsidRDefault="005D00D9" w:rsidP="005D00D9">
            <w:pPr>
              <w:rPr>
                <w:szCs w:val="24"/>
              </w:rPr>
            </w:pPr>
            <w:r w:rsidRPr="004C0E9B">
              <w:rPr>
                <w:szCs w:val="24"/>
              </w:rPr>
              <w:t>El. p.</w:t>
            </w:r>
            <w:r w:rsidRPr="00766EA6">
              <w:rPr>
                <w:szCs w:val="24"/>
              </w:rPr>
              <w:t xml:space="preserve">: </w:t>
            </w:r>
            <w:r w:rsidRPr="00145D51">
              <w:rPr>
                <w:szCs w:val="24"/>
              </w:rPr>
              <w:t>stacionaras@raseiniuligonine.lt</w:t>
            </w:r>
          </w:p>
          <w:p w14:paraId="6DEFB55B" w14:textId="5289E667" w:rsidR="0083730F" w:rsidRPr="00DD38CC" w:rsidRDefault="005D00D9" w:rsidP="005D00D9">
            <w:pPr>
              <w:tabs>
                <w:tab w:val="left" w:pos="900"/>
              </w:tabs>
              <w:ind w:left="-87"/>
              <w:rPr>
                <w:szCs w:val="24"/>
              </w:rPr>
            </w:pPr>
            <w:r w:rsidRPr="00DD38CC">
              <w:rPr>
                <w:szCs w:val="24"/>
              </w:rPr>
              <w:t xml:space="preserve"> </w:t>
            </w:r>
            <w:hyperlink r:id="rId9" w:history="1">
              <w:r w:rsidR="000E3DA2" w:rsidRPr="00DD38CC">
                <w:rPr>
                  <w:szCs w:val="24"/>
                </w:rPr>
                <w:t>pirkimai@stacionaras.lt</w:t>
              </w:r>
            </w:hyperlink>
          </w:p>
          <w:p w14:paraId="6240C4F2" w14:textId="77777777" w:rsidR="0083730F" w:rsidRDefault="0083730F" w:rsidP="006C57B5">
            <w:pPr>
              <w:tabs>
                <w:tab w:val="left" w:pos="900"/>
              </w:tabs>
              <w:ind w:left="-87"/>
              <w:rPr>
                <w:szCs w:val="24"/>
              </w:rPr>
            </w:pPr>
          </w:p>
          <w:p w14:paraId="1666CB34" w14:textId="77777777" w:rsidR="00494AED" w:rsidRPr="00DD38CC" w:rsidRDefault="00494AED" w:rsidP="00494AED">
            <w:pPr>
              <w:rPr>
                <w:szCs w:val="24"/>
              </w:rPr>
            </w:pPr>
            <w:r w:rsidRPr="00DD38CC">
              <w:rPr>
                <w:szCs w:val="24"/>
              </w:rPr>
              <w:t>Žiniai</w:t>
            </w:r>
          </w:p>
          <w:p w14:paraId="008E36B4" w14:textId="7EC36D97" w:rsidR="00494AED" w:rsidRPr="00DD38CC" w:rsidRDefault="00494AED" w:rsidP="00494AED">
            <w:pPr>
              <w:rPr>
                <w:szCs w:val="24"/>
              </w:rPr>
            </w:pPr>
            <w:r w:rsidRPr="00DD38CC">
              <w:rPr>
                <w:szCs w:val="24"/>
              </w:rPr>
              <w:t>Raseinių rajono savivaldybės administracijai</w:t>
            </w:r>
          </w:p>
          <w:p w14:paraId="06853025" w14:textId="6CC97913" w:rsidR="00DD38CC" w:rsidRPr="00DD38CC" w:rsidRDefault="00DD38CC" w:rsidP="00494AED">
            <w:pPr>
              <w:rPr>
                <w:szCs w:val="24"/>
              </w:rPr>
            </w:pPr>
            <w:r w:rsidRPr="00DD38CC">
              <w:rPr>
                <w:szCs w:val="24"/>
              </w:rPr>
              <w:t>V.</w:t>
            </w:r>
            <w:r>
              <w:rPr>
                <w:szCs w:val="24"/>
              </w:rPr>
              <w:t xml:space="preserve"> </w:t>
            </w:r>
            <w:r w:rsidRPr="00DD38CC">
              <w:rPr>
                <w:szCs w:val="24"/>
              </w:rPr>
              <w:t>Kudirkos g. 5</w:t>
            </w:r>
          </w:p>
          <w:p w14:paraId="1178516A" w14:textId="325AB6BC" w:rsidR="00494AED" w:rsidRPr="00DD38CC" w:rsidRDefault="00DD38CC" w:rsidP="00494AED">
            <w:pPr>
              <w:rPr>
                <w:szCs w:val="24"/>
              </w:rPr>
            </w:pPr>
            <w:r w:rsidRPr="00DD38CC">
              <w:rPr>
                <w:szCs w:val="24"/>
              </w:rPr>
              <w:t>60150 Raseiniai</w:t>
            </w:r>
          </w:p>
          <w:p w14:paraId="4FD807EE" w14:textId="3834C313" w:rsidR="00494AED" w:rsidRPr="00DD38CC" w:rsidRDefault="00494AED" w:rsidP="00494AED">
            <w:pPr>
              <w:rPr>
                <w:szCs w:val="24"/>
              </w:rPr>
            </w:pPr>
            <w:r w:rsidRPr="00DD38CC">
              <w:rPr>
                <w:szCs w:val="24"/>
              </w:rPr>
              <w:t>El. p.</w:t>
            </w:r>
            <w:r w:rsidR="00DD38CC">
              <w:rPr>
                <w:szCs w:val="24"/>
              </w:rPr>
              <w:t>:</w:t>
            </w:r>
            <w:r w:rsidRPr="00DD38CC">
              <w:rPr>
                <w:szCs w:val="24"/>
              </w:rPr>
              <w:t xml:space="preserve"> </w:t>
            </w:r>
            <w:hyperlink r:id="rId10" w:history="1">
              <w:r w:rsidRPr="00DD38CC">
                <w:rPr>
                  <w:szCs w:val="24"/>
                </w:rPr>
                <w:t>savivaldybe@raseiniai.lt</w:t>
              </w:r>
            </w:hyperlink>
          </w:p>
          <w:p w14:paraId="200D67B6" w14:textId="1F1420F3" w:rsidR="00494AED" w:rsidRPr="00007472" w:rsidRDefault="00494AED" w:rsidP="006C57B5">
            <w:pPr>
              <w:tabs>
                <w:tab w:val="left" w:pos="900"/>
              </w:tabs>
              <w:ind w:left="-87"/>
              <w:rPr>
                <w:szCs w:val="24"/>
              </w:rPr>
            </w:pPr>
          </w:p>
        </w:tc>
        <w:tc>
          <w:tcPr>
            <w:tcW w:w="1701" w:type="dxa"/>
          </w:tcPr>
          <w:p w14:paraId="3892616A" w14:textId="397726BD" w:rsidR="0083730F" w:rsidRDefault="0083730F" w:rsidP="0083730F">
            <w:pPr>
              <w:rPr>
                <w:szCs w:val="24"/>
              </w:rPr>
            </w:pPr>
            <w:r w:rsidRPr="00D20E2B">
              <w:rPr>
                <w:szCs w:val="24"/>
              </w:rPr>
              <w:t>202</w:t>
            </w:r>
            <w:r>
              <w:rPr>
                <w:szCs w:val="24"/>
              </w:rPr>
              <w:t>2-0</w:t>
            </w:r>
            <w:r w:rsidR="00117CBF">
              <w:rPr>
                <w:szCs w:val="24"/>
              </w:rPr>
              <w:t>3-</w:t>
            </w:r>
            <w:r w:rsidR="00B5208B">
              <w:rPr>
                <w:szCs w:val="24"/>
              </w:rPr>
              <w:t>22</w:t>
            </w:r>
          </w:p>
          <w:p w14:paraId="758C4E90" w14:textId="292834E7" w:rsidR="00A80AC6" w:rsidRDefault="0083730F" w:rsidP="0083730F">
            <w:pPr>
              <w:rPr>
                <w:szCs w:val="24"/>
              </w:rPr>
            </w:pPr>
            <w:r w:rsidRPr="00EF568B">
              <w:rPr>
                <w:szCs w:val="24"/>
              </w:rPr>
              <w:t xml:space="preserve">Į </w:t>
            </w:r>
            <w:r>
              <w:rPr>
                <w:szCs w:val="24"/>
              </w:rPr>
              <w:t>2022-0</w:t>
            </w:r>
            <w:r w:rsidR="0008610E">
              <w:rPr>
                <w:szCs w:val="24"/>
              </w:rPr>
              <w:t>3-</w:t>
            </w:r>
            <w:r w:rsidR="005B338F">
              <w:rPr>
                <w:szCs w:val="24"/>
              </w:rPr>
              <w:t>09</w:t>
            </w:r>
          </w:p>
          <w:p w14:paraId="5104A352" w14:textId="257FF2CD" w:rsidR="0083730F" w:rsidRPr="00007472" w:rsidRDefault="0083730F" w:rsidP="006C57B5">
            <w:pPr>
              <w:tabs>
                <w:tab w:val="left" w:pos="900"/>
              </w:tabs>
              <w:ind w:right="-513"/>
              <w:rPr>
                <w:szCs w:val="24"/>
              </w:rPr>
            </w:pPr>
          </w:p>
        </w:tc>
        <w:tc>
          <w:tcPr>
            <w:tcW w:w="2835" w:type="dxa"/>
          </w:tcPr>
          <w:p w14:paraId="39FA5C21" w14:textId="11444C04" w:rsidR="0083730F" w:rsidRPr="00007472" w:rsidRDefault="0083730F" w:rsidP="006C57B5">
            <w:pPr>
              <w:tabs>
                <w:tab w:val="left" w:pos="900"/>
              </w:tabs>
              <w:rPr>
                <w:szCs w:val="24"/>
              </w:rPr>
            </w:pPr>
            <w:r w:rsidRPr="00007472">
              <w:rPr>
                <w:szCs w:val="24"/>
              </w:rPr>
              <w:t xml:space="preserve">Nr. </w:t>
            </w:r>
            <w:r w:rsidR="00CB4C6A">
              <w:rPr>
                <w:szCs w:val="24"/>
              </w:rPr>
              <w:t>4S-</w:t>
            </w:r>
            <w:r w:rsidR="005C413B">
              <w:rPr>
                <w:szCs w:val="24"/>
              </w:rPr>
              <w:t>241</w:t>
            </w:r>
            <w:r w:rsidRPr="00007472">
              <w:rPr>
                <w:szCs w:val="24"/>
              </w:rPr>
              <w:t xml:space="preserve"> (7.4Mr)</w:t>
            </w:r>
          </w:p>
          <w:p w14:paraId="10EDD81A" w14:textId="3650B202" w:rsidR="0083730F" w:rsidRPr="00007472" w:rsidRDefault="0083730F" w:rsidP="0008610E">
            <w:pPr>
              <w:tabs>
                <w:tab w:val="left" w:pos="900"/>
              </w:tabs>
              <w:ind w:right="-513"/>
              <w:rPr>
                <w:szCs w:val="24"/>
              </w:rPr>
            </w:pPr>
            <w:r w:rsidRPr="00007472">
              <w:rPr>
                <w:szCs w:val="24"/>
              </w:rPr>
              <w:t xml:space="preserve">Nr. </w:t>
            </w:r>
            <w:r w:rsidR="005B338F">
              <w:rPr>
                <w:szCs w:val="24"/>
              </w:rPr>
              <w:t>103</w:t>
            </w:r>
          </w:p>
          <w:p w14:paraId="0F880CCE" w14:textId="77777777" w:rsidR="0083730F" w:rsidRPr="00007472" w:rsidRDefault="0083730F" w:rsidP="006C57B5">
            <w:pPr>
              <w:tabs>
                <w:tab w:val="left" w:pos="900"/>
              </w:tabs>
              <w:rPr>
                <w:szCs w:val="24"/>
              </w:rPr>
            </w:pPr>
          </w:p>
        </w:tc>
        <w:tc>
          <w:tcPr>
            <w:tcW w:w="1483" w:type="dxa"/>
          </w:tcPr>
          <w:p w14:paraId="715FE684" w14:textId="77777777" w:rsidR="0083730F" w:rsidRPr="00007472" w:rsidRDefault="0083730F" w:rsidP="006C57B5">
            <w:pPr>
              <w:tabs>
                <w:tab w:val="left" w:pos="1422"/>
              </w:tabs>
              <w:ind w:left="-108"/>
              <w:rPr>
                <w:szCs w:val="24"/>
              </w:rPr>
            </w:pPr>
          </w:p>
        </w:tc>
      </w:tr>
    </w:tbl>
    <w:p w14:paraId="3E2CB535" w14:textId="77777777" w:rsidR="0083730F" w:rsidRPr="00007472" w:rsidRDefault="0083730F" w:rsidP="0083730F">
      <w:pPr>
        <w:jc w:val="center"/>
        <w:rPr>
          <w:b/>
          <w:bCs/>
          <w:szCs w:val="24"/>
        </w:rPr>
      </w:pPr>
      <w:r w:rsidRPr="00007472">
        <w:rPr>
          <w:b/>
          <w:bCs/>
          <w:szCs w:val="24"/>
        </w:rPr>
        <w:t>VERTINIMO IŠVADA</w:t>
      </w:r>
    </w:p>
    <w:p w14:paraId="7B5D7F54" w14:textId="77777777" w:rsidR="00FC5CFE" w:rsidRDefault="00FC5CFE">
      <w:pPr>
        <w:ind w:right="49"/>
        <w:jc w:val="center"/>
        <w:rPr>
          <w:b/>
          <w:color w:val="000000"/>
          <w:szCs w:val="24"/>
          <w:lang w:eastAsia="lt-LT"/>
        </w:rPr>
      </w:pPr>
    </w:p>
    <w:p w14:paraId="3664E6FA" w14:textId="7B25C0BF" w:rsidR="00823BD8" w:rsidRPr="00554A06" w:rsidRDefault="00823BD8" w:rsidP="00823BD8">
      <w:pPr>
        <w:ind w:firstLine="567"/>
        <w:jc w:val="both"/>
        <w:rPr>
          <w:rFonts w:eastAsia="Calibri"/>
          <w:bCs/>
          <w:sz w:val="23"/>
          <w:szCs w:val="23"/>
        </w:rPr>
      </w:pPr>
      <w:r w:rsidRPr="00554A06">
        <w:rPr>
          <w:rFonts w:eastAsia="Calibri"/>
          <w:bCs/>
          <w:sz w:val="23"/>
          <w:szCs w:val="23"/>
        </w:rPr>
        <w:t xml:space="preserve">Viešųjų pirkimų tarnyba (toliau – Tarnyba), vadovaudamasi </w:t>
      </w:r>
      <w:bookmarkStart w:id="0" w:name="_Hlk86995477"/>
      <w:r w:rsidRPr="00554A06">
        <w:rPr>
          <w:rFonts w:eastAsia="Calibri"/>
          <w:bCs/>
          <w:sz w:val="23"/>
          <w:szCs w:val="23"/>
        </w:rPr>
        <w:t xml:space="preserve">Lietuvos Respublikos viešųjų pirkimų įstatymo </w:t>
      </w:r>
      <w:r w:rsidR="00C45D4D">
        <w:rPr>
          <w:rFonts w:eastAsia="Calibri"/>
          <w:bCs/>
          <w:sz w:val="23"/>
          <w:szCs w:val="23"/>
        </w:rPr>
        <w:t xml:space="preserve">(toliau – VPĮ) </w:t>
      </w:r>
      <w:r w:rsidRPr="00554A06">
        <w:rPr>
          <w:rFonts w:eastAsia="Calibri"/>
          <w:bCs/>
          <w:sz w:val="23"/>
          <w:szCs w:val="23"/>
        </w:rPr>
        <w:t>95 straipsnio 1 dalies 2 punktu</w:t>
      </w:r>
      <w:bookmarkEnd w:id="0"/>
      <w:r w:rsidRPr="00554A06">
        <w:rPr>
          <w:rFonts w:eastAsia="Calibri"/>
          <w:bCs/>
          <w:sz w:val="23"/>
          <w:szCs w:val="23"/>
        </w:rPr>
        <w:t xml:space="preserve">, atliko </w:t>
      </w:r>
      <w:r w:rsidR="000E3DA2" w:rsidRPr="004737F8">
        <w:rPr>
          <w:szCs w:val="24"/>
        </w:rPr>
        <w:t>Vieš</w:t>
      </w:r>
      <w:r w:rsidR="000E3DA2">
        <w:rPr>
          <w:szCs w:val="24"/>
        </w:rPr>
        <w:t>osios</w:t>
      </w:r>
      <w:r w:rsidR="000E3DA2" w:rsidRPr="004737F8">
        <w:rPr>
          <w:szCs w:val="24"/>
        </w:rPr>
        <w:t xml:space="preserve"> įstaig</w:t>
      </w:r>
      <w:r w:rsidR="000E3DA2">
        <w:rPr>
          <w:szCs w:val="24"/>
        </w:rPr>
        <w:t>os</w:t>
      </w:r>
      <w:r w:rsidR="000E3DA2" w:rsidRPr="004737F8">
        <w:rPr>
          <w:szCs w:val="24"/>
        </w:rPr>
        <w:t xml:space="preserve"> Raseinių ligonin</w:t>
      </w:r>
      <w:r w:rsidR="000E3DA2">
        <w:rPr>
          <w:szCs w:val="24"/>
        </w:rPr>
        <w:t>ės</w:t>
      </w:r>
      <w:r w:rsidR="00063267" w:rsidRPr="00C420F7">
        <w:rPr>
          <w:bCs/>
          <w:szCs w:val="24"/>
        </w:rPr>
        <w:t xml:space="preserve"> </w:t>
      </w:r>
      <w:r w:rsidRPr="00554A06">
        <w:rPr>
          <w:sz w:val="23"/>
          <w:szCs w:val="23"/>
        </w:rPr>
        <w:t>(toliau – Perkančioji organizacija)</w:t>
      </w:r>
      <w:r w:rsidRPr="00554A06">
        <w:rPr>
          <w:bCs/>
          <w:sz w:val="23"/>
          <w:szCs w:val="23"/>
        </w:rPr>
        <w:t xml:space="preserve"> vykd</w:t>
      </w:r>
      <w:r>
        <w:rPr>
          <w:bCs/>
          <w:sz w:val="23"/>
          <w:szCs w:val="23"/>
        </w:rPr>
        <w:t>omo</w:t>
      </w:r>
      <w:r w:rsidRPr="00554A06">
        <w:rPr>
          <w:bCs/>
          <w:sz w:val="23"/>
          <w:szCs w:val="23"/>
        </w:rPr>
        <w:t xml:space="preserve"> vieš</w:t>
      </w:r>
      <w:r>
        <w:rPr>
          <w:bCs/>
          <w:sz w:val="23"/>
          <w:szCs w:val="23"/>
        </w:rPr>
        <w:t>ojo</w:t>
      </w:r>
      <w:r w:rsidRPr="00554A06">
        <w:rPr>
          <w:bCs/>
          <w:sz w:val="23"/>
          <w:szCs w:val="23"/>
        </w:rPr>
        <w:t xml:space="preserve"> pirkim</w:t>
      </w:r>
      <w:r>
        <w:rPr>
          <w:bCs/>
          <w:sz w:val="23"/>
          <w:szCs w:val="23"/>
        </w:rPr>
        <w:t>o</w:t>
      </w:r>
      <w:r w:rsidRPr="00554A06">
        <w:rPr>
          <w:sz w:val="23"/>
          <w:szCs w:val="23"/>
        </w:rPr>
        <w:t xml:space="preserve"> </w:t>
      </w:r>
      <w:r w:rsidR="0000058F" w:rsidRPr="0000058F">
        <w:rPr>
          <w:szCs w:val="24"/>
        </w:rPr>
        <w:t>„</w:t>
      </w:r>
      <w:r w:rsidR="000E3DA2" w:rsidRPr="004737F8">
        <w:rPr>
          <w:szCs w:val="24"/>
        </w:rPr>
        <w:t>Medicininė įranga Geriatrijos paslaugų teikimui</w:t>
      </w:r>
      <w:r w:rsidR="0000058F" w:rsidRPr="0000058F">
        <w:rPr>
          <w:bCs/>
          <w:szCs w:val="24"/>
        </w:rPr>
        <w:t>“</w:t>
      </w:r>
      <w:r w:rsidR="0000058F" w:rsidRPr="00FA585F">
        <w:rPr>
          <w:bCs/>
          <w:szCs w:val="24"/>
        </w:rPr>
        <w:t xml:space="preserve"> </w:t>
      </w:r>
      <w:r w:rsidR="0000058F">
        <w:rPr>
          <w:bCs/>
          <w:szCs w:val="24"/>
        </w:rPr>
        <w:t>dalinį</w:t>
      </w:r>
      <w:r w:rsidR="0000058F" w:rsidRPr="00554A06">
        <w:rPr>
          <w:rFonts w:eastAsia="Calibri"/>
          <w:bCs/>
          <w:sz w:val="23"/>
          <w:szCs w:val="23"/>
        </w:rPr>
        <w:t xml:space="preserve"> </w:t>
      </w:r>
      <w:r w:rsidRPr="00554A06">
        <w:rPr>
          <w:rFonts w:eastAsia="Calibri"/>
          <w:bCs/>
          <w:sz w:val="23"/>
          <w:szCs w:val="23"/>
        </w:rPr>
        <w:t>vertinimą.</w:t>
      </w:r>
    </w:p>
    <w:p w14:paraId="5ADDEDF1" w14:textId="77777777" w:rsidR="00FC5CFE" w:rsidRDefault="00FC5CFE">
      <w:pPr>
        <w:rPr>
          <w:szCs w:val="24"/>
          <w:lang w:eastAsia="lt-LT"/>
        </w:rPr>
      </w:pPr>
    </w:p>
    <w:p w14:paraId="0EFE1C88" w14:textId="77777777" w:rsidR="00FC5CFE" w:rsidRDefault="006970CE">
      <w:pPr>
        <w:jc w:val="center"/>
        <w:rPr>
          <w:szCs w:val="24"/>
          <w:lang w:eastAsia="lt-LT"/>
        </w:rPr>
      </w:pPr>
      <w:r>
        <w:rPr>
          <w:b/>
          <w:szCs w:val="24"/>
          <w:lang w:eastAsia="lt-LT"/>
        </w:rPr>
        <w:t>I dalis. Bendra informacija</w:t>
      </w:r>
    </w:p>
    <w:p w14:paraId="4599490D" w14:textId="77777777" w:rsidR="00FC5CFE" w:rsidRDefault="00FC5CFE">
      <w:pPr>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FC5CFE" w14:paraId="66A0361D"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49441AE" w14:textId="77777777" w:rsidR="00FC5CFE" w:rsidRDefault="006970CE">
            <w:pPr>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paraišką/pasiūlymą) data/sutarties pavadinimas, data, numeris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6A86E66" w14:textId="10A6B012" w:rsidR="00FC5CFE" w:rsidRDefault="00FD6B06">
            <w:pPr>
              <w:jc w:val="both"/>
              <w:rPr>
                <w:szCs w:val="24"/>
                <w:lang w:eastAsia="lt-LT"/>
              </w:rPr>
            </w:pPr>
            <w:r>
              <w:rPr>
                <w:szCs w:val="24"/>
              </w:rPr>
              <w:t xml:space="preserve"> </w:t>
            </w:r>
            <w:r w:rsidR="0085334F" w:rsidRPr="0000058F">
              <w:rPr>
                <w:szCs w:val="24"/>
              </w:rPr>
              <w:t>„</w:t>
            </w:r>
            <w:r w:rsidR="0031113D" w:rsidRPr="004737F8">
              <w:rPr>
                <w:szCs w:val="24"/>
              </w:rPr>
              <w:t>Medicininė įranga Geriatrijos paslaugų teikimui</w:t>
            </w:r>
            <w:r w:rsidR="0085334F" w:rsidRPr="0000058F">
              <w:rPr>
                <w:bCs/>
                <w:szCs w:val="24"/>
              </w:rPr>
              <w:t>“</w:t>
            </w:r>
            <w:r w:rsidR="0085334F" w:rsidRPr="00FA585F">
              <w:rPr>
                <w:bCs/>
                <w:szCs w:val="24"/>
              </w:rPr>
              <w:t xml:space="preserve"> </w:t>
            </w:r>
            <w:r w:rsidR="0085334F" w:rsidRPr="00007472">
              <w:rPr>
                <w:szCs w:val="24"/>
              </w:rPr>
              <w:t>(</w:t>
            </w:r>
            <w:r w:rsidR="0085334F" w:rsidRPr="00007472">
              <w:rPr>
                <w:color w:val="000000"/>
                <w:szCs w:val="24"/>
              </w:rPr>
              <w:t xml:space="preserve">Centrinėje viešųjų pirkimų informacinėje sistemoje skelbtas </w:t>
            </w:r>
            <w:r w:rsidR="0031113D" w:rsidRPr="00A125CB">
              <w:rPr>
                <w:szCs w:val="24"/>
                <w:lang w:eastAsia="lt-LT"/>
              </w:rPr>
              <w:t>202</w:t>
            </w:r>
            <w:r w:rsidR="0031113D">
              <w:rPr>
                <w:szCs w:val="24"/>
                <w:lang w:eastAsia="lt-LT"/>
              </w:rPr>
              <w:t>1-12-28</w:t>
            </w:r>
            <w:r w:rsidR="0085334F" w:rsidRPr="00007472">
              <w:rPr>
                <w:szCs w:val="24"/>
              </w:rPr>
              <w:t xml:space="preserve">, pirkimo Nr. </w:t>
            </w:r>
            <w:r w:rsidR="0031113D" w:rsidRPr="009A701F">
              <w:rPr>
                <w:szCs w:val="24"/>
              </w:rPr>
              <w:t>580701</w:t>
            </w:r>
            <w:r w:rsidR="0085334F" w:rsidRPr="00007472">
              <w:rPr>
                <w:szCs w:val="24"/>
              </w:rPr>
              <w:t xml:space="preserve">) </w:t>
            </w:r>
            <w:r w:rsidR="0085334F" w:rsidRPr="00007472">
              <w:rPr>
                <w:bCs/>
                <w:szCs w:val="24"/>
              </w:rPr>
              <w:t>(toliau – Pirkimas)</w:t>
            </w:r>
            <w:r w:rsidR="0085334F" w:rsidRPr="00007472">
              <w:rPr>
                <w:szCs w:val="24"/>
              </w:rPr>
              <w:t>.</w:t>
            </w:r>
          </w:p>
        </w:tc>
      </w:tr>
      <w:tr w:rsidR="00FD6B06" w14:paraId="31C1CF27"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B48E86E" w14:textId="77777777" w:rsidR="00FD6B06" w:rsidRDefault="00FD6B06" w:rsidP="00FD6B06">
            <w:pPr>
              <w:jc w:val="both"/>
              <w:rPr>
                <w:szCs w:val="24"/>
                <w:lang w:eastAsia="lt-LT"/>
              </w:rPr>
            </w:pPr>
            <w:r>
              <w:rPr>
                <w:rFonts w:eastAsia="Calibri"/>
                <w:szCs w:val="24"/>
                <w:lang w:eastAsia="lt-LT"/>
              </w:rPr>
              <w:t>Pirkimo vykdymo/sutarties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7097B09" w14:textId="04658AA4" w:rsidR="00FD6B06" w:rsidRDefault="00FD6B06" w:rsidP="00FD6B06">
            <w:pPr>
              <w:jc w:val="both"/>
              <w:rPr>
                <w:szCs w:val="24"/>
                <w:lang w:eastAsia="lt-LT"/>
              </w:rPr>
            </w:pPr>
            <w:r>
              <w:rPr>
                <w:bCs/>
                <w:szCs w:val="24"/>
              </w:rPr>
              <w:t>VPĮ</w:t>
            </w:r>
            <w:r w:rsidRPr="00007472">
              <w:rPr>
                <w:bCs/>
                <w:szCs w:val="24"/>
              </w:rPr>
              <w:t xml:space="preserve"> (</w:t>
            </w:r>
            <w:r w:rsidR="00F547FF">
              <w:rPr>
                <w:rFonts w:eastAsia="Calibri"/>
                <w:szCs w:val="24"/>
              </w:rPr>
              <w:t>aktuali suvestinė redakcija nuo 2021 m. gruodžio 24 d.</w:t>
            </w:r>
            <w:r w:rsidRPr="00007472">
              <w:rPr>
                <w:bCs/>
                <w:szCs w:val="24"/>
              </w:rPr>
              <w:t>).</w:t>
            </w:r>
          </w:p>
        </w:tc>
      </w:tr>
      <w:tr w:rsidR="00FD6B06" w14:paraId="324542D9"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7334DE8F" w14:textId="77777777" w:rsidR="00FD6B06" w:rsidRDefault="00FD6B06" w:rsidP="00FD6B06">
            <w:pPr>
              <w:jc w:val="both"/>
              <w:rPr>
                <w:rFonts w:eastAsia="Calibri"/>
                <w:szCs w:val="24"/>
                <w:lang w:eastAsia="lt-LT"/>
              </w:rPr>
            </w:pPr>
            <w:r>
              <w:rPr>
                <w:rFonts w:eastAsia="Calibri"/>
                <w:szCs w:val="24"/>
                <w:lang w:eastAsia="lt-LT"/>
              </w:rPr>
              <w:t>Pirkimo rūšis pagal vertės ribas ir pirkimo būdas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E4B1A85" w14:textId="2F08F09A" w:rsidR="00FD6B06" w:rsidRDefault="00F9639D" w:rsidP="00FD6B06">
            <w:pPr>
              <w:jc w:val="both"/>
              <w:rPr>
                <w:szCs w:val="24"/>
                <w:lang w:eastAsia="lt-LT"/>
              </w:rPr>
            </w:pPr>
            <w:r>
              <w:rPr>
                <w:bCs/>
                <w:szCs w:val="24"/>
              </w:rPr>
              <w:t>Mažos vertės pirkimas, a</w:t>
            </w:r>
            <w:r w:rsidR="00FD6B06" w:rsidRPr="00007472">
              <w:rPr>
                <w:bCs/>
                <w:szCs w:val="24"/>
              </w:rPr>
              <w:t>tviras konkursas.</w:t>
            </w:r>
          </w:p>
        </w:tc>
      </w:tr>
      <w:tr w:rsidR="00FD6B06" w14:paraId="3482F5E7"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26225334" w14:textId="77777777" w:rsidR="00FD6B06" w:rsidRDefault="00FD6B06" w:rsidP="00FD6B06">
            <w:pPr>
              <w:jc w:val="both"/>
              <w:rPr>
                <w:rFonts w:eastAsia="Calibri"/>
                <w:szCs w:val="24"/>
                <w:lang w:eastAsia="lt-LT"/>
              </w:rPr>
            </w:pPr>
            <w:r>
              <w:rPr>
                <w:rFonts w:eastAsia="Calibri"/>
                <w:szCs w:val="24"/>
                <w:lang w:eastAsia="lt-LT"/>
              </w:rPr>
              <w:t>Planuota (nenurodoma, jeigu pirkimas vertinamas iki vokų su pasiūlymais atplėšimo procedūros) ir faktinė pirkimo/sutarties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DDEB99A" w14:textId="09A2ABCA" w:rsidR="00FD6B06" w:rsidRDefault="00FD6B06" w:rsidP="00FD6B06">
            <w:pPr>
              <w:jc w:val="both"/>
              <w:rPr>
                <w:szCs w:val="24"/>
                <w:lang w:eastAsia="lt-LT"/>
              </w:rPr>
            </w:pPr>
            <w:r w:rsidRPr="00007472">
              <w:rPr>
                <w:szCs w:val="24"/>
              </w:rPr>
              <w:t>Planuojama Pirkimo vertė –</w:t>
            </w:r>
            <w:r>
              <w:rPr>
                <w:szCs w:val="24"/>
              </w:rPr>
              <w:t xml:space="preserve"> </w:t>
            </w:r>
            <w:r w:rsidR="00E37434" w:rsidRPr="00E37434">
              <w:rPr>
                <w:szCs w:val="24"/>
              </w:rPr>
              <w:t>7500</w:t>
            </w:r>
            <w:r w:rsidR="00AD79F8" w:rsidRPr="00E37434">
              <w:rPr>
                <w:szCs w:val="24"/>
                <w:lang w:eastAsia="pl-PL"/>
              </w:rPr>
              <w:t xml:space="preserve"> </w:t>
            </w:r>
            <w:r w:rsidRPr="00E37434">
              <w:rPr>
                <w:szCs w:val="24"/>
              </w:rPr>
              <w:t xml:space="preserve">eurų </w:t>
            </w:r>
            <w:r w:rsidR="00E37434" w:rsidRPr="00E37434">
              <w:rPr>
                <w:szCs w:val="24"/>
              </w:rPr>
              <w:t>be</w:t>
            </w:r>
            <w:r w:rsidRPr="00E37434">
              <w:rPr>
                <w:szCs w:val="24"/>
              </w:rPr>
              <w:t xml:space="preserve"> PVM</w:t>
            </w:r>
            <w:r w:rsidRPr="00007472">
              <w:rPr>
                <w:szCs w:val="24"/>
              </w:rPr>
              <w:t>.</w:t>
            </w:r>
          </w:p>
        </w:tc>
      </w:tr>
      <w:tr w:rsidR="00FD6B06" w14:paraId="30054812"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1F207829" w14:textId="77777777" w:rsidR="00FD6B06" w:rsidRDefault="00FD6B06" w:rsidP="00FD6B06">
            <w:pPr>
              <w:jc w:val="both"/>
              <w:rPr>
                <w:szCs w:val="24"/>
                <w:lang w:eastAsia="lt-LT"/>
              </w:rPr>
            </w:pPr>
            <w:r>
              <w:rPr>
                <w:rFonts w:eastAsia="Calibri"/>
                <w:szCs w:val="24"/>
                <w:lang w:eastAsia="lt-LT"/>
              </w:rPr>
              <w:t xml:space="preserve">Tiekėjas/koncesijos dalyvis/koncesininkas, juridinio asmens (su kuriuo sudaryta sutartis) kodas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3BAE7D2F" w14:textId="6376454B" w:rsidR="00FD6B06" w:rsidRDefault="00FD6B06" w:rsidP="00FD6B06">
            <w:pPr>
              <w:jc w:val="both"/>
              <w:rPr>
                <w:szCs w:val="24"/>
                <w:lang w:eastAsia="lt-LT"/>
              </w:rPr>
            </w:pPr>
            <w:r w:rsidRPr="00007472">
              <w:rPr>
                <w:szCs w:val="24"/>
              </w:rPr>
              <w:t>–</w:t>
            </w:r>
          </w:p>
        </w:tc>
      </w:tr>
      <w:tr w:rsidR="00FD6B06" w14:paraId="144071F5"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55AAA5C4" w14:textId="77777777" w:rsidR="00FD6B06" w:rsidRDefault="00FD6B06" w:rsidP="00FD6B06">
            <w:pPr>
              <w:jc w:val="both"/>
              <w:rPr>
                <w:rFonts w:eastAsia="Calibri"/>
                <w:szCs w:val="24"/>
                <w:lang w:eastAsia="lt-LT"/>
              </w:rPr>
            </w:pPr>
            <w:r>
              <w:rPr>
                <w:rFonts w:eastAsia="Calibri"/>
                <w:szCs w:val="24"/>
                <w:lang w:eastAsia="lt-LT"/>
              </w:rPr>
              <w:t>Pirkimo/sutarties vertinimo apimtys/etapas</w:t>
            </w:r>
          </w:p>
          <w:p w14:paraId="0EA63822" w14:textId="77777777" w:rsidR="00FD6B06" w:rsidRDefault="00FD6B06" w:rsidP="00FD6B06">
            <w:pPr>
              <w:jc w:val="both"/>
              <w:rPr>
                <w:szCs w:val="24"/>
                <w:lang w:eastAsia="lt-LT"/>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19C4215B" w14:textId="0ED22432" w:rsidR="00FD6B06" w:rsidRDefault="00FD6B06" w:rsidP="00FD6B06">
            <w:pPr>
              <w:jc w:val="both"/>
              <w:rPr>
                <w:szCs w:val="24"/>
                <w:lang w:eastAsia="lt-LT"/>
              </w:rPr>
            </w:pPr>
            <w:r>
              <w:rPr>
                <w:szCs w:val="24"/>
              </w:rPr>
              <w:t>Dalinis</w:t>
            </w:r>
            <w:r w:rsidRPr="00DB6E54">
              <w:rPr>
                <w:szCs w:val="24"/>
              </w:rPr>
              <w:t xml:space="preserve"> Pirkimo procedūrų vertinimas</w:t>
            </w:r>
            <w:r>
              <w:rPr>
                <w:szCs w:val="24"/>
              </w:rPr>
              <w:t xml:space="preserve"> (dėl </w:t>
            </w:r>
            <w:r w:rsidR="00A0662F">
              <w:rPr>
                <w:szCs w:val="24"/>
              </w:rPr>
              <w:t xml:space="preserve">Pirkimo objekto dalies Nr. 2 </w:t>
            </w:r>
            <w:r w:rsidR="00A0662F" w:rsidRPr="00FB70C5">
              <w:rPr>
                <w:szCs w:val="24"/>
              </w:rPr>
              <w:t>„</w:t>
            </w:r>
            <w:r w:rsidR="00A0662F" w:rsidRPr="00DF6DB9">
              <w:rPr>
                <w:szCs w:val="24"/>
              </w:rPr>
              <w:t>Mechaninės funkcinės lovos su čiužiniais</w:t>
            </w:r>
            <w:r w:rsidR="00A0662F">
              <w:rPr>
                <w:szCs w:val="24"/>
              </w:rPr>
              <w:t>“ tiekėjo pasiūlymo vertinimo</w:t>
            </w:r>
            <w:r>
              <w:rPr>
                <w:szCs w:val="24"/>
              </w:rPr>
              <w:t>) /</w:t>
            </w:r>
            <w:r w:rsidRPr="00007472">
              <w:rPr>
                <w:szCs w:val="24"/>
              </w:rPr>
              <w:t xml:space="preserve"> Pirkimo procedūrų vertinimas iki sutarties sudarymo.</w:t>
            </w:r>
          </w:p>
        </w:tc>
      </w:tr>
      <w:tr w:rsidR="00FD6B06" w14:paraId="7DA41798" w14:textId="77777777" w:rsidTr="00FD6B06">
        <w:tc>
          <w:tcPr>
            <w:tcW w:w="4606" w:type="dxa"/>
            <w:tcBorders>
              <w:top w:val="single" w:sz="4" w:space="0" w:color="auto"/>
              <w:left w:val="single" w:sz="4" w:space="0" w:color="auto"/>
              <w:bottom w:val="single" w:sz="4" w:space="0" w:color="auto"/>
              <w:right w:val="single" w:sz="4" w:space="0" w:color="auto"/>
            </w:tcBorders>
            <w:shd w:val="clear" w:color="auto" w:fill="auto"/>
          </w:tcPr>
          <w:p w14:paraId="07608BF0" w14:textId="00AF4621" w:rsidR="00FD6B06" w:rsidRDefault="00FD6B06" w:rsidP="00FD6B06">
            <w:pPr>
              <w:jc w:val="both"/>
              <w:rPr>
                <w:b/>
                <w:szCs w:val="24"/>
                <w:lang w:eastAsia="lt-LT"/>
              </w:rPr>
            </w:pPr>
            <w:r>
              <w:rPr>
                <w:szCs w:val="24"/>
                <w:lang w:eastAsia="lt-LT"/>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9FF9639" w14:textId="77777777" w:rsidR="00580F0D" w:rsidRDefault="00BB39A2" w:rsidP="00580F0D">
            <w:pPr>
              <w:tabs>
                <w:tab w:val="left" w:pos="900"/>
              </w:tabs>
              <w:ind w:right="49"/>
              <w:jc w:val="both"/>
              <w:rPr>
                <w:iCs/>
                <w:color w:val="000000" w:themeColor="text1"/>
                <w:szCs w:val="24"/>
              </w:rPr>
            </w:pPr>
            <w:r>
              <w:rPr>
                <w:color w:val="000000" w:themeColor="text1"/>
                <w:szCs w:val="24"/>
              </w:rPr>
              <w:t>Projektas „</w:t>
            </w:r>
            <w:r w:rsidRPr="00BB39A2">
              <w:rPr>
                <w:bCs/>
                <w:noProof/>
                <w:szCs w:val="24"/>
                <w:lang w:eastAsia="lt-LT"/>
              </w:rPr>
              <w:t>Sveiko senėjimo paslaugų kokybės gerinimas</w:t>
            </w:r>
            <w:r>
              <w:rPr>
                <w:color w:val="000000" w:themeColor="text1"/>
                <w:szCs w:val="24"/>
              </w:rPr>
              <w:t xml:space="preserve">“, projekto </w:t>
            </w:r>
            <w:r>
              <w:rPr>
                <w:rStyle w:val="CharStyle28"/>
                <w:color w:val="000000" w:themeColor="text1"/>
              </w:rPr>
              <w:t xml:space="preserve">Nr. </w:t>
            </w:r>
            <w:r w:rsidRPr="00BB39A2">
              <w:rPr>
                <w:bCs/>
                <w:szCs w:val="24"/>
              </w:rPr>
              <w:t>08.1.3-CPVA-V-601</w:t>
            </w:r>
            <w:r>
              <w:rPr>
                <w:iCs/>
                <w:color w:val="000000" w:themeColor="text1"/>
                <w:szCs w:val="24"/>
              </w:rPr>
              <w:t>.</w:t>
            </w:r>
          </w:p>
          <w:p w14:paraId="1DE5380D" w14:textId="3502BF4F" w:rsidR="00FD6B06" w:rsidRPr="00580F0D" w:rsidRDefault="00BB39A2" w:rsidP="00580F0D">
            <w:pPr>
              <w:tabs>
                <w:tab w:val="left" w:pos="900"/>
              </w:tabs>
              <w:ind w:right="49"/>
              <w:jc w:val="both"/>
              <w:rPr>
                <w:iCs/>
                <w:color w:val="000000" w:themeColor="text1"/>
                <w:szCs w:val="24"/>
              </w:rPr>
            </w:pPr>
            <w:r>
              <w:rPr>
                <w:iCs/>
                <w:szCs w:val="24"/>
                <w:lang w:eastAsia="lt-LT"/>
              </w:rPr>
              <w:t xml:space="preserve">Įgyvendinančioji institucija – </w:t>
            </w:r>
            <w:r w:rsidR="00580F0D" w:rsidRPr="00580F0D">
              <w:rPr>
                <w:iCs/>
                <w:szCs w:val="24"/>
              </w:rPr>
              <w:t>VšĮ Centrinė projektų valdymo agentūr</w:t>
            </w:r>
            <w:r w:rsidR="00CC0C8F">
              <w:rPr>
                <w:iCs/>
                <w:szCs w:val="24"/>
              </w:rPr>
              <w:t>a</w:t>
            </w:r>
            <w:r>
              <w:rPr>
                <w:iCs/>
                <w:szCs w:val="24"/>
                <w:lang w:eastAsia="lt-LT"/>
              </w:rPr>
              <w:t>.</w:t>
            </w:r>
          </w:p>
        </w:tc>
      </w:tr>
      <w:tr w:rsidR="00FD6B06" w14:paraId="2F131F35" w14:textId="77777777" w:rsidTr="00FD6B06">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1B2A305C" w14:textId="378FDF83" w:rsidR="00FD6B06" w:rsidRDefault="00FD6B06" w:rsidP="00FD6B06">
            <w:pPr>
              <w:jc w:val="both"/>
              <w:rPr>
                <w:rFonts w:eastAsia="Calibri"/>
                <w:szCs w:val="24"/>
                <w:lang w:eastAsia="lt-LT"/>
              </w:rPr>
            </w:pPr>
            <w:r>
              <w:rPr>
                <w:rFonts w:eastAsia="Calibri"/>
                <w:szCs w:val="24"/>
                <w:lang w:eastAsia="lt-LT"/>
              </w:rPr>
              <w:lastRenderedPageBreak/>
              <w:t>Jei dėl pirkimo/sutarties vyksta teismo procesas, nurodyti ieškinio (skundo) dalyką, bylos šalių pavadinimus, ar taikomos laikinosios apsaugos priemonės, teisminio nagrinėjimo stadiją:</w:t>
            </w:r>
            <w:r w:rsidR="002A6DB9">
              <w:rPr>
                <w:rFonts w:eastAsia="Calibri"/>
                <w:szCs w:val="24"/>
                <w:lang w:eastAsia="lt-LT"/>
              </w:rPr>
              <w:t xml:space="preserve"> </w:t>
            </w:r>
            <w:r w:rsidR="002A6DB9">
              <w:rPr>
                <w:szCs w:val="24"/>
              </w:rPr>
              <w:t>t</w:t>
            </w:r>
            <w:r w:rsidR="002A6DB9" w:rsidRPr="00B52A41">
              <w:rPr>
                <w:szCs w:val="24"/>
              </w:rPr>
              <w:t>eismo procesas nevyksta</w:t>
            </w:r>
            <w:r w:rsidR="002A6DB9">
              <w:rPr>
                <w:szCs w:val="24"/>
              </w:rPr>
              <w:t>.</w:t>
            </w:r>
          </w:p>
          <w:p w14:paraId="3C8E02ED" w14:textId="77777777" w:rsidR="00FD6B06" w:rsidRDefault="00FD6B06" w:rsidP="00FD6B06">
            <w:pPr>
              <w:jc w:val="both"/>
              <w:rPr>
                <w:szCs w:val="24"/>
                <w:lang w:eastAsia="lt-LT"/>
              </w:rPr>
            </w:pPr>
          </w:p>
        </w:tc>
      </w:tr>
    </w:tbl>
    <w:p w14:paraId="393CA7B5" w14:textId="77777777" w:rsidR="00FC5CFE" w:rsidRDefault="006970CE">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Default="00FC5CFE">
      <w:pPr>
        <w:jc w:val="center"/>
        <w:rPr>
          <w:b/>
          <w:szCs w:val="24"/>
          <w:lang w:eastAsia="lt-LT"/>
        </w:rPr>
      </w:pPr>
    </w:p>
    <w:p w14:paraId="367E046E" w14:textId="77777777" w:rsidR="00FC5CFE" w:rsidRDefault="006970CE">
      <w:pPr>
        <w:jc w:val="center"/>
        <w:rPr>
          <w:b/>
          <w:szCs w:val="24"/>
          <w:lang w:eastAsia="lt-LT"/>
        </w:rPr>
      </w:pPr>
      <w:r>
        <w:rPr>
          <w:b/>
          <w:szCs w:val="24"/>
          <w:lang w:eastAsia="lt-LT"/>
        </w:rPr>
        <w:t>II dalis. Vertinimo apimtyje nustatyti pažeidimai</w:t>
      </w:r>
    </w:p>
    <w:p w14:paraId="1B7CB81F" w14:textId="77777777" w:rsidR="00FC5CFE" w:rsidRDefault="00FC5CFE">
      <w:pPr>
        <w:jc w:val="center"/>
        <w:rPr>
          <w:b/>
          <w:szCs w:val="24"/>
          <w:lang w:eastAsia="lt-LT"/>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8"/>
        <w:gridCol w:w="8308"/>
      </w:tblGrid>
      <w:tr w:rsidR="00FC5CFE" w14:paraId="023FFEFB" w14:textId="77777777" w:rsidTr="00FD3AEA">
        <w:trPr>
          <w:trHeight w:val="316"/>
        </w:trPr>
        <w:tc>
          <w:tcPr>
            <w:tcW w:w="1108" w:type="dxa"/>
            <w:tcBorders>
              <w:top w:val="single" w:sz="4" w:space="0" w:color="auto"/>
              <w:left w:val="single" w:sz="4" w:space="0" w:color="auto"/>
              <w:bottom w:val="single" w:sz="4" w:space="0" w:color="auto"/>
              <w:right w:val="single" w:sz="4" w:space="0" w:color="auto"/>
            </w:tcBorders>
            <w:shd w:val="clear" w:color="auto" w:fill="auto"/>
          </w:tcPr>
          <w:p w14:paraId="1AB02DAB" w14:textId="77777777" w:rsidR="00FC5CFE" w:rsidRDefault="006970CE">
            <w:pPr>
              <w:jc w:val="center"/>
              <w:rPr>
                <w:szCs w:val="24"/>
                <w:lang w:eastAsia="lt-LT"/>
              </w:rPr>
            </w:pPr>
            <w:r>
              <w:rPr>
                <w:szCs w:val="24"/>
                <w:lang w:eastAsia="lt-LT"/>
              </w:rPr>
              <w:t xml:space="preserve">1. </w:t>
            </w:r>
          </w:p>
        </w:tc>
        <w:tc>
          <w:tcPr>
            <w:tcW w:w="8308" w:type="dxa"/>
            <w:tcBorders>
              <w:top w:val="single" w:sz="4" w:space="0" w:color="auto"/>
              <w:left w:val="single" w:sz="4" w:space="0" w:color="auto"/>
              <w:bottom w:val="single" w:sz="4" w:space="0" w:color="auto"/>
              <w:right w:val="single" w:sz="4" w:space="0" w:color="auto"/>
            </w:tcBorders>
            <w:shd w:val="clear" w:color="auto" w:fill="auto"/>
          </w:tcPr>
          <w:p w14:paraId="42E264C0" w14:textId="73199344" w:rsidR="00FC5CFE" w:rsidRDefault="00763F28">
            <w:pPr>
              <w:jc w:val="both"/>
              <w:rPr>
                <w:iCs/>
                <w:sz w:val="20"/>
                <w:lang w:eastAsia="lt-LT"/>
              </w:rPr>
            </w:pPr>
            <w:r>
              <w:rPr>
                <w:iCs/>
                <w:szCs w:val="24"/>
                <w:lang w:eastAsia="lt-LT"/>
              </w:rPr>
              <w:t xml:space="preserve"> </w:t>
            </w:r>
            <w:r w:rsidRPr="00007472">
              <w:t>–</w:t>
            </w:r>
          </w:p>
        </w:tc>
      </w:tr>
    </w:tbl>
    <w:p w14:paraId="348107FF" w14:textId="77777777" w:rsidR="00FC5CFE" w:rsidRDefault="00FC5CFE">
      <w:pPr>
        <w:ind w:left="-113"/>
        <w:jc w:val="center"/>
        <w:rPr>
          <w:b/>
          <w:szCs w:val="24"/>
          <w:lang w:eastAsia="lt-LT"/>
        </w:rPr>
      </w:pPr>
    </w:p>
    <w:p w14:paraId="551C8140" w14:textId="77777777" w:rsidR="00FC5CFE" w:rsidRDefault="006970CE">
      <w:pPr>
        <w:ind w:left="-113"/>
        <w:jc w:val="center"/>
        <w:rPr>
          <w:b/>
          <w:color w:val="000000"/>
          <w:szCs w:val="24"/>
          <w:lang w:eastAsia="lt-LT"/>
        </w:rPr>
      </w:pPr>
      <w:r>
        <w:rPr>
          <w:b/>
          <w:szCs w:val="24"/>
          <w:lang w:eastAsia="lt-LT"/>
        </w:rPr>
        <w:t xml:space="preserve">III dalis. </w:t>
      </w:r>
      <w:r>
        <w:rPr>
          <w:b/>
          <w:color w:val="000000"/>
          <w:szCs w:val="24"/>
          <w:lang w:eastAsia="lt-LT"/>
        </w:rPr>
        <w:t>Kiti nustatyti pažeidimai</w:t>
      </w:r>
    </w:p>
    <w:p w14:paraId="41975642" w14:textId="7F69B9AB" w:rsidR="00FC5CFE" w:rsidRDefault="00FC5CFE">
      <w:pPr>
        <w:ind w:left="-113"/>
        <w:jc w:val="center"/>
        <w:rPr>
          <w:b/>
          <w:szCs w:val="24"/>
          <w:lang w:eastAsia="lt-LT"/>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8506"/>
        <w:gridCol w:w="139"/>
      </w:tblGrid>
      <w:tr w:rsidR="00BD7396" w14:paraId="318037F9" w14:textId="77777777" w:rsidTr="00BD7396">
        <w:trPr>
          <w:gridAfter w:val="1"/>
          <w:wAfter w:w="139" w:type="dxa"/>
        </w:trPr>
        <w:tc>
          <w:tcPr>
            <w:tcW w:w="1134" w:type="dxa"/>
            <w:tcBorders>
              <w:top w:val="single" w:sz="4" w:space="0" w:color="auto"/>
              <w:left w:val="single" w:sz="4" w:space="0" w:color="auto"/>
              <w:bottom w:val="single" w:sz="4" w:space="0" w:color="auto"/>
              <w:right w:val="single" w:sz="4" w:space="0" w:color="auto"/>
            </w:tcBorders>
            <w:hideMark/>
          </w:tcPr>
          <w:p w14:paraId="40441572" w14:textId="77777777" w:rsidR="00BD7396" w:rsidRDefault="00BD7396">
            <w:pPr>
              <w:jc w:val="center"/>
              <w:rPr>
                <w:szCs w:val="24"/>
                <w:lang w:eastAsia="lt-LT"/>
              </w:rPr>
            </w:pPr>
            <w:r>
              <w:rPr>
                <w:szCs w:val="24"/>
                <w:lang w:eastAsia="lt-LT"/>
              </w:rPr>
              <w:t>1.</w:t>
            </w:r>
          </w:p>
        </w:tc>
        <w:tc>
          <w:tcPr>
            <w:tcW w:w="8503" w:type="dxa"/>
            <w:tcBorders>
              <w:top w:val="single" w:sz="4" w:space="0" w:color="auto"/>
              <w:left w:val="single" w:sz="4" w:space="0" w:color="auto"/>
              <w:bottom w:val="single" w:sz="4" w:space="0" w:color="auto"/>
              <w:right w:val="single" w:sz="4" w:space="0" w:color="auto"/>
            </w:tcBorders>
            <w:hideMark/>
          </w:tcPr>
          <w:p w14:paraId="16BA280A" w14:textId="66654464" w:rsidR="00900CB0" w:rsidRPr="0028634A" w:rsidRDefault="00385A70" w:rsidP="00900CB0">
            <w:pPr>
              <w:rPr>
                <w:rFonts w:eastAsia="Arial Unicode MS"/>
                <w:bdr w:val="nil"/>
                <w:lang w:eastAsia="lt-LT"/>
              </w:rPr>
            </w:pPr>
            <w:r w:rsidRPr="0028634A">
              <w:rPr>
                <w:rFonts w:eastAsia="Arial Unicode MS"/>
                <w:szCs w:val="24"/>
                <w:bdr w:val="nil"/>
                <w:lang w:eastAsia="lt-LT"/>
              </w:rPr>
              <w:t>VPĮ</w:t>
            </w:r>
            <w:r w:rsidR="00900CB0" w:rsidRPr="0028634A">
              <w:rPr>
                <w:rFonts w:eastAsia="Arial Unicode MS"/>
                <w:szCs w:val="24"/>
                <w:bdr w:val="nil"/>
                <w:lang w:eastAsia="lt-LT"/>
              </w:rPr>
              <w:t xml:space="preserve"> 17 straipsnis 1 dalis</w:t>
            </w:r>
            <w:r w:rsidR="00900CB0" w:rsidRPr="0028634A">
              <w:rPr>
                <w:rStyle w:val="FootnoteReference"/>
                <w:rFonts w:eastAsia="Arial Unicode MS"/>
                <w:szCs w:val="24"/>
                <w:bdr w:val="nil"/>
                <w:lang w:eastAsia="lt-LT"/>
              </w:rPr>
              <w:footnoteReference w:id="1"/>
            </w:r>
            <w:r w:rsidR="00900CB0" w:rsidRPr="0028634A">
              <w:rPr>
                <w:rFonts w:eastAsia="Arial Unicode MS"/>
                <w:szCs w:val="24"/>
                <w:bdr w:val="nil"/>
                <w:lang w:eastAsia="lt-LT"/>
              </w:rPr>
              <w:t>.</w:t>
            </w:r>
            <w:r w:rsidR="00900CB0" w:rsidRPr="0028634A">
              <w:rPr>
                <w:rFonts w:eastAsia="Arial Unicode MS"/>
                <w:bdr w:val="nil"/>
                <w:lang w:eastAsia="lt-LT"/>
              </w:rPr>
              <w:t xml:space="preserve"> </w:t>
            </w:r>
          </w:p>
          <w:p w14:paraId="4A1562E8" w14:textId="20D30B27" w:rsidR="00BD7396" w:rsidRPr="00900CB0" w:rsidRDefault="00385A70" w:rsidP="00900CB0">
            <w:pPr>
              <w:rPr>
                <w:bCs/>
                <w:szCs w:val="24"/>
              </w:rPr>
            </w:pPr>
            <w:r w:rsidRPr="0028634A">
              <w:rPr>
                <w:rFonts w:eastAsia="Arial Unicode MS"/>
                <w:szCs w:val="24"/>
                <w:bdr w:val="nil"/>
                <w:lang w:eastAsia="lt-LT"/>
              </w:rPr>
              <w:t>VPĮ</w:t>
            </w:r>
            <w:r w:rsidR="00900CB0" w:rsidRPr="0028634A">
              <w:rPr>
                <w:rFonts w:eastAsia="Arial Unicode MS"/>
                <w:szCs w:val="24"/>
                <w:bdr w:val="nil"/>
                <w:lang w:eastAsia="lt-LT"/>
              </w:rPr>
              <w:t xml:space="preserve"> 35 straipsnio </w:t>
            </w:r>
            <w:r w:rsidR="00900CB0" w:rsidRPr="0028634A">
              <w:rPr>
                <w:bCs/>
                <w:szCs w:val="24"/>
              </w:rPr>
              <w:t>4 dalis</w:t>
            </w:r>
            <w:r w:rsidR="00900CB0" w:rsidRPr="0028634A">
              <w:rPr>
                <w:rStyle w:val="FootnoteReference"/>
                <w:bCs/>
                <w:szCs w:val="24"/>
              </w:rPr>
              <w:footnoteReference w:id="2"/>
            </w:r>
          </w:p>
        </w:tc>
      </w:tr>
      <w:tr w:rsidR="00BD7396" w14:paraId="717006BE" w14:textId="77777777" w:rsidTr="00BD7396">
        <w:tc>
          <w:tcPr>
            <w:tcW w:w="977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91E7A2" w14:textId="676D8804" w:rsidR="00BD7396" w:rsidRDefault="00BD7396">
            <w:pPr>
              <w:jc w:val="both"/>
              <w:rPr>
                <w:sz w:val="23"/>
                <w:szCs w:val="23"/>
              </w:rPr>
            </w:pPr>
            <w:r>
              <w:rPr>
                <w:szCs w:val="24"/>
              </w:rPr>
              <w:t xml:space="preserve">       </w:t>
            </w:r>
            <w:r w:rsidRPr="00EF568B">
              <w:rPr>
                <w:szCs w:val="24"/>
              </w:rPr>
              <w:t>Tarnyba paprašė</w:t>
            </w:r>
            <w:r>
              <w:rPr>
                <w:rStyle w:val="FootnoteReference"/>
                <w:szCs w:val="24"/>
              </w:rPr>
              <w:footnoteReference w:id="3"/>
            </w:r>
            <w:r>
              <w:rPr>
                <w:szCs w:val="24"/>
              </w:rPr>
              <w:t xml:space="preserve"> </w:t>
            </w:r>
            <w:r w:rsidRPr="00EF568B">
              <w:rPr>
                <w:szCs w:val="24"/>
              </w:rPr>
              <w:t xml:space="preserve">Perkančiosios organizacijos </w:t>
            </w:r>
            <w:r w:rsidRPr="007C3862">
              <w:rPr>
                <w:szCs w:val="24"/>
              </w:rPr>
              <w:t>paaiškinti ir pagrįs</w:t>
            </w:r>
            <w:r>
              <w:rPr>
                <w:szCs w:val="24"/>
              </w:rPr>
              <w:t>ti, kokie dokumentai, atsižvelgiant į Pirkimo sąlygų 2.7 punkte nurodytą sąlygą, kad „&lt;...&gt;</w:t>
            </w:r>
            <w:r w:rsidRPr="00016D40">
              <w:rPr>
                <w:szCs w:val="24"/>
              </w:rPr>
              <w:t xml:space="preserve"> </w:t>
            </w:r>
            <w:r w:rsidRPr="00A10F64">
              <w:rPr>
                <w:b/>
                <w:bCs/>
                <w:szCs w:val="24"/>
              </w:rPr>
              <w:t>Būtina pateikti kartu su pasiūlymu gamintojo</w:t>
            </w:r>
            <w:r w:rsidRPr="00A10F64">
              <w:rPr>
                <w:szCs w:val="24"/>
              </w:rPr>
              <w:t xml:space="preserve"> </w:t>
            </w:r>
            <w:r w:rsidRPr="00DD38CC">
              <w:rPr>
                <w:b/>
                <w:bCs/>
                <w:szCs w:val="24"/>
              </w:rPr>
              <w:t>bukletus</w:t>
            </w:r>
            <w:r>
              <w:rPr>
                <w:szCs w:val="24"/>
              </w:rPr>
              <w:t xml:space="preserve"> &lt;...&gt;</w:t>
            </w:r>
            <w:r w:rsidRPr="00A10F64">
              <w:rPr>
                <w:szCs w:val="24"/>
              </w:rPr>
              <w:t>“</w:t>
            </w:r>
            <w:r>
              <w:rPr>
                <w:szCs w:val="24"/>
              </w:rPr>
              <w:t>, tiekėjų turėjo būti pateikiami teikiant pasiūlymą. Perkančioji organizacija, atsakydama į Tarnybos prašymą</w:t>
            </w:r>
            <w:r>
              <w:rPr>
                <w:rStyle w:val="FootnoteReference"/>
                <w:szCs w:val="24"/>
              </w:rPr>
              <w:footnoteReference w:id="4"/>
            </w:r>
            <w:r>
              <w:rPr>
                <w:szCs w:val="24"/>
              </w:rPr>
              <w:t>, nurodė, kad:</w:t>
            </w:r>
            <w:r>
              <w:rPr>
                <w:i/>
                <w:iCs/>
                <w:szCs w:val="24"/>
              </w:rPr>
              <w:t xml:space="preserve"> </w:t>
            </w:r>
            <w:r w:rsidRPr="00F44DCB">
              <w:rPr>
                <w:szCs w:val="24"/>
              </w:rPr>
              <w:t>„</w:t>
            </w:r>
            <w:r>
              <w:rPr>
                <w:i/>
                <w:iCs/>
                <w:szCs w:val="24"/>
              </w:rPr>
              <w:t>&lt;...&gt; gamintojo bukletai atrodo kaip gamintojo gaminamų produktų ir jų techninių parametrų visuma, kuriose tiekėjai nurodo perkančiosios organizacijos perkamos prekės techninius parametrus</w:t>
            </w:r>
            <w:r w:rsidRPr="00F44DCB">
              <w:rPr>
                <w:szCs w:val="24"/>
              </w:rPr>
              <w:t>“</w:t>
            </w:r>
            <w:r>
              <w:rPr>
                <w:szCs w:val="24"/>
              </w:rPr>
              <w:t>. Įvertinus Pirkimo sąlygas, kuriose prašoma pateikti gamintojo bukletus, tiekėjų pasiūlymus, su kuriais buvo pateikiamos brošiūros, kataloginiai aprašymai, gamintojo katalogai, techniniai aprašymai, vartotojo vadovai, bei susirašinėjimą per CVP IS su tiekėjais, kuriuose Perkančiosios organizacijos tiekėjų buvo prašoma pateikti „oficialius gamintojo originalius katalogus“, be kita ko, Pirkimo komisijos protokolus, kuriuose nurodomi bukletai, originalūs gamintojo katalogai, kataloginis aprašymas, nėra aišku, kokie dokumentai turėjo būti laikomi tinkamais išpildant pirmiau nurodytą Pirkimo sąlygą.</w:t>
            </w:r>
          </w:p>
        </w:tc>
      </w:tr>
    </w:tbl>
    <w:p w14:paraId="66344128" w14:textId="77777777" w:rsidR="00FC5CFE" w:rsidRDefault="00FC5CFE" w:rsidP="00157E60">
      <w:pPr>
        <w:rPr>
          <w:b/>
          <w:szCs w:val="24"/>
          <w:lang w:eastAsia="lt-LT"/>
        </w:rPr>
      </w:pPr>
    </w:p>
    <w:p w14:paraId="7DB48554" w14:textId="77777777" w:rsidR="00FC5CFE" w:rsidRDefault="006970CE">
      <w:pPr>
        <w:jc w:val="center"/>
        <w:rPr>
          <w:b/>
          <w:szCs w:val="24"/>
          <w:lang w:eastAsia="lt-LT"/>
        </w:rPr>
      </w:pPr>
      <w:r>
        <w:rPr>
          <w:b/>
          <w:szCs w:val="24"/>
          <w:lang w:eastAsia="lt-LT"/>
        </w:rPr>
        <w:t>IV dalis. Sprendimas</w:t>
      </w:r>
    </w:p>
    <w:p w14:paraId="116BD3A4" w14:textId="77777777" w:rsidR="00FC5CFE" w:rsidRDefault="00FC5CFE">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C5CFE" w14:paraId="115AF5E5" w14:textId="77777777">
        <w:tc>
          <w:tcPr>
            <w:tcW w:w="9776" w:type="dxa"/>
            <w:tcBorders>
              <w:top w:val="single" w:sz="4" w:space="0" w:color="auto"/>
              <w:left w:val="single" w:sz="4" w:space="0" w:color="auto"/>
              <w:bottom w:val="single" w:sz="4" w:space="0" w:color="auto"/>
              <w:right w:val="single" w:sz="4" w:space="0" w:color="auto"/>
            </w:tcBorders>
            <w:shd w:val="clear" w:color="auto" w:fill="auto"/>
          </w:tcPr>
          <w:p w14:paraId="36345984" w14:textId="07D89C94" w:rsidR="00FC5CFE" w:rsidRDefault="00C4484C">
            <w:pPr>
              <w:jc w:val="both"/>
              <w:rPr>
                <w:b/>
                <w:iCs/>
                <w:sz w:val="20"/>
                <w:lang w:eastAsia="lt-LT"/>
              </w:rPr>
            </w:pPr>
            <w:r>
              <w:rPr>
                <w:rFonts w:eastAsiaTheme="minorHAnsi"/>
                <w:szCs w:val="24"/>
              </w:rPr>
              <w:t xml:space="preserve">           </w:t>
            </w:r>
            <w:r w:rsidR="00763F28" w:rsidRPr="002E6C9C">
              <w:rPr>
                <w:rFonts w:eastAsiaTheme="minorHAnsi"/>
                <w:szCs w:val="24"/>
              </w:rPr>
              <w:t xml:space="preserve">Tarnyba, atlikusi </w:t>
            </w:r>
            <w:r w:rsidR="00763F28">
              <w:rPr>
                <w:rFonts w:eastAsiaTheme="minorHAnsi"/>
                <w:szCs w:val="24"/>
              </w:rPr>
              <w:t xml:space="preserve">dalinį </w:t>
            </w:r>
            <w:r w:rsidR="00763F28" w:rsidRPr="002E6C9C">
              <w:rPr>
                <w:rFonts w:eastAsiaTheme="minorHAnsi"/>
                <w:szCs w:val="24"/>
              </w:rPr>
              <w:t>Pirkimo vertinimą</w:t>
            </w:r>
            <w:r w:rsidR="00763F28">
              <w:rPr>
                <w:rFonts w:eastAsiaTheme="minorHAnsi"/>
                <w:szCs w:val="24"/>
              </w:rPr>
              <w:t xml:space="preserve"> </w:t>
            </w:r>
            <w:r w:rsidR="00E24F0E">
              <w:rPr>
                <w:szCs w:val="24"/>
              </w:rPr>
              <w:t xml:space="preserve">dėl Pirkimo objekto dalies Nr. 2 </w:t>
            </w:r>
            <w:r w:rsidR="00E24F0E" w:rsidRPr="00FB70C5">
              <w:rPr>
                <w:szCs w:val="24"/>
              </w:rPr>
              <w:t>„</w:t>
            </w:r>
            <w:r w:rsidR="00E24F0E" w:rsidRPr="00DF6DB9">
              <w:rPr>
                <w:szCs w:val="24"/>
              </w:rPr>
              <w:t>Mechaninės funkcinės lovos su čiužiniais</w:t>
            </w:r>
            <w:r w:rsidR="00E24F0E">
              <w:rPr>
                <w:szCs w:val="24"/>
              </w:rPr>
              <w:t>“ tiekėjo pasiūlymo vertinimo</w:t>
            </w:r>
            <w:r w:rsidR="00763F28" w:rsidRPr="002E6C9C">
              <w:rPr>
                <w:rFonts w:eastAsiaTheme="minorHAnsi"/>
                <w:szCs w:val="24"/>
              </w:rPr>
              <w:t xml:space="preserve">, </w:t>
            </w:r>
            <w:r w:rsidR="00C45D4D">
              <w:rPr>
                <w:szCs w:val="24"/>
              </w:rPr>
              <w:t>VPĮ</w:t>
            </w:r>
            <w:r w:rsidR="00763F28" w:rsidRPr="002E6C9C">
              <w:rPr>
                <w:szCs w:val="24"/>
              </w:rPr>
              <w:t xml:space="preserve"> ar jo įgyvendinamųjų teisės aktų nuostatų pažeidimų </w:t>
            </w:r>
            <w:r w:rsidR="00F9639D">
              <w:rPr>
                <w:szCs w:val="24"/>
              </w:rPr>
              <w:t>nurodytu</w:t>
            </w:r>
            <w:r w:rsidR="00C45D4D">
              <w:rPr>
                <w:szCs w:val="24"/>
              </w:rPr>
              <w:t xml:space="preserve"> aspektu </w:t>
            </w:r>
            <w:r w:rsidR="00763F28" w:rsidRPr="002E6C9C">
              <w:rPr>
                <w:szCs w:val="24"/>
              </w:rPr>
              <w:t>nenustatė</w:t>
            </w:r>
            <w:r w:rsidR="001B13A1">
              <w:rPr>
                <w:szCs w:val="24"/>
              </w:rPr>
              <w:t>,</w:t>
            </w:r>
            <w:r w:rsidR="005F1B40">
              <w:rPr>
                <w:szCs w:val="24"/>
              </w:rPr>
              <w:t xml:space="preserve"> </w:t>
            </w:r>
            <w:r w:rsidR="001B13A1">
              <w:rPr>
                <w:szCs w:val="24"/>
              </w:rPr>
              <w:t>todėl, vadovaudamasi teisingumo ir protingumo kriterijais</w:t>
            </w:r>
            <w:r w:rsidR="000E62D4">
              <w:rPr>
                <w:szCs w:val="24"/>
              </w:rPr>
              <w:t xml:space="preserve"> (</w:t>
            </w:r>
            <w:r w:rsidR="000E62D4" w:rsidRPr="00487ED3">
              <w:rPr>
                <w:szCs w:val="24"/>
              </w:rPr>
              <w:t xml:space="preserve">be kita ko atsižvelgdama ir į nustatytų VPĮ </w:t>
            </w:r>
            <w:r w:rsidR="00E80652" w:rsidRPr="00487ED3">
              <w:rPr>
                <w:rFonts w:eastAsia="Arial Unicode MS"/>
                <w:szCs w:val="24"/>
                <w:bdr w:val="nil"/>
                <w:lang w:eastAsia="lt-LT"/>
              </w:rPr>
              <w:t>17 straipsnis 1 dalis</w:t>
            </w:r>
            <w:r w:rsidR="00E80652" w:rsidRPr="00487ED3">
              <w:rPr>
                <w:szCs w:val="24"/>
              </w:rPr>
              <w:t xml:space="preserve"> </w:t>
            </w:r>
            <w:r w:rsidR="000E62D4" w:rsidRPr="00487ED3">
              <w:rPr>
                <w:szCs w:val="24"/>
              </w:rPr>
              <w:t xml:space="preserve">ir </w:t>
            </w:r>
            <w:r w:rsidR="00E80652" w:rsidRPr="00487ED3">
              <w:rPr>
                <w:rFonts w:eastAsia="Arial Unicode MS"/>
                <w:szCs w:val="24"/>
                <w:bdr w:val="nil"/>
                <w:lang w:eastAsia="lt-LT"/>
              </w:rPr>
              <w:t xml:space="preserve">35 straipsnio </w:t>
            </w:r>
            <w:r w:rsidR="00E80652" w:rsidRPr="00487ED3">
              <w:rPr>
                <w:bCs/>
                <w:szCs w:val="24"/>
              </w:rPr>
              <w:t>4 dalis</w:t>
            </w:r>
            <w:r w:rsidR="000E62D4" w:rsidRPr="00487ED3">
              <w:rPr>
                <w:szCs w:val="24"/>
              </w:rPr>
              <w:t xml:space="preserve"> pažeidimų pobūdį, mastą ir tai, kad šis pažeidimas neturėjo įtakos Pirkimo rezultatui</w:t>
            </w:r>
            <w:r w:rsidR="000E62D4">
              <w:rPr>
                <w:szCs w:val="24"/>
              </w:rPr>
              <w:t>)</w:t>
            </w:r>
            <w:r w:rsidR="001B13A1">
              <w:rPr>
                <w:szCs w:val="24"/>
              </w:rPr>
              <w:t>, sprendžia, kad Perkančioji organizacija</w:t>
            </w:r>
            <w:r w:rsidR="001B13A1">
              <w:rPr>
                <w:bCs/>
                <w:szCs w:val="24"/>
              </w:rPr>
              <w:t xml:space="preserve"> </w:t>
            </w:r>
            <w:r w:rsidR="001B13A1">
              <w:rPr>
                <w:szCs w:val="24"/>
              </w:rPr>
              <w:t>gali tęsti Pirkimo procedūras.</w:t>
            </w:r>
          </w:p>
        </w:tc>
      </w:tr>
    </w:tbl>
    <w:p w14:paraId="69981CF8" w14:textId="77777777" w:rsidR="00FC5CFE" w:rsidRDefault="00FC5CFE">
      <w:pPr>
        <w:ind w:firstLine="720"/>
        <w:jc w:val="both"/>
        <w:rPr>
          <w:b/>
          <w:szCs w:val="24"/>
          <w:lang w:eastAsia="lt-LT"/>
        </w:rPr>
      </w:pPr>
    </w:p>
    <w:p w14:paraId="037FE323" w14:textId="12F22E0F" w:rsidR="00FC5CFE" w:rsidRDefault="006970CE" w:rsidP="00A76D9B">
      <w:pPr>
        <w:jc w:val="center"/>
        <w:rPr>
          <w:b/>
          <w:szCs w:val="24"/>
          <w:lang w:eastAsia="lt-LT"/>
        </w:rPr>
      </w:pPr>
      <w:r>
        <w:rPr>
          <w:b/>
          <w:szCs w:val="24"/>
          <w:lang w:eastAsia="lt-LT"/>
        </w:rPr>
        <w:t>Pastabos</w:t>
      </w:r>
    </w:p>
    <w:p w14:paraId="6FDDABEB" w14:textId="77777777" w:rsidR="00A76D9B" w:rsidRDefault="00A76D9B" w:rsidP="00A76D9B">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C5CFE" w14:paraId="7CB81037" w14:textId="77777777" w:rsidTr="00F413D7">
        <w:trPr>
          <w:trHeight w:val="2196"/>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1FFE6010" w14:textId="26371667" w:rsidR="008F499E" w:rsidRPr="00240E7D" w:rsidRDefault="00B76CE6" w:rsidP="00240E7D">
            <w:pPr>
              <w:spacing w:before="120"/>
              <w:ind w:firstLine="741"/>
              <w:jc w:val="both"/>
              <w:rPr>
                <w:rFonts w:eastAsia="Calibri"/>
                <w:szCs w:val="24"/>
              </w:rPr>
            </w:pPr>
            <w:r>
              <w:lastRenderedPageBreak/>
              <w:t xml:space="preserve">Pirkimo komisijos 2022 m. sausio 21 d. protokole Nr. VP-8 nustatyta, jog </w:t>
            </w:r>
            <w:r>
              <w:rPr>
                <w:szCs w:val="24"/>
              </w:rPr>
              <w:t xml:space="preserve">„&lt;...&gt; </w:t>
            </w:r>
            <w:r>
              <w:t>reikia kreiptis į tiekėjus ir paprašyti, kad per vieną darbo dieną ištaisytų rastus neatitikimus</w:t>
            </w:r>
            <w:r>
              <w:rPr>
                <w:szCs w:val="24"/>
              </w:rPr>
              <w:t>“</w:t>
            </w:r>
            <w:r>
              <w:t>. Atkreiptinas dėmesys</w:t>
            </w:r>
            <w:r w:rsidRPr="002D49BD">
              <w:rPr>
                <w:szCs w:val="24"/>
              </w:rPr>
              <w:t xml:space="preserve">, kad </w:t>
            </w:r>
            <w:r w:rsidRPr="002A1104">
              <w:rPr>
                <w:szCs w:val="24"/>
              </w:rPr>
              <w:t xml:space="preserve">Tarnybos parengtose </w:t>
            </w:r>
            <w:r>
              <w:rPr>
                <w:szCs w:val="24"/>
              </w:rPr>
              <w:t xml:space="preserve">Pasiūlymų vertinimo </w:t>
            </w:r>
            <w:r w:rsidRPr="002A1104">
              <w:rPr>
                <w:szCs w:val="24"/>
              </w:rPr>
              <w:t>gairės</w:t>
            </w:r>
            <w:r>
              <w:rPr>
                <w:szCs w:val="24"/>
              </w:rPr>
              <w:t>e</w:t>
            </w:r>
            <w:r>
              <w:rPr>
                <w:rStyle w:val="FootnoteReference"/>
                <w:szCs w:val="24"/>
              </w:rPr>
              <w:footnoteReference w:id="5"/>
            </w:r>
            <w:r w:rsidRPr="002A1104">
              <w:rPr>
                <w:szCs w:val="24"/>
              </w:rPr>
              <w:t> (</w:t>
            </w:r>
            <w:r>
              <w:rPr>
                <w:szCs w:val="24"/>
              </w:rPr>
              <w:t>10</w:t>
            </w:r>
            <w:r w:rsidRPr="002A1104">
              <w:rPr>
                <w:szCs w:val="24"/>
              </w:rPr>
              <w:t xml:space="preserve"> psl.</w:t>
            </w:r>
            <w:r>
              <w:rPr>
                <w:szCs w:val="24"/>
              </w:rPr>
              <w:t>, skyrius „P</w:t>
            </w:r>
            <w:r>
              <w:t>asiūlymų vertinimo procedūros eiga</w:t>
            </w:r>
            <w:r>
              <w:rPr>
                <w:szCs w:val="24"/>
              </w:rPr>
              <w:t>“</w:t>
            </w:r>
            <w:r w:rsidRPr="002A1104">
              <w:rPr>
                <w:szCs w:val="24"/>
              </w:rPr>
              <w:t>) nurodyta</w:t>
            </w:r>
            <w:r>
              <w:rPr>
                <w:szCs w:val="24"/>
              </w:rPr>
              <w:t>, jog</w:t>
            </w:r>
            <w:r w:rsidRPr="002A1104">
              <w:rPr>
                <w:szCs w:val="24"/>
              </w:rPr>
              <w:t xml:space="preserve">: </w:t>
            </w:r>
            <w:r>
              <w:rPr>
                <w:szCs w:val="24"/>
              </w:rPr>
              <w:t>„</w:t>
            </w:r>
            <w:r w:rsidRPr="00531E23">
              <w:rPr>
                <w:i/>
                <w:iCs/>
              </w:rPr>
              <w:t xml:space="preserve">Kreipiantis į tiekėją paaiškinimo, būtina nustatyti konkretų terminą, iki kurio paaiškinimai ar papildomi dokumentai (kai jie gali būti teikiami) turi būti pateikti. Šis terminas turi būti nustatomas </w:t>
            </w:r>
            <w:r w:rsidRPr="00CE6E56">
              <w:rPr>
                <w:b/>
                <w:bCs/>
                <w:i/>
                <w:iCs/>
              </w:rPr>
              <w:t>proporcingas, pakankamas</w:t>
            </w:r>
            <w:r w:rsidRPr="00531E23">
              <w:rPr>
                <w:i/>
                <w:iCs/>
              </w:rPr>
              <w:t xml:space="preserve"> tiekėjui susipažinti su organizacijos pateiktu prašymu, jį įvertinti bei, jei reikia, gauti papildomus dokumentus. Pirkimų vykdytojai turi atkreipti dėmesį, kad tiekėjai paprastai dalyvauja daugiau nei viename pirkime, jų turimi ištekliai ir žmogiškieji resursai taip pat neretai būna riboti, todėl net ir, atrodytų, paprastam paaiškinimui pateikti nustatomas </w:t>
            </w:r>
            <w:r w:rsidRPr="00CE6E56">
              <w:rPr>
                <w:b/>
                <w:bCs/>
                <w:i/>
                <w:iCs/>
              </w:rPr>
              <w:t>vos vienos ar dviejų darbo dienų terminas</w:t>
            </w:r>
            <w:r w:rsidRPr="00531E23">
              <w:rPr>
                <w:i/>
                <w:iCs/>
              </w:rPr>
              <w:t xml:space="preserve"> gali būti nepakankamas</w:t>
            </w:r>
            <w:r w:rsidRPr="007D308E">
              <w:rPr>
                <w:szCs w:val="24"/>
              </w:rPr>
              <w:t>“</w:t>
            </w:r>
            <w:r>
              <w:rPr>
                <w:szCs w:val="24"/>
              </w:rPr>
              <w:t xml:space="preserve">. </w:t>
            </w:r>
            <w:r w:rsidRPr="003B26C0">
              <w:rPr>
                <w:szCs w:val="24"/>
              </w:rPr>
              <w:t xml:space="preserve">Atsižvelgiant į išdėstytą, Tarnybai kelia abejonių, ar Perkančiosios organizacijos nustatytas 1 darbo dienos terminas kreipiantis į tiekėjus pateikti paaiškinimus (įskaitant bukleto vertimą į lietuvių kalbą) buvo pakankamas ir proporcingas, nes abejotina, ar per tokį trumpą laiką būtų spėta išpildyti pirmiau nurodytą Perkančiosios organizacijos reikalavimą </w:t>
            </w:r>
            <w:r>
              <w:t>ir, nors nagrinėjamu atveju išanalizavus faktines Pirkimo procedūrų vykdymo aplinkybes, Tarnyba nenustatė VPĮ pažeidimo, tačiau ateityje vykdomų pirkimų procedūrų metu terminai tiekėjams pateikti papildomus paaiškinimus turi būti nustatomi vadovaujantis protingumo bei proporcingumo principais bei atsižvelgiant į pirmiau nurodytas gaires.</w:t>
            </w:r>
          </w:p>
        </w:tc>
      </w:tr>
    </w:tbl>
    <w:p w14:paraId="21F0EA09" w14:textId="77777777" w:rsidR="007A09FC" w:rsidRDefault="007A09FC" w:rsidP="00823BD8">
      <w:pPr>
        <w:rPr>
          <w:szCs w:val="24"/>
          <w:lang w:eastAsia="lt-LT"/>
        </w:rPr>
      </w:pPr>
    </w:p>
    <w:p w14:paraId="1E01068B" w14:textId="77777777" w:rsidR="007A09FC" w:rsidRDefault="007A09FC" w:rsidP="00823BD8">
      <w:pPr>
        <w:rPr>
          <w:szCs w:val="24"/>
          <w:lang w:eastAsia="lt-LT"/>
        </w:rPr>
      </w:pPr>
    </w:p>
    <w:p w14:paraId="71451F34" w14:textId="77777777" w:rsidR="007A09FC" w:rsidRDefault="007A09FC" w:rsidP="00823BD8">
      <w:r w:rsidRPr="00007472">
        <w:t>Direktorius                                                                                                                  Darius Vedrickas</w:t>
      </w:r>
    </w:p>
    <w:p w14:paraId="1B53B53C" w14:textId="77777777" w:rsidR="007A09FC" w:rsidRDefault="007A09FC" w:rsidP="00823BD8"/>
    <w:p w14:paraId="075016B6" w14:textId="15772967" w:rsidR="007A09FC" w:rsidRDefault="007A09FC" w:rsidP="007A09FC"/>
    <w:p w14:paraId="177C14EF" w14:textId="549CC3F1" w:rsidR="00B31778" w:rsidRDefault="00B31778" w:rsidP="007A09FC"/>
    <w:p w14:paraId="1D15D91B" w14:textId="6A36B181" w:rsidR="00011FF6" w:rsidRDefault="00011FF6" w:rsidP="007A09FC"/>
    <w:p w14:paraId="4F4493C1" w14:textId="14E5308D" w:rsidR="00011FF6" w:rsidRDefault="00011FF6" w:rsidP="007A09FC"/>
    <w:p w14:paraId="3784581B" w14:textId="6B34D734" w:rsidR="00011FF6" w:rsidRDefault="00011FF6" w:rsidP="007A09FC"/>
    <w:p w14:paraId="6530C619" w14:textId="1B2C8F9E" w:rsidR="00011FF6" w:rsidRDefault="00011FF6" w:rsidP="007A09FC"/>
    <w:p w14:paraId="178E4E68" w14:textId="4962B37D" w:rsidR="00011FF6" w:rsidRDefault="00011FF6" w:rsidP="007A09FC"/>
    <w:p w14:paraId="6A8C95BA" w14:textId="2E59002D" w:rsidR="00011FF6" w:rsidRDefault="00011FF6" w:rsidP="007A09FC"/>
    <w:p w14:paraId="27687EA3" w14:textId="6ECF0735" w:rsidR="00011FF6" w:rsidRDefault="00011FF6" w:rsidP="007A09FC"/>
    <w:p w14:paraId="17546DD9" w14:textId="1D06DF66" w:rsidR="00011FF6" w:rsidRDefault="00011FF6" w:rsidP="007A09FC"/>
    <w:p w14:paraId="2BB4FD0F" w14:textId="595CFA58" w:rsidR="00011FF6" w:rsidRDefault="00011FF6" w:rsidP="007A09FC"/>
    <w:p w14:paraId="5EFCF043" w14:textId="289A2291" w:rsidR="00011FF6" w:rsidRDefault="00011FF6" w:rsidP="007A09FC"/>
    <w:p w14:paraId="3C2CE18E" w14:textId="5262F6EC" w:rsidR="00011FF6" w:rsidRDefault="00011FF6" w:rsidP="007A09FC"/>
    <w:p w14:paraId="39A7A35C" w14:textId="6F32E247" w:rsidR="00B76CE6" w:rsidRDefault="00B76CE6" w:rsidP="007A09FC"/>
    <w:p w14:paraId="0E1FA02D" w14:textId="6E50A4DA" w:rsidR="00B76CE6" w:rsidRDefault="00B76CE6" w:rsidP="007A09FC"/>
    <w:p w14:paraId="26D13C7A" w14:textId="4409E2C5" w:rsidR="00B76CE6" w:rsidRDefault="00B76CE6" w:rsidP="007A09FC"/>
    <w:p w14:paraId="4A4D8039" w14:textId="1A3CF0B0" w:rsidR="00B76CE6" w:rsidRDefault="00B76CE6" w:rsidP="007A09FC"/>
    <w:p w14:paraId="2EEA4B95" w14:textId="6D625D15" w:rsidR="00B76CE6" w:rsidRDefault="00B76CE6" w:rsidP="007A09FC"/>
    <w:p w14:paraId="7199D32E" w14:textId="354782EC" w:rsidR="00B76CE6" w:rsidRDefault="00B76CE6" w:rsidP="007A09FC"/>
    <w:p w14:paraId="13767147" w14:textId="77777777" w:rsidR="00B76CE6" w:rsidRDefault="00B76CE6" w:rsidP="007A09FC"/>
    <w:p w14:paraId="6604AAEB" w14:textId="50A633E9" w:rsidR="00011FF6" w:rsidRDefault="00011FF6" w:rsidP="007A09FC"/>
    <w:p w14:paraId="13226470" w14:textId="2973DAA8" w:rsidR="00C364BF" w:rsidRDefault="00C364BF" w:rsidP="007A09FC"/>
    <w:p w14:paraId="5C981AD3" w14:textId="5249E88B" w:rsidR="00C364BF" w:rsidRDefault="00C364BF" w:rsidP="007A09FC"/>
    <w:p w14:paraId="786AF8CE" w14:textId="3AD7EEA6" w:rsidR="00C364BF" w:rsidRDefault="00C364BF" w:rsidP="007A09FC"/>
    <w:p w14:paraId="08EB1ADE" w14:textId="3E7271D8" w:rsidR="00C364BF" w:rsidRDefault="00C364BF" w:rsidP="007A09FC"/>
    <w:p w14:paraId="478631FA" w14:textId="02381ABE" w:rsidR="00C364BF" w:rsidRDefault="00C364BF" w:rsidP="007A09FC"/>
    <w:p w14:paraId="3D66931C" w14:textId="77777777" w:rsidR="00C364BF" w:rsidRDefault="00C364BF" w:rsidP="007A09FC"/>
    <w:p w14:paraId="68FF1917" w14:textId="002BAEA3" w:rsidR="00FC5CFE" w:rsidRDefault="007A09FC" w:rsidP="00823BD8">
      <w:pPr>
        <w:rPr>
          <w:szCs w:val="24"/>
          <w:lang w:eastAsia="lt-LT"/>
        </w:rPr>
      </w:pPr>
      <w:r w:rsidRPr="004F0243">
        <w:t>L</w:t>
      </w:r>
      <w:r>
        <w:t xml:space="preserve">aura </w:t>
      </w:r>
      <w:r w:rsidRPr="004F0243">
        <w:t xml:space="preserve">Žemaitė, tel. (8 5) </w:t>
      </w:r>
      <w:r w:rsidRPr="004F0243">
        <w:rPr>
          <w:color w:val="222222"/>
        </w:rPr>
        <w:t>2197042</w:t>
      </w:r>
      <w:r w:rsidRPr="004F0243">
        <w:t>, el. p. Laura.Zemaite@vpt</w:t>
      </w:r>
      <w:r>
        <w:t>.lt</w:t>
      </w:r>
    </w:p>
    <w:sectPr w:rsidR="00FC5CFE" w:rsidSect="00A53CD1">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8B82" w14:textId="77777777" w:rsidR="00FE330E" w:rsidRDefault="00FE330E">
      <w:pPr>
        <w:ind w:firstLine="720"/>
        <w:rPr>
          <w:rFonts w:ascii="Arial" w:hAnsi="Arial" w:cs="Arial"/>
          <w:sz w:val="20"/>
          <w:lang w:eastAsia="lt-LT"/>
        </w:rPr>
      </w:pPr>
      <w:r>
        <w:rPr>
          <w:rFonts w:ascii="Arial" w:hAnsi="Arial" w:cs="Arial"/>
          <w:sz w:val="20"/>
          <w:lang w:eastAsia="lt-LT"/>
        </w:rPr>
        <w:separator/>
      </w:r>
    </w:p>
  </w:endnote>
  <w:endnote w:type="continuationSeparator" w:id="0">
    <w:p w14:paraId="29FE1B71" w14:textId="77777777" w:rsidR="00FE330E" w:rsidRDefault="00FE330E">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420D" w14:textId="77777777" w:rsidR="00FE330E" w:rsidRDefault="00FE330E">
      <w:pPr>
        <w:ind w:firstLine="720"/>
        <w:rPr>
          <w:rFonts w:ascii="Arial" w:hAnsi="Arial" w:cs="Arial"/>
          <w:sz w:val="20"/>
          <w:lang w:eastAsia="lt-LT"/>
        </w:rPr>
      </w:pPr>
      <w:r>
        <w:rPr>
          <w:rFonts w:ascii="Arial" w:hAnsi="Arial" w:cs="Arial"/>
          <w:sz w:val="20"/>
          <w:lang w:eastAsia="lt-LT"/>
        </w:rPr>
        <w:separator/>
      </w:r>
    </w:p>
  </w:footnote>
  <w:footnote w:type="continuationSeparator" w:id="0">
    <w:p w14:paraId="58F27754" w14:textId="77777777" w:rsidR="00FE330E" w:rsidRDefault="00FE330E">
      <w:pPr>
        <w:ind w:firstLine="720"/>
        <w:rPr>
          <w:rFonts w:ascii="Arial" w:hAnsi="Arial" w:cs="Arial"/>
          <w:sz w:val="20"/>
          <w:lang w:eastAsia="lt-LT"/>
        </w:rPr>
      </w:pPr>
      <w:r>
        <w:rPr>
          <w:rFonts w:ascii="Arial" w:hAnsi="Arial" w:cs="Arial"/>
          <w:sz w:val="20"/>
          <w:lang w:eastAsia="lt-LT"/>
        </w:rPr>
        <w:continuationSeparator/>
      </w:r>
    </w:p>
  </w:footnote>
  <w:footnote w:id="1">
    <w:p w14:paraId="2BD02396" w14:textId="77777777" w:rsidR="00900CB0" w:rsidRPr="00A8296B" w:rsidRDefault="00900CB0" w:rsidP="00900CB0">
      <w:pPr>
        <w:pStyle w:val="FootnoteText"/>
        <w:jc w:val="both"/>
      </w:pPr>
      <w:r w:rsidRPr="00A8296B">
        <w:rPr>
          <w:rStyle w:val="FootnoteReference"/>
        </w:rPr>
        <w:footnoteRef/>
      </w:r>
      <w:r w:rsidRPr="00A8296B">
        <w:t xml:space="preserve"> „</w:t>
      </w:r>
      <w:r w:rsidRPr="00A8296B">
        <w:rPr>
          <w:color w:val="000000"/>
        </w:rPr>
        <w:t>Perkančioji organizacija užtikrina, kad vykdant pirkimą būtų laikomasi lygiateisiškumo, nediskriminavimo, abipusio pripažinimo, proporcingumo, skaidrumo principų</w:t>
      </w:r>
      <w:r w:rsidRPr="00A8296B">
        <w:t>“.</w:t>
      </w:r>
    </w:p>
  </w:footnote>
  <w:footnote w:id="2">
    <w:p w14:paraId="6AF1F0F4" w14:textId="77777777" w:rsidR="00900CB0" w:rsidRDefault="00900CB0" w:rsidP="00900CB0">
      <w:pPr>
        <w:pStyle w:val="FootnoteText"/>
      </w:pPr>
      <w:r>
        <w:rPr>
          <w:rStyle w:val="FootnoteReference"/>
        </w:rPr>
        <w:footnoteRef/>
      </w:r>
      <w:r>
        <w:t xml:space="preserve"> </w:t>
      </w:r>
      <w:r>
        <w:rPr>
          <w:bCs/>
        </w:rPr>
        <w:t>„Pirkimo dokumentai turi būti tikslūs, aiškūs, be dviprasmybių, kad tiekėjai galėtų pateikti pasiūlymus“.</w:t>
      </w:r>
    </w:p>
  </w:footnote>
  <w:footnote w:id="3">
    <w:p w14:paraId="47B7427F" w14:textId="77777777" w:rsidR="00BD7396" w:rsidRPr="00F413D7" w:rsidRDefault="00BD7396" w:rsidP="00BD7396">
      <w:pPr>
        <w:tabs>
          <w:tab w:val="left" w:pos="851"/>
        </w:tabs>
        <w:jc w:val="both"/>
        <w:rPr>
          <w:bCs/>
          <w:sz w:val="20"/>
          <w:szCs w:val="24"/>
        </w:rPr>
      </w:pPr>
      <w:r w:rsidRPr="0004548A">
        <w:rPr>
          <w:rStyle w:val="FootnoteReference"/>
          <w:sz w:val="20"/>
        </w:rPr>
        <w:footnoteRef/>
      </w:r>
      <w:r w:rsidRPr="0004548A">
        <w:rPr>
          <w:rStyle w:val="FootnoteReference"/>
          <w:sz w:val="20"/>
        </w:rPr>
        <w:t xml:space="preserve"> </w:t>
      </w:r>
      <w:r>
        <w:rPr>
          <w:sz w:val="20"/>
        </w:rPr>
        <w:t xml:space="preserve">Tarnybos </w:t>
      </w:r>
      <w:r w:rsidRPr="004B0B16">
        <w:rPr>
          <w:bCs/>
          <w:sz w:val="20"/>
          <w:szCs w:val="24"/>
        </w:rPr>
        <w:t>2022 m. kovo 3 d. rašt</w:t>
      </w:r>
      <w:r>
        <w:rPr>
          <w:bCs/>
          <w:sz w:val="20"/>
          <w:szCs w:val="24"/>
        </w:rPr>
        <w:t>as</w:t>
      </w:r>
      <w:r w:rsidRPr="004B0B16">
        <w:rPr>
          <w:bCs/>
          <w:sz w:val="20"/>
          <w:szCs w:val="24"/>
        </w:rPr>
        <w:t xml:space="preserve"> Nr. 4S-180</w:t>
      </w:r>
      <w:r>
        <w:rPr>
          <w:bCs/>
          <w:sz w:val="20"/>
          <w:szCs w:val="24"/>
        </w:rPr>
        <w:t>.</w:t>
      </w:r>
    </w:p>
  </w:footnote>
  <w:footnote w:id="4">
    <w:p w14:paraId="5C7EDE26" w14:textId="77777777" w:rsidR="00BD7396" w:rsidRDefault="00BD7396" w:rsidP="00BD7396">
      <w:pPr>
        <w:pStyle w:val="FootnoteText"/>
        <w:jc w:val="both"/>
      </w:pPr>
      <w:r>
        <w:rPr>
          <w:rStyle w:val="FootnoteReference"/>
        </w:rPr>
        <w:footnoteRef/>
      </w:r>
      <w:r>
        <w:t xml:space="preserve"> Perkančiosios organizacijos 2022 m. kovo 3 d. raštas Nr. 103.</w:t>
      </w:r>
    </w:p>
  </w:footnote>
  <w:footnote w:id="5">
    <w:p w14:paraId="36ED29D0" w14:textId="77777777" w:rsidR="00B76CE6" w:rsidRDefault="00B76CE6" w:rsidP="00B76CE6">
      <w:pPr>
        <w:pStyle w:val="FootnoteText"/>
      </w:pPr>
      <w:r>
        <w:rPr>
          <w:rStyle w:val="FootnoteReference"/>
        </w:rPr>
        <w:footnoteRef/>
      </w:r>
      <w:r>
        <w:t xml:space="preserve"> </w:t>
      </w:r>
      <w:r w:rsidRPr="00602D6D">
        <w:rPr>
          <w:szCs w:val="24"/>
        </w:rPr>
        <w:t>https://vpt.lrv.lt/uploads/vpt/documents/files/mp/pasiulymu_vertinimas.pdf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11FF6"/>
    <w:rsid w:val="00044618"/>
    <w:rsid w:val="0004548A"/>
    <w:rsid w:val="00063267"/>
    <w:rsid w:val="00067A35"/>
    <w:rsid w:val="00071BA2"/>
    <w:rsid w:val="0008610E"/>
    <w:rsid w:val="000A1967"/>
    <w:rsid w:val="000D45A6"/>
    <w:rsid w:val="000E3DA2"/>
    <w:rsid w:val="000E62D4"/>
    <w:rsid w:val="000F1231"/>
    <w:rsid w:val="000F44B2"/>
    <w:rsid w:val="000F7A78"/>
    <w:rsid w:val="00117CBF"/>
    <w:rsid w:val="00157E60"/>
    <w:rsid w:val="0016281C"/>
    <w:rsid w:val="0018064B"/>
    <w:rsid w:val="001918E9"/>
    <w:rsid w:val="001A09EE"/>
    <w:rsid w:val="001B13A1"/>
    <w:rsid w:val="00207487"/>
    <w:rsid w:val="002159AA"/>
    <w:rsid w:val="002314DF"/>
    <w:rsid w:val="0023758D"/>
    <w:rsid w:val="00240E7D"/>
    <w:rsid w:val="002536D7"/>
    <w:rsid w:val="00260611"/>
    <w:rsid w:val="00263010"/>
    <w:rsid w:val="00263CAC"/>
    <w:rsid w:val="00270E67"/>
    <w:rsid w:val="0028634A"/>
    <w:rsid w:val="002A6DB9"/>
    <w:rsid w:val="002C3B7C"/>
    <w:rsid w:val="002D41AA"/>
    <w:rsid w:val="002E2B5D"/>
    <w:rsid w:val="003018EB"/>
    <w:rsid w:val="0031113D"/>
    <w:rsid w:val="003208A8"/>
    <w:rsid w:val="003214AD"/>
    <w:rsid w:val="0033057E"/>
    <w:rsid w:val="00342624"/>
    <w:rsid w:val="00361E9A"/>
    <w:rsid w:val="00363A98"/>
    <w:rsid w:val="00385A70"/>
    <w:rsid w:val="0039746D"/>
    <w:rsid w:val="003A4F78"/>
    <w:rsid w:val="003B26C0"/>
    <w:rsid w:val="003B7293"/>
    <w:rsid w:val="003C3410"/>
    <w:rsid w:val="003D0B15"/>
    <w:rsid w:val="003F0627"/>
    <w:rsid w:val="003F1EDE"/>
    <w:rsid w:val="00402BF2"/>
    <w:rsid w:val="0040770C"/>
    <w:rsid w:val="00426675"/>
    <w:rsid w:val="004353D9"/>
    <w:rsid w:val="00445143"/>
    <w:rsid w:val="00460796"/>
    <w:rsid w:val="00466B67"/>
    <w:rsid w:val="00475085"/>
    <w:rsid w:val="00487ED3"/>
    <w:rsid w:val="00494AED"/>
    <w:rsid w:val="004A5322"/>
    <w:rsid w:val="004B0B16"/>
    <w:rsid w:val="004B53A2"/>
    <w:rsid w:val="004C1AB6"/>
    <w:rsid w:val="004D0025"/>
    <w:rsid w:val="005211A5"/>
    <w:rsid w:val="00531E23"/>
    <w:rsid w:val="005520DC"/>
    <w:rsid w:val="00552CB5"/>
    <w:rsid w:val="00580F0D"/>
    <w:rsid w:val="005B338F"/>
    <w:rsid w:val="005B349E"/>
    <w:rsid w:val="005C413B"/>
    <w:rsid w:val="005D00D9"/>
    <w:rsid w:val="005D539B"/>
    <w:rsid w:val="005D53B4"/>
    <w:rsid w:val="005F1B40"/>
    <w:rsid w:val="005F2A72"/>
    <w:rsid w:val="005F36D0"/>
    <w:rsid w:val="006065C4"/>
    <w:rsid w:val="006234C2"/>
    <w:rsid w:val="0062544F"/>
    <w:rsid w:val="00660D56"/>
    <w:rsid w:val="00696742"/>
    <w:rsid w:val="006970CE"/>
    <w:rsid w:val="006B6901"/>
    <w:rsid w:val="00730EEB"/>
    <w:rsid w:val="007313C0"/>
    <w:rsid w:val="0073255F"/>
    <w:rsid w:val="00747CE4"/>
    <w:rsid w:val="007527E3"/>
    <w:rsid w:val="00755F36"/>
    <w:rsid w:val="00763F28"/>
    <w:rsid w:val="007A09FC"/>
    <w:rsid w:val="007A4530"/>
    <w:rsid w:val="007A5F12"/>
    <w:rsid w:val="007D308E"/>
    <w:rsid w:val="007E65B7"/>
    <w:rsid w:val="00812A54"/>
    <w:rsid w:val="00815E26"/>
    <w:rsid w:val="00823BD8"/>
    <w:rsid w:val="00831807"/>
    <w:rsid w:val="008321C9"/>
    <w:rsid w:val="0083730F"/>
    <w:rsid w:val="00844A4B"/>
    <w:rsid w:val="00851579"/>
    <w:rsid w:val="0085334F"/>
    <w:rsid w:val="00862F03"/>
    <w:rsid w:val="00887C28"/>
    <w:rsid w:val="008971F0"/>
    <w:rsid w:val="008C4914"/>
    <w:rsid w:val="008E42B0"/>
    <w:rsid w:val="008F499E"/>
    <w:rsid w:val="00900CB0"/>
    <w:rsid w:val="00913949"/>
    <w:rsid w:val="0092285E"/>
    <w:rsid w:val="0095445D"/>
    <w:rsid w:val="00971DE0"/>
    <w:rsid w:val="00980D1D"/>
    <w:rsid w:val="009828ED"/>
    <w:rsid w:val="009E1178"/>
    <w:rsid w:val="00A04A78"/>
    <w:rsid w:val="00A0662F"/>
    <w:rsid w:val="00A12DDB"/>
    <w:rsid w:val="00A24D35"/>
    <w:rsid w:val="00A53CD1"/>
    <w:rsid w:val="00A61469"/>
    <w:rsid w:val="00A76D9B"/>
    <w:rsid w:val="00A80AC6"/>
    <w:rsid w:val="00A80FB4"/>
    <w:rsid w:val="00A862C4"/>
    <w:rsid w:val="00AA201D"/>
    <w:rsid w:val="00AB475E"/>
    <w:rsid w:val="00AB664A"/>
    <w:rsid w:val="00AB77D9"/>
    <w:rsid w:val="00AD1574"/>
    <w:rsid w:val="00AD79F8"/>
    <w:rsid w:val="00AE41EC"/>
    <w:rsid w:val="00B3171E"/>
    <w:rsid w:val="00B31778"/>
    <w:rsid w:val="00B42086"/>
    <w:rsid w:val="00B5208B"/>
    <w:rsid w:val="00B76CE6"/>
    <w:rsid w:val="00B82ABB"/>
    <w:rsid w:val="00B83A05"/>
    <w:rsid w:val="00BA7B66"/>
    <w:rsid w:val="00BB39A2"/>
    <w:rsid w:val="00BC09F9"/>
    <w:rsid w:val="00BD6C9F"/>
    <w:rsid w:val="00BD7396"/>
    <w:rsid w:val="00BE006F"/>
    <w:rsid w:val="00C11BFB"/>
    <w:rsid w:val="00C34715"/>
    <w:rsid w:val="00C3533E"/>
    <w:rsid w:val="00C364BF"/>
    <w:rsid w:val="00C4484C"/>
    <w:rsid w:val="00C45D4D"/>
    <w:rsid w:val="00C55AEA"/>
    <w:rsid w:val="00C57408"/>
    <w:rsid w:val="00C62487"/>
    <w:rsid w:val="00C72C77"/>
    <w:rsid w:val="00C77A4A"/>
    <w:rsid w:val="00C81770"/>
    <w:rsid w:val="00C9039C"/>
    <w:rsid w:val="00C954F3"/>
    <w:rsid w:val="00CB1FFF"/>
    <w:rsid w:val="00CB2457"/>
    <w:rsid w:val="00CB4C6A"/>
    <w:rsid w:val="00CC0C8F"/>
    <w:rsid w:val="00CC0CF8"/>
    <w:rsid w:val="00CC115F"/>
    <w:rsid w:val="00CD4571"/>
    <w:rsid w:val="00CE6140"/>
    <w:rsid w:val="00CE6E56"/>
    <w:rsid w:val="00D554EB"/>
    <w:rsid w:val="00D77EE7"/>
    <w:rsid w:val="00D90B42"/>
    <w:rsid w:val="00DB1F67"/>
    <w:rsid w:val="00DC0D3F"/>
    <w:rsid w:val="00DC1105"/>
    <w:rsid w:val="00DD38CC"/>
    <w:rsid w:val="00DD3E00"/>
    <w:rsid w:val="00DE3170"/>
    <w:rsid w:val="00DE7E4A"/>
    <w:rsid w:val="00E24F0E"/>
    <w:rsid w:val="00E37434"/>
    <w:rsid w:val="00E71A41"/>
    <w:rsid w:val="00E80652"/>
    <w:rsid w:val="00EB42AA"/>
    <w:rsid w:val="00EB71C6"/>
    <w:rsid w:val="00F009C3"/>
    <w:rsid w:val="00F413D7"/>
    <w:rsid w:val="00F44DCB"/>
    <w:rsid w:val="00F47056"/>
    <w:rsid w:val="00F547FF"/>
    <w:rsid w:val="00F70606"/>
    <w:rsid w:val="00F80490"/>
    <w:rsid w:val="00F90E67"/>
    <w:rsid w:val="00F9639D"/>
    <w:rsid w:val="00FA1A7B"/>
    <w:rsid w:val="00FA7CFC"/>
    <w:rsid w:val="00FB49AD"/>
    <w:rsid w:val="00FB4B45"/>
    <w:rsid w:val="00FC5CFE"/>
    <w:rsid w:val="00FD255E"/>
    <w:rsid w:val="00FD3AEA"/>
    <w:rsid w:val="00FD6B06"/>
    <w:rsid w:val="00FE330E"/>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ußnotentextf"/>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ußnotentextf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semiHidden/>
    <w:unhideWhenUsed/>
    <w:rsid w:val="009828ED"/>
    <w:rPr>
      <w:sz w:val="20"/>
    </w:rPr>
  </w:style>
  <w:style w:type="character" w:customStyle="1" w:styleId="CommentTextChar">
    <w:name w:val="Comment Text Char"/>
    <w:basedOn w:val="DefaultParagraphFont"/>
    <w:link w:val="CommentText"/>
    <w:semiHidden/>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5D00D9"/>
    <w:rPr>
      <w:color w:val="605E5C"/>
      <w:shd w:val="clear" w:color="auto" w:fill="E1DFDD"/>
    </w:rPr>
  </w:style>
  <w:style w:type="character" w:customStyle="1" w:styleId="CharStyle28">
    <w:name w:val="Char Style 28"/>
    <w:basedOn w:val="DefaultParagraphFont"/>
    <w:rsid w:val="00BB39A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57970794">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00064413">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34234927">
      <w:bodyDiv w:val="1"/>
      <w:marLeft w:val="0"/>
      <w:marRight w:val="0"/>
      <w:marTop w:val="0"/>
      <w:marBottom w:val="0"/>
      <w:divBdr>
        <w:top w:val="none" w:sz="0" w:space="0" w:color="auto"/>
        <w:left w:val="none" w:sz="0" w:space="0" w:color="auto"/>
        <w:bottom w:val="none" w:sz="0" w:space="0" w:color="auto"/>
        <w:right w:val="none" w:sz="0" w:space="0" w:color="auto"/>
      </w:divBdr>
    </w:div>
    <w:div w:id="191635829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vivaldybe@raseiniai.lt" TargetMode="External"/><Relationship Id="rId4" Type="http://schemas.openxmlformats.org/officeDocument/2006/relationships/settings" Target="settings.xml"/><Relationship Id="rId9" Type="http://schemas.openxmlformats.org/officeDocument/2006/relationships/hyperlink" Target="mailto:pirkimai@stacionaras.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963</Words>
  <Characters>5490</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6441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Laura Žemaitė</cp:lastModifiedBy>
  <cp:revision>30</cp:revision>
  <cp:lastPrinted>2019-02-01T10:14:00Z</cp:lastPrinted>
  <dcterms:created xsi:type="dcterms:W3CDTF">2022-03-21T07:08:00Z</dcterms:created>
  <dcterms:modified xsi:type="dcterms:W3CDTF">2022-03-24T07:12:00Z</dcterms:modified>
</cp:coreProperties>
</file>