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314F" w14:textId="77777777" w:rsidR="00FC5CFE" w:rsidRDefault="00FC5CFE" w:rsidP="00823BD8">
      <w:pPr>
        <w:suppressAutoHyphens/>
        <w:textAlignment w:val="center"/>
        <w:rPr>
          <w:rFonts w:eastAsia="Calibri"/>
          <w:b/>
          <w:szCs w:val="24"/>
          <w:lang w:eastAsia="lt-LT"/>
        </w:rPr>
      </w:pPr>
    </w:p>
    <w:p w14:paraId="1E63F4F4" w14:textId="77777777" w:rsidR="0083730F" w:rsidRPr="00007472" w:rsidRDefault="0083730F" w:rsidP="0083730F">
      <w:pPr>
        <w:spacing w:line="254" w:lineRule="auto"/>
        <w:ind w:right="49"/>
        <w:jc w:val="center"/>
        <w:rPr>
          <w:b/>
          <w:szCs w:val="24"/>
        </w:rPr>
      </w:pPr>
      <w:r w:rsidRPr="00007472">
        <w:rPr>
          <w:rFonts w:eastAsia="Calibri"/>
          <w:noProof/>
          <w:szCs w:val="24"/>
          <w:lang w:eastAsia="lt-LT"/>
        </w:rPr>
        <w:drawing>
          <wp:inline distT="0" distB="0" distL="0" distR="0" wp14:anchorId="54308DD1" wp14:editId="65BD636A">
            <wp:extent cx="561975" cy="561975"/>
            <wp:effectExtent l="0" t="0" r="9525" b="9525"/>
            <wp:docPr id="1" name="Paveikslėlis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007472" w:rsidRDefault="0083730F" w:rsidP="0083730F">
      <w:pPr>
        <w:spacing w:line="254" w:lineRule="auto"/>
        <w:ind w:right="49"/>
        <w:jc w:val="center"/>
        <w:rPr>
          <w:b/>
          <w:sz w:val="16"/>
          <w:szCs w:val="16"/>
        </w:rPr>
      </w:pPr>
    </w:p>
    <w:p w14:paraId="01FDBDEF" w14:textId="77777777" w:rsidR="0083730F" w:rsidRPr="00007472" w:rsidRDefault="0083730F" w:rsidP="0083730F">
      <w:pPr>
        <w:tabs>
          <w:tab w:val="left" w:pos="709"/>
        </w:tabs>
        <w:spacing w:line="259" w:lineRule="auto"/>
        <w:ind w:right="3" w:firstLine="426"/>
        <w:jc w:val="center"/>
        <w:rPr>
          <w:b/>
          <w:szCs w:val="24"/>
        </w:rPr>
      </w:pPr>
      <w:r w:rsidRPr="00007472">
        <w:rPr>
          <w:b/>
          <w:szCs w:val="24"/>
        </w:rPr>
        <w:t>VIEŠŲJŲ PIRKIMŲ TARNYBA</w:t>
      </w:r>
    </w:p>
    <w:p w14:paraId="7E6C27E7" w14:textId="77777777" w:rsidR="0083730F" w:rsidRPr="00007472" w:rsidRDefault="0083730F" w:rsidP="0083730F">
      <w:pPr>
        <w:tabs>
          <w:tab w:val="left" w:pos="709"/>
        </w:tabs>
        <w:spacing w:line="259" w:lineRule="auto"/>
        <w:ind w:right="3" w:firstLine="426"/>
        <w:jc w:val="center"/>
        <w:rPr>
          <w:szCs w:val="24"/>
          <w:vertAlign w:val="superscript"/>
        </w:rPr>
      </w:pPr>
    </w:p>
    <w:tbl>
      <w:tblPr>
        <w:tblW w:w="11406" w:type="dxa"/>
        <w:tblLayout w:type="fixed"/>
        <w:tblLook w:val="0000" w:firstRow="0" w:lastRow="0" w:firstColumn="0" w:lastColumn="0" w:noHBand="0" w:noVBand="0"/>
      </w:tblPr>
      <w:tblGrid>
        <w:gridCol w:w="5387"/>
        <w:gridCol w:w="1701"/>
        <w:gridCol w:w="2835"/>
        <w:gridCol w:w="1483"/>
      </w:tblGrid>
      <w:tr w:rsidR="0083730F" w:rsidRPr="00007472" w14:paraId="071B5230" w14:textId="77777777" w:rsidTr="0083730F">
        <w:trPr>
          <w:cantSplit/>
          <w:trHeight w:val="3407"/>
        </w:trPr>
        <w:tc>
          <w:tcPr>
            <w:tcW w:w="5387" w:type="dxa"/>
          </w:tcPr>
          <w:p w14:paraId="7A5813CE" w14:textId="77777777" w:rsidR="0083730F" w:rsidRPr="004C0E9B" w:rsidRDefault="0083730F" w:rsidP="0083730F">
            <w:pPr>
              <w:keepNext/>
              <w:widowControl w:val="0"/>
              <w:tabs>
                <w:tab w:val="left" w:pos="900"/>
              </w:tabs>
              <w:rPr>
                <w:szCs w:val="24"/>
                <w:lang w:eastAsia="lt-LT"/>
              </w:rPr>
            </w:pPr>
            <w:r>
              <w:rPr>
                <w:szCs w:val="24"/>
                <w:lang w:eastAsia="lt-LT"/>
              </w:rPr>
              <w:t>Vilniaus rajono savivaldybės administracijai</w:t>
            </w:r>
          </w:p>
          <w:p w14:paraId="1FFCCDD5" w14:textId="77777777" w:rsidR="0083730F" w:rsidRPr="004C0E9B" w:rsidRDefault="0083730F" w:rsidP="0083730F">
            <w:pPr>
              <w:keepNext/>
              <w:widowControl w:val="0"/>
              <w:tabs>
                <w:tab w:val="left" w:pos="900"/>
              </w:tabs>
              <w:rPr>
                <w:szCs w:val="24"/>
                <w:lang w:eastAsia="lt-LT"/>
              </w:rPr>
            </w:pPr>
            <w:r>
              <w:rPr>
                <w:szCs w:val="24"/>
                <w:lang w:eastAsia="lt-LT"/>
              </w:rPr>
              <w:t>Rinktinės g. 50</w:t>
            </w:r>
          </w:p>
          <w:p w14:paraId="407131EE" w14:textId="77777777" w:rsidR="0083730F" w:rsidRDefault="0083730F" w:rsidP="0083730F">
            <w:pPr>
              <w:rPr>
                <w:szCs w:val="24"/>
                <w:lang w:eastAsia="lt-LT"/>
              </w:rPr>
            </w:pPr>
            <w:r w:rsidRPr="004C0E9B">
              <w:rPr>
                <w:szCs w:val="24"/>
                <w:lang w:eastAsia="lt-LT"/>
              </w:rPr>
              <w:t>0</w:t>
            </w:r>
            <w:r>
              <w:rPr>
                <w:szCs w:val="24"/>
                <w:lang w:eastAsia="lt-LT"/>
              </w:rPr>
              <w:t>9318</w:t>
            </w:r>
            <w:r w:rsidRPr="004C0E9B">
              <w:rPr>
                <w:szCs w:val="24"/>
                <w:lang w:eastAsia="lt-LT"/>
              </w:rPr>
              <w:t xml:space="preserve"> Vilnius</w:t>
            </w:r>
          </w:p>
          <w:p w14:paraId="51955139" w14:textId="77777777" w:rsidR="0083730F" w:rsidRPr="004C0E9B" w:rsidRDefault="0083730F" w:rsidP="0083730F">
            <w:pPr>
              <w:rPr>
                <w:szCs w:val="24"/>
              </w:rPr>
            </w:pPr>
          </w:p>
          <w:p w14:paraId="6859E8C6" w14:textId="77777777" w:rsidR="0083730F" w:rsidRPr="004C0E9B" w:rsidRDefault="0083730F" w:rsidP="0083730F">
            <w:pPr>
              <w:rPr>
                <w:szCs w:val="24"/>
              </w:rPr>
            </w:pPr>
            <w:r w:rsidRPr="004C0E9B">
              <w:rPr>
                <w:szCs w:val="24"/>
              </w:rPr>
              <w:t>El. p.</w:t>
            </w:r>
            <w:r w:rsidRPr="00766EA6">
              <w:rPr>
                <w:szCs w:val="24"/>
              </w:rPr>
              <w:t xml:space="preserve">: </w:t>
            </w:r>
            <w:hyperlink r:id="rId9" w:tgtFrame="_blank" w:history="1">
              <w:r w:rsidRPr="00766EA6">
                <w:rPr>
                  <w:szCs w:val="24"/>
                </w:rPr>
                <w:t>vrsa@vrsa.lt</w:t>
              </w:r>
            </w:hyperlink>
          </w:p>
          <w:p w14:paraId="03E7C7FC" w14:textId="133C8263" w:rsidR="0083730F" w:rsidRPr="00007472" w:rsidRDefault="0083730F" w:rsidP="0083730F">
            <w:pPr>
              <w:tabs>
                <w:tab w:val="left" w:pos="900"/>
              </w:tabs>
              <w:ind w:left="-87"/>
              <w:rPr>
                <w:szCs w:val="24"/>
              </w:rPr>
            </w:pPr>
            <w:r>
              <w:rPr>
                <w:szCs w:val="24"/>
              </w:rPr>
              <w:t xml:space="preserve"> </w:t>
            </w:r>
            <w:r w:rsidRPr="00F25757">
              <w:rPr>
                <w:szCs w:val="24"/>
              </w:rPr>
              <w:t>dzaneta.petkevic@vrsa.lt</w:t>
            </w:r>
          </w:p>
          <w:p w14:paraId="6DEFB55B" w14:textId="77777777" w:rsidR="0083730F" w:rsidRPr="00007472" w:rsidRDefault="0083730F" w:rsidP="006C57B5">
            <w:pPr>
              <w:tabs>
                <w:tab w:val="left" w:pos="900"/>
              </w:tabs>
              <w:ind w:left="-87"/>
              <w:rPr>
                <w:rStyle w:val="Hyperlink"/>
              </w:rPr>
            </w:pPr>
          </w:p>
          <w:p w14:paraId="200D67B6" w14:textId="77777777" w:rsidR="0083730F" w:rsidRPr="00007472" w:rsidRDefault="0083730F" w:rsidP="006C57B5">
            <w:pPr>
              <w:tabs>
                <w:tab w:val="left" w:pos="900"/>
              </w:tabs>
              <w:ind w:left="-87"/>
              <w:rPr>
                <w:szCs w:val="24"/>
              </w:rPr>
            </w:pPr>
          </w:p>
        </w:tc>
        <w:tc>
          <w:tcPr>
            <w:tcW w:w="1701" w:type="dxa"/>
          </w:tcPr>
          <w:p w14:paraId="3892616A" w14:textId="709106F8" w:rsidR="0083730F" w:rsidRDefault="0083730F" w:rsidP="0083730F">
            <w:pPr>
              <w:rPr>
                <w:szCs w:val="24"/>
              </w:rPr>
            </w:pPr>
            <w:r w:rsidRPr="00D20E2B">
              <w:rPr>
                <w:szCs w:val="24"/>
              </w:rPr>
              <w:t>202</w:t>
            </w:r>
            <w:r>
              <w:rPr>
                <w:szCs w:val="24"/>
              </w:rPr>
              <w:t>2-02</w:t>
            </w:r>
            <w:r w:rsidRPr="00D20E2B">
              <w:rPr>
                <w:szCs w:val="24"/>
              </w:rPr>
              <w:t>-</w:t>
            </w:r>
            <w:r w:rsidR="004353D9">
              <w:rPr>
                <w:szCs w:val="24"/>
              </w:rPr>
              <w:t>23</w:t>
            </w:r>
          </w:p>
          <w:p w14:paraId="62AFE929" w14:textId="7F302870" w:rsidR="0083730F" w:rsidRDefault="0083730F" w:rsidP="0083730F">
            <w:pPr>
              <w:rPr>
                <w:szCs w:val="24"/>
              </w:rPr>
            </w:pPr>
            <w:r w:rsidRPr="00EF568B">
              <w:rPr>
                <w:szCs w:val="24"/>
              </w:rPr>
              <w:t xml:space="preserve">Į </w:t>
            </w:r>
            <w:r>
              <w:rPr>
                <w:szCs w:val="24"/>
              </w:rPr>
              <w:t>2022-02-03</w:t>
            </w:r>
          </w:p>
          <w:p w14:paraId="758C4E90" w14:textId="494807C7" w:rsidR="00A80AC6" w:rsidRDefault="00A80AC6" w:rsidP="0083730F">
            <w:pPr>
              <w:rPr>
                <w:szCs w:val="24"/>
              </w:rPr>
            </w:pPr>
            <w:r>
              <w:rPr>
                <w:szCs w:val="24"/>
              </w:rPr>
              <w:t xml:space="preserve">  2022-02-22</w:t>
            </w:r>
          </w:p>
          <w:p w14:paraId="5104A352" w14:textId="257FF2CD" w:rsidR="0083730F" w:rsidRPr="00007472" w:rsidRDefault="0083730F" w:rsidP="006C57B5">
            <w:pPr>
              <w:tabs>
                <w:tab w:val="left" w:pos="900"/>
              </w:tabs>
              <w:ind w:right="-513"/>
              <w:rPr>
                <w:szCs w:val="24"/>
              </w:rPr>
            </w:pPr>
          </w:p>
        </w:tc>
        <w:tc>
          <w:tcPr>
            <w:tcW w:w="2835" w:type="dxa"/>
          </w:tcPr>
          <w:p w14:paraId="39FA5C21" w14:textId="1D9FE91D" w:rsidR="0083730F" w:rsidRPr="00007472" w:rsidRDefault="0083730F" w:rsidP="006C57B5">
            <w:pPr>
              <w:tabs>
                <w:tab w:val="left" w:pos="900"/>
              </w:tabs>
              <w:rPr>
                <w:szCs w:val="24"/>
              </w:rPr>
            </w:pPr>
            <w:r w:rsidRPr="00007472">
              <w:rPr>
                <w:szCs w:val="24"/>
              </w:rPr>
              <w:t xml:space="preserve">Nr. </w:t>
            </w:r>
            <w:r w:rsidR="00CB4C6A">
              <w:rPr>
                <w:szCs w:val="24"/>
              </w:rPr>
              <w:t>4S-</w:t>
            </w:r>
            <w:r w:rsidRPr="00007472">
              <w:rPr>
                <w:szCs w:val="24"/>
              </w:rPr>
              <w:t xml:space="preserve"> </w:t>
            </w:r>
            <w:r w:rsidR="004353D9">
              <w:rPr>
                <w:szCs w:val="24"/>
              </w:rPr>
              <w:t>163</w:t>
            </w:r>
            <w:r w:rsidRPr="00007472">
              <w:rPr>
                <w:szCs w:val="24"/>
              </w:rPr>
              <w:t xml:space="preserve">         (7.4Mr)</w:t>
            </w:r>
          </w:p>
          <w:p w14:paraId="54AD2193" w14:textId="023599E9" w:rsidR="0083730F" w:rsidRPr="00007472" w:rsidRDefault="0083730F" w:rsidP="006C57B5">
            <w:pPr>
              <w:tabs>
                <w:tab w:val="left" w:pos="900"/>
              </w:tabs>
              <w:ind w:right="-513"/>
              <w:rPr>
                <w:szCs w:val="24"/>
              </w:rPr>
            </w:pPr>
            <w:r w:rsidRPr="00007472">
              <w:rPr>
                <w:szCs w:val="24"/>
              </w:rPr>
              <w:t xml:space="preserve">Nr. </w:t>
            </w:r>
            <w:r>
              <w:rPr>
                <w:szCs w:val="24"/>
              </w:rPr>
              <w:t>3S-3</w:t>
            </w:r>
            <w:r w:rsidR="00CE6140">
              <w:rPr>
                <w:szCs w:val="24"/>
              </w:rPr>
              <w:t>33</w:t>
            </w:r>
          </w:p>
          <w:p w14:paraId="10EDD81A" w14:textId="581F713D" w:rsidR="0083730F" w:rsidRPr="00007472" w:rsidRDefault="00A80AC6" w:rsidP="006C57B5">
            <w:pPr>
              <w:tabs>
                <w:tab w:val="left" w:pos="900"/>
              </w:tabs>
              <w:rPr>
                <w:szCs w:val="24"/>
              </w:rPr>
            </w:pPr>
            <w:r>
              <w:rPr>
                <w:szCs w:val="24"/>
              </w:rPr>
              <w:t xml:space="preserve">      3S-472</w:t>
            </w:r>
          </w:p>
          <w:p w14:paraId="0F880CCE" w14:textId="77777777" w:rsidR="0083730F" w:rsidRPr="00007472" w:rsidRDefault="0083730F" w:rsidP="006C57B5">
            <w:pPr>
              <w:tabs>
                <w:tab w:val="left" w:pos="900"/>
              </w:tabs>
              <w:rPr>
                <w:szCs w:val="24"/>
              </w:rPr>
            </w:pPr>
          </w:p>
        </w:tc>
        <w:tc>
          <w:tcPr>
            <w:tcW w:w="1483" w:type="dxa"/>
          </w:tcPr>
          <w:p w14:paraId="715FE684" w14:textId="77777777" w:rsidR="0083730F" w:rsidRPr="00007472" w:rsidRDefault="0083730F" w:rsidP="006C57B5">
            <w:pPr>
              <w:tabs>
                <w:tab w:val="left" w:pos="1422"/>
              </w:tabs>
              <w:ind w:left="-108"/>
              <w:rPr>
                <w:szCs w:val="24"/>
              </w:rPr>
            </w:pPr>
          </w:p>
        </w:tc>
      </w:tr>
    </w:tbl>
    <w:p w14:paraId="3E2CB535" w14:textId="77777777" w:rsidR="0083730F" w:rsidRPr="00007472" w:rsidRDefault="0083730F" w:rsidP="0083730F">
      <w:pPr>
        <w:jc w:val="center"/>
        <w:rPr>
          <w:b/>
          <w:bCs/>
          <w:szCs w:val="24"/>
        </w:rPr>
      </w:pPr>
      <w:r w:rsidRPr="00007472">
        <w:rPr>
          <w:b/>
          <w:bCs/>
          <w:szCs w:val="24"/>
        </w:rPr>
        <w:t>VERTINIMO IŠVADA</w:t>
      </w:r>
    </w:p>
    <w:p w14:paraId="7B5D7F54" w14:textId="77777777" w:rsidR="00FC5CFE" w:rsidRDefault="00FC5CFE">
      <w:pPr>
        <w:ind w:right="49"/>
        <w:jc w:val="center"/>
        <w:rPr>
          <w:b/>
          <w:color w:val="000000"/>
          <w:szCs w:val="24"/>
          <w:lang w:eastAsia="lt-LT"/>
        </w:rPr>
      </w:pPr>
    </w:p>
    <w:p w14:paraId="3664E6FA" w14:textId="331C3124" w:rsidR="00823BD8" w:rsidRPr="00554A06" w:rsidRDefault="00823BD8" w:rsidP="00823BD8">
      <w:pPr>
        <w:ind w:firstLine="567"/>
        <w:jc w:val="both"/>
        <w:rPr>
          <w:rFonts w:eastAsia="Calibri"/>
          <w:bCs/>
          <w:sz w:val="23"/>
          <w:szCs w:val="23"/>
        </w:rPr>
      </w:pPr>
      <w:r w:rsidRPr="00554A06">
        <w:rPr>
          <w:rFonts w:eastAsia="Calibri"/>
          <w:bCs/>
          <w:sz w:val="23"/>
          <w:szCs w:val="23"/>
        </w:rPr>
        <w:t xml:space="preserve">Viešųjų pirkimų tarnyba (toliau – Tarnyba), vadovaudamasi </w:t>
      </w:r>
      <w:bookmarkStart w:id="0" w:name="_Hlk86995477"/>
      <w:r w:rsidRPr="00554A06">
        <w:rPr>
          <w:rFonts w:eastAsia="Calibri"/>
          <w:bCs/>
          <w:sz w:val="23"/>
          <w:szCs w:val="23"/>
        </w:rPr>
        <w:t xml:space="preserve">Lietuvos Respublikos viešųjų pirkimų įstatymo </w:t>
      </w:r>
      <w:r w:rsidR="00C45D4D">
        <w:rPr>
          <w:rFonts w:eastAsia="Calibri"/>
          <w:bCs/>
          <w:sz w:val="23"/>
          <w:szCs w:val="23"/>
        </w:rPr>
        <w:t xml:space="preserve">(toliau – VPĮ) </w:t>
      </w:r>
      <w:r w:rsidRPr="00554A06">
        <w:rPr>
          <w:rFonts w:eastAsia="Calibri"/>
          <w:bCs/>
          <w:sz w:val="23"/>
          <w:szCs w:val="23"/>
        </w:rPr>
        <w:t>95 straipsnio 1 dalies 2 punktu</w:t>
      </w:r>
      <w:bookmarkEnd w:id="0"/>
      <w:r w:rsidRPr="00554A06">
        <w:rPr>
          <w:rFonts w:eastAsia="Calibri"/>
          <w:bCs/>
          <w:sz w:val="23"/>
          <w:szCs w:val="23"/>
        </w:rPr>
        <w:t xml:space="preserve">, atliko </w:t>
      </w:r>
      <w:r w:rsidR="00063267" w:rsidRPr="00507252">
        <w:rPr>
          <w:szCs w:val="24"/>
        </w:rPr>
        <w:t>Vilniaus rajono savivaldybės administracij</w:t>
      </w:r>
      <w:r w:rsidR="00063267">
        <w:rPr>
          <w:szCs w:val="24"/>
        </w:rPr>
        <w:t>os</w:t>
      </w:r>
      <w:r w:rsidR="00063267" w:rsidRPr="00C420F7">
        <w:rPr>
          <w:bCs/>
          <w:szCs w:val="24"/>
        </w:rPr>
        <w:t xml:space="preserve"> </w:t>
      </w:r>
      <w:r w:rsidRPr="00554A06">
        <w:rPr>
          <w:sz w:val="23"/>
          <w:szCs w:val="23"/>
        </w:rPr>
        <w:t>(toliau – Perkančioji organizacija)</w:t>
      </w:r>
      <w:r w:rsidRPr="00554A06">
        <w:rPr>
          <w:bCs/>
          <w:sz w:val="23"/>
          <w:szCs w:val="23"/>
        </w:rPr>
        <w:t xml:space="preserve"> vykd</w:t>
      </w:r>
      <w:r>
        <w:rPr>
          <w:bCs/>
          <w:sz w:val="23"/>
          <w:szCs w:val="23"/>
        </w:rPr>
        <w:t>omo</w:t>
      </w:r>
      <w:r w:rsidRPr="00554A06">
        <w:rPr>
          <w:bCs/>
          <w:sz w:val="23"/>
          <w:szCs w:val="23"/>
        </w:rPr>
        <w:t xml:space="preserve"> vieš</w:t>
      </w:r>
      <w:r>
        <w:rPr>
          <w:bCs/>
          <w:sz w:val="23"/>
          <w:szCs w:val="23"/>
        </w:rPr>
        <w:t>ojo</w:t>
      </w:r>
      <w:r w:rsidRPr="00554A06">
        <w:rPr>
          <w:bCs/>
          <w:sz w:val="23"/>
          <w:szCs w:val="23"/>
        </w:rPr>
        <w:t xml:space="preserve"> pirkim</w:t>
      </w:r>
      <w:r>
        <w:rPr>
          <w:bCs/>
          <w:sz w:val="23"/>
          <w:szCs w:val="23"/>
        </w:rPr>
        <w:t>o</w:t>
      </w:r>
      <w:r w:rsidRPr="00554A06">
        <w:rPr>
          <w:sz w:val="23"/>
          <w:szCs w:val="23"/>
        </w:rPr>
        <w:t xml:space="preserve"> </w:t>
      </w:r>
      <w:r w:rsidR="0000058F" w:rsidRPr="0000058F">
        <w:rPr>
          <w:szCs w:val="24"/>
        </w:rPr>
        <w:t>„</w:t>
      </w:r>
      <w:r w:rsidR="0000058F" w:rsidRPr="00C420F7">
        <w:rPr>
          <w:szCs w:val="24"/>
        </w:rPr>
        <w:t>Vietinės rinkliavos už komunalinių atliekų surinkimą iš atliekų turėtojų ir atliekų tvarkymą Vilniaus rajone mokėjimo pranešimų spausdinimo, lankstymo, vokavimo ir išnešiojimo paslaugų teikimo</w:t>
      </w:r>
      <w:r w:rsidR="0000058F" w:rsidRPr="0000058F">
        <w:rPr>
          <w:bCs/>
          <w:szCs w:val="24"/>
        </w:rPr>
        <w:t>“</w:t>
      </w:r>
      <w:r w:rsidR="0000058F" w:rsidRPr="00FA585F">
        <w:rPr>
          <w:bCs/>
          <w:szCs w:val="24"/>
        </w:rPr>
        <w:t xml:space="preserve"> </w:t>
      </w:r>
      <w:r w:rsidR="0000058F">
        <w:rPr>
          <w:bCs/>
          <w:szCs w:val="24"/>
        </w:rPr>
        <w:t>dalinį</w:t>
      </w:r>
      <w:r w:rsidR="0000058F" w:rsidRPr="00554A06">
        <w:rPr>
          <w:rFonts w:eastAsia="Calibri"/>
          <w:bCs/>
          <w:sz w:val="23"/>
          <w:szCs w:val="23"/>
        </w:rPr>
        <w:t xml:space="preserve"> </w:t>
      </w:r>
      <w:r w:rsidRPr="00554A06">
        <w:rPr>
          <w:rFonts w:eastAsia="Calibri"/>
          <w:bCs/>
          <w:sz w:val="23"/>
          <w:szCs w:val="23"/>
        </w:rPr>
        <w:t>vertinimą.</w:t>
      </w:r>
    </w:p>
    <w:p w14:paraId="5ADDEDF1" w14:textId="77777777" w:rsidR="00FC5CFE" w:rsidRDefault="00FC5CFE">
      <w:pPr>
        <w:rPr>
          <w:szCs w:val="24"/>
          <w:lang w:eastAsia="lt-LT"/>
        </w:rPr>
      </w:pPr>
    </w:p>
    <w:p w14:paraId="0EFE1C88" w14:textId="77777777" w:rsidR="00FC5CFE" w:rsidRDefault="006970CE">
      <w:pPr>
        <w:jc w:val="center"/>
        <w:rPr>
          <w:szCs w:val="24"/>
          <w:lang w:eastAsia="lt-LT"/>
        </w:rPr>
      </w:pPr>
      <w:r>
        <w:rPr>
          <w:b/>
          <w:szCs w:val="24"/>
          <w:lang w:eastAsia="lt-LT"/>
        </w:rPr>
        <w:t>I dalis. Bendra informacija</w:t>
      </w:r>
    </w:p>
    <w:p w14:paraId="4599490D" w14:textId="77777777" w:rsidR="00FC5CFE" w:rsidRDefault="00FC5CFE">
      <w:pPr>
        <w:ind w:firstLine="720"/>
        <w:rPr>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FC5CFE" w14:paraId="66A0361D"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249441AE" w14:textId="77777777" w:rsidR="00FC5CFE" w:rsidRDefault="006970CE">
            <w:pPr>
              <w:jc w:val="both"/>
              <w:rPr>
                <w:szCs w:val="24"/>
                <w:lang w:eastAsia="lt-LT"/>
              </w:rPr>
            </w:pPr>
            <w:r>
              <w:rPr>
                <w:rFonts w:eastAsia="Calibri"/>
                <w:szCs w:val="24"/>
                <w:lang w:eastAsia="lt-LT"/>
              </w:rPr>
              <w:t>Pirkimo</w:t>
            </w:r>
            <w:r>
              <w:rPr>
                <w:szCs w:val="24"/>
                <w:lang w:eastAsia="lt-LT"/>
              </w:rPr>
              <w:t>*</w:t>
            </w:r>
            <w:r>
              <w:rPr>
                <w:rFonts w:eastAsia="Calibri"/>
                <w:szCs w:val="24"/>
                <w:lang w:eastAsia="lt-LT"/>
              </w:rPr>
              <w:t xml:space="preserve"> pavadinimas, numeris (jeigu skelbtas), pirkimo paskelbimo (kvietimo pateikti paraišką/pasiūlymą) data/sutarties pavadinimas, data, numeris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66A86E66" w14:textId="4B3C7568" w:rsidR="00FC5CFE" w:rsidRDefault="00FD6B06">
            <w:pPr>
              <w:jc w:val="both"/>
              <w:rPr>
                <w:szCs w:val="24"/>
                <w:lang w:eastAsia="lt-LT"/>
              </w:rPr>
            </w:pPr>
            <w:r>
              <w:rPr>
                <w:szCs w:val="24"/>
              </w:rPr>
              <w:t xml:space="preserve"> </w:t>
            </w:r>
            <w:r w:rsidR="0085334F" w:rsidRPr="0000058F">
              <w:rPr>
                <w:szCs w:val="24"/>
              </w:rPr>
              <w:t>„</w:t>
            </w:r>
            <w:r w:rsidR="0085334F" w:rsidRPr="00C420F7">
              <w:rPr>
                <w:szCs w:val="24"/>
              </w:rPr>
              <w:t>Vietinės rinkliavos už komunalinių atliekų surinkimą iš atliekų turėtojų ir atliekų tvarkymą Vilniaus rajone mokėjimo pranešimų spausdinimo, lankstymo, vokavimo ir išnešiojimo paslaugų teikimo</w:t>
            </w:r>
            <w:r w:rsidR="0085334F" w:rsidRPr="0000058F">
              <w:rPr>
                <w:bCs/>
                <w:szCs w:val="24"/>
              </w:rPr>
              <w:t>“</w:t>
            </w:r>
            <w:r w:rsidR="0085334F" w:rsidRPr="00FA585F">
              <w:rPr>
                <w:bCs/>
                <w:szCs w:val="24"/>
              </w:rPr>
              <w:t xml:space="preserve"> </w:t>
            </w:r>
            <w:r w:rsidR="0085334F" w:rsidRPr="00007472">
              <w:rPr>
                <w:szCs w:val="24"/>
              </w:rPr>
              <w:t>(</w:t>
            </w:r>
            <w:r w:rsidR="0085334F" w:rsidRPr="00007472">
              <w:rPr>
                <w:color w:val="000000"/>
                <w:szCs w:val="24"/>
              </w:rPr>
              <w:t xml:space="preserve">Centrinėje viešųjų pirkimų informacinėje sistemoje skelbtas </w:t>
            </w:r>
            <w:r w:rsidR="0085334F" w:rsidRPr="00A125CB">
              <w:rPr>
                <w:szCs w:val="24"/>
                <w:lang w:eastAsia="lt-LT"/>
              </w:rPr>
              <w:t>2021-</w:t>
            </w:r>
            <w:r w:rsidR="007527E3">
              <w:rPr>
                <w:szCs w:val="24"/>
                <w:lang w:eastAsia="lt-LT"/>
              </w:rPr>
              <w:t>11-24</w:t>
            </w:r>
            <w:r w:rsidR="0085334F" w:rsidRPr="00007472">
              <w:rPr>
                <w:szCs w:val="24"/>
              </w:rPr>
              <w:t xml:space="preserve">, pirkimo Nr. </w:t>
            </w:r>
            <w:r w:rsidR="007527E3" w:rsidRPr="00C420F7">
              <w:rPr>
                <w:szCs w:val="24"/>
              </w:rPr>
              <w:t>575420</w:t>
            </w:r>
            <w:r w:rsidR="0085334F" w:rsidRPr="00007472">
              <w:rPr>
                <w:szCs w:val="24"/>
              </w:rPr>
              <w:t xml:space="preserve">) </w:t>
            </w:r>
            <w:r w:rsidR="0085334F" w:rsidRPr="00007472">
              <w:rPr>
                <w:bCs/>
                <w:szCs w:val="24"/>
              </w:rPr>
              <w:t>(toliau – Pirkimas)</w:t>
            </w:r>
            <w:r w:rsidR="0085334F" w:rsidRPr="00007472">
              <w:rPr>
                <w:szCs w:val="24"/>
              </w:rPr>
              <w:t>.</w:t>
            </w:r>
          </w:p>
        </w:tc>
      </w:tr>
      <w:tr w:rsidR="00FD6B06" w14:paraId="31C1CF27"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2B48E86E" w14:textId="77777777" w:rsidR="00FD6B06" w:rsidRDefault="00FD6B06" w:rsidP="00FD6B06">
            <w:pPr>
              <w:jc w:val="both"/>
              <w:rPr>
                <w:szCs w:val="24"/>
                <w:lang w:eastAsia="lt-LT"/>
              </w:rPr>
            </w:pPr>
            <w:r>
              <w:rPr>
                <w:rFonts w:eastAsia="Calibri"/>
                <w:szCs w:val="24"/>
                <w:lang w:eastAsia="lt-LT"/>
              </w:rPr>
              <w:t>Pirkimo vykdymo/sutarties sudarymo teisinis pagrindas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27097B09" w14:textId="0DC662F7" w:rsidR="00FD6B06" w:rsidRDefault="00FD6B06" w:rsidP="00FD6B06">
            <w:pPr>
              <w:jc w:val="both"/>
              <w:rPr>
                <w:szCs w:val="24"/>
                <w:lang w:eastAsia="lt-LT"/>
              </w:rPr>
            </w:pPr>
            <w:r>
              <w:rPr>
                <w:bCs/>
                <w:szCs w:val="24"/>
              </w:rPr>
              <w:t>VPĮ</w:t>
            </w:r>
            <w:r w:rsidRPr="00007472">
              <w:rPr>
                <w:bCs/>
                <w:szCs w:val="24"/>
              </w:rPr>
              <w:t xml:space="preserve"> (redakcija nuo 2020-08-01 iki 2021-11-30).</w:t>
            </w:r>
          </w:p>
        </w:tc>
      </w:tr>
      <w:tr w:rsidR="00FD6B06" w14:paraId="324542D9"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7334DE8F" w14:textId="77777777" w:rsidR="00FD6B06" w:rsidRDefault="00FD6B06" w:rsidP="00FD6B06">
            <w:pPr>
              <w:jc w:val="both"/>
              <w:rPr>
                <w:rFonts w:eastAsia="Calibri"/>
                <w:szCs w:val="24"/>
                <w:lang w:eastAsia="lt-LT"/>
              </w:rPr>
            </w:pPr>
            <w:r>
              <w:rPr>
                <w:rFonts w:eastAsia="Calibri"/>
                <w:szCs w:val="24"/>
                <w:lang w:eastAsia="lt-LT"/>
              </w:rPr>
              <w:t>Pirkimo rūšis pagal vertės ribas ir pirkimo būdas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4E4B1A85" w14:textId="408285E9" w:rsidR="00FD6B06" w:rsidRDefault="00FD6B06" w:rsidP="00FD6B06">
            <w:pPr>
              <w:jc w:val="both"/>
              <w:rPr>
                <w:szCs w:val="24"/>
                <w:lang w:eastAsia="lt-LT"/>
              </w:rPr>
            </w:pPr>
            <w:r w:rsidRPr="00007472">
              <w:rPr>
                <w:bCs/>
                <w:szCs w:val="24"/>
              </w:rPr>
              <w:t>Atviras konkursas.</w:t>
            </w:r>
          </w:p>
        </w:tc>
      </w:tr>
      <w:tr w:rsidR="00FD6B06" w14:paraId="3482F5E7"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26225334" w14:textId="77777777" w:rsidR="00FD6B06" w:rsidRDefault="00FD6B06" w:rsidP="00FD6B06">
            <w:pPr>
              <w:jc w:val="both"/>
              <w:rPr>
                <w:rFonts w:eastAsia="Calibri"/>
                <w:szCs w:val="24"/>
                <w:lang w:eastAsia="lt-LT"/>
              </w:rPr>
            </w:pPr>
            <w:r>
              <w:rPr>
                <w:rFonts w:eastAsia="Calibri"/>
                <w:szCs w:val="24"/>
                <w:lang w:eastAsia="lt-LT"/>
              </w:rPr>
              <w:t>Planuota (nenurodoma, jeigu pirkimas vertinamas iki vokų su pasiūlymais atplėšimo procedūros) ir faktinė pirkimo/sutarties vertė Eur be PVM</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0DDEB99A" w14:textId="5AA005A8" w:rsidR="00FD6B06" w:rsidRDefault="00FD6B06" w:rsidP="00FD6B06">
            <w:pPr>
              <w:jc w:val="both"/>
              <w:rPr>
                <w:szCs w:val="24"/>
                <w:lang w:eastAsia="lt-LT"/>
              </w:rPr>
            </w:pPr>
            <w:r w:rsidRPr="00007472">
              <w:rPr>
                <w:szCs w:val="24"/>
              </w:rPr>
              <w:t>Planuojama Pirkimo vertė –</w:t>
            </w:r>
            <w:r>
              <w:rPr>
                <w:szCs w:val="24"/>
              </w:rPr>
              <w:t xml:space="preserve"> </w:t>
            </w:r>
            <w:r w:rsidR="00AD79F8">
              <w:rPr>
                <w:szCs w:val="24"/>
                <w:lang w:eastAsia="pl-PL"/>
              </w:rPr>
              <w:t>272</w:t>
            </w:r>
            <w:r w:rsidR="00AD79F8" w:rsidRPr="00A35810">
              <w:rPr>
                <w:szCs w:val="24"/>
                <w:lang w:eastAsia="pl-PL"/>
              </w:rPr>
              <w:t xml:space="preserve"> 000 </w:t>
            </w:r>
            <w:r>
              <w:rPr>
                <w:szCs w:val="24"/>
              </w:rPr>
              <w:t>eurų su PVM</w:t>
            </w:r>
            <w:r>
              <w:rPr>
                <w:rStyle w:val="FootnoteReference"/>
                <w:szCs w:val="24"/>
              </w:rPr>
              <w:footnoteReference w:id="1"/>
            </w:r>
            <w:r w:rsidRPr="00007472">
              <w:rPr>
                <w:szCs w:val="24"/>
              </w:rPr>
              <w:t>.</w:t>
            </w:r>
          </w:p>
        </w:tc>
      </w:tr>
      <w:tr w:rsidR="00FD6B06" w14:paraId="30054812"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1F207829" w14:textId="77777777" w:rsidR="00FD6B06" w:rsidRDefault="00FD6B06" w:rsidP="00FD6B06">
            <w:pPr>
              <w:jc w:val="both"/>
              <w:rPr>
                <w:szCs w:val="24"/>
                <w:lang w:eastAsia="lt-LT"/>
              </w:rPr>
            </w:pPr>
            <w:r>
              <w:rPr>
                <w:rFonts w:eastAsia="Calibri"/>
                <w:szCs w:val="24"/>
                <w:lang w:eastAsia="lt-LT"/>
              </w:rPr>
              <w:t xml:space="preserve">Tiekėjas/koncesijos dalyvis/koncesininkas, juridinio asmens (su kuriuo sudaryta sutartis) kodas </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3BAE7D2F" w14:textId="6376454B" w:rsidR="00FD6B06" w:rsidRDefault="00FD6B06" w:rsidP="00FD6B06">
            <w:pPr>
              <w:jc w:val="both"/>
              <w:rPr>
                <w:szCs w:val="24"/>
                <w:lang w:eastAsia="lt-LT"/>
              </w:rPr>
            </w:pPr>
            <w:r w:rsidRPr="00007472">
              <w:rPr>
                <w:szCs w:val="24"/>
              </w:rPr>
              <w:t>–</w:t>
            </w:r>
          </w:p>
        </w:tc>
      </w:tr>
      <w:tr w:rsidR="00FD6B06" w14:paraId="144071F5"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55AAA5C4" w14:textId="77777777" w:rsidR="00FD6B06" w:rsidRDefault="00FD6B06" w:rsidP="00FD6B06">
            <w:pPr>
              <w:jc w:val="both"/>
              <w:rPr>
                <w:rFonts w:eastAsia="Calibri"/>
                <w:szCs w:val="24"/>
                <w:lang w:eastAsia="lt-LT"/>
              </w:rPr>
            </w:pPr>
            <w:r>
              <w:rPr>
                <w:rFonts w:eastAsia="Calibri"/>
                <w:szCs w:val="24"/>
                <w:lang w:eastAsia="lt-LT"/>
              </w:rPr>
              <w:t>Pirkimo/sutarties vertinimo apimtys/etapas</w:t>
            </w:r>
          </w:p>
          <w:p w14:paraId="0EA63822" w14:textId="77777777" w:rsidR="00FD6B06" w:rsidRDefault="00FD6B06" w:rsidP="00FD6B06">
            <w:pPr>
              <w:jc w:val="both"/>
              <w:rPr>
                <w:szCs w:val="24"/>
                <w:lang w:eastAsia="lt-LT"/>
              </w:rPr>
            </w:pP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19C4215B" w14:textId="30C993A6" w:rsidR="00FD6B06" w:rsidRDefault="00FD6B06" w:rsidP="00FD6B06">
            <w:pPr>
              <w:jc w:val="both"/>
              <w:rPr>
                <w:szCs w:val="24"/>
                <w:lang w:eastAsia="lt-LT"/>
              </w:rPr>
            </w:pPr>
            <w:r>
              <w:rPr>
                <w:szCs w:val="24"/>
              </w:rPr>
              <w:t>Dalinis</w:t>
            </w:r>
            <w:r w:rsidRPr="00DB6E54">
              <w:rPr>
                <w:szCs w:val="24"/>
              </w:rPr>
              <w:t xml:space="preserve"> Pirkimo procedūrų vertinimas</w:t>
            </w:r>
            <w:r>
              <w:rPr>
                <w:szCs w:val="24"/>
              </w:rPr>
              <w:t xml:space="preserve"> (dėl kvalifikacinių reikalavimų) /</w:t>
            </w:r>
            <w:r w:rsidRPr="00007472">
              <w:rPr>
                <w:szCs w:val="24"/>
              </w:rPr>
              <w:t xml:space="preserve"> Pirkimo procedūrų vertinimas iki sutarties sudarymo.</w:t>
            </w:r>
          </w:p>
        </w:tc>
      </w:tr>
      <w:tr w:rsidR="00FD6B06" w14:paraId="7DA41798"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07608BF0" w14:textId="77777777" w:rsidR="00FD6B06" w:rsidRDefault="00FD6B06" w:rsidP="00FD6B06">
            <w:pPr>
              <w:jc w:val="both"/>
              <w:rPr>
                <w:b/>
                <w:szCs w:val="24"/>
                <w:lang w:eastAsia="lt-LT"/>
              </w:rPr>
            </w:pPr>
            <w:r>
              <w:rPr>
                <w:szCs w:val="24"/>
                <w:lang w:eastAsia="lt-LT"/>
              </w:rPr>
              <w:lastRenderedPageBreak/>
              <w:t>Jei pirkimas finansuojamas Europos Sąjungos lėšomis – projekto pavadinimas,  projektą administruojanti institucija</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1DE5380D" w14:textId="293E1BC5" w:rsidR="00FD6B06" w:rsidRDefault="00FD6B06" w:rsidP="00FD6B06">
            <w:pPr>
              <w:jc w:val="both"/>
              <w:rPr>
                <w:szCs w:val="24"/>
                <w:lang w:eastAsia="lt-LT"/>
              </w:rPr>
            </w:pPr>
            <w:r w:rsidRPr="00007472">
              <w:t>–</w:t>
            </w:r>
          </w:p>
        </w:tc>
      </w:tr>
      <w:tr w:rsidR="00FD6B06" w14:paraId="2F131F35" w14:textId="77777777" w:rsidTr="00FD6B06">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1B2A305C" w14:textId="378FDF83" w:rsidR="00FD6B06" w:rsidRDefault="00FD6B06" w:rsidP="00FD6B06">
            <w:pPr>
              <w:jc w:val="both"/>
              <w:rPr>
                <w:rFonts w:eastAsia="Calibri"/>
                <w:szCs w:val="24"/>
                <w:lang w:eastAsia="lt-LT"/>
              </w:rPr>
            </w:pPr>
            <w:r>
              <w:rPr>
                <w:rFonts w:eastAsia="Calibri"/>
                <w:szCs w:val="24"/>
                <w:lang w:eastAsia="lt-LT"/>
              </w:rPr>
              <w:t>Jei dėl pirkimo/sutarties vyksta teismo procesas, nurodyti ieškinio (skundo) dalyką, bylos šalių pavadinimus, ar taikomos laikinosios apsaugos priemonės, teisminio nagrinėjimo stadiją:</w:t>
            </w:r>
            <w:r w:rsidR="002A6DB9">
              <w:rPr>
                <w:rFonts w:eastAsia="Calibri"/>
                <w:szCs w:val="24"/>
                <w:lang w:eastAsia="lt-LT"/>
              </w:rPr>
              <w:t xml:space="preserve"> </w:t>
            </w:r>
            <w:r w:rsidR="002A6DB9">
              <w:rPr>
                <w:szCs w:val="24"/>
              </w:rPr>
              <w:t>t</w:t>
            </w:r>
            <w:r w:rsidR="002A6DB9" w:rsidRPr="00B52A41">
              <w:rPr>
                <w:szCs w:val="24"/>
              </w:rPr>
              <w:t>eismo procesas nevyksta</w:t>
            </w:r>
            <w:r w:rsidR="002A6DB9">
              <w:rPr>
                <w:szCs w:val="24"/>
              </w:rPr>
              <w:t>.</w:t>
            </w:r>
          </w:p>
          <w:p w14:paraId="3C8E02ED" w14:textId="77777777" w:rsidR="00FD6B06" w:rsidRDefault="00FD6B06" w:rsidP="00FD6B06">
            <w:pPr>
              <w:jc w:val="both"/>
              <w:rPr>
                <w:szCs w:val="24"/>
                <w:lang w:eastAsia="lt-LT"/>
              </w:rPr>
            </w:pPr>
          </w:p>
        </w:tc>
      </w:tr>
    </w:tbl>
    <w:p w14:paraId="0BA0F751" w14:textId="77777777" w:rsidR="00FC5CFE" w:rsidRDefault="00FC5CFE"/>
    <w:p w14:paraId="393CA7B5" w14:textId="77777777" w:rsidR="00FC5CFE" w:rsidRDefault="006970CE">
      <w:pPr>
        <w:ind w:firstLine="720"/>
        <w:jc w:val="both"/>
        <w:rPr>
          <w:sz w:val="20"/>
          <w:lang w:eastAsia="lt-LT"/>
        </w:rPr>
      </w:pPr>
      <w:r>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Default="00FC5CFE">
      <w:pPr>
        <w:jc w:val="center"/>
        <w:rPr>
          <w:b/>
          <w:szCs w:val="24"/>
          <w:lang w:eastAsia="lt-LT"/>
        </w:rPr>
      </w:pPr>
    </w:p>
    <w:p w14:paraId="367E046E" w14:textId="77777777" w:rsidR="00FC5CFE" w:rsidRDefault="006970CE">
      <w:pPr>
        <w:jc w:val="center"/>
        <w:rPr>
          <w:b/>
          <w:szCs w:val="24"/>
          <w:lang w:eastAsia="lt-LT"/>
        </w:rPr>
      </w:pPr>
      <w:r>
        <w:rPr>
          <w:b/>
          <w:szCs w:val="24"/>
          <w:lang w:eastAsia="lt-LT"/>
        </w:rPr>
        <w:t>II dalis. Vertinimo apimtyje nustatyti pažeidimai</w:t>
      </w:r>
    </w:p>
    <w:p w14:paraId="1B7CB81F" w14:textId="77777777" w:rsidR="00FC5CFE" w:rsidRDefault="00FC5CFE">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tblGrid>
      <w:tr w:rsidR="00FC5CFE" w14:paraId="023FFEFB" w14:textId="77777777" w:rsidTr="00763F28">
        <w:trPr>
          <w:trHeight w:val="769"/>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AB02DAB" w14:textId="77777777" w:rsidR="00FC5CFE" w:rsidRDefault="006970CE">
            <w:pPr>
              <w:jc w:val="center"/>
              <w:rPr>
                <w:szCs w:val="24"/>
                <w:lang w:eastAsia="lt-LT"/>
              </w:rPr>
            </w:pPr>
            <w:r>
              <w:rPr>
                <w:szCs w:val="24"/>
                <w:lang w:eastAsia="lt-LT"/>
              </w:rPr>
              <w:t xml:space="preserve">1. </w:t>
            </w:r>
          </w:p>
        </w:tc>
        <w:tc>
          <w:tcPr>
            <w:tcW w:w="8503" w:type="dxa"/>
            <w:tcBorders>
              <w:top w:val="single" w:sz="4" w:space="0" w:color="auto"/>
              <w:left w:val="single" w:sz="4" w:space="0" w:color="auto"/>
              <w:bottom w:val="single" w:sz="4" w:space="0" w:color="auto"/>
              <w:right w:val="single" w:sz="4" w:space="0" w:color="auto"/>
            </w:tcBorders>
            <w:shd w:val="clear" w:color="auto" w:fill="auto"/>
          </w:tcPr>
          <w:p w14:paraId="73D4B9A2" w14:textId="397C6EE7" w:rsidR="00763F28" w:rsidRDefault="00763F28" w:rsidP="00763F28">
            <w:pPr>
              <w:jc w:val="both"/>
              <w:rPr>
                <w:iCs/>
                <w:sz w:val="20"/>
                <w:lang w:eastAsia="lt-LT"/>
              </w:rPr>
            </w:pPr>
            <w:r>
              <w:rPr>
                <w:iCs/>
                <w:szCs w:val="24"/>
                <w:lang w:eastAsia="lt-LT"/>
              </w:rPr>
              <w:t xml:space="preserve"> </w:t>
            </w:r>
            <w:r w:rsidRPr="00007472">
              <w:t>–</w:t>
            </w:r>
          </w:p>
          <w:p w14:paraId="42E264C0" w14:textId="404FE436" w:rsidR="00FC5CFE" w:rsidRDefault="00FC5CFE">
            <w:pPr>
              <w:jc w:val="both"/>
              <w:rPr>
                <w:iCs/>
                <w:sz w:val="20"/>
                <w:lang w:eastAsia="lt-LT"/>
              </w:rPr>
            </w:pPr>
          </w:p>
        </w:tc>
      </w:tr>
    </w:tbl>
    <w:p w14:paraId="348107FF" w14:textId="77777777" w:rsidR="00FC5CFE" w:rsidRDefault="00FC5CFE">
      <w:pPr>
        <w:ind w:left="-113"/>
        <w:jc w:val="center"/>
        <w:rPr>
          <w:b/>
          <w:szCs w:val="24"/>
          <w:lang w:eastAsia="lt-LT"/>
        </w:rPr>
      </w:pPr>
    </w:p>
    <w:p w14:paraId="551C8140" w14:textId="77777777" w:rsidR="00FC5CFE" w:rsidRDefault="006970CE">
      <w:pPr>
        <w:ind w:left="-113"/>
        <w:jc w:val="center"/>
        <w:rPr>
          <w:b/>
          <w:color w:val="000000"/>
          <w:szCs w:val="24"/>
          <w:lang w:eastAsia="lt-LT"/>
        </w:rPr>
      </w:pPr>
      <w:r>
        <w:rPr>
          <w:b/>
          <w:szCs w:val="24"/>
          <w:lang w:eastAsia="lt-LT"/>
        </w:rPr>
        <w:t xml:space="preserve">III dalis. </w:t>
      </w:r>
      <w:r>
        <w:rPr>
          <w:b/>
          <w:color w:val="000000"/>
          <w:szCs w:val="24"/>
          <w:lang w:eastAsia="lt-LT"/>
        </w:rPr>
        <w:t>Kiti nustatyti pažeidimai</w:t>
      </w:r>
    </w:p>
    <w:p w14:paraId="41975642" w14:textId="75EAE328" w:rsidR="00FC5CFE" w:rsidRDefault="00FC5CFE">
      <w:pPr>
        <w:ind w:left="-113"/>
        <w:jc w:val="center"/>
        <w:rPr>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gridCol w:w="139"/>
      </w:tblGrid>
      <w:tr w:rsidR="005F36D0" w:rsidRPr="00554A06" w14:paraId="12565D79" w14:textId="77777777" w:rsidTr="005F36D0">
        <w:trPr>
          <w:gridAfter w:val="1"/>
          <w:wAfter w:w="139" w:type="dxa"/>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C22FD5D" w14:textId="77777777" w:rsidR="005F36D0" w:rsidRPr="005F36D0" w:rsidRDefault="005F36D0" w:rsidP="005F36D0">
            <w:pPr>
              <w:jc w:val="center"/>
              <w:rPr>
                <w:szCs w:val="24"/>
                <w:lang w:eastAsia="lt-LT"/>
              </w:rPr>
            </w:pPr>
            <w:r w:rsidRPr="005F36D0">
              <w:rPr>
                <w:szCs w:val="24"/>
                <w:lang w:eastAsia="lt-LT"/>
              </w:rPr>
              <w:t>1.</w:t>
            </w:r>
          </w:p>
        </w:tc>
        <w:tc>
          <w:tcPr>
            <w:tcW w:w="8503" w:type="dxa"/>
            <w:tcBorders>
              <w:top w:val="single" w:sz="4" w:space="0" w:color="auto"/>
              <w:left w:val="single" w:sz="4" w:space="0" w:color="auto"/>
              <w:bottom w:val="single" w:sz="4" w:space="0" w:color="auto"/>
              <w:right w:val="single" w:sz="4" w:space="0" w:color="auto"/>
            </w:tcBorders>
            <w:shd w:val="clear" w:color="auto" w:fill="auto"/>
          </w:tcPr>
          <w:p w14:paraId="055E952E" w14:textId="0348D584" w:rsidR="005F36D0" w:rsidRPr="005F36D0" w:rsidRDefault="00C45D4D" w:rsidP="005F36D0">
            <w:pPr>
              <w:jc w:val="both"/>
              <w:rPr>
                <w:iCs/>
                <w:sz w:val="23"/>
                <w:szCs w:val="23"/>
              </w:rPr>
            </w:pPr>
            <w:r>
              <w:rPr>
                <w:iCs/>
                <w:sz w:val="23"/>
                <w:szCs w:val="23"/>
              </w:rPr>
              <w:t>VPĮ</w:t>
            </w:r>
            <w:r w:rsidR="005F36D0" w:rsidRPr="005F36D0">
              <w:rPr>
                <w:iCs/>
                <w:sz w:val="23"/>
                <w:szCs w:val="23"/>
              </w:rPr>
              <w:t xml:space="preserve"> 28 straipsnio 2 dalis</w:t>
            </w:r>
            <w:r w:rsidR="005F36D0" w:rsidRPr="00FD255E">
              <w:rPr>
                <w:rStyle w:val="FootnoteReference"/>
                <w:iCs/>
                <w:sz w:val="23"/>
                <w:szCs w:val="23"/>
              </w:rPr>
              <w:footnoteReference w:id="2"/>
            </w:r>
          </w:p>
          <w:p w14:paraId="188DC8A0" w14:textId="1C33D709" w:rsidR="005F36D0" w:rsidRPr="005F36D0" w:rsidRDefault="00C45D4D" w:rsidP="005F36D0">
            <w:pPr>
              <w:jc w:val="both"/>
              <w:rPr>
                <w:iCs/>
                <w:sz w:val="23"/>
                <w:szCs w:val="23"/>
              </w:rPr>
            </w:pPr>
            <w:r>
              <w:rPr>
                <w:iCs/>
                <w:sz w:val="23"/>
                <w:szCs w:val="23"/>
              </w:rPr>
              <w:t>VPĮ</w:t>
            </w:r>
            <w:r w:rsidR="005F36D0" w:rsidRPr="005F36D0">
              <w:rPr>
                <w:iCs/>
                <w:sz w:val="23"/>
                <w:szCs w:val="23"/>
              </w:rPr>
              <w:t xml:space="preserve"> 35 straipsnio 2 dalies 9 punktas</w:t>
            </w:r>
            <w:r w:rsidR="005F36D0" w:rsidRPr="00FD255E">
              <w:rPr>
                <w:rStyle w:val="FootnoteReference"/>
                <w:iCs/>
                <w:sz w:val="23"/>
                <w:szCs w:val="23"/>
              </w:rPr>
              <w:footnoteReference w:id="3"/>
            </w:r>
          </w:p>
        </w:tc>
      </w:tr>
      <w:tr w:rsidR="005F36D0" w:rsidRPr="00554A06" w14:paraId="48535494" w14:textId="77777777" w:rsidTr="005F36D0">
        <w:tblPrEx>
          <w:tblCellMar>
            <w:left w:w="108" w:type="dxa"/>
            <w:right w:w="108" w:type="dxa"/>
          </w:tblCellMar>
        </w:tblPrEx>
        <w:tc>
          <w:tcPr>
            <w:tcW w:w="97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35AFA9" w14:textId="77777777" w:rsidR="005F36D0" w:rsidRPr="0023758D" w:rsidRDefault="005F36D0" w:rsidP="005F36D0">
            <w:pPr>
              <w:jc w:val="both"/>
              <w:rPr>
                <w:iCs/>
                <w:sz w:val="23"/>
                <w:szCs w:val="23"/>
              </w:rPr>
            </w:pPr>
            <w:r>
              <w:rPr>
                <w:iCs/>
                <w:sz w:val="23"/>
                <w:szCs w:val="23"/>
              </w:rPr>
              <w:t xml:space="preserve">        </w:t>
            </w:r>
            <w:r w:rsidRPr="00554A06">
              <w:rPr>
                <w:iCs/>
                <w:sz w:val="23"/>
                <w:szCs w:val="23"/>
              </w:rPr>
              <w:t xml:space="preserve">Pirkimą vykdė </w:t>
            </w:r>
            <w:r w:rsidRPr="00726039">
              <w:rPr>
                <w:iCs/>
              </w:rPr>
              <w:t>Vilniaus rajono savivaldybės administracijos direktoriaus 2021</w:t>
            </w:r>
            <w:r>
              <w:rPr>
                <w:iCs/>
              </w:rPr>
              <w:t xml:space="preserve"> m. kovo </w:t>
            </w:r>
            <w:r w:rsidRPr="00726039">
              <w:rPr>
                <w:iCs/>
              </w:rPr>
              <w:t>31</w:t>
            </w:r>
            <w:r>
              <w:rPr>
                <w:iCs/>
              </w:rPr>
              <w:t xml:space="preserve"> d.</w:t>
            </w:r>
            <w:r w:rsidRPr="00726039">
              <w:rPr>
                <w:iCs/>
              </w:rPr>
              <w:t xml:space="preserve"> įsakym</w:t>
            </w:r>
            <w:r>
              <w:rPr>
                <w:iCs/>
              </w:rPr>
              <w:t>u</w:t>
            </w:r>
            <w:r w:rsidRPr="00726039">
              <w:rPr>
                <w:iCs/>
              </w:rPr>
              <w:t xml:space="preserve"> Nr. A27(1)-770 „Dėl nuolatinės Vilniaus rajono savivaldybės administracijos viešojo pirkimo komisijos sudarymo“</w:t>
            </w:r>
            <w:r>
              <w:rPr>
                <w:iCs/>
              </w:rPr>
              <w:t xml:space="preserve"> </w:t>
            </w:r>
            <w:r w:rsidRPr="00554A06">
              <w:rPr>
                <w:iCs/>
                <w:sz w:val="23"/>
                <w:szCs w:val="23"/>
              </w:rPr>
              <w:t>sudaryta vieš</w:t>
            </w:r>
            <w:r>
              <w:rPr>
                <w:iCs/>
                <w:sz w:val="23"/>
                <w:szCs w:val="23"/>
              </w:rPr>
              <w:t>ųjų</w:t>
            </w:r>
            <w:r w:rsidRPr="00554A06">
              <w:rPr>
                <w:iCs/>
                <w:sz w:val="23"/>
                <w:szCs w:val="23"/>
              </w:rPr>
              <w:t xml:space="preserve"> pirkim</w:t>
            </w:r>
            <w:r>
              <w:rPr>
                <w:iCs/>
                <w:sz w:val="23"/>
                <w:szCs w:val="23"/>
              </w:rPr>
              <w:t>ų</w:t>
            </w:r>
            <w:r w:rsidRPr="00554A06">
              <w:rPr>
                <w:iCs/>
                <w:sz w:val="23"/>
                <w:szCs w:val="23"/>
              </w:rPr>
              <w:t xml:space="preserve"> komisija (toliau – Komisija), vadovaudamasi Pirkimo sąlygomis, patvirtintomis </w:t>
            </w:r>
            <w:r>
              <w:rPr>
                <w:szCs w:val="24"/>
                <w:lang w:eastAsia="pl-PL"/>
              </w:rPr>
              <w:t>2021</w:t>
            </w:r>
            <w:r w:rsidRPr="0057140D">
              <w:rPr>
                <w:szCs w:val="24"/>
                <w:lang w:eastAsia="pl-PL"/>
              </w:rPr>
              <w:t xml:space="preserve"> m. </w:t>
            </w:r>
            <w:r>
              <w:rPr>
                <w:szCs w:val="24"/>
                <w:lang w:eastAsia="pl-PL"/>
              </w:rPr>
              <w:t xml:space="preserve">lapkričio 23 </w:t>
            </w:r>
            <w:r w:rsidRPr="0057140D">
              <w:rPr>
                <w:szCs w:val="24"/>
                <w:lang w:eastAsia="pl-PL"/>
              </w:rPr>
              <w:t xml:space="preserve">d. </w:t>
            </w:r>
            <w:r>
              <w:rPr>
                <w:szCs w:val="24"/>
                <w:lang w:eastAsia="pl-PL"/>
              </w:rPr>
              <w:t xml:space="preserve">Komisijos protokolu </w:t>
            </w:r>
            <w:r w:rsidRPr="0057140D">
              <w:rPr>
                <w:szCs w:val="24"/>
                <w:lang w:eastAsia="pl-PL"/>
              </w:rPr>
              <w:t>Nr. VP2-</w:t>
            </w:r>
            <w:r>
              <w:rPr>
                <w:szCs w:val="24"/>
                <w:lang w:eastAsia="pl-PL"/>
              </w:rPr>
              <w:t>276.</w:t>
            </w:r>
          </w:p>
          <w:p w14:paraId="21A0C57B" w14:textId="0BCD42F3" w:rsidR="005F36D0" w:rsidRPr="00EF568B" w:rsidRDefault="005F36D0" w:rsidP="005F36D0">
            <w:pPr>
              <w:jc w:val="both"/>
              <w:rPr>
                <w:szCs w:val="24"/>
              </w:rPr>
            </w:pPr>
            <w:r>
              <w:rPr>
                <w:szCs w:val="24"/>
              </w:rPr>
              <w:t xml:space="preserve">        Atsižvelgiant į tai, kad vykdomas tarptautinis </w:t>
            </w:r>
            <w:r w:rsidRPr="00EF568B">
              <w:rPr>
                <w:szCs w:val="24"/>
              </w:rPr>
              <w:t xml:space="preserve">Pirkimas, Perkančioji organizacija turėjo pareigą pagrįsti Pirkimo neskaidymą į dalis, nurodant konkrečias priežastis Pirkimo dokumentuose. Tokią pareigą numato </w:t>
            </w:r>
            <w:r w:rsidR="00C45D4D">
              <w:rPr>
                <w:szCs w:val="24"/>
              </w:rPr>
              <w:t>VPĮ</w:t>
            </w:r>
            <w:r w:rsidRPr="00EF568B">
              <w:rPr>
                <w:szCs w:val="24"/>
              </w:rPr>
              <w:t xml:space="preserve"> 28 str</w:t>
            </w:r>
            <w:r>
              <w:rPr>
                <w:szCs w:val="24"/>
              </w:rPr>
              <w:t xml:space="preserve">aipsnio </w:t>
            </w:r>
            <w:r w:rsidRPr="00EF568B">
              <w:rPr>
                <w:szCs w:val="24"/>
              </w:rPr>
              <w:t xml:space="preserve"> </w:t>
            </w:r>
            <w:r>
              <w:rPr>
                <w:szCs w:val="24"/>
              </w:rPr>
              <w:t>2</w:t>
            </w:r>
            <w:r w:rsidRPr="00EF568B">
              <w:rPr>
                <w:szCs w:val="24"/>
              </w:rPr>
              <w:t xml:space="preserve"> d</w:t>
            </w:r>
            <w:r>
              <w:rPr>
                <w:szCs w:val="24"/>
              </w:rPr>
              <w:t>alis</w:t>
            </w:r>
            <w:r w:rsidRPr="00EF568B">
              <w:rPr>
                <w:szCs w:val="24"/>
              </w:rPr>
              <w:t xml:space="preserve"> </w:t>
            </w:r>
            <w:r>
              <w:rPr>
                <w:szCs w:val="24"/>
              </w:rPr>
              <w:t xml:space="preserve">ir </w:t>
            </w:r>
            <w:r w:rsidRPr="00EF568B">
              <w:rPr>
                <w:szCs w:val="24"/>
              </w:rPr>
              <w:t>35 str</w:t>
            </w:r>
            <w:r>
              <w:rPr>
                <w:szCs w:val="24"/>
              </w:rPr>
              <w:t xml:space="preserve">aipsnio </w:t>
            </w:r>
            <w:r w:rsidRPr="00EF568B">
              <w:rPr>
                <w:szCs w:val="24"/>
              </w:rPr>
              <w:t xml:space="preserve"> 2 d</w:t>
            </w:r>
            <w:r>
              <w:rPr>
                <w:szCs w:val="24"/>
              </w:rPr>
              <w:t xml:space="preserve">alies </w:t>
            </w:r>
            <w:r w:rsidRPr="00EF568B">
              <w:rPr>
                <w:szCs w:val="24"/>
              </w:rPr>
              <w:t xml:space="preserve"> 9 p</w:t>
            </w:r>
            <w:r>
              <w:rPr>
                <w:szCs w:val="24"/>
              </w:rPr>
              <w:t>unktas</w:t>
            </w:r>
            <w:r w:rsidRPr="00EF568B">
              <w:rPr>
                <w:szCs w:val="24"/>
              </w:rPr>
              <w:t>.</w:t>
            </w:r>
          </w:p>
          <w:p w14:paraId="2FC4C66B" w14:textId="5C8E241D" w:rsidR="005F36D0" w:rsidRDefault="005F36D0" w:rsidP="005F36D0">
            <w:pPr>
              <w:jc w:val="both"/>
              <w:rPr>
                <w:szCs w:val="24"/>
              </w:rPr>
            </w:pPr>
            <w:r>
              <w:rPr>
                <w:szCs w:val="24"/>
              </w:rPr>
              <w:t xml:space="preserve">        </w:t>
            </w:r>
            <w:r w:rsidR="00C45D4D">
              <w:rPr>
                <w:szCs w:val="24"/>
              </w:rPr>
              <w:t>VPĮ</w:t>
            </w:r>
            <w:r w:rsidRPr="00EF568B">
              <w:rPr>
                <w:szCs w:val="24"/>
              </w:rPr>
              <w:t xml:space="preserve"> 28 str</w:t>
            </w:r>
            <w:r>
              <w:rPr>
                <w:szCs w:val="24"/>
              </w:rPr>
              <w:t>aipsnio</w:t>
            </w:r>
            <w:r w:rsidRPr="00EF568B">
              <w:rPr>
                <w:szCs w:val="24"/>
              </w:rPr>
              <w:t xml:space="preserve"> 2 d</w:t>
            </w:r>
            <w:r>
              <w:rPr>
                <w:szCs w:val="24"/>
              </w:rPr>
              <w:t>alis</w:t>
            </w:r>
            <w:r w:rsidRPr="00EF568B">
              <w:rPr>
                <w:szCs w:val="24"/>
              </w:rPr>
              <w:t xml:space="preserve"> numato galimybę tam tikrais atvejais tarptautinio pirkimo į dalis neskaidyti, tačiau tokiu atveju būtina nurodyti konkrečias priežastis, dėl kurių to padaryti negalima. Pirkimo sąlygų </w:t>
            </w:r>
            <w:r>
              <w:rPr>
                <w:szCs w:val="24"/>
              </w:rPr>
              <w:t>9</w:t>
            </w:r>
            <w:r w:rsidRPr="00EF568B">
              <w:rPr>
                <w:szCs w:val="24"/>
              </w:rPr>
              <w:t xml:space="preserve"> p</w:t>
            </w:r>
            <w:r>
              <w:rPr>
                <w:szCs w:val="24"/>
              </w:rPr>
              <w:t>unkte</w:t>
            </w:r>
            <w:r w:rsidRPr="00EF568B">
              <w:rPr>
                <w:rStyle w:val="FootnoteReference"/>
                <w:szCs w:val="24"/>
              </w:rPr>
              <w:footnoteReference w:id="4"/>
            </w:r>
            <w:r w:rsidRPr="00EF568B">
              <w:rPr>
                <w:szCs w:val="24"/>
              </w:rPr>
              <w:t xml:space="preserve"> Perkančioji organizacija </w:t>
            </w:r>
            <w:r>
              <w:rPr>
                <w:szCs w:val="24"/>
              </w:rPr>
              <w:t>nurodė, kad Pirkimas į atskiras dalis neskaidomas</w:t>
            </w:r>
            <w:r w:rsidRPr="00EF568B">
              <w:rPr>
                <w:szCs w:val="24"/>
              </w:rPr>
              <w:t>, tačiau neįvardijo, dėl kokių konkrečių priežasčių Pirkimo skaidymas yra negalimas, netikslingas.</w:t>
            </w:r>
          </w:p>
          <w:p w14:paraId="2AFCBC55" w14:textId="3E18BD80" w:rsidR="005F36D0" w:rsidRDefault="005F36D0" w:rsidP="005F36D0">
            <w:pPr>
              <w:jc w:val="both"/>
              <w:rPr>
                <w:szCs w:val="24"/>
              </w:rPr>
            </w:pPr>
            <w:r>
              <w:rPr>
                <w:szCs w:val="24"/>
              </w:rPr>
              <w:t xml:space="preserve">        </w:t>
            </w:r>
            <w:r w:rsidRPr="00EF568B">
              <w:rPr>
                <w:szCs w:val="24"/>
              </w:rPr>
              <w:t>Tarnyba 202</w:t>
            </w:r>
            <w:r>
              <w:rPr>
                <w:szCs w:val="24"/>
              </w:rPr>
              <w:t>2 m. sausio 20 d.</w:t>
            </w:r>
            <w:r w:rsidRPr="00EF568B">
              <w:rPr>
                <w:szCs w:val="24"/>
              </w:rPr>
              <w:t xml:space="preserve"> raštu Nr. 4S-</w:t>
            </w:r>
            <w:r>
              <w:rPr>
                <w:szCs w:val="24"/>
              </w:rPr>
              <w:t>66</w:t>
            </w:r>
            <w:r w:rsidRPr="00EF568B">
              <w:rPr>
                <w:szCs w:val="24"/>
              </w:rPr>
              <w:t xml:space="preserve"> paprašė Perkančiosios organizacijos </w:t>
            </w:r>
            <w:r>
              <w:rPr>
                <w:rFonts w:eastAsia="Calibri"/>
                <w:szCs w:val="24"/>
              </w:rPr>
              <w:t xml:space="preserve">pateikti </w:t>
            </w:r>
            <w:r w:rsidRPr="00B90C0F">
              <w:rPr>
                <w:szCs w:val="24"/>
              </w:rPr>
              <w:t>Pirkimo neskaidymo į dalis pagrindim</w:t>
            </w:r>
            <w:r>
              <w:rPr>
                <w:szCs w:val="24"/>
              </w:rPr>
              <w:t xml:space="preserve">ą. </w:t>
            </w:r>
            <w:r w:rsidRPr="00EF568B">
              <w:rPr>
                <w:szCs w:val="24"/>
              </w:rPr>
              <w:t>Perkančioji organizacija 202</w:t>
            </w:r>
            <w:r>
              <w:rPr>
                <w:szCs w:val="24"/>
              </w:rPr>
              <w:t>2 m. vasario 3 d.</w:t>
            </w:r>
            <w:r w:rsidRPr="00EF568B">
              <w:rPr>
                <w:szCs w:val="24"/>
              </w:rPr>
              <w:t xml:space="preserve"> raštu  </w:t>
            </w:r>
            <w:r w:rsidR="00AB475E">
              <w:rPr>
                <w:szCs w:val="24"/>
              </w:rPr>
              <w:t>Nr. A33(1)-937</w:t>
            </w:r>
            <w:r w:rsidR="00E71A41">
              <w:rPr>
                <w:rStyle w:val="FootnoteReference"/>
                <w:szCs w:val="24"/>
              </w:rPr>
              <w:footnoteReference w:id="5"/>
            </w:r>
            <w:r w:rsidR="00AB475E">
              <w:rPr>
                <w:szCs w:val="24"/>
              </w:rPr>
              <w:t xml:space="preserve"> </w:t>
            </w:r>
            <w:r w:rsidR="00971DE0">
              <w:rPr>
                <w:szCs w:val="24"/>
              </w:rPr>
              <w:t xml:space="preserve">bei </w:t>
            </w:r>
            <w:r w:rsidR="00971DE0" w:rsidRPr="0039746D">
              <w:rPr>
                <w:szCs w:val="24"/>
              </w:rPr>
              <w:t>2022 m. vasario 22 d. raštu Nr. 3S-472</w:t>
            </w:r>
            <w:r w:rsidR="00E71A41" w:rsidRPr="0039746D">
              <w:rPr>
                <w:rStyle w:val="FootnoteReference"/>
                <w:szCs w:val="24"/>
              </w:rPr>
              <w:footnoteReference w:id="6"/>
            </w:r>
            <w:r w:rsidR="00971DE0" w:rsidRPr="0039746D">
              <w:rPr>
                <w:szCs w:val="24"/>
              </w:rPr>
              <w:t xml:space="preserve"> </w:t>
            </w:r>
            <w:r w:rsidR="00C45D4D" w:rsidRPr="0039746D">
              <w:rPr>
                <w:szCs w:val="24"/>
              </w:rPr>
              <w:t>nuro</w:t>
            </w:r>
            <w:r w:rsidRPr="0039746D">
              <w:rPr>
                <w:szCs w:val="24"/>
              </w:rPr>
              <w:t xml:space="preserve">dė Pirkimo neskaidymo į dalis </w:t>
            </w:r>
            <w:r w:rsidRPr="0039746D">
              <w:rPr>
                <w:szCs w:val="24"/>
              </w:rPr>
              <w:lastRenderedPageBreak/>
              <w:t>priežastis</w:t>
            </w:r>
            <w:r w:rsidR="00C45D4D" w:rsidRPr="0039746D">
              <w:rPr>
                <w:szCs w:val="24"/>
              </w:rPr>
              <w:t>, kurias Tarnyba</w:t>
            </w:r>
            <w:r w:rsidR="00466B67" w:rsidRPr="0039746D">
              <w:rPr>
                <w:szCs w:val="24"/>
              </w:rPr>
              <w:t>, be kita ko, atsižvelgdama į aplinkybę, jog mokėjimo pranešimų spausdinimo, lankstymo, vokavimo paslaugos</w:t>
            </w:r>
            <w:r w:rsidR="00466B67" w:rsidRPr="0039746D">
              <w:t xml:space="preserve"> dalis perkamų paslaugų apimtyje sudaro ganėtinai mažą</w:t>
            </w:r>
            <w:r w:rsidR="0040770C" w:rsidRPr="0039746D">
              <w:t xml:space="preserve"> </w:t>
            </w:r>
            <w:r w:rsidR="00067A35" w:rsidRPr="0039746D">
              <w:rPr>
                <w:szCs w:val="24"/>
              </w:rPr>
              <w:t>dalį</w:t>
            </w:r>
            <w:r w:rsidR="0040770C" w:rsidRPr="0039746D">
              <w:t xml:space="preserve"> </w:t>
            </w:r>
            <w:r w:rsidR="0040770C" w:rsidRPr="0039746D">
              <w:rPr>
                <w:szCs w:val="24"/>
              </w:rPr>
              <w:t>(apie 10 proc.)</w:t>
            </w:r>
            <w:r w:rsidR="00466B67" w:rsidRPr="0039746D">
              <w:t>,</w:t>
            </w:r>
            <w:r w:rsidR="00C45D4D" w:rsidRPr="0039746D">
              <w:rPr>
                <w:szCs w:val="24"/>
              </w:rPr>
              <w:t xml:space="preserve"> pripažįsta esant tinkamomis Pirkimo neskaidymui į dalis pagrįsti</w:t>
            </w:r>
            <w:r w:rsidRPr="0039746D">
              <w:rPr>
                <w:szCs w:val="24"/>
              </w:rPr>
              <w:t>.</w:t>
            </w:r>
          </w:p>
          <w:p w14:paraId="38C3BDC1" w14:textId="67C52BD3" w:rsidR="005F36D0" w:rsidRPr="00554A06" w:rsidRDefault="005F36D0" w:rsidP="005F36D0">
            <w:pPr>
              <w:jc w:val="both"/>
              <w:rPr>
                <w:sz w:val="23"/>
                <w:szCs w:val="23"/>
              </w:rPr>
            </w:pPr>
            <w:r>
              <w:rPr>
                <w:szCs w:val="24"/>
              </w:rPr>
              <w:t xml:space="preserve">        </w:t>
            </w:r>
            <w:r w:rsidRPr="002F0B32">
              <w:rPr>
                <w:szCs w:val="24"/>
              </w:rPr>
              <w:t>Tarnyba konstatuoja, kad Pirkimo sąlygose nenurodžiusi konkrečių priežasčių, kodėl Pirkimas negali būti skaidomas į dalis, Perkančioji organizacija pažeidė</w:t>
            </w:r>
            <w:r w:rsidRPr="00EF568B">
              <w:rPr>
                <w:szCs w:val="24"/>
              </w:rPr>
              <w:t xml:space="preserve"> </w:t>
            </w:r>
            <w:r w:rsidR="00C45D4D">
              <w:rPr>
                <w:szCs w:val="24"/>
              </w:rPr>
              <w:t>VPĮ</w:t>
            </w:r>
            <w:r w:rsidRPr="00EF568B">
              <w:rPr>
                <w:szCs w:val="24"/>
              </w:rPr>
              <w:t xml:space="preserve"> 28 str</w:t>
            </w:r>
            <w:r>
              <w:rPr>
                <w:szCs w:val="24"/>
              </w:rPr>
              <w:t>aipsnio</w:t>
            </w:r>
            <w:r w:rsidRPr="00EF568B">
              <w:rPr>
                <w:szCs w:val="24"/>
              </w:rPr>
              <w:t xml:space="preserve"> </w:t>
            </w:r>
            <w:r>
              <w:rPr>
                <w:szCs w:val="24"/>
              </w:rPr>
              <w:t>2</w:t>
            </w:r>
            <w:r w:rsidRPr="00EF568B">
              <w:rPr>
                <w:szCs w:val="24"/>
              </w:rPr>
              <w:t xml:space="preserve"> d</w:t>
            </w:r>
            <w:r>
              <w:rPr>
                <w:szCs w:val="24"/>
              </w:rPr>
              <w:t>alį</w:t>
            </w:r>
            <w:r w:rsidRPr="00EF568B">
              <w:rPr>
                <w:szCs w:val="24"/>
              </w:rPr>
              <w:t xml:space="preserve"> ir </w:t>
            </w:r>
            <w:r>
              <w:rPr>
                <w:szCs w:val="24"/>
              </w:rPr>
              <w:t>35 straipsnio 2 dalies 9 punktą</w:t>
            </w:r>
            <w:r w:rsidRPr="00EF568B">
              <w:rPr>
                <w:szCs w:val="24"/>
              </w:rPr>
              <w:t>.</w:t>
            </w:r>
          </w:p>
        </w:tc>
      </w:tr>
    </w:tbl>
    <w:p w14:paraId="66344128" w14:textId="77777777" w:rsidR="00FC5CFE" w:rsidRDefault="00FC5CFE">
      <w:pPr>
        <w:jc w:val="center"/>
        <w:rPr>
          <w:b/>
          <w:szCs w:val="24"/>
          <w:lang w:eastAsia="lt-LT"/>
        </w:rPr>
      </w:pPr>
    </w:p>
    <w:p w14:paraId="7DB48554" w14:textId="77777777" w:rsidR="00FC5CFE" w:rsidRDefault="006970CE">
      <w:pPr>
        <w:jc w:val="center"/>
        <w:rPr>
          <w:b/>
          <w:szCs w:val="24"/>
          <w:lang w:eastAsia="lt-LT"/>
        </w:rPr>
      </w:pPr>
      <w:r>
        <w:rPr>
          <w:b/>
          <w:szCs w:val="24"/>
          <w:lang w:eastAsia="lt-LT"/>
        </w:rPr>
        <w:t>IV dalis. Sprendimas</w:t>
      </w:r>
    </w:p>
    <w:p w14:paraId="116BD3A4" w14:textId="77777777" w:rsidR="00FC5CFE" w:rsidRDefault="00FC5CFE">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FC5CFE" w14:paraId="115AF5E5" w14:textId="77777777">
        <w:tc>
          <w:tcPr>
            <w:tcW w:w="9776" w:type="dxa"/>
            <w:tcBorders>
              <w:top w:val="single" w:sz="4" w:space="0" w:color="auto"/>
              <w:left w:val="single" w:sz="4" w:space="0" w:color="auto"/>
              <w:bottom w:val="single" w:sz="4" w:space="0" w:color="auto"/>
              <w:right w:val="single" w:sz="4" w:space="0" w:color="auto"/>
            </w:tcBorders>
            <w:shd w:val="clear" w:color="auto" w:fill="auto"/>
          </w:tcPr>
          <w:p w14:paraId="36345984" w14:textId="2BF043D3" w:rsidR="00FC5CFE" w:rsidRDefault="00C4484C">
            <w:pPr>
              <w:jc w:val="both"/>
              <w:rPr>
                <w:b/>
                <w:iCs/>
                <w:sz w:val="20"/>
                <w:lang w:eastAsia="lt-LT"/>
              </w:rPr>
            </w:pPr>
            <w:r>
              <w:rPr>
                <w:rFonts w:eastAsiaTheme="minorHAnsi"/>
                <w:szCs w:val="24"/>
              </w:rPr>
              <w:t xml:space="preserve">           </w:t>
            </w:r>
            <w:r w:rsidR="00763F28" w:rsidRPr="002E6C9C">
              <w:rPr>
                <w:rFonts w:eastAsiaTheme="minorHAnsi"/>
                <w:szCs w:val="24"/>
              </w:rPr>
              <w:t xml:space="preserve">Tarnyba, atlikusi </w:t>
            </w:r>
            <w:r w:rsidR="00763F28">
              <w:rPr>
                <w:rFonts w:eastAsiaTheme="minorHAnsi"/>
                <w:szCs w:val="24"/>
              </w:rPr>
              <w:t xml:space="preserve">dalinį </w:t>
            </w:r>
            <w:r w:rsidR="00763F28" w:rsidRPr="002E6C9C">
              <w:rPr>
                <w:rFonts w:eastAsiaTheme="minorHAnsi"/>
                <w:szCs w:val="24"/>
              </w:rPr>
              <w:t>Pirkimo vertinimą</w:t>
            </w:r>
            <w:r w:rsidR="00763F28">
              <w:rPr>
                <w:rFonts w:eastAsiaTheme="minorHAnsi"/>
                <w:szCs w:val="24"/>
              </w:rPr>
              <w:t xml:space="preserve"> dėl kvalifikacijos reikalavimų nustatymo</w:t>
            </w:r>
            <w:r w:rsidR="00763F28" w:rsidRPr="002E6C9C">
              <w:rPr>
                <w:rFonts w:eastAsiaTheme="minorHAnsi"/>
                <w:szCs w:val="24"/>
              </w:rPr>
              <w:t xml:space="preserve">, </w:t>
            </w:r>
            <w:r w:rsidR="00C45D4D">
              <w:rPr>
                <w:szCs w:val="24"/>
              </w:rPr>
              <w:t>VPĮ</w:t>
            </w:r>
            <w:r w:rsidR="00763F28" w:rsidRPr="002E6C9C">
              <w:rPr>
                <w:szCs w:val="24"/>
              </w:rPr>
              <w:t xml:space="preserve"> ar jo įgyvendinamųjų teisės aktų nuostatų pažeidimų </w:t>
            </w:r>
            <w:r w:rsidR="00C45D4D">
              <w:rPr>
                <w:szCs w:val="24"/>
              </w:rPr>
              <w:t xml:space="preserve">šiuo aspektu </w:t>
            </w:r>
            <w:r w:rsidR="00763F28" w:rsidRPr="002E6C9C">
              <w:rPr>
                <w:szCs w:val="24"/>
              </w:rPr>
              <w:t>nenustatė, todėl</w:t>
            </w:r>
            <w:r w:rsidR="00C45D4D">
              <w:rPr>
                <w:szCs w:val="24"/>
              </w:rPr>
              <w:t>, vadovaudamasi teisingumo ir protingumo kriterijais (be kita ko atsižvelgdama ir į nustatytų VPĮ</w:t>
            </w:r>
            <w:r w:rsidR="00763F28" w:rsidRPr="002E6C9C">
              <w:rPr>
                <w:szCs w:val="24"/>
              </w:rPr>
              <w:t xml:space="preserve"> </w:t>
            </w:r>
            <w:r w:rsidR="00C45D4D" w:rsidRPr="00C45D4D">
              <w:rPr>
                <w:szCs w:val="24"/>
              </w:rPr>
              <w:t>28 straipsnio 2 dal</w:t>
            </w:r>
            <w:r w:rsidR="00C45D4D">
              <w:rPr>
                <w:szCs w:val="24"/>
              </w:rPr>
              <w:t>ies</w:t>
            </w:r>
            <w:r w:rsidR="00C45D4D" w:rsidRPr="00C45D4D">
              <w:rPr>
                <w:szCs w:val="24"/>
              </w:rPr>
              <w:t xml:space="preserve"> ir 35 straipsnio 2 dalies 9 punkt</w:t>
            </w:r>
            <w:r w:rsidR="00C45D4D">
              <w:rPr>
                <w:szCs w:val="24"/>
              </w:rPr>
              <w:t>o pažeidimų pobūdį</w:t>
            </w:r>
            <w:r w:rsidR="0062544F">
              <w:rPr>
                <w:szCs w:val="24"/>
              </w:rPr>
              <w:t>,</w:t>
            </w:r>
            <w:r w:rsidR="00C45D4D">
              <w:rPr>
                <w:szCs w:val="24"/>
              </w:rPr>
              <w:t xml:space="preserve"> mastą</w:t>
            </w:r>
            <w:r w:rsidR="0062544F">
              <w:rPr>
                <w:szCs w:val="24"/>
              </w:rPr>
              <w:t xml:space="preserve"> ir tai, kad šis pažeidimas neturėjo įtakos Pirkimo rezultatui</w:t>
            </w:r>
            <w:r w:rsidR="00C45D4D">
              <w:rPr>
                <w:szCs w:val="24"/>
              </w:rPr>
              <w:t>), sprendžia, kad</w:t>
            </w:r>
            <w:r w:rsidR="00C45D4D" w:rsidRPr="00C45D4D">
              <w:rPr>
                <w:szCs w:val="24"/>
              </w:rPr>
              <w:t xml:space="preserve"> </w:t>
            </w:r>
            <w:r w:rsidR="00763F28">
              <w:rPr>
                <w:szCs w:val="24"/>
              </w:rPr>
              <w:t>Perkančioji organizacija</w:t>
            </w:r>
            <w:r w:rsidR="00763F28" w:rsidRPr="00F935EF">
              <w:rPr>
                <w:bCs/>
                <w:szCs w:val="24"/>
              </w:rPr>
              <w:t xml:space="preserve"> </w:t>
            </w:r>
            <w:r w:rsidR="00763F28" w:rsidRPr="00044618">
              <w:rPr>
                <w:szCs w:val="24"/>
              </w:rPr>
              <w:t>gali tęsti Pirkimo procedūras.</w:t>
            </w:r>
          </w:p>
        </w:tc>
      </w:tr>
    </w:tbl>
    <w:p w14:paraId="69981CF8" w14:textId="77777777" w:rsidR="00FC5CFE" w:rsidRDefault="00FC5CFE">
      <w:pPr>
        <w:ind w:firstLine="720"/>
        <w:jc w:val="both"/>
        <w:rPr>
          <w:b/>
          <w:szCs w:val="24"/>
          <w:lang w:eastAsia="lt-LT"/>
        </w:rPr>
      </w:pPr>
    </w:p>
    <w:p w14:paraId="0B9C3A93" w14:textId="77777777" w:rsidR="00FC5CFE" w:rsidRDefault="006970CE">
      <w:pPr>
        <w:jc w:val="center"/>
        <w:rPr>
          <w:b/>
          <w:szCs w:val="24"/>
          <w:lang w:eastAsia="lt-LT"/>
        </w:rPr>
      </w:pPr>
      <w:r>
        <w:rPr>
          <w:b/>
          <w:szCs w:val="24"/>
          <w:lang w:eastAsia="lt-LT"/>
        </w:rPr>
        <w:t>Pastabos</w:t>
      </w:r>
    </w:p>
    <w:p w14:paraId="037FE323" w14:textId="77777777" w:rsidR="00FC5CFE" w:rsidRDefault="00FC5CFE">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FC5CFE" w14:paraId="7CB81037" w14:textId="77777777" w:rsidTr="00F413D7">
        <w:trPr>
          <w:trHeight w:val="2196"/>
        </w:trPr>
        <w:tc>
          <w:tcPr>
            <w:tcW w:w="9776" w:type="dxa"/>
            <w:tcBorders>
              <w:top w:val="single" w:sz="4" w:space="0" w:color="auto"/>
              <w:left w:val="single" w:sz="4" w:space="0" w:color="auto"/>
              <w:bottom w:val="single" w:sz="4" w:space="0" w:color="auto"/>
              <w:right w:val="single" w:sz="4" w:space="0" w:color="auto"/>
            </w:tcBorders>
            <w:shd w:val="clear" w:color="auto" w:fill="auto"/>
          </w:tcPr>
          <w:p w14:paraId="1FFE6010" w14:textId="57B1A95E" w:rsidR="00FC5CFE" w:rsidRPr="00862F03" w:rsidRDefault="00AA201D" w:rsidP="00862F03">
            <w:pPr>
              <w:spacing w:before="120"/>
              <w:ind w:firstLine="741"/>
              <w:jc w:val="both"/>
              <w:rPr>
                <w:szCs w:val="24"/>
                <w:highlight w:val="yellow"/>
              </w:rPr>
            </w:pPr>
            <w:r w:rsidRPr="005211A5">
              <w:rPr>
                <w:szCs w:val="24"/>
              </w:rPr>
              <w:t xml:space="preserve">Pažymime, jog </w:t>
            </w:r>
            <w:r w:rsidR="00DD3E00" w:rsidRPr="005211A5">
              <w:rPr>
                <w:szCs w:val="24"/>
              </w:rPr>
              <w:t>Pirkimo sąlygų 26.2 punkte nustat</w:t>
            </w:r>
            <w:r w:rsidR="00862F03" w:rsidRPr="005211A5">
              <w:rPr>
                <w:szCs w:val="24"/>
              </w:rPr>
              <w:t>ėte</w:t>
            </w:r>
            <w:r w:rsidR="00DD3E00" w:rsidRPr="005211A5">
              <w:rPr>
                <w:szCs w:val="24"/>
              </w:rPr>
              <w:t xml:space="preserve"> kvalifikacijos reikalavim</w:t>
            </w:r>
            <w:r w:rsidR="00862F03" w:rsidRPr="005211A5">
              <w:rPr>
                <w:szCs w:val="24"/>
              </w:rPr>
              <w:t>ą:</w:t>
            </w:r>
            <w:r w:rsidR="00DD3E00" w:rsidRPr="005211A5">
              <w:rPr>
                <w:szCs w:val="24"/>
              </w:rPr>
              <w:t xml:space="preserve"> „&lt;...&gt;  pagal vieną ar daugiau sutarčių yra </w:t>
            </w:r>
            <w:r w:rsidR="00DD3E00" w:rsidRPr="005211A5">
              <w:rPr>
                <w:b/>
                <w:bCs/>
                <w:szCs w:val="24"/>
              </w:rPr>
              <w:t>savo jėgomis</w:t>
            </w:r>
            <w:r w:rsidR="00DD3E00" w:rsidRPr="005211A5">
              <w:rPr>
                <w:szCs w:val="24"/>
              </w:rPr>
              <w:t xml:space="preserve"> suteikęs pranešimų spausdinimo, lankstymo, vokavimo ir išnešiojimo paslaugas, kurių bendra vertė ne mažesnė kaip 67440 Eur be PVM“</w:t>
            </w:r>
            <w:r w:rsidR="000F7A78" w:rsidRPr="005211A5">
              <w:rPr>
                <w:szCs w:val="24"/>
              </w:rPr>
              <w:t>, tačiau m</w:t>
            </w:r>
            <w:r w:rsidR="00862F03" w:rsidRPr="005211A5">
              <w:rPr>
                <w:szCs w:val="24"/>
              </w:rPr>
              <w:t xml:space="preserve">inėto reikalavimo išpildymui nustatėte sąlygą, kad: „&lt;...&gt; Tiekėjas gali remtis </w:t>
            </w:r>
            <w:r w:rsidR="00862F03" w:rsidRPr="005211A5">
              <w:rPr>
                <w:b/>
                <w:bCs/>
                <w:szCs w:val="24"/>
              </w:rPr>
              <w:t>kitų ūkio subjektų pajėgumais</w:t>
            </w:r>
            <w:r w:rsidR="00862F03" w:rsidRPr="005211A5">
              <w:rPr>
                <w:szCs w:val="24"/>
              </w:rPr>
              <w:t xml:space="preserve"> tik tuo atveju, jeigu tie subjektai patys vykdys tą pirkimo sutarties dalį, kuriai reikia jų turimų pajėgumų“. Atkreipiame dėmesį, kad pagal </w:t>
            </w:r>
            <w:r w:rsidR="00DD3E00" w:rsidRPr="005211A5">
              <w:rPr>
                <w:bCs/>
                <w:szCs w:val="24"/>
                <w:lang w:eastAsia="fi-FI"/>
              </w:rPr>
              <w:t>Tiekėjo kvalifikacijos reikalavimų nustatymo metodikos</w:t>
            </w:r>
            <w:r w:rsidR="00DD3E00" w:rsidRPr="005211A5">
              <w:rPr>
                <w:rStyle w:val="FootnoteReference"/>
                <w:bCs/>
                <w:szCs w:val="24"/>
                <w:lang w:eastAsia="fi-FI"/>
              </w:rPr>
              <w:footnoteReference w:id="7"/>
            </w:r>
            <w:r w:rsidR="00DD3E00" w:rsidRPr="005211A5">
              <w:rPr>
                <w:rFonts w:eastAsiaTheme="minorHAnsi"/>
                <w:szCs w:val="24"/>
                <w:lang w:val="en-US"/>
              </w:rPr>
              <w:t xml:space="preserve"> </w:t>
            </w:r>
            <w:r w:rsidR="00C954F3" w:rsidRPr="005211A5">
              <w:rPr>
                <w:rFonts w:eastAsiaTheme="minorHAnsi"/>
                <w:szCs w:val="24"/>
                <w:lang w:val="en-US"/>
              </w:rPr>
              <w:t>16.2</w:t>
            </w:r>
            <w:r w:rsidR="00C954F3" w:rsidRPr="005211A5">
              <w:rPr>
                <w:rStyle w:val="FootnoteReference"/>
                <w:i/>
                <w:iCs/>
                <w:szCs w:val="24"/>
                <w:lang w:val="en-US"/>
              </w:rPr>
              <w:t xml:space="preserve"> </w:t>
            </w:r>
            <w:r w:rsidR="00C954F3" w:rsidRPr="005211A5">
              <w:rPr>
                <w:rFonts w:eastAsiaTheme="minorHAnsi"/>
                <w:szCs w:val="24"/>
                <w:lang w:val="en-US"/>
              </w:rPr>
              <w:t>papunk</w:t>
            </w:r>
            <w:r w:rsidR="00862F03" w:rsidRPr="005211A5">
              <w:rPr>
                <w:rFonts w:eastAsiaTheme="minorHAnsi"/>
                <w:szCs w:val="24"/>
                <w:lang w:val="en-US"/>
              </w:rPr>
              <w:t>tį</w:t>
            </w:r>
            <w:r w:rsidR="00C954F3" w:rsidRPr="005211A5">
              <w:rPr>
                <w:rStyle w:val="FootnoteReference"/>
                <w:szCs w:val="24"/>
                <w:lang w:val="en-US"/>
              </w:rPr>
              <w:footnoteReference w:id="8"/>
            </w:r>
            <w:r w:rsidR="00862F03" w:rsidRPr="005211A5">
              <w:rPr>
                <w:rFonts w:eastAsiaTheme="minorHAnsi"/>
                <w:szCs w:val="24"/>
                <w:lang w:val="en-US"/>
              </w:rPr>
              <w:t>,</w:t>
            </w:r>
            <w:r w:rsidR="00A61469" w:rsidRPr="005211A5">
              <w:rPr>
                <w:rFonts w:eastAsiaTheme="minorHAnsi"/>
                <w:szCs w:val="24"/>
                <w:lang w:val="en-US"/>
              </w:rPr>
              <w:t xml:space="preserve"> Pirkimo dokumentuose</w:t>
            </w:r>
            <w:r w:rsidR="00862F03" w:rsidRPr="005211A5">
              <w:rPr>
                <w:rFonts w:eastAsiaTheme="minorHAnsi"/>
                <w:szCs w:val="24"/>
                <w:lang w:val="en-US"/>
              </w:rPr>
              <w:t xml:space="preserve"> nustačius</w:t>
            </w:r>
            <w:r w:rsidR="00445143" w:rsidRPr="005211A5">
              <w:rPr>
                <w:rFonts w:eastAsiaTheme="minorHAnsi"/>
                <w:szCs w:val="24"/>
                <w:lang w:val="en-US"/>
              </w:rPr>
              <w:t xml:space="preserve"> </w:t>
            </w:r>
            <w:r w:rsidR="00A61469" w:rsidRPr="005211A5">
              <w:rPr>
                <w:rFonts w:eastAsiaTheme="minorHAnsi"/>
                <w:szCs w:val="24"/>
                <w:lang w:val="en-US"/>
              </w:rPr>
              <w:t xml:space="preserve"> aukščiau nurodytą reikalavimą (</w:t>
            </w:r>
            <w:r w:rsidR="00862F03" w:rsidRPr="005211A5">
              <w:rPr>
                <w:szCs w:val="24"/>
              </w:rPr>
              <w:t>„</w:t>
            </w:r>
            <w:r w:rsidR="00445143" w:rsidRPr="005211A5">
              <w:rPr>
                <w:rFonts w:eastAsiaTheme="minorHAnsi"/>
                <w:szCs w:val="24"/>
                <w:lang w:val="en-US"/>
              </w:rPr>
              <w:t>savo jėgomis</w:t>
            </w:r>
            <w:r w:rsidR="00862F03" w:rsidRPr="005211A5">
              <w:rPr>
                <w:szCs w:val="24"/>
              </w:rPr>
              <w:t>“</w:t>
            </w:r>
            <w:r w:rsidR="00A61469" w:rsidRPr="005211A5">
              <w:rPr>
                <w:szCs w:val="24"/>
              </w:rPr>
              <w:t>)</w:t>
            </w:r>
            <w:r w:rsidR="00862F03" w:rsidRPr="005211A5">
              <w:rPr>
                <w:rFonts w:eastAsiaTheme="minorHAnsi"/>
                <w:szCs w:val="24"/>
                <w:lang w:val="en-US"/>
              </w:rPr>
              <w:t>, negal</w:t>
            </w:r>
            <w:r w:rsidR="00A61469" w:rsidRPr="005211A5">
              <w:rPr>
                <w:rFonts w:eastAsiaTheme="minorHAnsi"/>
                <w:szCs w:val="24"/>
                <w:lang w:val="en-US"/>
              </w:rPr>
              <w:t>ėtų</w:t>
            </w:r>
            <w:r w:rsidR="00862F03" w:rsidRPr="005211A5">
              <w:rPr>
                <w:rFonts w:eastAsiaTheme="minorHAnsi"/>
                <w:szCs w:val="24"/>
                <w:lang w:val="en-US"/>
              </w:rPr>
              <w:t xml:space="preserve"> b</w:t>
            </w:r>
            <w:r w:rsidR="0039746D" w:rsidRPr="005211A5">
              <w:rPr>
                <w:rFonts w:eastAsiaTheme="minorHAnsi"/>
                <w:szCs w:val="24"/>
                <w:lang w:val="en-US"/>
              </w:rPr>
              <w:t>ū</w:t>
            </w:r>
            <w:r w:rsidR="00862F03" w:rsidRPr="005211A5">
              <w:rPr>
                <w:rFonts w:eastAsiaTheme="minorHAnsi"/>
                <w:szCs w:val="24"/>
                <w:lang w:val="en-US"/>
              </w:rPr>
              <w:t>ti remiamasi kitų ūkio subjektų pajėgumais</w:t>
            </w:r>
            <w:r w:rsidR="00A61469" w:rsidRPr="005211A5">
              <w:rPr>
                <w:rFonts w:eastAsiaTheme="minorHAnsi"/>
                <w:szCs w:val="24"/>
                <w:lang w:val="en-US"/>
              </w:rPr>
              <w:t xml:space="preserve"> jį išpildant</w:t>
            </w:r>
            <w:r w:rsidR="00862F03" w:rsidRPr="005211A5">
              <w:rPr>
                <w:rFonts w:eastAsiaTheme="minorHAnsi"/>
                <w:szCs w:val="24"/>
                <w:lang w:val="en-US"/>
              </w:rPr>
              <w:t>. Atsižvelgiant į išdėstyta,</w:t>
            </w:r>
            <w:r w:rsidR="00A61469" w:rsidRPr="005211A5">
              <w:rPr>
                <w:rFonts w:eastAsiaTheme="minorHAnsi"/>
                <w:szCs w:val="24"/>
                <w:lang w:val="en-US"/>
              </w:rPr>
              <w:t xml:space="preserve"> Tarnyba nurodo, jog</w:t>
            </w:r>
            <w:r w:rsidR="00862F03" w:rsidRPr="005211A5">
              <w:rPr>
                <w:rFonts w:eastAsiaTheme="minorHAnsi"/>
                <w:szCs w:val="24"/>
                <w:lang w:val="en-US"/>
              </w:rPr>
              <w:t xml:space="preserve"> ateityje </w:t>
            </w:r>
            <w:r w:rsidR="0039746D" w:rsidRPr="005211A5">
              <w:rPr>
                <w:rFonts w:eastAsiaTheme="minorHAnsi"/>
                <w:szCs w:val="24"/>
                <w:lang w:val="en-US"/>
              </w:rPr>
              <w:t>nustatant kvalifikacijos reikal</w:t>
            </w:r>
            <w:r w:rsidR="00DE3170" w:rsidRPr="005211A5">
              <w:rPr>
                <w:rFonts w:eastAsiaTheme="minorHAnsi"/>
                <w:szCs w:val="24"/>
                <w:lang w:val="en-US"/>
              </w:rPr>
              <w:t>a</w:t>
            </w:r>
            <w:r w:rsidR="0039746D" w:rsidRPr="005211A5">
              <w:rPr>
                <w:rFonts w:eastAsiaTheme="minorHAnsi"/>
                <w:szCs w:val="24"/>
                <w:lang w:val="en-US"/>
              </w:rPr>
              <w:t>vimus tiekėjams</w:t>
            </w:r>
            <w:r w:rsidR="00A61469" w:rsidRPr="005211A5">
              <w:rPr>
                <w:rFonts w:eastAsiaTheme="minorHAnsi"/>
                <w:szCs w:val="24"/>
                <w:lang w:val="en-US"/>
              </w:rPr>
              <w:t>,</w:t>
            </w:r>
            <w:r w:rsidR="0039746D" w:rsidRPr="005211A5">
              <w:rPr>
                <w:rFonts w:eastAsiaTheme="minorHAnsi"/>
                <w:szCs w:val="24"/>
                <w:lang w:val="en-US"/>
              </w:rPr>
              <w:t xml:space="preserve"> </w:t>
            </w:r>
            <w:r w:rsidR="00DE3170" w:rsidRPr="005211A5">
              <w:rPr>
                <w:rFonts w:eastAsiaTheme="minorHAnsi"/>
                <w:szCs w:val="24"/>
                <w:lang w:val="en-US"/>
              </w:rPr>
              <w:t xml:space="preserve">reikėtų </w:t>
            </w:r>
            <w:r w:rsidR="0039746D" w:rsidRPr="005211A5">
              <w:rPr>
                <w:rFonts w:eastAsiaTheme="minorHAnsi"/>
                <w:szCs w:val="24"/>
                <w:lang w:val="en-US"/>
              </w:rPr>
              <w:t xml:space="preserve">nevartoti minėto teiginio, nes jis gali klaidinti kitus </w:t>
            </w:r>
            <w:r w:rsidR="00755F36" w:rsidRPr="005211A5">
              <w:rPr>
                <w:rFonts w:eastAsiaTheme="minorHAnsi"/>
                <w:szCs w:val="24"/>
                <w:lang w:val="en-US"/>
              </w:rPr>
              <w:t>ūkio subjektus, siekiančius dalyvauti viešajame pirkime</w:t>
            </w:r>
            <w:r w:rsidR="002314DF" w:rsidRPr="005211A5">
              <w:rPr>
                <w:rFonts w:eastAsiaTheme="minorHAnsi"/>
                <w:szCs w:val="24"/>
                <w:lang w:val="en-US"/>
              </w:rPr>
              <w:t>.</w:t>
            </w:r>
          </w:p>
        </w:tc>
      </w:tr>
    </w:tbl>
    <w:p w14:paraId="21F0EA09" w14:textId="77777777" w:rsidR="007A09FC" w:rsidRDefault="007A09FC" w:rsidP="00823BD8">
      <w:pPr>
        <w:rPr>
          <w:szCs w:val="24"/>
          <w:lang w:eastAsia="lt-LT"/>
        </w:rPr>
      </w:pPr>
    </w:p>
    <w:p w14:paraId="1E01068B" w14:textId="77777777" w:rsidR="007A09FC" w:rsidRDefault="007A09FC" w:rsidP="00823BD8">
      <w:pPr>
        <w:rPr>
          <w:szCs w:val="24"/>
          <w:lang w:eastAsia="lt-LT"/>
        </w:rPr>
      </w:pPr>
    </w:p>
    <w:p w14:paraId="71451F34" w14:textId="77777777" w:rsidR="007A09FC" w:rsidRDefault="007A09FC" w:rsidP="00823BD8">
      <w:r w:rsidRPr="00007472">
        <w:t>Direktorius                                                                                                                  Darius Vedrickas</w:t>
      </w:r>
    </w:p>
    <w:p w14:paraId="1B53B53C" w14:textId="77777777" w:rsidR="007A09FC" w:rsidRDefault="007A09FC" w:rsidP="00823BD8"/>
    <w:p w14:paraId="075016B6" w14:textId="15772967" w:rsidR="007A09FC" w:rsidRDefault="007A09FC" w:rsidP="007A09FC"/>
    <w:p w14:paraId="177C14EF" w14:textId="0E3BD75D" w:rsidR="00B31778" w:rsidRDefault="00B31778" w:rsidP="007A09FC"/>
    <w:p w14:paraId="68FF1917" w14:textId="002BAEA3" w:rsidR="00FC5CFE" w:rsidRDefault="007A09FC" w:rsidP="00823BD8">
      <w:pPr>
        <w:rPr>
          <w:szCs w:val="24"/>
          <w:lang w:eastAsia="lt-LT"/>
        </w:rPr>
      </w:pPr>
      <w:r w:rsidRPr="004F0243">
        <w:t>L</w:t>
      </w:r>
      <w:r>
        <w:t xml:space="preserve">aura </w:t>
      </w:r>
      <w:r w:rsidRPr="004F0243">
        <w:t xml:space="preserve">Žemaitė, tel. (8 5) </w:t>
      </w:r>
      <w:r w:rsidRPr="004F0243">
        <w:rPr>
          <w:color w:val="222222"/>
        </w:rPr>
        <w:t>2197042</w:t>
      </w:r>
      <w:r w:rsidRPr="004F0243">
        <w:t>, el. p. Laura.Zemaite@vpt</w:t>
      </w:r>
      <w:r>
        <w:t>.lt</w:t>
      </w:r>
    </w:p>
    <w:sectPr w:rsidR="00FC5CFE" w:rsidSect="00A53CD1">
      <w:headerReference w:type="even" r:id="rId10"/>
      <w:headerReference w:type="default" r:id="rId11"/>
      <w:footerReference w:type="even" r:id="rId12"/>
      <w:footerReference w:type="default" r:id="rId13"/>
      <w:headerReference w:type="first" r:id="rId14"/>
      <w:footerReference w:type="first" r:id="rId15"/>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E5A3" w14:textId="77777777" w:rsidR="00C77A4A" w:rsidRDefault="00C77A4A">
      <w:pPr>
        <w:ind w:firstLine="720"/>
        <w:rPr>
          <w:rFonts w:ascii="Arial" w:hAnsi="Arial" w:cs="Arial"/>
          <w:sz w:val="20"/>
          <w:lang w:eastAsia="lt-LT"/>
        </w:rPr>
      </w:pPr>
      <w:r>
        <w:rPr>
          <w:rFonts w:ascii="Arial" w:hAnsi="Arial" w:cs="Arial"/>
          <w:sz w:val="20"/>
          <w:lang w:eastAsia="lt-LT"/>
        </w:rPr>
        <w:separator/>
      </w:r>
    </w:p>
  </w:endnote>
  <w:endnote w:type="continuationSeparator" w:id="0">
    <w:p w14:paraId="798E5D82" w14:textId="77777777" w:rsidR="00C77A4A" w:rsidRDefault="00C77A4A">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7777777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77777777" w:rsidR="00A53CD1" w:rsidRPr="00BB2F72" w:rsidRDefault="00A53CD1" w:rsidP="00A53CD1">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46472" w14:textId="77777777" w:rsidR="00C77A4A" w:rsidRDefault="00C77A4A">
      <w:pPr>
        <w:ind w:firstLine="720"/>
        <w:rPr>
          <w:rFonts w:ascii="Arial" w:hAnsi="Arial" w:cs="Arial"/>
          <w:sz w:val="20"/>
          <w:lang w:eastAsia="lt-LT"/>
        </w:rPr>
      </w:pPr>
      <w:r>
        <w:rPr>
          <w:rFonts w:ascii="Arial" w:hAnsi="Arial" w:cs="Arial"/>
          <w:sz w:val="20"/>
          <w:lang w:eastAsia="lt-LT"/>
        </w:rPr>
        <w:separator/>
      </w:r>
    </w:p>
  </w:footnote>
  <w:footnote w:type="continuationSeparator" w:id="0">
    <w:p w14:paraId="5D2783C5" w14:textId="77777777" w:rsidR="00C77A4A" w:rsidRDefault="00C77A4A">
      <w:pPr>
        <w:ind w:firstLine="720"/>
        <w:rPr>
          <w:rFonts w:ascii="Arial" w:hAnsi="Arial" w:cs="Arial"/>
          <w:sz w:val="20"/>
          <w:lang w:eastAsia="lt-LT"/>
        </w:rPr>
      </w:pPr>
      <w:r>
        <w:rPr>
          <w:rFonts w:ascii="Arial" w:hAnsi="Arial" w:cs="Arial"/>
          <w:sz w:val="20"/>
          <w:lang w:eastAsia="lt-LT"/>
        </w:rPr>
        <w:continuationSeparator/>
      </w:r>
    </w:p>
  </w:footnote>
  <w:footnote w:id="1">
    <w:p w14:paraId="7806F1DD" w14:textId="10F2744F" w:rsidR="00FD6B06" w:rsidRDefault="00FD6B06" w:rsidP="00FD6B06">
      <w:pPr>
        <w:pStyle w:val="FootnoteText"/>
      </w:pPr>
      <w:r>
        <w:rPr>
          <w:rStyle w:val="FootnoteReference"/>
        </w:rPr>
        <w:footnoteRef/>
      </w:r>
      <w:r>
        <w:t xml:space="preserve"> </w:t>
      </w:r>
      <w:r w:rsidR="003208A8" w:rsidRPr="003208A8">
        <w:t xml:space="preserve">2021  m. spalio 13 d.  </w:t>
      </w:r>
      <w:r w:rsidR="003208A8">
        <w:t xml:space="preserve">Pirkimo paraiškoje Nr. </w:t>
      </w:r>
      <w:r w:rsidR="003208A8" w:rsidRPr="003208A8">
        <w:t>VP7-243</w:t>
      </w:r>
      <w:r w:rsidR="003208A8">
        <w:t xml:space="preserve"> nurodyta vertė su PVM.</w:t>
      </w:r>
    </w:p>
  </w:footnote>
  <w:footnote w:id="2">
    <w:p w14:paraId="3FE085D6" w14:textId="77777777" w:rsidR="005F36D0" w:rsidRPr="00B639EC" w:rsidRDefault="005F36D0" w:rsidP="005F36D0">
      <w:pPr>
        <w:pStyle w:val="FootnoteText"/>
        <w:ind w:right="-425"/>
        <w:jc w:val="both"/>
      </w:pPr>
      <w:r>
        <w:rPr>
          <w:rStyle w:val="FootnoteReference"/>
        </w:rPr>
        <w:footnoteRef/>
      </w:r>
      <w:r>
        <w:t xml:space="preserve"> „</w:t>
      </w:r>
      <w:r>
        <w:rPr>
          <w:rFonts w:eastAsia="Calibri"/>
          <w:szCs w:val="24"/>
        </w:rPr>
        <w:t xml:space="preserve">Tarptautinio pirkimo atveju </w:t>
      </w:r>
      <w:r>
        <w:rPr>
          <w:bCs/>
          <w:szCs w:val="24"/>
        </w:rPr>
        <w:t>šio straipsnio 1 dalyje nurodyta pareiga skaidyti pirkimo objektą į dalis netaikoma, jeigu</w:t>
      </w:r>
      <w:r>
        <w:rPr>
          <w:rFonts w:eastAsia="Calibri"/>
          <w:szCs w:val="24"/>
        </w:rPr>
        <w:t xml:space="preserve"> </w:t>
      </w:r>
      <w:r w:rsidRPr="003C6855">
        <w:rPr>
          <w:rFonts w:eastAsia="Calibri"/>
          <w:szCs w:val="24"/>
          <w:u w:val="single"/>
        </w:rPr>
        <w:t>perkančioji organizacija pirkimo dokumentuose pagrindžia</w:t>
      </w:r>
      <w:r>
        <w:rPr>
          <w:rFonts w:eastAsia="Calibri"/>
          <w:szCs w:val="24"/>
        </w:rPr>
        <w:t xml:space="preserve">, kad dėl to sumažėtų tiekėjų konkurencija, pirkimo sutarties vykdymas taptų per daug brangus ar sudėtingas techniniu požiūriu, </w:t>
      </w:r>
      <w:r>
        <w:rPr>
          <w:bCs/>
          <w:szCs w:val="24"/>
        </w:rPr>
        <w:t>skirtingų pirkimo objekto dalių įgyvendinimas būtų glaudžiai susijęs ir dėl to</w:t>
      </w:r>
      <w:r>
        <w:rPr>
          <w:b/>
          <w:bCs/>
          <w:szCs w:val="24"/>
        </w:rPr>
        <w:t xml:space="preserve"> </w:t>
      </w:r>
      <w:r>
        <w:rPr>
          <w:bCs/>
          <w:szCs w:val="24"/>
        </w:rPr>
        <w:t>perkančiajai organizacijai</w:t>
      </w:r>
      <w:r>
        <w:rPr>
          <w:b/>
          <w:bCs/>
          <w:szCs w:val="24"/>
        </w:rPr>
        <w:t xml:space="preserve"> </w:t>
      </w:r>
      <w:r>
        <w:rPr>
          <w:rFonts w:eastAsia="Calibri"/>
          <w:szCs w:val="24"/>
        </w:rPr>
        <w:t xml:space="preserve">atsirastų būtinybė koordinuoti šių dalių tiekėjus ir tai keltų riziką netinkamai įvykdyti pirkimo sutartį, </w:t>
      </w:r>
      <w:r>
        <w:rPr>
          <w:bCs/>
          <w:szCs w:val="24"/>
        </w:rPr>
        <w:t>ar nurodo kitas pagrįstas aplinkybes, dėl kurių netikslinga pirkimo objektą skaidyti į dalis</w:t>
      </w:r>
      <w:r>
        <w:rPr>
          <w:rFonts w:eastAsia="Calibri"/>
          <w:szCs w:val="24"/>
        </w:rPr>
        <w:t>“.</w:t>
      </w:r>
    </w:p>
  </w:footnote>
  <w:footnote w:id="3">
    <w:p w14:paraId="237B34F1" w14:textId="77777777" w:rsidR="005F36D0" w:rsidRDefault="005F36D0" w:rsidP="005F36D0">
      <w:pPr>
        <w:pStyle w:val="FootnoteText"/>
        <w:ind w:right="-426"/>
        <w:jc w:val="both"/>
      </w:pPr>
      <w:r>
        <w:rPr>
          <w:rStyle w:val="FootnoteReference"/>
        </w:rPr>
        <w:footnoteRef/>
      </w:r>
      <w:r>
        <w:t xml:space="preserve"> „</w:t>
      </w:r>
      <w:r>
        <w:rPr>
          <w:color w:val="000000"/>
        </w:rPr>
        <w:t>Pirkimo dokumentuose turi būti nurodyta &lt;...&gt; perkančiosios organizacijos sprendimo dėl tarptautinės vertės pirkimo objekto neskaidymo į dalis argumentai, kaip nustatyta šio įstatymo 28 straipsnio 2 dalyje</w:t>
      </w:r>
      <w:r>
        <w:t>“.</w:t>
      </w:r>
    </w:p>
  </w:footnote>
  <w:footnote w:id="4">
    <w:p w14:paraId="3D184801" w14:textId="77777777" w:rsidR="005F36D0" w:rsidRPr="00366E8C" w:rsidRDefault="005F36D0" w:rsidP="005F36D0">
      <w:pPr>
        <w:pStyle w:val="FootnoteText"/>
        <w:ind w:right="-426"/>
        <w:jc w:val="both"/>
        <w:rPr>
          <w:lang w:val="en-US"/>
        </w:rPr>
      </w:pPr>
      <w:r>
        <w:rPr>
          <w:rStyle w:val="FootnoteReference"/>
        </w:rPr>
        <w:footnoteRef/>
      </w:r>
      <w:r>
        <w:t xml:space="preserve"> „</w:t>
      </w:r>
      <w:r w:rsidRPr="002155D2">
        <w:t>Šis pirkimas į dalis neskaidomas</w:t>
      </w:r>
      <w:r>
        <w:t>“.</w:t>
      </w:r>
    </w:p>
  </w:footnote>
  <w:footnote w:id="5">
    <w:p w14:paraId="70F60100" w14:textId="5CD70AD2" w:rsidR="008321C9" w:rsidRDefault="00E71A41" w:rsidP="00E71A41">
      <w:pPr>
        <w:tabs>
          <w:tab w:val="left" w:pos="851"/>
        </w:tabs>
        <w:jc w:val="both"/>
        <w:rPr>
          <w:bCs/>
          <w:sz w:val="20"/>
          <w:szCs w:val="24"/>
        </w:rPr>
      </w:pPr>
      <w:r w:rsidRPr="0004548A">
        <w:rPr>
          <w:rStyle w:val="FootnoteReference"/>
          <w:sz w:val="20"/>
        </w:rPr>
        <w:footnoteRef/>
      </w:r>
      <w:r w:rsidRPr="0004548A">
        <w:rPr>
          <w:rStyle w:val="FootnoteReference"/>
          <w:sz w:val="20"/>
        </w:rPr>
        <w:t xml:space="preserve"> </w:t>
      </w:r>
      <w:r w:rsidRPr="00887C28">
        <w:rPr>
          <w:bCs/>
          <w:sz w:val="20"/>
          <w:szCs w:val="24"/>
        </w:rPr>
        <w:t xml:space="preserve">„&lt;...&gt; </w:t>
      </w:r>
      <w:r w:rsidR="008321C9" w:rsidRPr="008321C9">
        <w:rPr>
          <w:bCs/>
          <w:sz w:val="20"/>
          <w:szCs w:val="24"/>
        </w:rPr>
        <w:t xml:space="preserve">Perkančioji organizacija nelaiko perkamų paslaugų atskirais pirkimo objektais, tik kompleksine paslauga, kurios skaidymas (tiek pranešimų siuntimo zonų, tiek paslaugų  pobūdžiu), Perkančiosios organizacijos vertinimu, nebūtų tikslingas, efektyvus bei racionalus. </w:t>
      </w:r>
    </w:p>
    <w:p w14:paraId="75C389FF" w14:textId="40CAE6E1" w:rsidR="00CC0CF8" w:rsidRPr="00F413D7" w:rsidRDefault="00E71A41" w:rsidP="00E71A41">
      <w:pPr>
        <w:tabs>
          <w:tab w:val="left" w:pos="851"/>
        </w:tabs>
        <w:jc w:val="both"/>
        <w:rPr>
          <w:bCs/>
          <w:sz w:val="20"/>
          <w:szCs w:val="24"/>
        </w:rPr>
      </w:pPr>
      <w:r w:rsidRPr="00887C28">
        <w:rPr>
          <w:bCs/>
          <w:sz w:val="20"/>
          <w:szCs w:val="24"/>
        </w:rPr>
        <w:t>Perkančiosios organizacijos tikslas - paslaugoms įsigyti skirtas lėšas panaudoti racionaliai ir efektyviausiu būdu. Perkančiosios organizacijos vertinimu, pirkimo objekto skaidymas į dalis, neleistų šio tikslo pasiekti, be to, tai nėra tikslinga, atsižvelgiant į tai, kad pirkimo sutarties vykdymas taptų per daug brangus ar sudėtingas techniniu požiūriu, skirtingų pirkimo objekto dalių įgyvendinimas nebūtų glaudžiai susijęs ir dėl to perkančiajai organizacijai atsirastų būtinybė koordinuoti šių dalių tiekėjus ir tai keltų riziką netinkamai įvykdyti pirkimo sutartį, o sudarius kelias sutartis - didėtų administracinė našta ir nebūtų užtikrintas efektyvus proceso valdymas &lt;...&gt;</w:t>
      </w:r>
      <w:r w:rsidR="008321C9">
        <w:rPr>
          <w:bCs/>
          <w:sz w:val="20"/>
          <w:szCs w:val="24"/>
        </w:rPr>
        <w:t>.</w:t>
      </w:r>
    </w:p>
  </w:footnote>
  <w:footnote w:id="6">
    <w:p w14:paraId="3FACC60E" w14:textId="220492FD" w:rsidR="00A12DDB" w:rsidRPr="00A12DDB" w:rsidRDefault="00E71A41" w:rsidP="00A12DDB">
      <w:pPr>
        <w:tabs>
          <w:tab w:val="left" w:pos="851"/>
        </w:tabs>
        <w:jc w:val="both"/>
        <w:rPr>
          <w:bCs/>
          <w:sz w:val="20"/>
          <w:szCs w:val="24"/>
        </w:rPr>
      </w:pPr>
      <w:r w:rsidRPr="0004548A">
        <w:rPr>
          <w:rStyle w:val="FootnoteReference"/>
          <w:sz w:val="20"/>
        </w:rPr>
        <w:footnoteRef/>
      </w:r>
      <w:r w:rsidRPr="0004548A">
        <w:rPr>
          <w:rStyle w:val="FootnoteReference"/>
          <w:sz w:val="20"/>
        </w:rPr>
        <w:t xml:space="preserve"> </w:t>
      </w:r>
      <w:r w:rsidRPr="00887C28">
        <w:rPr>
          <w:bCs/>
          <w:sz w:val="20"/>
          <w:szCs w:val="24"/>
        </w:rPr>
        <w:t>„&lt;...&gt;</w:t>
      </w:r>
      <w:r w:rsidR="00A12DDB" w:rsidRPr="00A12DDB">
        <w:rPr>
          <w:bCs/>
          <w:sz w:val="20"/>
          <w:szCs w:val="24"/>
        </w:rPr>
        <w:t>Prieš vykdydama pirkimą Perkančioji organizacija atliko rinkos tyrimą ir Centriniame viešųjų pirkimų portale (toliau – CVPP) viešai paskelbtų pirkimo sutarčių analizę. Buvo išanalizuotos 2021 m. CVPP paviešintos kitų perkančiųjų organizacijų pirkimo sutartys, sudarytos su AB Lietuvos paštas, kurių pirkimo objektas yra mokėjimo pranešimų spausdinimo, vokavimo, pristatymo paslaugos</w:t>
      </w:r>
      <w:r w:rsidR="00B83A05">
        <w:rPr>
          <w:bCs/>
          <w:sz w:val="20"/>
          <w:szCs w:val="24"/>
        </w:rPr>
        <w:t xml:space="preserve"> &lt;...&gt; </w:t>
      </w:r>
      <w:r w:rsidR="00A12DDB" w:rsidRPr="00A12DDB">
        <w:rPr>
          <w:bCs/>
          <w:sz w:val="20"/>
          <w:szCs w:val="24"/>
        </w:rPr>
        <w:t>Pastebėta, kad kompleksiškai perkamų spausdinimo, vokavimo ir pristatymo paslaugų įkainiai yra palankesni ir žemesni nei tuo pat metu AB Lietuvos pašto svetainėje viešai skelbiami įkainiai</w:t>
      </w:r>
      <w:r w:rsidR="00B83A05">
        <w:rPr>
          <w:bCs/>
          <w:sz w:val="20"/>
          <w:szCs w:val="24"/>
        </w:rPr>
        <w:t xml:space="preserve"> &lt;...&gt; </w:t>
      </w:r>
      <w:r w:rsidR="00A12DDB" w:rsidRPr="00A12DDB">
        <w:rPr>
          <w:bCs/>
          <w:sz w:val="20"/>
          <w:szCs w:val="24"/>
        </w:rPr>
        <w:t> Taip pat iš 2021-11-08 tiekėjo AB Lietuvos paštas pateikto Perkančiajai organizacijai komercinio pasiūlymo nustatyta, kad jo siūlomas įkainis už neregistruotų vokų pristatymą iki 50 g yra 0,78 eurų be PVM, t.y. yra 0,01 eurų mažesnis nei viešai skelbiamas tiekėjo svetainėje.</w:t>
      </w:r>
    </w:p>
    <w:p w14:paraId="744A700A" w14:textId="70CAED87" w:rsidR="00E71A41" w:rsidRPr="00A12DDB" w:rsidRDefault="00A12DDB" w:rsidP="0062544F">
      <w:pPr>
        <w:tabs>
          <w:tab w:val="left" w:pos="851"/>
        </w:tabs>
        <w:jc w:val="both"/>
        <w:rPr>
          <w:bCs/>
          <w:sz w:val="20"/>
          <w:szCs w:val="24"/>
        </w:rPr>
      </w:pPr>
      <w:r w:rsidRPr="00A12DDB">
        <w:rPr>
          <w:bCs/>
          <w:sz w:val="20"/>
          <w:szCs w:val="24"/>
        </w:rPr>
        <w:t xml:space="preserve">Perkančiajai organizacijai išnagrinėjus CVPP paviešintas kitų perkančiųjų organizacijų 2021 m. pašto paslaugų pirkimo sutartis, sudarytas naudojantis Centrine perkančiąja organizacija (toliau – CPO), nustatyta, kad tiekėjai, teikiantys vien pašto paslaugas, taiko papildomai korespondencijos paėmimo iš perkančiosios organizacijos, registravimo tiekėjo sistemoje ir įteikimo adresatui mokestį </w:t>
      </w:r>
      <w:r w:rsidR="0062544F">
        <w:rPr>
          <w:bCs/>
          <w:sz w:val="20"/>
          <w:szCs w:val="24"/>
        </w:rPr>
        <w:t>&lt;...&gt;</w:t>
      </w:r>
      <w:r w:rsidRPr="00A12DDB">
        <w:rPr>
          <w:bCs/>
          <w:sz w:val="20"/>
          <w:szCs w:val="24"/>
        </w:rPr>
        <w:t xml:space="preserve"> Tokių papildomų išlaidų išvengiama, kai visas paslaugas kompleksiškai pagal vieną sutartį teikia vienas tiekėjas</w:t>
      </w:r>
      <w:r w:rsidR="0062544F">
        <w:rPr>
          <w:bCs/>
          <w:sz w:val="20"/>
          <w:szCs w:val="24"/>
        </w:rPr>
        <w:t>&lt;...&gt;“</w:t>
      </w:r>
      <w:r w:rsidR="00E71A41" w:rsidRPr="00887C28">
        <w:rPr>
          <w:bCs/>
          <w:sz w:val="20"/>
          <w:szCs w:val="24"/>
        </w:rPr>
        <w:t>.</w:t>
      </w:r>
    </w:p>
  </w:footnote>
  <w:footnote w:id="7">
    <w:p w14:paraId="3C253DB4" w14:textId="77777777" w:rsidR="00DD3E00" w:rsidRDefault="00DD3E00" w:rsidP="00DD3E00">
      <w:pPr>
        <w:pStyle w:val="FootnoteText"/>
        <w:ind w:right="-284"/>
        <w:jc w:val="both"/>
        <w:rPr>
          <w:sz w:val="24"/>
          <w:szCs w:val="24"/>
        </w:rPr>
      </w:pPr>
      <w:r w:rsidRPr="003F1EDE">
        <w:rPr>
          <w:rStyle w:val="FootnoteReference"/>
        </w:rPr>
        <w:footnoteRef/>
      </w:r>
      <w:r>
        <w:t xml:space="preserve"> Patvirtinta Tarnybos direktoriaus 2020 m. gruodžio 31 d. įsakymu Nr. 1S-177.</w:t>
      </w:r>
    </w:p>
  </w:footnote>
  <w:footnote w:id="8">
    <w:p w14:paraId="7344B9F4" w14:textId="7D095C07" w:rsidR="00270E67" w:rsidRPr="00270E67" w:rsidRDefault="00C954F3" w:rsidP="00270E67">
      <w:pPr>
        <w:pStyle w:val="FootnoteText"/>
        <w:jc w:val="both"/>
      </w:pPr>
      <w:r>
        <w:rPr>
          <w:rStyle w:val="FootnoteReference"/>
        </w:rPr>
        <w:footnoteRef/>
      </w:r>
      <w:r>
        <w:t xml:space="preserve"> „16.2. &lt;...&gt;</w:t>
      </w:r>
      <w:r w:rsidR="0062544F" w:rsidRPr="0062544F">
        <w:rPr>
          <w:bCs/>
          <w:iCs/>
        </w:rPr>
        <w:t xml:space="preserve">Pirkimo vykdytojas gali reikalauti, kad tiekėjas (arba ūkio subjektas, kurio pajėgumais tiekėjas remiasi) pagrindines paslaugas būtų suteikęs savo jėgomis. Tokiu atveju tiekėjui nedraudžiama remtis sutartimi, kurią tiekėjas vykdė ne vienas, bet kartu su kitais ūkio subjektais. Tačiau tokiu atveju turi būti </w:t>
      </w:r>
      <w:r w:rsidR="0062544F" w:rsidRPr="00FA7CFC">
        <w:rPr>
          <w:b/>
          <w:iCs/>
        </w:rPr>
        <w:t>vertinami būtent konkretaus tiekėjo, dalyvaujančio viešajame pirkime, suteiktos paslaugos, jų apimtis, vertė, o ne visas vykdytos sutarties objektas</w:t>
      </w:r>
      <w:r w:rsidR="00270E67" w:rsidRPr="00887C28">
        <w:rPr>
          <w:bCs/>
          <w:szCs w:val="24"/>
        </w:rPr>
        <w:t>“</w:t>
      </w:r>
      <w:r w:rsidR="00270E67">
        <w:rPr>
          <w:bCs/>
          <w:szCs w:val="24"/>
        </w:rPr>
        <w:t>.</w:t>
      </w:r>
    </w:p>
    <w:p w14:paraId="2EE2F9E8" w14:textId="77777777" w:rsidR="00270E67" w:rsidRPr="00270E67" w:rsidRDefault="00270E67" w:rsidP="00270E67">
      <w:pPr>
        <w:pStyle w:val="FootnoteText"/>
        <w:jc w:val="both"/>
      </w:pPr>
    </w:p>
    <w:p w14:paraId="3AB37B66" w14:textId="77777777" w:rsidR="00270E67" w:rsidRDefault="00270E67" w:rsidP="00C954F3">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058F"/>
    <w:rsid w:val="00044618"/>
    <w:rsid w:val="0004548A"/>
    <w:rsid w:val="00063267"/>
    <w:rsid w:val="00067A35"/>
    <w:rsid w:val="00071BA2"/>
    <w:rsid w:val="000A1967"/>
    <w:rsid w:val="000D45A6"/>
    <w:rsid w:val="000F1231"/>
    <w:rsid w:val="000F7A78"/>
    <w:rsid w:val="0016281C"/>
    <w:rsid w:val="0018064B"/>
    <w:rsid w:val="002314DF"/>
    <w:rsid w:val="0023758D"/>
    <w:rsid w:val="00260611"/>
    <w:rsid w:val="00263010"/>
    <w:rsid w:val="00270E67"/>
    <w:rsid w:val="002A6DB9"/>
    <w:rsid w:val="002D41AA"/>
    <w:rsid w:val="002E2B5D"/>
    <w:rsid w:val="003018EB"/>
    <w:rsid w:val="003208A8"/>
    <w:rsid w:val="00363A98"/>
    <w:rsid w:val="0039746D"/>
    <w:rsid w:val="003A4F78"/>
    <w:rsid w:val="003B7293"/>
    <w:rsid w:val="003D0B15"/>
    <w:rsid w:val="003F1EDE"/>
    <w:rsid w:val="00402BF2"/>
    <w:rsid w:val="0040770C"/>
    <w:rsid w:val="004353D9"/>
    <w:rsid w:val="00445143"/>
    <w:rsid w:val="00466B67"/>
    <w:rsid w:val="004A5322"/>
    <w:rsid w:val="005211A5"/>
    <w:rsid w:val="005520DC"/>
    <w:rsid w:val="00552CB5"/>
    <w:rsid w:val="005B349E"/>
    <w:rsid w:val="005D539B"/>
    <w:rsid w:val="005F36D0"/>
    <w:rsid w:val="006065C4"/>
    <w:rsid w:val="0062544F"/>
    <w:rsid w:val="006970CE"/>
    <w:rsid w:val="00730EEB"/>
    <w:rsid w:val="007313C0"/>
    <w:rsid w:val="007527E3"/>
    <w:rsid w:val="00755F36"/>
    <w:rsid w:val="00763F28"/>
    <w:rsid w:val="007A09FC"/>
    <w:rsid w:val="007A4530"/>
    <w:rsid w:val="007A5F12"/>
    <w:rsid w:val="007E65B7"/>
    <w:rsid w:val="00815E26"/>
    <w:rsid w:val="00823BD8"/>
    <w:rsid w:val="00831807"/>
    <w:rsid w:val="008321C9"/>
    <w:rsid w:val="0083730F"/>
    <w:rsid w:val="00844A4B"/>
    <w:rsid w:val="00851579"/>
    <w:rsid w:val="0085334F"/>
    <w:rsid w:val="00862F03"/>
    <w:rsid w:val="00887C28"/>
    <w:rsid w:val="008971F0"/>
    <w:rsid w:val="0092285E"/>
    <w:rsid w:val="00971DE0"/>
    <w:rsid w:val="00980D1D"/>
    <w:rsid w:val="009828ED"/>
    <w:rsid w:val="009E1178"/>
    <w:rsid w:val="00A04A78"/>
    <w:rsid w:val="00A12DDB"/>
    <w:rsid w:val="00A24D35"/>
    <w:rsid w:val="00A53CD1"/>
    <w:rsid w:val="00A61469"/>
    <w:rsid w:val="00A80AC6"/>
    <w:rsid w:val="00AA201D"/>
    <w:rsid w:val="00AB475E"/>
    <w:rsid w:val="00AB664A"/>
    <w:rsid w:val="00AB77D9"/>
    <w:rsid w:val="00AD79F8"/>
    <w:rsid w:val="00AE41EC"/>
    <w:rsid w:val="00B3171E"/>
    <w:rsid w:val="00B31778"/>
    <w:rsid w:val="00B82ABB"/>
    <w:rsid w:val="00B83A05"/>
    <w:rsid w:val="00BD6C9F"/>
    <w:rsid w:val="00C11BFB"/>
    <w:rsid w:val="00C34715"/>
    <w:rsid w:val="00C3533E"/>
    <w:rsid w:val="00C4484C"/>
    <w:rsid w:val="00C45D4D"/>
    <w:rsid w:val="00C55AEA"/>
    <w:rsid w:val="00C62487"/>
    <w:rsid w:val="00C72C77"/>
    <w:rsid w:val="00C77A4A"/>
    <w:rsid w:val="00C81770"/>
    <w:rsid w:val="00C954F3"/>
    <w:rsid w:val="00CB2457"/>
    <w:rsid w:val="00CB4C6A"/>
    <w:rsid w:val="00CC0CF8"/>
    <w:rsid w:val="00CC115F"/>
    <w:rsid w:val="00CE6140"/>
    <w:rsid w:val="00D554EB"/>
    <w:rsid w:val="00D77EE7"/>
    <w:rsid w:val="00DB1F67"/>
    <w:rsid w:val="00DC0D3F"/>
    <w:rsid w:val="00DC1105"/>
    <w:rsid w:val="00DD3E00"/>
    <w:rsid w:val="00DE3170"/>
    <w:rsid w:val="00DE7E4A"/>
    <w:rsid w:val="00E71A41"/>
    <w:rsid w:val="00EB71C6"/>
    <w:rsid w:val="00F009C3"/>
    <w:rsid w:val="00F413D7"/>
    <w:rsid w:val="00F47056"/>
    <w:rsid w:val="00F80490"/>
    <w:rsid w:val="00F90E67"/>
    <w:rsid w:val="00FA1A7B"/>
    <w:rsid w:val="00FA7CFC"/>
    <w:rsid w:val="00FB4B45"/>
    <w:rsid w:val="00FC5CFE"/>
    <w:rsid w:val="00FD255E"/>
    <w:rsid w:val="00FD6B06"/>
    <w:rsid w:val="00FE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6C96BBD-9B73-41DC-831A-9005E4FD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
    <w:basedOn w:val="Normal"/>
    <w:link w:val="FootnoteTextChar"/>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
    <w:basedOn w:val="DefaultParagraphFont"/>
    <w:link w:val="FootnoteText"/>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FD6B06"/>
    <w:rPr>
      <w:vertAlign w:val="superscript"/>
    </w:rPr>
  </w:style>
  <w:style w:type="paragraph" w:styleId="ListParagraph">
    <w:name w:val="List Paragraph"/>
    <w:basedOn w:val="Normal"/>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basedOn w:val="Normal"/>
    <w:link w:val="CommentTextChar"/>
    <w:semiHidden/>
    <w:unhideWhenUsed/>
    <w:rsid w:val="009828ED"/>
    <w:rPr>
      <w:sz w:val="20"/>
    </w:rPr>
  </w:style>
  <w:style w:type="character" w:customStyle="1" w:styleId="CommentTextChar">
    <w:name w:val="Comment Text Char"/>
    <w:basedOn w:val="DefaultParagraphFont"/>
    <w:link w:val="CommentText"/>
    <w:semiHidden/>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rsa@vrsa.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937</Words>
  <Characters>5341</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6266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Laura Žemaitė</cp:lastModifiedBy>
  <cp:revision>18</cp:revision>
  <cp:lastPrinted>2019-02-01T10:14:00Z</cp:lastPrinted>
  <dcterms:created xsi:type="dcterms:W3CDTF">2022-02-22T12:51:00Z</dcterms:created>
  <dcterms:modified xsi:type="dcterms:W3CDTF">2022-02-24T08:18:00Z</dcterms:modified>
</cp:coreProperties>
</file>