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6677199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1560"/>
        <w:gridCol w:w="567"/>
        <w:gridCol w:w="2267"/>
        <w:gridCol w:w="846"/>
        <w:gridCol w:w="1560"/>
        <w:gridCol w:w="1705"/>
        <w:gridCol w:w="1270"/>
      </w:tblGrid>
      <w:tr w:rsidR="00671F6B" w:rsidRPr="00671F6B" w14:paraId="33E27AB9" w14:textId="77777777" w:rsidTr="00E05526">
        <w:trPr>
          <w:cantSplit/>
        </w:trPr>
        <w:tc>
          <w:tcPr>
            <w:tcW w:w="5240" w:type="dxa"/>
            <w:gridSpan w:val="4"/>
          </w:tcPr>
          <w:p w14:paraId="6FB5A110" w14:textId="1D25AA28" w:rsidR="00492F92" w:rsidRDefault="00492F92" w:rsidP="00492F92">
            <w:pPr>
              <w:rPr>
                <w:sz w:val="24"/>
                <w:szCs w:val="24"/>
              </w:rPr>
            </w:pPr>
            <w:r>
              <w:rPr>
                <w:sz w:val="24"/>
                <w:szCs w:val="24"/>
              </w:rPr>
              <w:t>VšĮ Alytaus apskrities S. Kudirkos ligonin</w:t>
            </w:r>
            <w:r w:rsidR="00E26F19">
              <w:rPr>
                <w:sz w:val="24"/>
                <w:szCs w:val="24"/>
              </w:rPr>
              <w:t>ei</w:t>
            </w:r>
          </w:p>
          <w:p w14:paraId="25F0C558" w14:textId="77777777" w:rsidR="00492F92" w:rsidRDefault="00492F92" w:rsidP="00492F92">
            <w:pPr>
              <w:rPr>
                <w:sz w:val="24"/>
                <w:szCs w:val="24"/>
              </w:rPr>
            </w:pPr>
            <w:r>
              <w:rPr>
                <w:sz w:val="24"/>
                <w:szCs w:val="24"/>
              </w:rPr>
              <w:t>Ligoninės g. 12, LT-62114 Alytus</w:t>
            </w:r>
          </w:p>
          <w:p w14:paraId="30340156" w14:textId="65E3E6CB" w:rsidR="00CE1ECD" w:rsidRDefault="00492F92" w:rsidP="00492F92">
            <w:pPr>
              <w:rPr>
                <w:sz w:val="24"/>
                <w:szCs w:val="24"/>
              </w:rPr>
            </w:pPr>
            <w:r>
              <w:rPr>
                <w:sz w:val="24"/>
                <w:szCs w:val="24"/>
              </w:rPr>
              <w:t xml:space="preserve">El. p.: </w:t>
            </w:r>
            <w:hyperlink r:id="rId10" w:history="1">
              <w:r w:rsidR="00E26F19" w:rsidRPr="00234231">
                <w:rPr>
                  <w:rStyle w:val="Hyperlink"/>
                  <w:sz w:val="24"/>
                  <w:szCs w:val="24"/>
                </w:rPr>
                <w:t>alytus@ligonine.lt</w:t>
              </w:r>
            </w:hyperlink>
            <w:r>
              <w:rPr>
                <w:sz w:val="24"/>
                <w:szCs w:val="24"/>
              </w:rPr>
              <w:t xml:space="preserve"> </w:t>
            </w:r>
          </w:p>
          <w:p w14:paraId="45887D1B" w14:textId="77777777" w:rsidR="00E26F19" w:rsidRDefault="00E26F19" w:rsidP="00492F92">
            <w:pPr>
              <w:rPr>
                <w:sz w:val="24"/>
                <w:szCs w:val="24"/>
              </w:rPr>
            </w:pPr>
          </w:p>
          <w:p w14:paraId="1238824A" w14:textId="77777777" w:rsidR="00E26F19" w:rsidRDefault="00E26F19" w:rsidP="00492F92">
            <w:pPr>
              <w:rPr>
                <w:sz w:val="24"/>
                <w:szCs w:val="24"/>
              </w:rPr>
            </w:pPr>
          </w:p>
          <w:p w14:paraId="00943DC5" w14:textId="77777777" w:rsidR="00E26F19" w:rsidRDefault="00E26F19" w:rsidP="00492F92">
            <w:pPr>
              <w:rPr>
                <w:sz w:val="24"/>
                <w:szCs w:val="24"/>
              </w:rPr>
            </w:pPr>
          </w:p>
          <w:p w14:paraId="23F22C92" w14:textId="77777777" w:rsidR="00E26F19" w:rsidRDefault="00E26F19" w:rsidP="00492F92">
            <w:pPr>
              <w:rPr>
                <w:sz w:val="24"/>
                <w:szCs w:val="24"/>
              </w:rPr>
            </w:pPr>
          </w:p>
          <w:p w14:paraId="67BEC354" w14:textId="77777777" w:rsidR="00E26F19" w:rsidRDefault="00E26F19" w:rsidP="00492F92">
            <w:pPr>
              <w:rPr>
                <w:rFonts w:eastAsia="Calibri"/>
                <w:sz w:val="24"/>
                <w:szCs w:val="24"/>
              </w:rPr>
            </w:pPr>
            <w:r>
              <w:rPr>
                <w:sz w:val="24"/>
                <w:szCs w:val="24"/>
              </w:rPr>
              <w:t>VšĮ</w:t>
            </w:r>
            <w:r w:rsidRPr="006E59BA">
              <w:rPr>
                <w:rFonts w:eastAsia="Calibri"/>
                <w:sz w:val="24"/>
                <w:szCs w:val="24"/>
              </w:rPr>
              <w:t xml:space="preserve"> </w:t>
            </w:r>
            <w:r>
              <w:rPr>
                <w:rFonts w:eastAsia="Calibri"/>
                <w:sz w:val="24"/>
                <w:szCs w:val="24"/>
              </w:rPr>
              <w:t>„</w:t>
            </w:r>
            <w:r w:rsidRPr="006E59BA">
              <w:rPr>
                <w:rFonts w:eastAsia="Calibri"/>
                <w:sz w:val="24"/>
                <w:szCs w:val="24"/>
              </w:rPr>
              <w:t>Jungtinis techninis sekretoriatas</w:t>
            </w:r>
            <w:r>
              <w:rPr>
                <w:rFonts w:eastAsia="Calibri"/>
                <w:sz w:val="24"/>
                <w:szCs w:val="24"/>
              </w:rPr>
              <w:t>“</w:t>
            </w:r>
          </w:p>
          <w:p w14:paraId="33C71BDB" w14:textId="77777777" w:rsidR="00E26F19" w:rsidRDefault="00E26F19" w:rsidP="00492F92">
            <w:pPr>
              <w:rPr>
                <w:sz w:val="24"/>
                <w:szCs w:val="24"/>
              </w:rPr>
            </w:pPr>
            <w:r w:rsidRPr="00E26F19">
              <w:rPr>
                <w:sz w:val="24"/>
                <w:szCs w:val="24"/>
              </w:rPr>
              <w:t>Konstitucijos pr. 7, LT-09308, Vilnius</w:t>
            </w:r>
          </w:p>
          <w:p w14:paraId="5EA9CA29" w14:textId="6E8E9F22" w:rsidR="00E26F19" w:rsidRPr="00671F6B" w:rsidRDefault="00E26F19" w:rsidP="00492F92">
            <w:pPr>
              <w:rPr>
                <w:sz w:val="24"/>
                <w:szCs w:val="24"/>
              </w:rPr>
            </w:pPr>
            <w:r>
              <w:rPr>
                <w:sz w:val="24"/>
                <w:szCs w:val="24"/>
              </w:rPr>
              <w:t xml:space="preserve">El. p.: </w:t>
            </w:r>
            <w:hyperlink r:id="rId11" w:history="1">
              <w:r w:rsidRPr="00234231">
                <w:rPr>
                  <w:rStyle w:val="Hyperlink"/>
                  <w:sz w:val="24"/>
                  <w:szCs w:val="24"/>
                </w:rPr>
                <w:t>info@vilniusjts.eu</w:t>
              </w:r>
            </w:hyperlink>
            <w:r>
              <w:rPr>
                <w:sz w:val="24"/>
                <w:szCs w:val="24"/>
              </w:rPr>
              <w:t xml:space="preserve"> </w:t>
            </w:r>
          </w:p>
        </w:tc>
        <w:tc>
          <w:tcPr>
            <w:tcW w:w="1560" w:type="dxa"/>
          </w:tcPr>
          <w:p w14:paraId="32BD6F7F" w14:textId="4581EEB0" w:rsidR="001C573C" w:rsidRDefault="00495FE4" w:rsidP="001854D6">
            <w:pPr>
              <w:rPr>
                <w:sz w:val="24"/>
                <w:szCs w:val="24"/>
              </w:rPr>
            </w:pPr>
            <w:r w:rsidRPr="00671F6B">
              <w:rPr>
                <w:sz w:val="24"/>
                <w:szCs w:val="24"/>
              </w:rPr>
              <w:t>2020</w:t>
            </w:r>
            <w:r w:rsidR="001C573C" w:rsidRPr="00671F6B">
              <w:rPr>
                <w:sz w:val="24"/>
                <w:szCs w:val="24"/>
              </w:rPr>
              <w:t>-</w:t>
            </w:r>
            <w:r w:rsidR="00EC2146">
              <w:rPr>
                <w:sz w:val="24"/>
                <w:szCs w:val="24"/>
              </w:rPr>
              <w:t>11</w:t>
            </w:r>
            <w:r w:rsidR="00B411B7">
              <w:rPr>
                <w:sz w:val="24"/>
                <w:szCs w:val="24"/>
              </w:rPr>
              <w:t>-</w:t>
            </w:r>
            <w:r w:rsidR="00772A6A">
              <w:rPr>
                <w:sz w:val="24"/>
                <w:szCs w:val="24"/>
              </w:rPr>
              <w:t>12</w:t>
            </w:r>
          </w:p>
          <w:p w14:paraId="3CEA1397" w14:textId="70F7D42A" w:rsidR="008434A5" w:rsidRDefault="00492F92" w:rsidP="001854D6">
            <w:pPr>
              <w:rPr>
                <w:sz w:val="24"/>
                <w:szCs w:val="24"/>
              </w:rPr>
            </w:pPr>
            <w:r>
              <w:rPr>
                <w:sz w:val="24"/>
                <w:szCs w:val="24"/>
              </w:rPr>
              <w:t xml:space="preserve">Į </w:t>
            </w:r>
            <w:r w:rsidR="00AA56E0">
              <w:rPr>
                <w:sz w:val="24"/>
                <w:szCs w:val="24"/>
              </w:rPr>
              <w:t>2020-09-25</w:t>
            </w:r>
          </w:p>
          <w:p w14:paraId="6E93486A" w14:textId="20E59E23" w:rsidR="00AA56E0" w:rsidRDefault="00AA56E0" w:rsidP="001854D6">
            <w:pPr>
              <w:rPr>
                <w:sz w:val="24"/>
                <w:szCs w:val="24"/>
              </w:rPr>
            </w:pPr>
            <w:r>
              <w:rPr>
                <w:sz w:val="24"/>
                <w:szCs w:val="24"/>
              </w:rPr>
              <w:t>2020-10-16</w:t>
            </w:r>
          </w:p>
          <w:p w14:paraId="23F06408" w14:textId="2B11D590" w:rsidR="00AA56E0" w:rsidRDefault="00AA56E0" w:rsidP="001854D6">
            <w:pPr>
              <w:rPr>
                <w:sz w:val="24"/>
                <w:szCs w:val="24"/>
              </w:rPr>
            </w:pPr>
            <w:r>
              <w:rPr>
                <w:sz w:val="24"/>
                <w:szCs w:val="24"/>
              </w:rPr>
              <w:t>2020-10-22</w:t>
            </w:r>
          </w:p>
          <w:p w14:paraId="663AC183" w14:textId="6EFA2EF9" w:rsidR="00AA56E0" w:rsidRPr="00671F6B" w:rsidRDefault="00AA56E0" w:rsidP="001854D6">
            <w:pPr>
              <w:rPr>
                <w:sz w:val="24"/>
                <w:szCs w:val="24"/>
              </w:rPr>
            </w:pPr>
            <w:r>
              <w:rPr>
                <w:sz w:val="24"/>
                <w:szCs w:val="24"/>
              </w:rPr>
              <w:t>2020-10-29</w:t>
            </w:r>
          </w:p>
          <w:p w14:paraId="3163C8F2" w14:textId="4229966E" w:rsidR="001C573C" w:rsidRPr="00671F6B" w:rsidRDefault="001C573C" w:rsidP="00961D2E">
            <w:pPr>
              <w:rPr>
                <w:sz w:val="24"/>
                <w:szCs w:val="24"/>
              </w:rPr>
            </w:pPr>
            <w:r w:rsidRPr="00671F6B">
              <w:rPr>
                <w:sz w:val="24"/>
                <w:szCs w:val="24"/>
              </w:rPr>
              <w:t xml:space="preserve"> </w:t>
            </w:r>
          </w:p>
        </w:tc>
        <w:tc>
          <w:tcPr>
            <w:tcW w:w="1705" w:type="dxa"/>
            <w:shd w:val="clear" w:color="auto" w:fill="auto"/>
          </w:tcPr>
          <w:p w14:paraId="5C20B737" w14:textId="65638CA4" w:rsidR="001C573C" w:rsidRPr="00671F6B" w:rsidRDefault="001C573C" w:rsidP="008D2773">
            <w:pPr>
              <w:ind w:right="-108"/>
              <w:rPr>
                <w:sz w:val="24"/>
                <w:szCs w:val="24"/>
              </w:rPr>
            </w:pPr>
            <w:r w:rsidRPr="00671F6B">
              <w:rPr>
                <w:sz w:val="24"/>
                <w:szCs w:val="24"/>
              </w:rPr>
              <w:t>Nr.</w:t>
            </w:r>
            <w:r w:rsidR="006D1C2C" w:rsidRPr="00671F6B">
              <w:rPr>
                <w:sz w:val="24"/>
                <w:szCs w:val="24"/>
              </w:rPr>
              <w:t xml:space="preserve"> </w:t>
            </w:r>
            <w:r w:rsidR="00AF3E81">
              <w:rPr>
                <w:sz w:val="24"/>
                <w:szCs w:val="24"/>
              </w:rPr>
              <w:t>4S-</w:t>
            </w:r>
            <w:r w:rsidR="00772A6A">
              <w:rPr>
                <w:sz w:val="24"/>
                <w:szCs w:val="24"/>
              </w:rPr>
              <w:t>1028</w:t>
            </w:r>
          </w:p>
          <w:p w14:paraId="6E21A7DF" w14:textId="0EE8F3DB" w:rsidR="001C573C" w:rsidRDefault="00E32C86" w:rsidP="00E05526">
            <w:pPr>
              <w:ind w:right="-674"/>
              <w:rPr>
                <w:sz w:val="24"/>
                <w:szCs w:val="24"/>
              </w:rPr>
            </w:pPr>
            <w:r>
              <w:rPr>
                <w:sz w:val="24"/>
                <w:szCs w:val="24"/>
              </w:rPr>
              <w:t xml:space="preserve">Nr. </w:t>
            </w:r>
            <w:r w:rsidR="00AA56E0">
              <w:rPr>
                <w:sz w:val="24"/>
                <w:szCs w:val="24"/>
              </w:rPr>
              <w:t>SD-2306</w:t>
            </w:r>
          </w:p>
          <w:p w14:paraId="19DFD388" w14:textId="17062F75" w:rsidR="00AA56E0" w:rsidRDefault="00AA56E0" w:rsidP="00E05526">
            <w:pPr>
              <w:ind w:right="-674"/>
              <w:rPr>
                <w:sz w:val="24"/>
                <w:szCs w:val="24"/>
              </w:rPr>
            </w:pPr>
            <w:r>
              <w:rPr>
                <w:sz w:val="24"/>
                <w:szCs w:val="24"/>
              </w:rPr>
              <w:t>el. laišką</w:t>
            </w:r>
          </w:p>
          <w:p w14:paraId="63574FF4" w14:textId="04CC8FC2" w:rsidR="00AA56E0" w:rsidRDefault="00AA56E0" w:rsidP="00E05526">
            <w:pPr>
              <w:ind w:right="-674"/>
              <w:rPr>
                <w:sz w:val="24"/>
                <w:szCs w:val="24"/>
              </w:rPr>
            </w:pPr>
            <w:r>
              <w:rPr>
                <w:sz w:val="24"/>
                <w:szCs w:val="24"/>
              </w:rPr>
              <w:t>el. laišką</w:t>
            </w:r>
          </w:p>
          <w:p w14:paraId="36B3AB3E" w14:textId="1C1522CB" w:rsidR="00AA56E0" w:rsidRPr="00671F6B" w:rsidRDefault="00AA56E0" w:rsidP="00E05526">
            <w:pPr>
              <w:ind w:right="-674"/>
              <w:rPr>
                <w:sz w:val="24"/>
                <w:szCs w:val="24"/>
              </w:rPr>
            </w:pPr>
            <w:r>
              <w:rPr>
                <w:sz w:val="24"/>
                <w:szCs w:val="24"/>
              </w:rPr>
              <w:t>el. laišką</w:t>
            </w:r>
          </w:p>
          <w:p w14:paraId="1C320F9F" w14:textId="77777777" w:rsidR="00961D2E" w:rsidRPr="00671F6B" w:rsidRDefault="00961D2E" w:rsidP="008D2773">
            <w:pPr>
              <w:ind w:right="-108"/>
              <w:rPr>
                <w:sz w:val="24"/>
                <w:szCs w:val="24"/>
              </w:rPr>
            </w:pPr>
          </w:p>
        </w:tc>
        <w:tc>
          <w:tcPr>
            <w:tcW w:w="1270" w:type="dxa"/>
            <w:shd w:val="clear" w:color="auto" w:fill="auto"/>
          </w:tcPr>
          <w:p w14:paraId="478E191C" w14:textId="354229FF" w:rsidR="001C573C" w:rsidRDefault="00370536" w:rsidP="006D1C2C">
            <w:pPr>
              <w:rPr>
                <w:sz w:val="24"/>
                <w:szCs w:val="24"/>
              </w:rPr>
            </w:pPr>
            <w:r w:rsidRPr="00671F6B">
              <w:rPr>
                <w:sz w:val="24"/>
                <w:szCs w:val="24"/>
              </w:rPr>
              <w:t>(7.</w:t>
            </w:r>
            <w:r w:rsidR="009D5929" w:rsidRPr="00671F6B">
              <w:rPr>
                <w:sz w:val="24"/>
                <w:szCs w:val="24"/>
              </w:rPr>
              <w:t>4</w:t>
            </w:r>
            <w:r w:rsidR="00BF46E1" w:rsidRPr="00671F6B">
              <w:rPr>
                <w:sz w:val="24"/>
                <w:szCs w:val="24"/>
              </w:rPr>
              <w:t xml:space="preserve"> </w:t>
            </w:r>
            <w:r w:rsidR="0082410E" w:rsidRPr="00671F6B">
              <w:rPr>
                <w:sz w:val="24"/>
                <w:szCs w:val="24"/>
              </w:rPr>
              <w:t>E</w:t>
            </w:r>
            <w:r w:rsidRPr="00671F6B">
              <w:rPr>
                <w:sz w:val="24"/>
                <w:szCs w:val="24"/>
              </w:rPr>
              <w:t>)</w:t>
            </w:r>
          </w:p>
          <w:p w14:paraId="4651E9DD" w14:textId="77777777" w:rsidR="00DE5053" w:rsidRPr="00671F6B" w:rsidRDefault="00DE5053" w:rsidP="006D1C2C">
            <w:pPr>
              <w:rPr>
                <w:sz w:val="24"/>
                <w:szCs w:val="24"/>
              </w:rPr>
            </w:pPr>
          </w:p>
          <w:p w14:paraId="3166128D" w14:textId="77777777" w:rsidR="00961D2E" w:rsidRPr="00671F6B" w:rsidRDefault="00961D2E" w:rsidP="001854D6">
            <w:pPr>
              <w:rPr>
                <w:sz w:val="24"/>
                <w:szCs w:val="24"/>
              </w:rPr>
            </w:pPr>
          </w:p>
        </w:tc>
      </w:tr>
      <w:tr w:rsidR="00671F6B" w:rsidRPr="00671F6B" w14:paraId="371847FD" w14:textId="77777777" w:rsidTr="00E05526">
        <w:trPr>
          <w:gridAfter w:val="4"/>
          <w:wAfter w:w="5381" w:type="dxa"/>
          <w:cantSplit/>
          <w:trHeight w:val="80"/>
        </w:trPr>
        <w:tc>
          <w:tcPr>
            <w:tcW w:w="1560" w:type="dxa"/>
          </w:tcPr>
          <w:p w14:paraId="128ADA56" w14:textId="77777777" w:rsidR="000A5F61" w:rsidRPr="00671F6B" w:rsidRDefault="000A5F61" w:rsidP="001854D6">
            <w:pPr>
              <w:rPr>
                <w:sz w:val="24"/>
                <w:szCs w:val="24"/>
              </w:rPr>
            </w:pPr>
          </w:p>
        </w:tc>
        <w:tc>
          <w:tcPr>
            <w:tcW w:w="567" w:type="dxa"/>
          </w:tcPr>
          <w:p w14:paraId="73E6C186" w14:textId="77777777" w:rsidR="000A5F61" w:rsidRPr="00671F6B" w:rsidRDefault="000A5F61" w:rsidP="001854D6">
            <w:pPr>
              <w:ind w:left="-108" w:right="-108"/>
              <w:rPr>
                <w:sz w:val="24"/>
                <w:szCs w:val="24"/>
              </w:rPr>
            </w:pPr>
          </w:p>
        </w:tc>
        <w:tc>
          <w:tcPr>
            <w:tcW w:w="2267" w:type="dxa"/>
          </w:tcPr>
          <w:p w14:paraId="769B18EE" w14:textId="77777777" w:rsidR="000A5F61" w:rsidRPr="00671F6B" w:rsidRDefault="000A5F61" w:rsidP="001854D6">
            <w:pPr>
              <w:rPr>
                <w:sz w:val="24"/>
                <w:szCs w:val="24"/>
              </w:rPr>
            </w:pPr>
          </w:p>
        </w:tc>
      </w:tr>
    </w:tbl>
    <w:p w14:paraId="601E0EEB" w14:textId="77777777" w:rsidR="00041F7F" w:rsidRDefault="00041F7F" w:rsidP="0088148E">
      <w:pPr>
        <w:jc w:val="center"/>
        <w:rPr>
          <w:rFonts w:eastAsia="Calibri"/>
          <w:b/>
          <w:bCs/>
          <w:sz w:val="24"/>
          <w:szCs w:val="24"/>
        </w:rPr>
      </w:pPr>
    </w:p>
    <w:p w14:paraId="7C2F4208" w14:textId="77777777" w:rsidR="00041F7F" w:rsidRDefault="00041F7F"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3B9ED22A" w:rsidR="0088148E" w:rsidRPr="00671F6B" w:rsidRDefault="00806D5E" w:rsidP="002909AD">
      <w:pPr>
        <w:ind w:firstLine="709"/>
        <w:jc w:val="both"/>
        <w:rPr>
          <w:rFonts w:eastAsia="Calibri"/>
          <w:bCs/>
          <w:sz w:val="24"/>
          <w:szCs w:val="24"/>
        </w:rPr>
      </w:pPr>
      <w:r w:rsidRPr="000515C3">
        <w:rPr>
          <w:rFonts w:eastAsia="Calibri"/>
          <w:bCs/>
          <w:sz w:val="24"/>
          <w:szCs w:val="24"/>
        </w:rPr>
        <w:t>Viešųjų pirkimų tarnyba (toliau – Tarnyba), vadovaudamasi Lietuvos Respublikos viešųjų pirkimų įstatymo 95 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88148E" w:rsidRPr="00671F6B">
        <w:rPr>
          <w:rFonts w:eastAsia="Calibri"/>
          <w:bCs/>
          <w:sz w:val="24"/>
          <w:szCs w:val="24"/>
        </w:rPr>
        <w:t xml:space="preserve"> </w:t>
      </w:r>
      <w:r w:rsidR="00492F92">
        <w:rPr>
          <w:sz w:val="24"/>
          <w:szCs w:val="24"/>
        </w:rPr>
        <w:t>VšĮ Alytaus apskrities S. Kudirkos ligoninės</w:t>
      </w:r>
      <w:r w:rsidR="00B411B7" w:rsidRPr="00671F6B">
        <w:rPr>
          <w:rFonts w:eastAsia="Calibri"/>
          <w:bCs/>
          <w:sz w:val="24"/>
          <w:szCs w:val="24"/>
        </w:rPr>
        <w:t xml:space="preserve"> </w:t>
      </w:r>
      <w:r w:rsidR="002909AD" w:rsidRPr="00671F6B">
        <w:rPr>
          <w:rFonts w:eastAsia="Calibri"/>
          <w:bCs/>
          <w:sz w:val="24"/>
          <w:szCs w:val="24"/>
        </w:rPr>
        <w:t xml:space="preserve">(toliau – </w:t>
      </w:r>
      <w:r w:rsidR="00824C49">
        <w:rPr>
          <w:rFonts w:eastAsia="Calibri"/>
          <w:bCs/>
          <w:sz w:val="24"/>
          <w:szCs w:val="24"/>
        </w:rPr>
        <w:t>Perkančioji organizacija</w:t>
      </w:r>
      <w:r w:rsidR="0082410E" w:rsidRPr="00671F6B">
        <w:rPr>
          <w:rFonts w:eastAsia="Calibri"/>
          <w:bCs/>
          <w:sz w:val="24"/>
          <w:szCs w:val="24"/>
        </w:rPr>
        <w:t xml:space="preserve">) </w:t>
      </w:r>
      <w:r w:rsidR="00132953" w:rsidRPr="00671F6B">
        <w:rPr>
          <w:rFonts w:eastAsia="Calibri"/>
          <w:bCs/>
          <w:sz w:val="24"/>
          <w:szCs w:val="24"/>
        </w:rPr>
        <w:t>vykd</w:t>
      </w:r>
      <w:r w:rsidR="003E4F80">
        <w:rPr>
          <w:rFonts w:eastAsia="Calibri"/>
          <w:bCs/>
          <w:sz w:val="24"/>
          <w:szCs w:val="24"/>
        </w:rPr>
        <w:t>ytų</w:t>
      </w:r>
      <w:r w:rsidR="00132953" w:rsidRPr="00671F6B">
        <w:rPr>
          <w:rFonts w:eastAsia="Calibri"/>
          <w:bCs/>
          <w:sz w:val="24"/>
          <w:szCs w:val="24"/>
        </w:rPr>
        <w:t xml:space="preserve"> </w:t>
      </w:r>
      <w:r w:rsidR="002909AD" w:rsidRPr="00671F6B">
        <w:rPr>
          <w:rFonts w:eastAsia="Calibri"/>
          <w:bCs/>
          <w:sz w:val="24"/>
          <w:szCs w:val="24"/>
        </w:rPr>
        <w:t>vieš</w:t>
      </w:r>
      <w:r w:rsidR="003E4F80">
        <w:rPr>
          <w:rFonts w:eastAsia="Calibri"/>
          <w:bCs/>
          <w:sz w:val="24"/>
          <w:szCs w:val="24"/>
        </w:rPr>
        <w:t>ųjų</w:t>
      </w:r>
      <w:r w:rsidR="002909AD" w:rsidRPr="00671F6B">
        <w:rPr>
          <w:rFonts w:eastAsia="Calibri"/>
          <w:bCs/>
          <w:sz w:val="24"/>
          <w:szCs w:val="24"/>
        </w:rPr>
        <w:t xml:space="preserve"> pirkim</w:t>
      </w:r>
      <w:r w:rsidR="003E4F80">
        <w:rPr>
          <w:rFonts w:eastAsia="Calibri"/>
          <w:bCs/>
          <w:sz w:val="24"/>
          <w:szCs w:val="24"/>
        </w:rPr>
        <w:t>ų</w:t>
      </w:r>
      <w:r w:rsidR="00BB2EF3">
        <w:rPr>
          <w:rFonts w:eastAsia="Calibri"/>
          <w:bCs/>
          <w:sz w:val="24"/>
          <w:szCs w:val="24"/>
        </w:rPr>
        <w:t xml:space="preserve"> </w:t>
      </w:r>
      <w:r w:rsidR="00E124BD" w:rsidRPr="00671F6B">
        <w:rPr>
          <w:rFonts w:eastAsia="Calibri"/>
          <w:bCs/>
          <w:sz w:val="24"/>
          <w:szCs w:val="24"/>
        </w:rPr>
        <w:t>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0DAB02E2" w14:textId="77777777" w:rsidR="0088148E" w:rsidRPr="00671F6B" w:rsidRDefault="0088148E" w:rsidP="0088148E">
      <w:pPr>
        <w:ind w:firstLine="708"/>
        <w:jc w:val="center"/>
        <w:rPr>
          <w:rFonts w:eastAsia="Calibri"/>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259"/>
        <w:gridCol w:w="3257"/>
      </w:tblGrid>
      <w:tr w:rsidR="00195DF7" w:rsidRPr="00671F6B" w14:paraId="56AF26ED" w14:textId="55D60772" w:rsidTr="00165C51">
        <w:tc>
          <w:tcPr>
            <w:tcW w:w="3113" w:type="dxa"/>
            <w:shd w:val="clear" w:color="auto" w:fill="auto"/>
            <w:vAlign w:val="center"/>
          </w:tcPr>
          <w:p w14:paraId="749A5E3B" w14:textId="77777777" w:rsidR="00195DF7" w:rsidRPr="00671F6B" w:rsidRDefault="00195DF7" w:rsidP="00195DF7">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3259" w:type="dxa"/>
            <w:shd w:val="clear" w:color="auto" w:fill="auto"/>
            <w:vAlign w:val="center"/>
          </w:tcPr>
          <w:p w14:paraId="611DFE3C" w14:textId="53BFCF9B" w:rsidR="00195DF7" w:rsidRPr="00671F6B" w:rsidRDefault="00195DF7" w:rsidP="00195DF7">
            <w:pPr>
              <w:jc w:val="both"/>
              <w:rPr>
                <w:sz w:val="24"/>
                <w:szCs w:val="24"/>
              </w:rPr>
            </w:pPr>
            <w:r w:rsidRPr="00671F6B">
              <w:rPr>
                <w:sz w:val="24"/>
                <w:szCs w:val="24"/>
              </w:rPr>
              <w:t>„</w:t>
            </w:r>
            <w:r>
              <w:rPr>
                <w:sz w:val="24"/>
                <w:szCs w:val="24"/>
              </w:rPr>
              <w:t>Medicininė įranga</w:t>
            </w:r>
            <w:r w:rsidRPr="00671F6B">
              <w:rPr>
                <w:sz w:val="24"/>
                <w:szCs w:val="24"/>
              </w:rPr>
              <w:t xml:space="preserve">“ </w:t>
            </w:r>
            <w:r w:rsidRPr="002B4A0A">
              <w:rPr>
                <w:sz w:val="24"/>
                <w:szCs w:val="24"/>
              </w:rPr>
              <w:t xml:space="preserve">(Centrinėje viešųjų pirkimų informacinėje sistemoje (toliau – CVP IS) skelbtas </w:t>
            </w:r>
            <w:r>
              <w:rPr>
                <w:sz w:val="24"/>
                <w:szCs w:val="24"/>
              </w:rPr>
              <w:t>2019-08-07, pirkimo Nr. 448032</w:t>
            </w:r>
            <w:r w:rsidRPr="002B4A0A">
              <w:rPr>
                <w:sz w:val="24"/>
                <w:szCs w:val="24"/>
              </w:rPr>
              <w:t>)</w:t>
            </w:r>
            <w:r w:rsidRPr="00671F6B">
              <w:rPr>
                <w:sz w:val="24"/>
                <w:szCs w:val="24"/>
              </w:rPr>
              <w:t xml:space="preserve"> (toliau – Pirkimas</w:t>
            </w:r>
            <w:r>
              <w:rPr>
                <w:sz w:val="24"/>
                <w:szCs w:val="24"/>
              </w:rPr>
              <w:t xml:space="preserve"> Nr. 1</w:t>
            </w:r>
            <w:r w:rsidRPr="00671F6B">
              <w:rPr>
                <w:sz w:val="24"/>
                <w:szCs w:val="24"/>
              </w:rPr>
              <w:t>)</w:t>
            </w:r>
          </w:p>
        </w:tc>
        <w:tc>
          <w:tcPr>
            <w:tcW w:w="3257" w:type="dxa"/>
            <w:vAlign w:val="center"/>
          </w:tcPr>
          <w:p w14:paraId="4EC80369" w14:textId="2FCADBCA" w:rsidR="00195DF7" w:rsidRDefault="00195DF7" w:rsidP="00195DF7">
            <w:pPr>
              <w:jc w:val="both"/>
              <w:rPr>
                <w:sz w:val="24"/>
                <w:szCs w:val="24"/>
              </w:rPr>
            </w:pPr>
            <w:r w:rsidRPr="00671F6B">
              <w:rPr>
                <w:sz w:val="24"/>
                <w:szCs w:val="24"/>
              </w:rPr>
              <w:t>„</w:t>
            </w:r>
            <w:r>
              <w:rPr>
                <w:sz w:val="24"/>
                <w:szCs w:val="24"/>
              </w:rPr>
              <w:t>Medicininė įranga</w:t>
            </w:r>
            <w:r w:rsidRPr="00671F6B">
              <w:rPr>
                <w:sz w:val="24"/>
                <w:szCs w:val="24"/>
              </w:rPr>
              <w:t xml:space="preserve">“ </w:t>
            </w:r>
            <w:r w:rsidRPr="002B4A0A">
              <w:rPr>
                <w:sz w:val="24"/>
                <w:szCs w:val="24"/>
              </w:rPr>
              <w:t xml:space="preserve">(CVP IS skelbtas </w:t>
            </w:r>
            <w:r w:rsidR="005C41F0" w:rsidRPr="005C41F0">
              <w:rPr>
                <w:sz w:val="24"/>
                <w:szCs w:val="24"/>
              </w:rPr>
              <w:t>2020-03-25</w:t>
            </w:r>
            <w:r>
              <w:rPr>
                <w:sz w:val="24"/>
                <w:szCs w:val="24"/>
              </w:rPr>
              <w:t xml:space="preserve">, pirkimo Nr. </w:t>
            </w:r>
            <w:r w:rsidR="00BF08A5">
              <w:rPr>
                <w:sz w:val="24"/>
                <w:szCs w:val="24"/>
              </w:rPr>
              <w:t>478669</w:t>
            </w:r>
            <w:r w:rsidRPr="002B4A0A">
              <w:rPr>
                <w:sz w:val="24"/>
                <w:szCs w:val="24"/>
              </w:rPr>
              <w:t>)</w:t>
            </w:r>
            <w:r w:rsidRPr="00671F6B">
              <w:rPr>
                <w:sz w:val="24"/>
                <w:szCs w:val="24"/>
              </w:rPr>
              <w:t xml:space="preserve"> (toliau – Pirkimas</w:t>
            </w:r>
            <w:r>
              <w:rPr>
                <w:sz w:val="24"/>
                <w:szCs w:val="24"/>
              </w:rPr>
              <w:t xml:space="preserve"> Nr. 2</w:t>
            </w:r>
            <w:r w:rsidRPr="00671F6B">
              <w:rPr>
                <w:sz w:val="24"/>
                <w:szCs w:val="24"/>
              </w:rPr>
              <w:t>)</w:t>
            </w:r>
            <w:r w:rsidR="00BF08A5">
              <w:rPr>
                <w:sz w:val="24"/>
                <w:szCs w:val="24"/>
              </w:rPr>
              <w:t>;</w:t>
            </w:r>
          </w:p>
          <w:p w14:paraId="0EE87E74" w14:textId="4CB8040B" w:rsidR="00BF08A5" w:rsidRPr="00671F6B" w:rsidRDefault="00AA56E0" w:rsidP="00195DF7">
            <w:pPr>
              <w:jc w:val="both"/>
              <w:rPr>
                <w:sz w:val="24"/>
                <w:szCs w:val="24"/>
              </w:rPr>
            </w:pPr>
            <w:r>
              <w:rPr>
                <w:sz w:val="24"/>
                <w:szCs w:val="24"/>
              </w:rPr>
              <w:t xml:space="preserve">2020-05-18 </w:t>
            </w:r>
            <w:r w:rsidR="00864086">
              <w:rPr>
                <w:sz w:val="24"/>
                <w:szCs w:val="24"/>
              </w:rPr>
              <w:t>Viešojo pirkimo–pardavimo sutartis Nr. LS-105 (toliau – Sutartis)</w:t>
            </w:r>
          </w:p>
        </w:tc>
      </w:tr>
      <w:tr w:rsidR="00195DF7" w:rsidRPr="00671F6B" w14:paraId="011000EE" w14:textId="0847DA0C" w:rsidTr="00195DF7">
        <w:tc>
          <w:tcPr>
            <w:tcW w:w="3113" w:type="dxa"/>
            <w:shd w:val="clear" w:color="auto" w:fill="auto"/>
            <w:vAlign w:val="center"/>
          </w:tcPr>
          <w:p w14:paraId="187537DA" w14:textId="77777777" w:rsidR="00195DF7" w:rsidRPr="00671F6B" w:rsidRDefault="00195DF7" w:rsidP="00195DF7">
            <w:pPr>
              <w:jc w:val="both"/>
              <w:rPr>
                <w:rFonts w:eastAsia="Calibri"/>
                <w:sz w:val="24"/>
                <w:szCs w:val="24"/>
              </w:rPr>
            </w:pPr>
            <w:r w:rsidRPr="00671F6B">
              <w:rPr>
                <w:sz w:val="24"/>
                <w:szCs w:val="24"/>
              </w:rPr>
              <w:t>Pirkimo vykdymo/sutarties sudarymo teisinis pagrindas</w:t>
            </w:r>
          </w:p>
        </w:tc>
        <w:tc>
          <w:tcPr>
            <w:tcW w:w="3259" w:type="dxa"/>
            <w:shd w:val="clear" w:color="auto" w:fill="auto"/>
            <w:vAlign w:val="center"/>
          </w:tcPr>
          <w:p w14:paraId="63EC734B" w14:textId="4F75E15E" w:rsidR="00195DF7" w:rsidRPr="00671F6B" w:rsidRDefault="00195DF7" w:rsidP="00195DF7">
            <w:pPr>
              <w:jc w:val="both"/>
              <w:rPr>
                <w:rFonts w:eastAsia="Calibri"/>
                <w:sz w:val="24"/>
                <w:szCs w:val="24"/>
              </w:rPr>
            </w:pPr>
            <w:r w:rsidRPr="000515C3">
              <w:rPr>
                <w:rFonts w:eastAsia="Calibri"/>
                <w:sz w:val="24"/>
                <w:szCs w:val="24"/>
              </w:rPr>
              <w:t xml:space="preserve">Viešųjų pirkimų įstatymas (aktuali </w:t>
            </w:r>
            <w:r>
              <w:rPr>
                <w:rFonts w:eastAsia="Calibri"/>
                <w:sz w:val="24"/>
                <w:szCs w:val="24"/>
              </w:rPr>
              <w:t xml:space="preserve">suvestinė </w:t>
            </w:r>
            <w:r w:rsidRPr="000515C3">
              <w:rPr>
                <w:rFonts w:eastAsia="Calibri"/>
                <w:sz w:val="24"/>
                <w:szCs w:val="24"/>
              </w:rPr>
              <w:t xml:space="preserve">redakcija nuo </w:t>
            </w:r>
            <w:r w:rsidRPr="00492F92">
              <w:rPr>
                <w:rFonts w:eastAsia="Calibri"/>
                <w:sz w:val="24"/>
                <w:szCs w:val="24"/>
              </w:rPr>
              <w:t>2019-06-11</w:t>
            </w:r>
            <w:r w:rsidRPr="000515C3">
              <w:rPr>
                <w:rFonts w:eastAsia="Calibri"/>
                <w:sz w:val="24"/>
                <w:szCs w:val="24"/>
              </w:rPr>
              <w:t>) (toliau – Įstatymas)</w:t>
            </w:r>
          </w:p>
        </w:tc>
        <w:tc>
          <w:tcPr>
            <w:tcW w:w="3257" w:type="dxa"/>
          </w:tcPr>
          <w:p w14:paraId="4784B0C9" w14:textId="0F6E30F6" w:rsidR="00195DF7" w:rsidRPr="000515C3" w:rsidRDefault="00AA56E0" w:rsidP="005C41F0">
            <w:pPr>
              <w:jc w:val="both"/>
              <w:rPr>
                <w:rFonts w:eastAsia="Calibri"/>
                <w:sz w:val="24"/>
                <w:szCs w:val="24"/>
              </w:rPr>
            </w:pPr>
            <w:r>
              <w:rPr>
                <w:rFonts w:eastAsia="Calibri"/>
                <w:sz w:val="24"/>
                <w:szCs w:val="24"/>
              </w:rPr>
              <w:t>Į</w:t>
            </w:r>
            <w:r w:rsidR="005C41F0" w:rsidRPr="000515C3">
              <w:rPr>
                <w:rFonts w:eastAsia="Calibri"/>
                <w:sz w:val="24"/>
                <w:szCs w:val="24"/>
              </w:rPr>
              <w:t xml:space="preserve">statymas (aktuali </w:t>
            </w:r>
            <w:r w:rsidR="005C41F0">
              <w:rPr>
                <w:rFonts w:eastAsia="Calibri"/>
                <w:sz w:val="24"/>
                <w:szCs w:val="24"/>
              </w:rPr>
              <w:t xml:space="preserve">suvestinė </w:t>
            </w:r>
            <w:r w:rsidR="005C41F0" w:rsidRPr="000515C3">
              <w:rPr>
                <w:rFonts w:eastAsia="Calibri"/>
                <w:sz w:val="24"/>
                <w:szCs w:val="24"/>
              </w:rPr>
              <w:t xml:space="preserve">redakcija nuo </w:t>
            </w:r>
            <w:r w:rsidR="005C41F0" w:rsidRPr="005C41F0">
              <w:rPr>
                <w:rFonts w:eastAsia="Calibri"/>
                <w:sz w:val="24"/>
                <w:szCs w:val="24"/>
              </w:rPr>
              <w:t>2020-03-19</w:t>
            </w:r>
            <w:r w:rsidR="005C41F0" w:rsidRPr="000515C3">
              <w:rPr>
                <w:rFonts w:eastAsia="Calibri"/>
                <w:sz w:val="24"/>
                <w:szCs w:val="24"/>
              </w:rPr>
              <w:t xml:space="preserve">) </w:t>
            </w:r>
          </w:p>
        </w:tc>
      </w:tr>
      <w:tr w:rsidR="000B1AEE" w:rsidRPr="00671F6B" w14:paraId="52BD7BC8" w14:textId="487EF239" w:rsidTr="00165C51">
        <w:tc>
          <w:tcPr>
            <w:tcW w:w="3113" w:type="dxa"/>
            <w:shd w:val="clear" w:color="auto" w:fill="auto"/>
            <w:vAlign w:val="center"/>
          </w:tcPr>
          <w:p w14:paraId="5E006787" w14:textId="77777777" w:rsidR="000B1AEE" w:rsidRPr="00671F6B" w:rsidRDefault="000B1AEE" w:rsidP="000B1AEE">
            <w:pPr>
              <w:jc w:val="both"/>
              <w:rPr>
                <w:sz w:val="24"/>
                <w:szCs w:val="24"/>
              </w:rPr>
            </w:pPr>
            <w:r w:rsidRPr="00671F6B">
              <w:rPr>
                <w:sz w:val="24"/>
                <w:szCs w:val="24"/>
              </w:rPr>
              <w:t>Pirkimo būdas</w:t>
            </w:r>
          </w:p>
        </w:tc>
        <w:tc>
          <w:tcPr>
            <w:tcW w:w="3259" w:type="dxa"/>
            <w:shd w:val="clear" w:color="auto" w:fill="auto"/>
            <w:vAlign w:val="center"/>
          </w:tcPr>
          <w:p w14:paraId="5090814E" w14:textId="1295FB1C" w:rsidR="000B1AEE" w:rsidRPr="00671F6B" w:rsidRDefault="000B1AEE" w:rsidP="000B1AEE">
            <w:pPr>
              <w:jc w:val="both"/>
              <w:rPr>
                <w:rFonts w:eastAsia="Calibri"/>
                <w:sz w:val="24"/>
                <w:szCs w:val="24"/>
              </w:rPr>
            </w:pPr>
            <w:r>
              <w:rPr>
                <w:sz w:val="24"/>
                <w:szCs w:val="24"/>
              </w:rPr>
              <w:t>Atviras konkursas</w:t>
            </w:r>
          </w:p>
        </w:tc>
        <w:tc>
          <w:tcPr>
            <w:tcW w:w="3257" w:type="dxa"/>
            <w:vAlign w:val="center"/>
          </w:tcPr>
          <w:p w14:paraId="491F616E" w14:textId="311593EA" w:rsidR="000B1AEE" w:rsidRDefault="000B1AEE" w:rsidP="000B1AEE">
            <w:pPr>
              <w:jc w:val="both"/>
              <w:rPr>
                <w:sz w:val="24"/>
                <w:szCs w:val="24"/>
              </w:rPr>
            </w:pPr>
            <w:r>
              <w:rPr>
                <w:sz w:val="24"/>
                <w:szCs w:val="24"/>
              </w:rPr>
              <w:t>Atviras konkursas</w:t>
            </w:r>
          </w:p>
        </w:tc>
      </w:tr>
      <w:tr w:rsidR="00105E00" w:rsidRPr="00671F6B" w14:paraId="1D8C8F3E" w14:textId="53E981F1" w:rsidTr="00165C51">
        <w:tc>
          <w:tcPr>
            <w:tcW w:w="3113" w:type="dxa"/>
            <w:shd w:val="clear" w:color="auto" w:fill="auto"/>
            <w:vAlign w:val="center"/>
          </w:tcPr>
          <w:p w14:paraId="4A427774" w14:textId="77777777" w:rsidR="00105E00" w:rsidRPr="00671F6B" w:rsidRDefault="00105E00" w:rsidP="00105E00">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3259" w:type="dxa"/>
            <w:shd w:val="clear" w:color="auto" w:fill="auto"/>
            <w:vAlign w:val="center"/>
          </w:tcPr>
          <w:p w14:paraId="72ED8823" w14:textId="1158F96E" w:rsidR="00105E00" w:rsidRPr="00671F6B" w:rsidRDefault="00AD1CDA" w:rsidP="00AD1CDA">
            <w:pPr>
              <w:jc w:val="both"/>
              <w:rPr>
                <w:rFonts w:eastAsia="Calibri"/>
                <w:sz w:val="24"/>
                <w:szCs w:val="24"/>
              </w:rPr>
            </w:pPr>
            <w:r>
              <w:rPr>
                <w:rFonts w:eastAsia="Calibri"/>
                <w:sz w:val="24"/>
                <w:szCs w:val="24"/>
              </w:rPr>
              <w:t xml:space="preserve">Planuota </w:t>
            </w:r>
            <w:r w:rsidR="00AA56E0">
              <w:rPr>
                <w:rFonts w:eastAsia="Calibri"/>
                <w:sz w:val="24"/>
                <w:szCs w:val="24"/>
              </w:rPr>
              <w:t xml:space="preserve">Pirkimo Nr. 1 </w:t>
            </w:r>
            <w:r>
              <w:rPr>
                <w:rFonts w:eastAsia="Calibri"/>
                <w:sz w:val="24"/>
                <w:szCs w:val="24"/>
              </w:rPr>
              <w:t xml:space="preserve">vertė </w:t>
            </w:r>
            <w:r w:rsidR="00AA56E0">
              <w:rPr>
                <w:rFonts w:eastAsia="Calibri"/>
                <w:sz w:val="24"/>
                <w:szCs w:val="24"/>
              </w:rPr>
              <w:t xml:space="preserve">– </w:t>
            </w:r>
            <w:r>
              <w:rPr>
                <w:rFonts w:eastAsia="Calibri"/>
                <w:sz w:val="24"/>
                <w:szCs w:val="24"/>
              </w:rPr>
              <w:t>181</w:t>
            </w:r>
            <w:r w:rsidR="00AA56E0">
              <w:rPr>
                <w:rFonts w:eastAsia="Calibri"/>
                <w:sz w:val="24"/>
                <w:szCs w:val="24"/>
              </w:rPr>
              <w:t xml:space="preserve"> </w:t>
            </w:r>
            <w:r>
              <w:rPr>
                <w:rFonts w:eastAsia="Calibri"/>
                <w:sz w:val="24"/>
                <w:szCs w:val="24"/>
              </w:rPr>
              <w:t xml:space="preserve">157,00 </w:t>
            </w:r>
            <w:r w:rsidRPr="00591057">
              <w:rPr>
                <w:rFonts w:eastAsia="Calibri"/>
                <w:sz w:val="24"/>
                <w:szCs w:val="24"/>
              </w:rPr>
              <w:t>Eur be PVM</w:t>
            </w:r>
          </w:p>
        </w:tc>
        <w:tc>
          <w:tcPr>
            <w:tcW w:w="3257" w:type="dxa"/>
            <w:vAlign w:val="center"/>
          </w:tcPr>
          <w:p w14:paraId="753AA625" w14:textId="1D659CF2" w:rsidR="00AA56E0" w:rsidRDefault="00105E00" w:rsidP="00105E00">
            <w:pPr>
              <w:jc w:val="both"/>
              <w:rPr>
                <w:rFonts w:eastAsia="Calibri"/>
                <w:sz w:val="24"/>
                <w:szCs w:val="24"/>
              </w:rPr>
            </w:pPr>
            <w:r>
              <w:rPr>
                <w:rFonts w:eastAsia="Calibri"/>
                <w:sz w:val="24"/>
                <w:szCs w:val="24"/>
              </w:rPr>
              <w:t xml:space="preserve">Planuota </w:t>
            </w:r>
            <w:r w:rsidR="00AA56E0">
              <w:rPr>
                <w:rFonts w:eastAsia="Calibri"/>
                <w:sz w:val="24"/>
                <w:szCs w:val="24"/>
              </w:rPr>
              <w:t xml:space="preserve">Pirkimo Nr. 2 </w:t>
            </w:r>
            <w:r>
              <w:rPr>
                <w:rFonts w:eastAsia="Calibri"/>
                <w:sz w:val="24"/>
                <w:szCs w:val="24"/>
              </w:rPr>
              <w:t xml:space="preserve">vertė </w:t>
            </w:r>
            <w:r w:rsidR="00AA56E0">
              <w:rPr>
                <w:rFonts w:eastAsia="Calibri"/>
                <w:sz w:val="24"/>
                <w:szCs w:val="24"/>
              </w:rPr>
              <w:t xml:space="preserve">– </w:t>
            </w:r>
            <w:r>
              <w:rPr>
                <w:rFonts w:eastAsia="Calibri"/>
                <w:sz w:val="24"/>
                <w:szCs w:val="24"/>
              </w:rPr>
              <w:t>131</w:t>
            </w:r>
            <w:r w:rsidR="00AA56E0">
              <w:rPr>
                <w:rFonts w:eastAsia="Calibri"/>
                <w:sz w:val="24"/>
                <w:szCs w:val="24"/>
              </w:rPr>
              <w:t xml:space="preserve"> </w:t>
            </w:r>
            <w:r>
              <w:rPr>
                <w:rFonts w:eastAsia="Calibri"/>
                <w:sz w:val="24"/>
                <w:szCs w:val="24"/>
              </w:rPr>
              <w:t xml:space="preserve">570,00 </w:t>
            </w:r>
            <w:r w:rsidRPr="00591057">
              <w:rPr>
                <w:rFonts w:eastAsia="Calibri"/>
                <w:sz w:val="24"/>
                <w:szCs w:val="24"/>
              </w:rPr>
              <w:t>Eur be PVM</w:t>
            </w:r>
            <w:r w:rsidR="00AA56E0">
              <w:rPr>
                <w:rFonts w:eastAsia="Calibri"/>
                <w:sz w:val="24"/>
                <w:szCs w:val="24"/>
              </w:rPr>
              <w:t>;</w:t>
            </w:r>
          </w:p>
          <w:p w14:paraId="402AD13E" w14:textId="5E42BB4A" w:rsidR="00105E00" w:rsidRDefault="00105E00" w:rsidP="00105E00">
            <w:pPr>
              <w:jc w:val="both"/>
              <w:rPr>
                <w:rFonts w:eastAsia="Calibri"/>
                <w:sz w:val="24"/>
                <w:szCs w:val="24"/>
              </w:rPr>
            </w:pPr>
            <w:r>
              <w:rPr>
                <w:rFonts w:eastAsia="Calibri"/>
                <w:sz w:val="24"/>
                <w:szCs w:val="24"/>
              </w:rPr>
              <w:t xml:space="preserve">Sutarties vertė </w:t>
            </w:r>
            <w:r w:rsidR="00AA56E0">
              <w:rPr>
                <w:rFonts w:eastAsia="Calibri"/>
                <w:sz w:val="24"/>
                <w:szCs w:val="24"/>
              </w:rPr>
              <w:t xml:space="preserve">– </w:t>
            </w:r>
            <w:r>
              <w:rPr>
                <w:rFonts w:eastAsia="Calibri"/>
                <w:sz w:val="24"/>
                <w:szCs w:val="24"/>
              </w:rPr>
              <w:t>131</w:t>
            </w:r>
            <w:r w:rsidR="00AA56E0">
              <w:rPr>
                <w:rFonts w:eastAsia="Calibri"/>
                <w:sz w:val="24"/>
                <w:szCs w:val="24"/>
              </w:rPr>
              <w:t xml:space="preserve"> </w:t>
            </w:r>
            <w:r w:rsidRPr="00105E00">
              <w:rPr>
                <w:rFonts w:eastAsia="Calibri"/>
                <w:sz w:val="24"/>
                <w:szCs w:val="24"/>
              </w:rPr>
              <w:t xml:space="preserve">404,96 </w:t>
            </w:r>
            <w:r w:rsidRPr="00591057">
              <w:rPr>
                <w:rFonts w:eastAsia="Calibri"/>
                <w:sz w:val="24"/>
                <w:szCs w:val="24"/>
              </w:rPr>
              <w:t>Eur be PVM</w:t>
            </w:r>
          </w:p>
        </w:tc>
      </w:tr>
      <w:tr w:rsidR="0000264A" w:rsidRPr="00671F6B" w14:paraId="40188002" w14:textId="45AA176E" w:rsidTr="00165C51">
        <w:tc>
          <w:tcPr>
            <w:tcW w:w="3113" w:type="dxa"/>
            <w:shd w:val="clear" w:color="auto" w:fill="auto"/>
            <w:vAlign w:val="center"/>
          </w:tcPr>
          <w:p w14:paraId="345FFFFC" w14:textId="77777777" w:rsidR="0000264A" w:rsidRPr="00671F6B" w:rsidRDefault="0000264A" w:rsidP="0000264A">
            <w:pPr>
              <w:jc w:val="both"/>
              <w:rPr>
                <w:sz w:val="24"/>
                <w:szCs w:val="24"/>
              </w:rPr>
            </w:pPr>
            <w:r w:rsidRPr="00671F6B">
              <w:rPr>
                <w:sz w:val="24"/>
                <w:szCs w:val="24"/>
              </w:rPr>
              <w:t>Tiekėjas / teikėjas / rangovas / koncesininkas, juridinio asmens kodas (su kuriuo sudaryta sutartis)</w:t>
            </w:r>
          </w:p>
        </w:tc>
        <w:tc>
          <w:tcPr>
            <w:tcW w:w="3259" w:type="dxa"/>
            <w:shd w:val="clear" w:color="auto" w:fill="auto"/>
            <w:vAlign w:val="center"/>
          </w:tcPr>
          <w:p w14:paraId="61EC44CE" w14:textId="73267265" w:rsidR="0000264A" w:rsidRPr="00671F6B" w:rsidRDefault="0000264A" w:rsidP="0000264A">
            <w:pPr>
              <w:jc w:val="both"/>
              <w:rPr>
                <w:rFonts w:eastAsia="Calibri"/>
                <w:sz w:val="24"/>
                <w:szCs w:val="24"/>
              </w:rPr>
            </w:pPr>
            <w:r w:rsidRPr="00671F6B">
              <w:rPr>
                <w:rFonts w:eastAsia="Calibri"/>
                <w:sz w:val="24"/>
                <w:szCs w:val="24"/>
              </w:rPr>
              <w:t>-</w:t>
            </w:r>
          </w:p>
        </w:tc>
        <w:tc>
          <w:tcPr>
            <w:tcW w:w="3257" w:type="dxa"/>
            <w:vAlign w:val="center"/>
          </w:tcPr>
          <w:p w14:paraId="2951C3FC" w14:textId="62DE04B0" w:rsidR="0000264A" w:rsidRPr="00671F6B" w:rsidRDefault="0000264A" w:rsidP="0000264A">
            <w:pPr>
              <w:jc w:val="both"/>
              <w:rPr>
                <w:rFonts w:eastAsia="Calibri"/>
                <w:sz w:val="24"/>
                <w:szCs w:val="24"/>
              </w:rPr>
            </w:pPr>
            <w:r>
              <w:rPr>
                <w:rFonts w:eastAsia="Calibri"/>
                <w:sz w:val="24"/>
                <w:szCs w:val="24"/>
              </w:rPr>
              <w:t xml:space="preserve">UAB „Arbor Medical Corporation LT“, </w:t>
            </w:r>
            <w:r w:rsidR="00864086">
              <w:rPr>
                <w:rFonts w:eastAsia="Calibri"/>
                <w:sz w:val="24"/>
                <w:szCs w:val="24"/>
              </w:rPr>
              <w:t xml:space="preserve">įm. kodas </w:t>
            </w:r>
            <w:r>
              <w:rPr>
                <w:rFonts w:eastAsia="Calibri"/>
                <w:sz w:val="24"/>
                <w:szCs w:val="24"/>
              </w:rPr>
              <w:t>301577716</w:t>
            </w:r>
          </w:p>
        </w:tc>
      </w:tr>
      <w:tr w:rsidR="0006375B" w:rsidRPr="00671F6B" w14:paraId="2D0E574B" w14:textId="40D8590A" w:rsidTr="00165C51">
        <w:tc>
          <w:tcPr>
            <w:tcW w:w="3113" w:type="dxa"/>
            <w:shd w:val="clear" w:color="auto" w:fill="auto"/>
            <w:vAlign w:val="center"/>
          </w:tcPr>
          <w:p w14:paraId="06F39928" w14:textId="77777777" w:rsidR="0006375B" w:rsidRPr="00671F6B" w:rsidRDefault="0006375B" w:rsidP="0006375B">
            <w:pPr>
              <w:jc w:val="both"/>
              <w:rPr>
                <w:sz w:val="24"/>
                <w:szCs w:val="24"/>
              </w:rPr>
            </w:pPr>
            <w:r w:rsidRPr="00671F6B">
              <w:rPr>
                <w:sz w:val="24"/>
                <w:szCs w:val="24"/>
              </w:rPr>
              <w:lastRenderedPageBreak/>
              <w:t>Pirkimo/sutarties vertinimo apimtys/etapas</w:t>
            </w:r>
          </w:p>
        </w:tc>
        <w:tc>
          <w:tcPr>
            <w:tcW w:w="3259" w:type="dxa"/>
            <w:shd w:val="clear" w:color="auto" w:fill="auto"/>
            <w:vAlign w:val="center"/>
          </w:tcPr>
          <w:p w14:paraId="4A47517F" w14:textId="50219D83" w:rsidR="0006375B" w:rsidRPr="00671F6B" w:rsidRDefault="0006375B" w:rsidP="0006375B">
            <w:pPr>
              <w:jc w:val="both"/>
              <w:rPr>
                <w:rFonts w:eastAsia="Calibri"/>
                <w:sz w:val="24"/>
                <w:szCs w:val="24"/>
              </w:rPr>
            </w:pPr>
            <w:r w:rsidRPr="00806D5E">
              <w:rPr>
                <w:rFonts w:eastAsia="Calibri"/>
                <w:sz w:val="24"/>
                <w:szCs w:val="24"/>
              </w:rPr>
              <w:t xml:space="preserve">Išsamus </w:t>
            </w:r>
            <w:r w:rsidR="00864086">
              <w:rPr>
                <w:rFonts w:eastAsia="Calibri"/>
                <w:sz w:val="24"/>
                <w:szCs w:val="24"/>
              </w:rPr>
              <w:t>P</w:t>
            </w:r>
            <w:r w:rsidR="00864086" w:rsidRPr="00806D5E">
              <w:rPr>
                <w:rFonts w:eastAsia="Calibri"/>
                <w:sz w:val="24"/>
                <w:szCs w:val="24"/>
              </w:rPr>
              <w:t xml:space="preserve">irkimo </w:t>
            </w:r>
            <w:r w:rsidR="00864086">
              <w:rPr>
                <w:rFonts w:eastAsia="Calibri"/>
                <w:sz w:val="24"/>
                <w:szCs w:val="24"/>
              </w:rPr>
              <w:t xml:space="preserve">Nr. 1 </w:t>
            </w:r>
            <w:r w:rsidRPr="00806D5E">
              <w:rPr>
                <w:rFonts w:eastAsia="Calibri"/>
                <w:sz w:val="24"/>
                <w:szCs w:val="24"/>
              </w:rPr>
              <w:t>procedūrų</w:t>
            </w:r>
            <w:r>
              <w:rPr>
                <w:rFonts w:eastAsia="Calibri"/>
                <w:sz w:val="24"/>
                <w:szCs w:val="24"/>
              </w:rPr>
              <w:t xml:space="preserve"> vertinimas po </w:t>
            </w:r>
            <w:r w:rsidR="00864086">
              <w:rPr>
                <w:rFonts w:eastAsia="Calibri"/>
                <w:sz w:val="24"/>
                <w:szCs w:val="24"/>
              </w:rPr>
              <w:t xml:space="preserve">Pirkimo Nr. 1 </w:t>
            </w:r>
            <w:r>
              <w:rPr>
                <w:rFonts w:eastAsia="Calibri"/>
                <w:sz w:val="24"/>
                <w:szCs w:val="24"/>
              </w:rPr>
              <w:t>procedūrų nutraukimo</w:t>
            </w:r>
          </w:p>
        </w:tc>
        <w:tc>
          <w:tcPr>
            <w:tcW w:w="3257" w:type="dxa"/>
            <w:vAlign w:val="center"/>
          </w:tcPr>
          <w:p w14:paraId="46DC9AD7" w14:textId="25654E0D" w:rsidR="0006375B" w:rsidRPr="00806D5E" w:rsidRDefault="0006375B" w:rsidP="0006375B">
            <w:pPr>
              <w:jc w:val="both"/>
              <w:rPr>
                <w:rFonts w:eastAsia="Calibri"/>
                <w:sz w:val="24"/>
                <w:szCs w:val="24"/>
              </w:rPr>
            </w:pPr>
            <w:r w:rsidRPr="00806D5E">
              <w:rPr>
                <w:rFonts w:eastAsia="Calibri"/>
                <w:sz w:val="24"/>
                <w:szCs w:val="24"/>
              </w:rPr>
              <w:t xml:space="preserve">Išsamus </w:t>
            </w:r>
            <w:r w:rsidR="00864086">
              <w:rPr>
                <w:rFonts w:eastAsia="Calibri"/>
                <w:sz w:val="24"/>
                <w:szCs w:val="24"/>
              </w:rPr>
              <w:t>P</w:t>
            </w:r>
            <w:r w:rsidR="00864086" w:rsidRPr="00806D5E">
              <w:rPr>
                <w:rFonts w:eastAsia="Calibri"/>
                <w:sz w:val="24"/>
                <w:szCs w:val="24"/>
              </w:rPr>
              <w:t>irkimo</w:t>
            </w:r>
            <w:r w:rsidR="00864086">
              <w:rPr>
                <w:rFonts w:eastAsia="Calibri"/>
                <w:sz w:val="24"/>
                <w:szCs w:val="24"/>
              </w:rPr>
              <w:t xml:space="preserve"> Nr. 2 </w:t>
            </w:r>
            <w:r w:rsidR="00864086" w:rsidRPr="00806D5E">
              <w:rPr>
                <w:rFonts w:eastAsia="Calibri"/>
                <w:sz w:val="24"/>
                <w:szCs w:val="24"/>
              </w:rPr>
              <w:t xml:space="preserve"> </w:t>
            </w:r>
            <w:r w:rsidRPr="00806D5E">
              <w:rPr>
                <w:rFonts w:eastAsia="Calibri"/>
                <w:sz w:val="24"/>
                <w:szCs w:val="24"/>
              </w:rPr>
              <w:t>procedūrų</w:t>
            </w:r>
            <w:r>
              <w:rPr>
                <w:rFonts w:eastAsia="Calibri"/>
                <w:sz w:val="24"/>
                <w:szCs w:val="24"/>
              </w:rPr>
              <w:t xml:space="preserve"> vertinimas po </w:t>
            </w:r>
            <w:r w:rsidR="00864086">
              <w:rPr>
                <w:rFonts w:eastAsia="Calibri"/>
                <w:sz w:val="24"/>
                <w:szCs w:val="24"/>
              </w:rPr>
              <w:t xml:space="preserve">Sutarties </w:t>
            </w:r>
            <w:r>
              <w:rPr>
                <w:rFonts w:eastAsia="Calibri"/>
                <w:sz w:val="24"/>
                <w:szCs w:val="24"/>
              </w:rPr>
              <w:t>sudarymo</w:t>
            </w:r>
          </w:p>
        </w:tc>
      </w:tr>
      <w:tr w:rsidR="00772FDE" w:rsidRPr="00671F6B" w14:paraId="234CDCFE" w14:textId="182D0B84" w:rsidTr="00165C51">
        <w:tc>
          <w:tcPr>
            <w:tcW w:w="3113" w:type="dxa"/>
            <w:shd w:val="clear" w:color="auto" w:fill="auto"/>
            <w:vAlign w:val="center"/>
          </w:tcPr>
          <w:p w14:paraId="1A37B024" w14:textId="77777777" w:rsidR="00772FDE" w:rsidRPr="00671F6B" w:rsidRDefault="00772FDE" w:rsidP="00772FDE">
            <w:pPr>
              <w:jc w:val="both"/>
              <w:rPr>
                <w:rFonts w:eastAsia="Calibri"/>
                <w:sz w:val="24"/>
                <w:szCs w:val="24"/>
              </w:rPr>
            </w:pPr>
            <w:r w:rsidRPr="00671F6B">
              <w:rPr>
                <w:sz w:val="24"/>
                <w:szCs w:val="24"/>
              </w:rPr>
              <w:t>Pirkimas finansuojamas ES lėšomis, projekto pavadinimas, Įgyvendinančioji institucija</w:t>
            </w:r>
          </w:p>
        </w:tc>
        <w:tc>
          <w:tcPr>
            <w:tcW w:w="3259" w:type="dxa"/>
            <w:shd w:val="clear" w:color="auto" w:fill="auto"/>
            <w:vAlign w:val="center"/>
          </w:tcPr>
          <w:p w14:paraId="656D0B06" w14:textId="4584C3D2" w:rsidR="00772FDE" w:rsidRPr="006E59BA" w:rsidRDefault="00772FDE" w:rsidP="00772FDE">
            <w:pPr>
              <w:jc w:val="both"/>
              <w:rPr>
                <w:rFonts w:eastAsia="Calibri"/>
                <w:sz w:val="24"/>
                <w:szCs w:val="24"/>
              </w:rPr>
            </w:pPr>
            <w:r w:rsidRPr="006E59BA">
              <w:rPr>
                <w:rFonts w:eastAsia="Calibri"/>
                <w:sz w:val="24"/>
                <w:szCs w:val="24"/>
              </w:rPr>
              <w:t xml:space="preserve">Projektas Nr. LT-PL-3R-247 „Inovatyvus Lean procesų valdymo įgyvendinimas Lietuvos Lenkijos pasienio ligoninėse“, </w:t>
            </w:r>
            <w:r w:rsidR="00556382">
              <w:rPr>
                <w:rFonts w:eastAsia="Calibri"/>
                <w:sz w:val="24"/>
                <w:szCs w:val="24"/>
              </w:rPr>
              <w:t>VšĮ „</w:t>
            </w:r>
            <w:r w:rsidR="00556382" w:rsidRPr="006E59BA">
              <w:rPr>
                <w:rFonts w:eastAsia="Calibri"/>
                <w:sz w:val="24"/>
                <w:szCs w:val="24"/>
              </w:rPr>
              <w:t>Jungtinis techninis sekretoriatas</w:t>
            </w:r>
            <w:r w:rsidR="00556382">
              <w:rPr>
                <w:rFonts w:eastAsia="Calibri"/>
                <w:sz w:val="24"/>
                <w:szCs w:val="24"/>
              </w:rPr>
              <w:t>“</w:t>
            </w:r>
          </w:p>
        </w:tc>
        <w:tc>
          <w:tcPr>
            <w:tcW w:w="3257" w:type="dxa"/>
            <w:vAlign w:val="center"/>
          </w:tcPr>
          <w:p w14:paraId="131F7F87" w14:textId="59A73910" w:rsidR="00772FDE" w:rsidRPr="006E59BA" w:rsidRDefault="00772FDE" w:rsidP="00772FDE">
            <w:pPr>
              <w:jc w:val="both"/>
              <w:rPr>
                <w:rFonts w:eastAsia="Calibri"/>
                <w:sz w:val="24"/>
                <w:szCs w:val="24"/>
              </w:rPr>
            </w:pPr>
            <w:r w:rsidRPr="006E59BA">
              <w:rPr>
                <w:rFonts w:eastAsia="Calibri"/>
                <w:sz w:val="24"/>
                <w:szCs w:val="24"/>
              </w:rPr>
              <w:t xml:space="preserve">Projektas Nr. LT-PL-3R-247 „Inovatyvus Lean procesų valdymo įgyvendinimas Lietuvos Lenkijos pasienio ligoninėse“, </w:t>
            </w:r>
            <w:r w:rsidR="00556382">
              <w:rPr>
                <w:rFonts w:eastAsia="Calibri"/>
                <w:sz w:val="24"/>
                <w:szCs w:val="24"/>
              </w:rPr>
              <w:t>VšĮ „</w:t>
            </w:r>
            <w:r w:rsidR="0023619A" w:rsidRPr="006E59BA">
              <w:rPr>
                <w:rFonts w:eastAsia="Calibri"/>
                <w:sz w:val="24"/>
                <w:szCs w:val="24"/>
              </w:rPr>
              <w:t>Jungtinis techninis sekretoriatas</w:t>
            </w:r>
            <w:r w:rsidR="00556382">
              <w:rPr>
                <w:rFonts w:eastAsia="Calibri"/>
                <w:sz w:val="24"/>
                <w:szCs w:val="24"/>
              </w:rPr>
              <w:t>“</w:t>
            </w:r>
          </w:p>
        </w:tc>
      </w:tr>
      <w:tr w:rsidR="00772FDE" w:rsidRPr="00671F6B" w14:paraId="50452FCE" w14:textId="3A6C16D7" w:rsidTr="00165C51">
        <w:tc>
          <w:tcPr>
            <w:tcW w:w="3113" w:type="dxa"/>
            <w:shd w:val="clear" w:color="auto" w:fill="auto"/>
            <w:vAlign w:val="center"/>
          </w:tcPr>
          <w:p w14:paraId="56C6C0C2" w14:textId="77777777" w:rsidR="00772FDE" w:rsidRPr="00671F6B" w:rsidRDefault="00772FDE" w:rsidP="00772FDE">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3259" w:type="dxa"/>
            <w:shd w:val="clear" w:color="auto" w:fill="auto"/>
            <w:vAlign w:val="center"/>
          </w:tcPr>
          <w:p w14:paraId="21DDAD11" w14:textId="77777777" w:rsidR="00772FDE" w:rsidRPr="00671F6B" w:rsidRDefault="00772FDE" w:rsidP="00772FDE">
            <w:pPr>
              <w:jc w:val="both"/>
              <w:rPr>
                <w:rFonts w:eastAsia="Calibri"/>
                <w:sz w:val="24"/>
                <w:szCs w:val="24"/>
              </w:rPr>
            </w:pPr>
            <w:r w:rsidRPr="00671F6B">
              <w:rPr>
                <w:rFonts w:eastAsia="Calibri"/>
                <w:sz w:val="24"/>
                <w:szCs w:val="24"/>
              </w:rPr>
              <w:t>-</w:t>
            </w:r>
          </w:p>
        </w:tc>
        <w:tc>
          <w:tcPr>
            <w:tcW w:w="3257" w:type="dxa"/>
            <w:vAlign w:val="center"/>
          </w:tcPr>
          <w:p w14:paraId="5FB503CE" w14:textId="662925E5" w:rsidR="00772FDE" w:rsidRPr="00671F6B" w:rsidRDefault="00772FDE" w:rsidP="00772FDE">
            <w:pPr>
              <w:jc w:val="both"/>
              <w:rPr>
                <w:rFonts w:eastAsia="Calibri"/>
                <w:sz w:val="24"/>
                <w:szCs w:val="24"/>
              </w:rPr>
            </w:pPr>
            <w:r w:rsidRPr="00671F6B">
              <w:rPr>
                <w:rFonts w:eastAsia="Calibri"/>
                <w:sz w:val="24"/>
                <w:szCs w:val="24"/>
              </w:rPr>
              <w:t>-</w:t>
            </w:r>
          </w:p>
        </w:tc>
      </w:tr>
    </w:tbl>
    <w:p w14:paraId="0947C862" w14:textId="77777777" w:rsidR="0088148E" w:rsidRPr="00671F6B" w:rsidRDefault="0088148E" w:rsidP="0088148E">
      <w:pPr>
        <w:jc w:val="center"/>
        <w:rPr>
          <w:rFonts w:eastAsia="Calibri"/>
          <w:sz w:val="24"/>
          <w:szCs w:val="24"/>
        </w:rPr>
      </w:pPr>
    </w:p>
    <w:p w14:paraId="3B21BB61" w14:textId="7777777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671F6B"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671F6B" w:rsidRDefault="00CC6BE9" w:rsidP="001854D6">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1A59AA7" w14:textId="160D033E" w:rsidR="00474D28" w:rsidRPr="00671F6B" w:rsidRDefault="000C3ADB" w:rsidP="001854D6">
            <w:pPr>
              <w:rPr>
                <w:rFonts w:eastAsia="Arial Unicode MS"/>
                <w:sz w:val="24"/>
                <w:szCs w:val="24"/>
                <w:highlight w:val="yellow"/>
                <w:bdr w:val="nil"/>
                <w:lang w:eastAsia="lt-LT"/>
              </w:rPr>
            </w:pPr>
            <w:r>
              <w:rPr>
                <w:sz w:val="24"/>
                <w:szCs w:val="24"/>
              </w:rPr>
              <w:t>Įstatymo 17 str. 1 d.</w:t>
            </w:r>
            <w:r>
              <w:rPr>
                <w:rStyle w:val="FootnoteReference"/>
                <w:sz w:val="24"/>
                <w:szCs w:val="24"/>
              </w:rPr>
              <w:footnoteReference w:id="1"/>
            </w:r>
          </w:p>
        </w:tc>
      </w:tr>
      <w:tr w:rsidR="00671F6B" w:rsidRPr="00671F6B" w14:paraId="3C97C8B9" w14:textId="77777777" w:rsidTr="001854D6">
        <w:tc>
          <w:tcPr>
            <w:tcW w:w="9918" w:type="dxa"/>
            <w:gridSpan w:val="2"/>
            <w:shd w:val="clear" w:color="auto" w:fill="auto"/>
            <w:vAlign w:val="center"/>
          </w:tcPr>
          <w:p w14:paraId="1D1FB037" w14:textId="10308D23" w:rsidR="00A02077" w:rsidRDefault="00C26725" w:rsidP="00C26725">
            <w:pPr>
              <w:ind w:firstLine="738"/>
              <w:jc w:val="both"/>
              <w:rPr>
                <w:sz w:val="24"/>
                <w:szCs w:val="24"/>
              </w:rPr>
            </w:pPr>
            <w:r>
              <w:rPr>
                <w:sz w:val="24"/>
                <w:szCs w:val="24"/>
              </w:rPr>
              <w:t xml:space="preserve">Perkančioji organizacija, siekdama įsigyti mobilų rentgeno aparatą su C lanku, </w:t>
            </w:r>
            <w:r w:rsidRPr="00C26725">
              <w:rPr>
                <w:sz w:val="24"/>
                <w:szCs w:val="24"/>
              </w:rPr>
              <w:t xml:space="preserve">Pirkimo Nr. 1 </w:t>
            </w:r>
            <w:r>
              <w:rPr>
                <w:sz w:val="24"/>
                <w:szCs w:val="24"/>
              </w:rPr>
              <w:t>pirmosios pirkimo dalies techninės specifikacijos</w:t>
            </w:r>
            <w:r w:rsidR="00621ED1">
              <w:rPr>
                <w:sz w:val="24"/>
                <w:szCs w:val="24"/>
              </w:rPr>
              <w:t xml:space="preserve"> (toliau – Techninė specifikacija Nr. 1)</w:t>
            </w:r>
            <w:r>
              <w:rPr>
                <w:sz w:val="24"/>
                <w:szCs w:val="24"/>
              </w:rPr>
              <w:t xml:space="preserve"> 1.2 punkte nustatė reikalavimą, kad prekė </w:t>
            </w:r>
            <w:r w:rsidR="00392AB9">
              <w:rPr>
                <w:sz w:val="24"/>
                <w:szCs w:val="24"/>
              </w:rPr>
              <w:t>privalo turėti nuolatinės rentgenoskopijos savybę</w:t>
            </w:r>
            <w:r w:rsidRPr="00C26725">
              <w:rPr>
                <w:sz w:val="24"/>
                <w:szCs w:val="24"/>
              </w:rPr>
              <w:t>.</w:t>
            </w:r>
            <w:r w:rsidR="00A02077">
              <w:rPr>
                <w:sz w:val="24"/>
                <w:szCs w:val="24"/>
              </w:rPr>
              <w:t xml:space="preserve"> </w:t>
            </w:r>
          </w:p>
          <w:p w14:paraId="5BBDE1DF" w14:textId="2491220E" w:rsidR="007004D4" w:rsidRDefault="00A02077" w:rsidP="00BF7BAE">
            <w:pPr>
              <w:ind w:firstLine="738"/>
              <w:jc w:val="both"/>
              <w:rPr>
                <w:sz w:val="24"/>
                <w:szCs w:val="24"/>
              </w:rPr>
            </w:pPr>
            <w:r>
              <w:rPr>
                <w:sz w:val="24"/>
                <w:szCs w:val="24"/>
              </w:rPr>
              <w:t>2019-08-28 tiekėjas UAB „Apex Medicus“ kreipėsi</w:t>
            </w:r>
            <w:r>
              <w:rPr>
                <w:rStyle w:val="FootnoteReference"/>
                <w:sz w:val="24"/>
                <w:szCs w:val="24"/>
              </w:rPr>
              <w:footnoteReference w:id="2"/>
            </w:r>
            <w:r>
              <w:rPr>
                <w:sz w:val="24"/>
                <w:szCs w:val="24"/>
              </w:rPr>
              <w:t xml:space="preserve"> į Perkančiąją organizaciją, nurodydamas, kad minėta technologija yra pasenusi ir labiau kenkia pacientui dėl didelės rentgeno spinduliuotės</w:t>
            </w:r>
            <w:r w:rsidR="00E55AE0">
              <w:rPr>
                <w:rStyle w:val="FootnoteReference"/>
                <w:sz w:val="24"/>
                <w:szCs w:val="24"/>
              </w:rPr>
              <w:footnoteReference w:id="3"/>
            </w:r>
            <w:r>
              <w:rPr>
                <w:sz w:val="24"/>
                <w:szCs w:val="24"/>
              </w:rPr>
              <w:t xml:space="preserve">, todėl </w:t>
            </w:r>
            <w:r w:rsidR="00E55AE0">
              <w:rPr>
                <w:sz w:val="24"/>
                <w:szCs w:val="24"/>
              </w:rPr>
              <w:t xml:space="preserve">paprašė Perkančiosios organizacijos </w:t>
            </w:r>
            <w:r w:rsidR="00E55AE0" w:rsidRPr="00E55AE0">
              <w:rPr>
                <w:i/>
                <w:sz w:val="24"/>
                <w:szCs w:val="24"/>
              </w:rPr>
              <w:t>„&lt;...&gt; paaiškinti numatomą klinikinį nuolatinės rentgenoskopijos panaudojimą &lt;...&gt; įstaigoje arba panaikinti techninės specifikacijos punktą „1.2 Nuolatinė rentgenoskopija</w:t>
            </w:r>
            <w:r w:rsidR="00E55AE0" w:rsidRPr="00E55AE0">
              <w:rPr>
                <w:sz w:val="24"/>
                <w:szCs w:val="24"/>
              </w:rPr>
              <w:t xml:space="preserve">“ </w:t>
            </w:r>
            <w:r w:rsidR="00E55AE0" w:rsidRPr="00041F7F">
              <w:rPr>
                <w:i/>
                <w:iCs/>
                <w:sz w:val="24"/>
                <w:szCs w:val="24"/>
              </w:rPr>
              <w:t>kaip techniškai nepagrįstą ir prieštaraujantį galiojantiems teisės aktams dėl apšvitos mažinimo</w:t>
            </w:r>
            <w:r w:rsidR="00E55AE0">
              <w:rPr>
                <w:sz w:val="24"/>
                <w:szCs w:val="24"/>
              </w:rPr>
              <w:t>“</w:t>
            </w:r>
            <w:r w:rsidR="00E55AE0" w:rsidRPr="00E55AE0">
              <w:rPr>
                <w:sz w:val="24"/>
                <w:szCs w:val="24"/>
              </w:rPr>
              <w:t>.</w:t>
            </w:r>
          </w:p>
          <w:p w14:paraId="799E448D" w14:textId="4696B46A" w:rsidR="00740E1C" w:rsidRDefault="00740E1C" w:rsidP="00BF7BAE">
            <w:pPr>
              <w:ind w:firstLine="738"/>
              <w:jc w:val="both"/>
              <w:rPr>
                <w:sz w:val="24"/>
                <w:szCs w:val="24"/>
              </w:rPr>
            </w:pPr>
            <w:r>
              <w:rPr>
                <w:sz w:val="24"/>
                <w:szCs w:val="24"/>
              </w:rPr>
              <w:t>2019-08-30 Pirkimo Nr. 1 komisija posėdžio</w:t>
            </w:r>
            <w:r>
              <w:rPr>
                <w:rStyle w:val="FootnoteReference"/>
                <w:sz w:val="24"/>
                <w:szCs w:val="24"/>
              </w:rPr>
              <w:footnoteReference w:id="4"/>
            </w:r>
            <w:r>
              <w:rPr>
                <w:sz w:val="24"/>
                <w:szCs w:val="24"/>
              </w:rPr>
              <w:t xml:space="preserve"> metu nusprendė </w:t>
            </w:r>
            <w:r w:rsidR="00621ED1">
              <w:rPr>
                <w:sz w:val="24"/>
                <w:szCs w:val="24"/>
              </w:rPr>
              <w:t>panaikinti Techninės specifikacijos Nr. 1 1.2 punkto reikalavimą „Nuolatinė rentgenoskopija“</w:t>
            </w:r>
            <w:r w:rsidR="00B20DDF">
              <w:rPr>
                <w:sz w:val="24"/>
                <w:szCs w:val="24"/>
              </w:rPr>
              <w:t>, t. y. f</w:t>
            </w:r>
            <w:r w:rsidR="00C539E9">
              <w:rPr>
                <w:sz w:val="24"/>
                <w:szCs w:val="24"/>
              </w:rPr>
              <w:t>aktiškai pakeit</w:t>
            </w:r>
            <w:r w:rsidR="00B20DDF">
              <w:rPr>
                <w:sz w:val="24"/>
                <w:szCs w:val="24"/>
              </w:rPr>
              <w:t>ė</w:t>
            </w:r>
            <w:r w:rsidR="00C539E9">
              <w:rPr>
                <w:sz w:val="24"/>
                <w:szCs w:val="24"/>
              </w:rPr>
              <w:t xml:space="preserve"> </w:t>
            </w:r>
            <w:r w:rsidR="00C539E9">
              <w:rPr>
                <w:sz w:val="24"/>
                <w:szCs w:val="24"/>
              </w:rPr>
              <w:lastRenderedPageBreak/>
              <w:t>pask</w:t>
            </w:r>
            <w:r w:rsidR="00856E44">
              <w:rPr>
                <w:sz w:val="24"/>
                <w:szCs w:val="24"/>
              </w:rPr>
              <w:t>e</w:t>
            </w:r>
            <w:r w:rsidR="00C539E9">
              <w:rPr>
                <w:sz w:val="24"/>
                <w:szCs w:val="24"/>
              </w:rPr>
              <w:t>lbtas Pirkimo Nr. 1 sąlygas</w:t>
            </w:r>
            <w:r w:rsidR="00B20DDF">
              <w:rPr>
                <w:sz w:val="24"/>
                <w:szCs w:val="24"/>
              </w:rPr>
              <w:t xml:space="preserve">. </w:t>
            </w:r>
            <w:r w:rsidR="003C48BC">
              <w:rPr>
                <w:sz w:val="24"/>
                <w:szCs w:val="24"/>
              </w:rPr>
              <w:t xml:space="preserve">Atsižvelgiant į Pirkimo Nr. 1 sąlygų pakeitimo pobūdį, </w:t>
            </w:r>
            <w:r w:rsidR="00B20DDF">
              <w:rPr>
                <w:sz w:val="24"/>
                <w:szCs w:val="24"/>
              </w:rPr>
              <w:t xml:space="preserve">Tarnyba sprendžia, kad Techninės specifikacijos Nr. 1 pakeitimas </w:t>
            </w:r>
            <w:r w:rsidR="003C48BC">
              <w:rPr>
                <w:sz w:val="24"/>
                <w:szCs w:val="24"/>
              </w:rPr>
              <w:t xml:space="preserve">laikytinas esminiu, turėjusiu įtakos tiekėjų suinteresuotumui ir galimybėms pateikti </w:t>
            </w:r>
            <w:r w:rsidR="00B20DDF">
              <w:rPr>
                <w:sz w:val="24"/>
                <w:szCs w:val="24"/>
              </w:rPr>
              <w:t xml:space="preserve">Pirkimo Nr. 1 </w:t>
            </w:r>
            <w:r w:rsidR="003C48BC">
              <w:rPr>
                <w:sz w:val="24"/>
                <w:szCs w:val="24"/>
              </w:rPr>
              <w:t>sąlygų reikalavimus atitinkančius pasiūlymus, todėl m</w:t>
            </w:r>
            <w:r w:rsidR="0017676F">
              <w:rPr>
                <w:sz w:val="24"/>
                <w:szCs w:val="24"/>
              </w:rPr>
              <w:t xml:space="preserve">inėto reikalavimo </w:t>
            </w:r>
            <w:r w:rsidR="003C48BC">
              <w:rPr>
                <w:sz w:val="24"/>
                <w:szCs w:val="24"/>
              </w:rPr>
              <w:t>panaikinimas</w:t>
            </w:r>
            <w:r w:rsidR="0017676F">
              <w:rPr>
                <w:sz w:val="24"/>
                <w:szCs w:val="24"/>
              </w:rPr>
              <w:t xml:space="preserve"> reiškia, kad pasiūlymą Pirkime Nr. 1 būtų galėję pateikti daugiau tiekėjų, kurių siūlomos prekės neturi nuolatinės rentgenoskopijos palaikymo galimybės.</w:t>
            </w:r>
          </w:p>
          <w:p w14:paraId="1A7EFB67" w14:textId="77378E1B" w:rsidR="00BF7BAE" w:rsidRPr="003F019D" w:rsidRDefault="00BF7BAE" w:rsidP="00BF7BAE">
            <w:pPr>
              <w:ind w:firstLine="738"/>
              <w:jc w:val="both"/>
              <w:rPr>
                <w:sz w:val="24"/>
                <w:szCs w:val="24"/>
              </w:rPr>
            </w:pPr>
            <w:r w:rsidRPr="003F019D">
              <w:rPr>
                <w:sz w:val="24"/>
                <w:szCs w:val="24"/>
              </w:rPr>
              <w:t xml:space="preserve">Atkreiptinas dėmesys, kad tuo atveju, kai keičiamos esminės pirkimo sąlygos (nagrinėjamu atveju – pakeičiami </w:t>
            </w:r>
            <w:r w:rsidR="00B20DDF">
              <w:rPr>
                <w:sz w:val="24"/>
                <w:szCs w:val="24"/>
              </w:rPr>
              <w:t>T</w:t>
            </w:r>
            <w:r w:rsidR="00B20DDF" w:rsidRPr="003F019D">
              <w:rPr>
                <w:sz w:val="24"/>
                <w:szCs w:val="24"/>
              </w:rPr>
              <w:t xml:space="preserve">echninės </w:t>
            </w:r>
            <w:r w:rsidRPr="003F019D">
              <w:rPr>
                <w:sz w:val="24"/>
                <w:szCs w:val="24"/>
              </w:rPr>
              <w:t>specifikacij</w:t>
            </w:r>
            <w:r w:rsidR="003D0362">
              <w:rPr>
                <w:sz w:val="24"/>
                <w:szCs w:val="24"/>
              </w:rPr>
              <w:t>os</w:t>
            </w:r>
            <w:r w:rsidRPr="003F019D">
              <w:rPr>
                <w:sz w:val="24"/>
                <w:szCs w:val="24"/>
              </w:rPr>
              <w:t xml:space="preserve"> </w:t>
            </w:r>
            <w:r w:rsidR="00B20DDF">
              <w:rPr>
                <w:sz w:val="24"/>
                <w:szCs w:val="24"/>
              </w:rPr>
              <w:t xml:space="preserve">Nr. 1 </w:t>
            </w:r>
            <w:r w:rsidRPr="003F019D">
              <w:rPr>
                <w:sz w:val="24"/>
                <w:szCs w:val="24"/>
              </w:rPr>
              <w:t xml:space="preserve">reikalavimai taip, jog po atliktų pakeitimų daugiau tiekėjų galėtų dalyvauti </w:t>
            </w:r>
            <w:r w:rsidR="0011420A">
              <w:rPr>
                <w:sz w:val="24"/>
                <w:szCs w:val="24"/>
              </w:rPr>
              <w:t>P</w:t>
            </w:r>
            <w:r w:rsidR="0011420A" w:rsidRPr="003F019D">
              <w:rPr>
                <w:sz w:val="24"/>
                <w:szCs w:val="24"/>
              </w:rPr>
              <w:t>irkime</w:t>
            </w:r>
            <w:r w:rsidR="0011420A">
              <w:rPr>
                <w:sz w:val="24"/>
                <w:szCs w:val="24"/>
              </w:rPr>
              <w:t xml:space="preserve"> Nr. 1</w:t>
            </w:r>
            <w:r w:rsidRPr="003F019D">
              <w:rPr>
                <w:sz w:val="24"/>
                <w:szCs w:val="24"/>
              </w:rPr>
              <w:t>) pirkimą reikia nutraukti ir</w:t>
            </w:r>
            <w:r w:rsidR="00DA210E">
              <w:rPr>
                <w:sz w:val="24"/>
                <w:szCs w:val="24"/>
              </w:rPr>
              <w:t xml:space="preserve"> esant poreikiui</w:t>
            </w:r>
            <w:r w:rsidRPr="003F019D">
              <w:rPr>
                <w:sz w:val="24"/>
                <w:szCs w:val="24"/>
              </w:rPr>
              <w:t xml:space="preserve"> pradėti </w:t>
            </w:r>
            <w:r w:rsidR="0011420A" w:rsidRPr="003F019D">
              <w:rPr>
                <w:sz w:val="24"/>
                <w:szCs w:val="24"/>
              </w:rPr>
              <w:t>nauj</w:t>
            </w:r>
            <w:r w:rsidR="0011420A">
              <w:rPr>
                <w:sz w:val="24"/>
                <w:szCs w:val="24"/>
              </w:rPr>
              <w:t>as</w:t>
            </w:r>
            <w:r w:rsidR="0011420A" w:rsidRPr="003F019D">
              <w:rPr>
                <w:sz w:val="24"/>
                <w:szCs w:val="24"/>
              </w:rPr>
              <w:t xml:space="preserve"> pirkim</w:t>
            </w:r>
            <w:r w:rsidR="0011420A">
              <w:rPr>
                <w:sz w:val="24"/>
                <w:szCs w:val="24"/>
              </w:rPr>
              <w:t>o procedūras</w:t>
            </w:r>
            <w:r w:rsidRPr="003F019D">
              <w:rPr>
                <w:sz w:val="24"/>
                <w:szCs w:val="24"/>
              </w:rPr>
              <w:t>.</w:t>
            </w:r>
          </w:p>
          <w:p w14:paraId="38CC8E61" w14:textId="147F61EE" w:rsidR="00BF7BAE" w:rsidRDefault="00BF7BAE" w:rsidP="00BF7BAE">
            <w:pPr>
              <w:ind w:firstLine="738"/>
              <w:jc w:val="both"/>
              <w:rPr>
                <w:sz w:val="24"/>
                <w:szCs w:val="24"/>
              </w:rPr>
            </w:pPr>
            <w:r w:rsidRPr="003F019D">
              <w:rPr>
                <w:sz w:val="24"/>
                <w:szCs w:val="24"/>
              </w:rPr>
              <w:t>Šios pozicijos laikosi ir Lietuvos Aukščiausiasis Teismas (toliau – LAT), nurodęs, kad „paskelbto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w:t>
            </w:r>
            <w:r w:rsidRPr="003F019D">
              <w:rPr>
                <w:rStyle w:val="FootnoteReference"/>
                <w:sz w:val="24"/>
                <w:szCs w:val="24"/>
              </w:rPr>
              <w:footnoteReference w:id="5"/>
            </w:r>
            <w:r w:rsidRPr="003F019D">
              <w:rPr>
                <w:sz w:val="24"/>
                <w:szCs w:val="24"/>
              </w:rPr>
              <w:t>. „Perkančioji organizacija, laikydamasi iš skaidrumo principo išplaukiančio imperatyvo nekeisti pirkimo sąlygų, per visą viešojo pirkimo procedūrą privalo laikytis iš anksto paskelbtų reikalavimų, nepriklausomai nuo to, kad sąlygų modifikavimu</w:t>
            </w:r>
            <w:r>
              <w:rPr>
                <w:sz w:val="24"/>
                <w:szCs w:val="24"/>
              </w:rPr>
              <w:t xml:space="preserve"> siekiama ištaisyti jų ydingumą</w:t>
            </w:r>
            <w:r w:rsidRPr="003F019D">
              <w:rPr>
                <w:sz w:val="24"/>
                <w:szCs w:val="24"/>
              </w:rPr>
              <w:t>“</w:t>
            </w:r>
            <w:r w:rsidRPr="003F019D">
              <w:rPr>
                <w:rStyle w:val="FootnoteReference"/>
                <w:sz w:val="24"/>
                <w:szCs w:val="24"/>
              </w:rPr>
              <w:footnoteReference w:id="6"/>
            </w:r>
            <w:r w:rsidRPr="003F019D">
              <w:rPr>
                <w:sz w:val="24"/>
                <w:szCs w:val="24"/>
              </w:rPr>
              <w:t>.</w:t>
            </w:r>
          </w:p>
          <w:p w14:paraId="4EFD7990" w14:textId="29538876" w:rsidR="00215540" w:rsidRPr="00C26725" w:rsidRDefault="00215540" w:rsidP="00BF7BAE">
            <w:pPr>
              <w:ind w:firstLine="738"/>
              <w:jc w:val="both"/>
              <w:rPr>
                <w:sz w:val="24"/>
                <w:szCs w:val="24"/>
              </w:rPr>
            </w:pPr>
            <w:r>
              <w:rPr>
                <w:sz w:val="24"/>
                <w:szCs w:val="24"/>
              </w:rPr>
              <w:t xml:space="preserve">Atsižvelgiant į išdėstytą, Tarnyba konstatuoja, kad Perkančioji organizacija pažeidė Įstatymo </w:t>
            </w:r>
            <w:r w:rsidR="00022A01">
              <w:rPr>
                <w:sz w:val="24"/>
                <w:szCs w:val="24"/>
              </w:rPr>
              <w:t>17 str. 1 d. įtvirtintus skaidrumo</w:t>
            </w:r>
            <w:r w:rsidR="0011420A">
              <w:rPr>
                <w:sz w:val="24"/>
                <w:szCs w:val="24"/>
              </w:rPr>
              <w:t xml:space="preserve">, nediskriminavimo </w:t>
            </w:r>
            <w:r w:rsidR="00022A01">
              <w:rPr>
                <w:sz w:val="24"/>
                <w:szCs w:val="24"/>
              </w:rPr>
              <w:t>ir lygiateisiškumo principus</w:t>
            </w:r>
            <w:r w:rsidR="0011420A">
              <w:rPr>
                <w:sz w:val="24"/>
                <w:szCs w:val="24"/>
              </w:rPr>
              <w:t>.</w:t>
            </w:r>
          </w:p>
          <w:p w14:paraId="1C0D12D2" w14:textId="6368EDC1" w:rsidR="00C26725" w:rsidRPr="00C26725" w:rsidRDefault="00C26725" w:rsidP="00C26725">
            <w:pPr>
              <w:ind w:firstLine="738"/>
              <w:jc w:val="both"/>
              <w:rPr>
                <w:sz w:val="24"/>
                <w:szCs w:val="24"/>
              </w:rPr>
            </w:pPr>
          </w:p>
        </w:tc>
      </w:tr>
      <w:tr w:rsidR="00446153" w:rsidRPr="00671F6B" w14:paraId="16AE030A" w14:textId="77777777" w:rsidTr="00165C5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987F91" w14:textId="77777777" w:rsidR="00446153" w:rsidRPr="00671F6B" w:rsidRDefault="00446153" w:rsidP="00165C51">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AC20E31" w14:textId="77777777" w:rsidR="00446153" w:rsidRDefault="000C3ADB" w:rsidP="00165C51">
            <w:pPr>
              <w:rPr>
                <w:sz w:val="24"/>
                <w:szCs w:val="24"/>
              </w:rPr>
            </w:pPr>
            <w:r>
              <w:rPr>
                <w:sz w:val="24"/>
                <w:szCs w:val="24"/>
              </w:rPr>
              <w:t>Įstatymo 17 str. 1 d.</w:t>
            </w:r>
            <w:r>
              <w:rPr>
                <w:rStyle w:val="FootnoteReference"/>
                <w:sz w:val="24"/>
                <w:szCs w:val="24"/>
              </w:rPr>
              <w:footnoteReference w:id="7"/>
            </w:r>
            <w:r w:rsidR="00E50630">
              <w:rPr>
                <w:sz w:val="24"/>
                <w:szCs w:val="24"/>
              </w:rPr>
              <w:t>,</w:t>
            </w:r>
          </w:p>
          <w:p w14:paraId="6A67CE9E" w14:textId="6331BFB2" w:rsidR="00374608" w:rsidRDefault="00374608" w:rsidP="00165C51">
            <w:pPr>
              <w:rPr>
                <w:sz w:val="24"/>
                <w:szCs w:val="24"/>
              </w:rPr>
            </w:pPr>
            <w:r>
              <w:rPr>
                <w:sz w:val="24"/>
                <w:szCs w:val="24"/>
              </w:rPr>
              <w:t>Įstatymo 29 str. 3 d.</w:t>
            </w:r>
            <w:r>
              <w:rPr>
                <w:rStyle w:val="FootnoteReference"/>
                <w:sz w:val="24"/>
                <w:szCs w:val="24"/>
              </w:rPr>
              <w:footnoteReference w:id="8"/>
            </w:r>
            <w:r>
              <w:rPr>
                <w:sz w:val="24"/>
                <w:szCs w:val="24"/>
              </w:rPr>
              <w:t>,</w:t>
            </w:r>
          </w:p>
          <w:p w14:paraId="7B62C1B4" w14:textId="273CC449" w:rsidR="00E50630" w:rsidRPr="00671F6B" w:rsidRDefault="00E50630" w:rsidP="00165C51">
            <w:pPr>
              <w:rPr>
                <w:rFonts w:eastAsia="Arial Unicode MS"/>
                <w:sz w:val="24"/>
                <w:szCs w:val="24"/>
                <w:highlight w:val="yellow"/>
                <w:bdr w:val="nil"/>
                <w:lang w:eastAsia="lt-LT"/>
              </w:rPr>
            </w:pPr>
            <w:r>
              <w:rPr>
                <w:sz w:val="24"/>
                <w:szCs w:val="24"/>
              </w:rPr>
              <w:t>Įstatymo 103 str. 3 d.</w:t>
            </w:r>
            <w:r>
              <w:rPr>
                <w:rStyle w:val="FootnoteReference"/>
                <w:sz w:val="24"/>
                <w:szCs w:val="24"/>
              </w:rPr>
              <w:footnoteReference w:id="9"/>
            </w:r>
          </w:p>
        </w:tc>
      </w:tr>
      <w:tr w:rsidR="00446153" w:rsidRPr="00671F6B" w14:paraId="10D64C80" w14:textId="77777777" w:rsidTr="00165C51">
        <w:tc>
          <w:tcPr>
            <w:tcW w:w="9918" w:type="dxa"/>
            <w:gridSpan w:val="2"/>
            <w:shd w:val="clear" w:color="auto" w:fill="auto"/>
            <w:vAlign w:val="center"/>
          </w:tcPr>
          <w:p w14:paraId="009B27F8" w14:textId="73B39325" w:rsidR="00446153" w:rsidRDefault="001A57F1" w:rsidP="00C263D0">
            <w:pPr>
              <w:ind w:firstLine="738"/>
              <w:jc w:val="both"/>
              <w:rPr>
                <w:sz w:val="24"/>
                <w:szCs w:val="24"/>
              </w:rPr>
            </w:pPr>
            <w:r w:rsidRPr="001A57F1">
              <w:rPr>
                <w:sz w:val="24"/>
                <w:szCs w:val="24"/>
              </w:rPr>
              <w:t>Pirkimo Nr. 1 pirmajai pirkimo daliai pasiūlymus pateikė 4 tiekėjai.</w:t>
            </w:r>
            <w:r w:rsidR="00607C94">
              <w:rPr>
                <w:sz w:val="24"/>
                <w:szCs w:val="24"/>
              </w:rPr>
              <w:t xml:space="preserve"> Perkančiajai organizacijai įvertinus tiekėjų pasiūlymus, trys pasiūlymai buvo atmesti dėl to, kad neatitiko nustatytų Techninės specifikacijos Nr. 1 reikalavimų</w:t>
            </w:r>
            <w:r w:rsidR="00306FBE">
              <w:rPr>
                <w:rStyle w:val="FootnoteReference"/>
                <w:sz w:val="24"/>
                <w:szCs w:val="24"/>
              </w:rPr>
              <w:footnoteReference w:id="10"/>
            </w:r>
            <w:r w:rsidR="00607C94">
              <w:rPr>
                <w:sz w:val="24"/>
                <w:szCs w:val="24"/>
              </w:rPr>
              <w:t>.</w:t>
            </w:r>
            <w:r w:rsidR="00825A03">
              <w:rPr>
                <w:sz w:val="24"/>
                <w:szCs w:val="24"/>
              </w:rPr>
              <w:t xml:space="preserve"> Tolimesnėse Pirkimo Nr. 1 procedūrose liko dalyvauti vienintelis tiekėjas UAB „</w:t>
            </w:r>
            <w:r w:rsidR="00825A03" w:rsidRPr="007667B8">
              <w:rPr>
                <w:sz w:val="24"/>
                <w:szCs w:val="24"/>
              </w:rPr>
              <w:t>Arbor Medical Corporation LT</w:t>
            </w:r>
            <w:r w:rsidR="00825A03">
              <w:rPr>
                <w:sz w:val="24"/>
                <w:szCs w:val="24"/>
              </w:rPr>
              <w:t>“ (toliau – Arbor).</w:t>
            </w:r>
          </w:p>
          <w:p w14:paraId="08A2F2D2" w14:textId="400487BA" w:rsidR="001D7E3F" w:rsidRDefault="001D7E3F" w:rsidP="00C263D0">
            <w:pPr>
              <w:ind w:firstLine="738"/>
              <w:jc w:val="both"/>
              <w:rPr>
                <w:sz w:val="24"/>
                <w:szCs w:val="24"/>
              </w:rPr>
            </w:pPr>
            <w:r>
              <w:rPr>
                <w:sz w:val="24"/>
                <w:szCs w:val="24"/>
              </w:rPr>
              <w:t>UAB „Apex Medicus“</w:t>
            </w:r>
            <w:r w:rsidR="00825A03">
              <w:rPr>
                <w:sz w:val="24"/>
                <w:szCs w:val="24"/>
              </w:rPr>
              <w:t xml:space="preserve"> (toliau – Apex)</w:t>
            </w:r>
            <w:r>
              <w:rPr>
                <w:sz w:val="24"/>
                <w:szCs w:val="24"/>
              </w:rPr>
              <w:t xml:space="preserve">, Perkančiajai organizacijai </w:t>
            </w:r>
            <w:r w:rsidR="00A8494C">
              <w:rPr>
                <w:sz w:val="24"/>
                <w:szCs w:val="24"/>
              </w:rPr>
              <w:t xml:space="preserve">2019-09-27 </w:t>
            </w:r>
            <w:r>
              <w:rPr>
                <w:sz w:val="24"/>
                <w:szCs w:val="24"/>
              </w:rPr>
              <w:t>teikė pretenziją</w:t>
            </w:r>
            <w:r w:rsidR="00C52433">
              <w:rPr>
                <w:sz w:val="24"/>
                <w:szCs w:val="24"/>
              </w:rPr>
              <w:t xml:space="preserve"> dėl sprendimo atmesti šio tiekėjo pasiūlymą</w:t>
            </w:r>
            <w:r>
              <w:rPr>
                <w:sz w:val="24"/>
                <w:szCs w:val="24"/>
              </w:rPr>
              <w:t xml:space="preserve">, </w:t>
            </w:r>
            <w:r w:rsidR="00C52433">
              <w:rPr>
                <w:sz w:val="24"/>
                <w:szCs w:val="24"/>
              </w:rPr>
              <w:t>tačiau pretenzija</w:t>
            </w:r>
            <w:r>
              <w:rPr>
                <w:sz w:val="24"/>
                <w:szCs w:val="24"/>
              </w:rPr>
              <w:t xml:space="preserve"> buvo atmesta</w:t>
            </w:r>
            <w:r w:rsidR="00566667">
              <w:rPr>
                <w:sz w:val="24"/>
                <w:szCs w:val="24"/>
              </w:rPr>
              <w:t xml:space="preserve"> nekeičiant priimto sprendimo dėl Apex pasiūlymo atmetimo</w:t>
            </w:r>
            <w:r w:rsidR="00A8494C">
              <w:rPr>
                <w:rStyle w:val="FootnoteReference"/>
                <w:sz w:val="24"/>
                <w:szCs w:val="24"/>
              </w:rPr>
              <w:footnoteReference w:id="11"/>
            </w:r>
            <w:r>
              <w:rPr>
                <w:sz w:val="24"/>
                <w:szCs w:val="24"/>
              </w:rPr>
              <w:t xml:space="preserve">. Minėtasis tiekėjas Perkančiosios organizacijos </w:t>
            </w:r>
            <w:r w:rsidR="00A8494C">
              <w:rPr>
                <w:sz w:val="24"/>
                <w:szCs w:val="24"/>
              </w:rPr>
              <w:t xml:space="preserve">priimtą sprendimą </w:t>
            </w:r>
            <w:r>
              <w:rPr>
                <w:sz w:val="24"/>
                <w:szCs w:val="24"/>
              </w:rPr>
              <w:t>apskundė teismui</w:t>
            </w:r>
            <w:r w:rsidR="005843C5">
              <w:rPr>
                <w:sz w:val="24"/>
                <w:szCs w:val="24"/>
              </w:rPr>
              <w:t xml:space="preserve"> ir</w:t>
            </w:r>
            <w:r w:rsidR="00566667">
              <w:rPr>
                <w:sz w:val="24"/>
                <w:szCs w:val="24"/>
              </w:rPr>
              <w:t xml:space="preserve"> teismas sprendimu </w:t>
            </w:r>
            <w:r>
              <w:rPr>
                <w:sz w:val="24"/>
                <w:szCs w:val="24"/>
              </w:rPr>
              <w:t xml:space="preserve">įpareigojo </w:t>
            </w:r>
            <w:r w:rsidR="005843C5">
              <w:rPr>
                <w:sz w:val="24"/>
                <w:szCs w:val="24"/>
              </w:rPr>
              <w:t xml:space="preserve">Perkančiąją organizaciją </w:t>
            </w:r>
            <w:r>
              <w:rPr>
                <w:sz w:val="24"/>
                <w:szCs w:val="24"/>
              </w:rPr>
              <w:t xml:space="preserve">tiekėją </w:t>
            </w:r>
            <w:r w:rsidR="003368B4">
              <w:rPr>
                <w:sz w:val="24"/>
                <w:szCs w:val="24"/>
              </w:rPr>
              <w:t xml:space="preserve">Apex </w:t>
            </w:r>
            <w:r>
              <w:rPr>
                <w:sz w:val="24"/>
                <w:szCs w:val="24"/>
              </w:rPr>
              <w:t xml:space="preserve">grąžinti į </w:t>
            </w:r>
            <w:r w:rsidR="00566667">
              <w:rPr>
                <w:sz w:val="24"/>
                <w:szCs w:val="24"/>
              </w:rPr>
              <w:t xml:space="preserve">Pirkimo Nr. 1 </w:t>
            </w:r>
            <w:r>
              <w:rPr>
                <w:sz w:val="24"/>
                <w:szCs w:val="24"/>
              </w:rPr>
              <w:t>procedūras.</w:t>
            </w:r>
          </w:p>
          <w:p w14:paraId="1D62CF85" w14:textId="5657DBAE" w:rsidR="001D7E3F" w:rsidRDefault="00C94FC6" w:rsidP="00C263D0">
            <w:pPr>
              <w:ind w:firstLine="738"/>
              <w:jc w:val="both"/>
              <w:rPr>
                <w:sz w:val="24"/>
                <w:szCs w:val="24"/>
              </w:rPr>
            </w:pPr>
            <w:r>
              <w:rPr>
                <w:sz w:val="24"/>
                <w:szCs w:val="24"/>
              </w:rPr>
              <w:t>2020-01-24 Pirkimo Nr. 1 komisija posėdžio</w:t>
            </w:r>
            <w:r>
              <w:rPr>
                <w:rStyle w:val="FootnoteReference"/>
                <w:sz w:val="24"/>
                <w:szCs w:val="24"/>
              </w:rPr>
              <w:footnoteReference w:id="12"/>
            </w:r>
            <w:r>
              <w:rPr>
                <w:sz w:val="24"/>
                <w:szCs w:val="24"/>
              </w:rPr>
              <w:t xml:space="preserve"> metu sudarė pasiūlymų eilę, kurios pirmoje vietoje </w:t>
            </w:r>
            <w:r w:rsidR="007667B8">
              <w:rPr>
                <w:sz w:val="24"/>
                <w:szCs w:val="24"/>
              </w:rPr>
              <w:t xml:space="preserve">buvo </w:t>
            </w:r>
            <w:r w:rsidR="00825A03">
              <w:rPr>
                <w:sz w:val="24"/>
                <w:szCs w:val="24"/>
              </w:rPr>
              <w:t>Apex</w:t>
            </w:r>
            <w:r w:rsidR="007667B8">
              <w:rPr>
                <w:sz w:val="24"/>
                <w:szCs w:val="24"/>
              </w:rPr>
              <w:t xml:space="preserve"> (pasiūlymo kaina – 138 451,83 Eur su PVM), antroje – </w:t>
            </w:r>
            <w:r w:rsidR="00825A03">
              <w:rPr>
                <w:sz w:val="24"/>
                <w:szCs w:val="24"/>
              </w:rPr>
              <w:t>Arbor</w:t>
            </w:r>
            <w:r w:rsidR="009D5FE0">
              <w:rPr>
                <w:sz w:val="24"/>
                <w:szCs w:val="24"/>
              </w:rPr>
              <w:t xml:space="preserve"> </w:t>
            </w:r>
            <w:r w:rsidR="007667B8">
              <w:rPr>
                <w:sz w:val="24"/>
                <w:szCs w:val="24"/>
              </w:rPr>
              <w:t xml:space="preserve">(pasiūlymo kaina – </w:t>
            </w:r>
            <w:r w:rsidR="00566667">
              <w:rPr>
                <w:sz w:val="24"/>
                <w:szCs w:val="24"/>
              </w:rPr>
              <w:t>159 000,00</w:t>
            </w:r>
            <w:r w:rsidR="007667B8">
              <w:rPr>
                <w:sz w:val="24"/>
                <w:szCs w:val="24"/>
              </w:rPr>
              <w:t xml:space="preserve"> Eur su PVM)</w:t>
            </w:r>
            <w:r w:rsidR="00B32004">
              <w:rPr>
                <w:sz w:val="24"/>
                <w:szCs w:val="24"/>
              </w:rPr>
              <w:t>.</w:t>
            </w:r>
          </w:p>
          <w:p w14:paraId="2F887B50" w14:textId="77777777" w:rsidR="00D06045" w:rsidRDefault="009D5FE0" w:rsidP="00C263D0">
            <w:pPr>
              <w:ind w:firstLine="738"/>
              <w:jc w:val="both"/>
              <w:rPr>
                <w:sz w:val="24"/>
                <w:szCs w:val="24"/>
              </w:rPr>
            </w:pPr>
            <w:r>
              <w:rPr>
                <w:sz w:val="24"/>
                <w:szCs w:val="24"/>
              </w:rPr>
              <w:t>2020-01-31 Arbor pateikė pretenziją</w:t>
            </w:r>
            <w:r w:rsidR="00C62095">
              <w:rPr>
                <w:rStyle w:val="FootnoteReference"/>
                <w:sz w:val="24"/>
                <w:szCs w:val="24"/>
              </w:rPr>
              <w:footnoteReference w:id="13"/>
            </w:r>
            <w:r>
              <w:rPr>
                <w:sz w:val="24"/>
                <w:szCs w:val="24"/>
              </w:rPr>
              <w:t xml:space="preserve"> dėl Apex siūlomos prekės neatitikimo Techninės specifikacijos Nr. 1 reikalavimams</w:t>
            </w:r>
            <w:r w:rsidR="00D630FB">
              <w:rPr>
                <w:sz w:val="24"/>
                <w:szCs w:val="24"/>
              </w:rPr>
              <w:t xml:space="preserve">, savo argumentus grįsdama </w:t>
            </w:r>
            <w:r w:rsidR="00B5486C">
              <w:rPr>
                <w:sz w:val="24"/>
                <w:szCs w:val="24"/>
              </w:rPr>
              <w:t>viešai prieinama informacija, kuri nėra gamintojo patvirtinta kaip oficiali</w:t>
            </w:r>
            <w:r>
              <w:rPr>
                <w:sz w:val="24"/>
                <w:szCs w:val="24"/>
              </w:rPr>
              <w:t>.</w:t>
            </w:r>
            <w:r w:rsidR="00D06045">
              <w:rPr>
                <w:sz w:val="24"/>
                <w:szCs w:val="24"/>
              </w:rPr>
              <w:t xml:space="preserve"> </w:t>
            </w:r>
          </w:p>
          <w:p w14:paraId="1DD0DB1A" w14:textId="6D63B2DD" w:rsidR="00D06045" w:rsidRDefault="00D06045" w:rsidP="00C263D0">
            <w:pPr>
              <w:ind w:firstLine="738"/>
              <w:jc w:val="both"/>
              <w:rPr>
                <w:sz w:val="24"/>
                <w:szCs w:val="24"/>
              </w:rPr>
            </w:pPr>
            <w:r w:rsidRPr="00D06045">
              <w:rPr>
                <w:sz w:val="24"/>
                <w:szCs w:val="24"/>
              </w:rPr>
              <w:lastRenderedPageBreak/>
              <w:t xml:space="preserve">2020-02-03 </w:t>
            </w:r>
            <w:r>
              <w:rPr>
                <w:sz w:val="24"/>
                <w:szCs w:val="24"/>
              </w:rPr>
              <w:t>Perkančioji organizacija kreipėsi</w:t>
            </w:r>
            <w:r>
              <w:rPr>
                <w:rStyle w:val="FootnoteReference"/>
                <w:sz w:val="24"/>
                <w:szCs w:val="24"/>
              </w:rPr>
              <w:footnoteReference w:id="14"/>
            </w:r>
            <w:r>
              <w:rPr>
                <w:sz w:val="24"/>
                <w:szCs w:val="24"/>
              </w:rPr>
              <w:t xml:space="preserve"> į Apex, prašydama patikslinti atitikimą Techninės specifikacijos Nr. 1 reikalavimams</w:t>
            </w:r>
            <w:r w:rsidR="000647C2">
              <w:rPr>
                <w:rStyle w:val="FootnoteReference"/>
                <w:sz w:val="24"/>
                <w:szCs w:val="24"/>
              </w:rPr>
              <w:footnoteReference w:id="15"/>
            </w:r>
            <w:r>
              <w:rPr>
                <w:sz w:val="24"/>
                <w:szCs w:val="24"/>
              </w:rPr>
              <w:t xml:space="preserve">, kuriuos pretenzijoje ginčijo Arbor. </w:t>
            </w:r>
            <w:r w:rsidR="003A09F0">
              <w:rPr>
                <w:sz w:val="24"/>
                <w:szCs w:val="24"/>
              </w:rPr>
              <w:t xml:space="preserve">2020-02-06 </w:t>
            </w:r>
            <w:r>
              <w:rPr>
                <w:sz w:val="24"/>
                <w:szCs w:val="24"/>
              </w:rPr>
              <w:t>Apex</w:t>
            </w:r>
            <w:r w:rsidR="003A09F0">
              <w:rPr>
                <w:sz w:val="24"/>
                <w:szCs w:val="24"/>
              </w:rPr>
              <w:t xml:space="preserve"> Perkančiajai organizacijai pateiktame rašte</w:t>
            </w:r>
            <w:r w:rsidR="002F241B">
              <w:rPr>
                <w:rStyle w:val="FootnoteReference"/>
                <w:sz w:val="24"/>
                <w:szCs w:val="24"/>
              </w:rPr>
              <w:footnoteReference w:id="16"/>
            </w:r>
            <w:r w:rsidR="003A09F0">
              <w:rPr>
                <w:sz w:val="24"/>
                <w:szCs w:val="24"/>
              </w:rPr>
              <w:t xml:space="preserve"> </w:t>
            </w:r>
            <w:r w:rsidR="005C05DA">
              <w:rPr>
                <w:sz w:val="24"/>
                <w:szCs w:val="24"/>
              </w:rPr>
              <w:t xml:space="preserve">nurodė, kad </w:t>
            </w:r>
            <w:r w:rsidR="005C05DA" w:rsidRPr="0002403F">
              <w:rPr>
                <w:i/>
                <w:sz w:val="24"/>
                <w:szCs w:val="24"/>
              </w:rPr>
              <w:t>„&lt;...&gt; visų techninėje specifikacijoje reikalaujamų parametrų atitikimas yra pagrįstas gamintojo išduotame dokumente „alien X TECHNICAL DATA SHEET“, Eurocolumbus nurodytomis parametrų reikšmėmis. Šis dokumentas yra pateiktas kartu su pasiūlymu</w:t>
            </w:r>
            <w:r w:rsidR="005C05DA">
              <w:rPr>
                <w:sz w:val="24"/>
                <w:szCs w:val="24"/>
              </w:rPr>
              <w:t>“.</w:t>
            </w:r>
          </w:p>
          <w:p w14:paraId="3432A10F" w14:textId="2F305005" w:rsidR="00C8590E" w:rsidRDefault="00EA3EAA" w:rsidP="00C263D0">
            <w:pPr>
              <w:ind w:firstLine="738"/>
              <w:jc w:val="both"/>
              <w:rPr>
                <w:sz w:val="24"/>
                <w:szCs w:val="24"/>
              </w:rPr>
            </w:pPr>
            <w:r>
              <w:rPr>
                <w:sz w:val="24"/>
                <w:szCs w:val="24"/>
              </w:rPr>
              <w:t xml:space="preserve">2020-02-10 raštu Nr. SD-327 Perkančioji organizacija informavo Pirkimo Nr. 1 dalyvius apie pirmosios pirkimo dalies nutraukimą: </w:t>
            </w:r>
            <w:r w:rsidRPr="00EA3EAA">
              <w:rPr>
                <w:sz w:val="24"/>
                <w:szCs w:val="24"/>
              </w:rPr>
              <w:t>„</w:t>
            </w:r>
            <w:r w:rsidRPr="00EA3EAA">
              <w:rPr>
                <w:i/>
                <w:sz w:val="24"/>
                <w:szCs w:val="24"/>
              </w:rPr>
              <w:t>Perkančioji organizacija, nagrinėdama tiekėjų gautas pretenzijas  pastebėjo klaidų savo parengtuose dokumentuose, dėl kurių ji, galimai, nepasieks pirkimu siekiamų tikslų (įsigyti jai reikalingų charakteristikų prekės), ir negali sąlygų pataisyti nenutraukdama pirkimo. Taip pat perkančioji organizacija pastebėjo, jog dėl ydingai suformuluotų sąlygų tiekėjai suprato skirtingai, todėl pateikė pasiūlymą, kurio perkančioji organizacija negali objektyviai įvertinti</w:t>
            </w:r>
            <w:r w:rsidRPr="00EA3EAA">
              <w:rPr>
                <w:sz w:val="24"/>
                <w:szCs w:val="24"/>
              </w:rPr>
              <w:t>“.</w:t>
            </w:r>
          </w:p>
          <w:p w14:paraId="0C228835" w14:textId="2D9C5F98" w:rsidR="0008695E" w:rsidRDefault="000B0319" w:rsidP="0008695E">
            <w:pPr>
              <w:ind w:firstLine="738"/>
              <w:jc w:val="both"/>
              <w:rPr>
                <w:sz w:val="24"/>
                <w:szCs w:val="24"/>
              </w:rPr>
            </w:pPr>
            <w:r w:rsidRPr="000B0319">
              <w:rPr>
                <w:sz w:val="24"/>
                <w:szCs w:val="24"/>
              </w:rPr>
              <w:t>2020-02-19</w:t>
            </w:r>
            <w:r>
              <w:rPr>
                <w:sz w:val="24"/>
                <w:szCs w:val="24"/>
              </w:rPr>
              <w:t xml:space="preserve"> Apex</w:t>
            </w:r>
            <w:r w:rsidR="00CA2D2A">
              <w:rPr>
                <w:sz w:val="24"/>
                <w:szCs w:val="24"/>
              </w:rPr>
              <w:t xml:space="preserve"> Perkančiajai organizacijai</w:t>
            </w:r>
            <w:r>
              <w:rPr>
                <w:sz w:val="24"/>
                <w:szCs w:val="24"/>
              </w:rPr>
              <w:t xml:space="preserve"> pateikė pretenziją</w:t>
            </w:r>
            <w:r w:rsidR="009B02FF">
              <w:rPr>
                <w:rStyle w:val="FootnoteReference"/>
                <w:sz w:val="24"/>
                <w:szCs w:val="24"/>
              </w:rPr>
              <w:footnoteReference w:id="17"/>
            </w:r>
            <w:r>
              <w:rPr>
                <w:sz w:val="24"/>
                <w:szCs w:val="24"/>
              </w:rPr>
              <w:t xml:space="preserve"> dėl Pirkimo Nr. 1 pirmosios pirkimo dalies nutraukimo, kadangi Perkančioji organizacija iš esmės nepateikė jokių aiškių argumentų dėl </w:t>
            </w:r>
            <w:r w:rsidR="00C333C3">
              <w:rPr>
                <w:sz w:val="24"/>
                <w:szCs w:val="24"/>
              </w:rPr>
              <w:t xml:space="preserve">tokio </w:t>
            </w:r>
            <w:r>
              <w:rPr>
                <w:sz w:val="24"/>
                <w:szCs w:val="24"/>
              </w:rPr>
              <w:t>priimto sprendimo.</w:t>
            </w:r>
          </w:p>
          <w:p w14:paraId="6A480375" w14:textId="5303E566" w:rsidR="0008695E" w:rsidRPr="00850D06" w:rsidRDefault="0008695E" w:rsidP="00C263D0">
            <w:pPr>
              <w:ind w:firstLine="738"/>
              <w:jc w:val="both"/>
              <w:rPr>
                <w:sz w:val="24"/>
                <w:szCs w:val="24"/>
              </w:rPr>
            </w:pPr>
            <w:r w:rsidRPr="00850D06">
              <w:rPr>
                <w:sz w:val="24"/>
                <w:szCs w:val="24"/>
              </w:rPr>
              <w:t xml:space="preserve">2020-02-26 raštu Nr. SD-462 </w:t>
            </w:r>
            <w:r w:rsidR="00800244" w:rsidRPr="00850D06">
              <w:rPr>
                <w:sz w:val="24"/>
                <w:szCs w:val="24"/>
              </w:rPr>
              <w:t xml:space="preserve">Perkančioji organizacija </w:t>
            </w:r>
            <w:r w:rsidRPr="00850D06">
              <w:rPr>
                <w:sz w:val="24"/>
                <w:szCs w:val="24"/>
              </w:rPr>
              <w:t xml:space="preserve">Apex pretenziją atmetė, nurodydama, kad </w:t>
            </w:r>
            <w:r w:rsidRPr="00A47C0D">
              <w:rPr>
                <w:sz w:val="24"/>
                <w:szCs w:val="24"/>
              </w:rPr>
              <w:t>„</w:t>
            </w:r>
            <w:r w:rsidR="00800244" w:rsidRPr="00A47C0D">
              <w:rPr>
                <w:i/>
                <w:sz w:val="24"/>
                <w:szCs w:val="24"/>
              </w:rPr>
              <w:t>&lt;...&gt; t</w:t>
            </w:r>
            <w:r w:rsidRPr="00A47C0D">
              <w:rPr>
                <w:i/>
                <w:sz w:val="24"/>
                <w:szCs w:val="24"/>
              </w:rPr>
              <w:t>ik vykdant šio viešojo pirkimo procedūras, paaiškėjo, kad pirkimo sąlygų techninėse specifikacijose iš viso nebuvo keliamas reikalavimas C lanko rentgeno vamzdžio aukščio reguliavimo riboms. Ligoninės darbinis operacinio stalo aukštis yra apie 75 cm, stalviršio storis (čiužinys ir valdymo rankenos) apie 20 cm, reguliavimo ribos nuo 70 iki 110 cm. Tam, kad aparatas tilptų po operaciniu stalu, C lanko rentgeno vamzdis žemiausioje pozicijoje neturi būti aukščiau nei x = 52 c</w:t>
            </w:r>
            <w:r w:rsidR="00800244" w:rsidRPr="00A47C0D">
              <w:rPr>
                <w:i/>
                <w:sz w:val="24"/>
                <w:szCs w:val="24"/>
              </w:rPr>
              <w:t>m matuojant atstumą nuo grindų</w:t>
            </w:r>
            <w:r w:rsidRPr="00850D06">
              <w:rPr>
                <w:sz w:val="24"/>
                <w:szCs w:val="24"/>
              </w:rPr>
              <w:t>“.</w:t>
            </w:r>
            <w:r w:rsidR="00DB5A61">
              <w:rPr>
                <w:sz w:val="24"/>
                <w:szCs w:val="24"/>
              </w:rPr>
              <w:t xml:space="preserve"> Perkančioji organizacija taip pat pažymėjo, kad „</w:t>
            </w:r>
            <w:r w:rsidR="00DB5A61" w:rsidRPr="00DB5A61">
              <w:rPr>
                <w:i/>
                <w:color w:val="000000"/>
                <w:sz w:val="24"/>
                <w:szCs w:val="24"/>
                <w:shd w:val="clear" w:color="auto" w:fill="FFFFFF"/>
              </w:rPr>
              <w:t>ginčo su  tiekėju dėl pasiūlymo atitikimo pirkimo sąlygoms metu (2019 m. gruodžio mėn.) paaiškėjo, kad panašių parametrų įranga kaip ir siūloma tiekėjo yra instaliuota vienoje iš ligoninių. Pabendravus su minėtos ligoninės specialistais dėl rentgeno naudojimo, paaiškėjo, kad aparatas yra nepatogus naudoti, nes operacijos metu reikia kelti operacinį stalą vien tik tam, kad po stalu tilptų C lankas</w:t>
            </w:r>
            <w:r w:rsidR="00DB5A61">
              <w:rPr>
                <w:sz w:val="24"/>
                <w:szCs w:val="24"/>
              </w:rPr>
              <w:t>“.</w:t>
            </w:r>
          </w:p>
          <w:p w14:paraId="0E20635D" w14:textId="12632330" w:rsidR="009B02FF" w:rsidRDefault="00DE00BD" w:rsidP="00C263D0">
            <w:pPr>
              <w:ind w:firstLine="738"/>
              <w:jc w:val="both"/>
              <w:rPr>
                <w:sz w:val="24"/>
                <w:szCs w:val="24"/>
              </w:rPr>
            </w:pPr>
            <w:r>
              <w:rPr>
                <w:sz w:val="24"/>
                <w:szCs w:val="24"/>
              </w:rPr>
              <w:t>2020-03-06 Apex Perkančiajai organizacijai pateikė pretenziją</w:t>
            </w:r>
            <w:r>
              <w:rPr>
                <w:rStyle w:val="FootnoteReference"/>
                <w:sz w:val="24"/>
                <w:szCs w:val="24"/>
              </w:rPr>
              <w:footnoteReference w:id="18"/>
            </w:r>
            <w:r>
              <w:rPr>
                <w:sz w:val="24"/>
                <w:szCs w:val="24"/>
              </w:rPr>
              <w:t>, kurioje nurodė, kad tiekėjo siūloma</w:t>
            </w:r>
            <w:r w:rsidR="001C05A8">
              <w:rPr>
                <w:sz w:val="24"/>
                <w:szCs w:val="24"/>
              </w:rPr>
              <w:t xml:space="preserve"> prekė</w:t>
            </w:r>
            <w:r>
              <w:rPr>
                <w:sz w:val="24"/>
                <w:szCs w:val="24"/>
              </w:rPr>
              <w:t xml:space="preserve"> atitinka </w:t>
            </w:r>
            <w:r w:rsidR="001C05A8">
              <w:rPr>
                <w:sz w:val="24"/>
                <w:szCs w:val="24"/>
              </w:rPr>
              <w:t xml:space="preserve">minėtus </w:t>
            </w:r>
            <w:r>
              <w:rPr>
                <w:sz w:val="24"/>
                <w:szCs w:val="24"/>
              </w:rPr>
              <w:t xml:space="preserve">minimalius C lanko aukščio parametrus, </w:t>
            </w:r>
            <w:r w:rsidR="00D57242">
              <w:rPr>
                <w:sz w:val="24"/>
                <w:szCs w:val="24"/>
              </w:rPr>
              <w:t>nors jų ir</w:t>
            </w:r>
            <w:r>
              <w:rPr>
                <w:sz w:val="24"/>
                <w:szCs w:val="24"/>
              </w:rPr>
              <w:t xml:space="preserve"> nebuvo reikalaujama Pirkime Nr. 1.</w:t>
            </w:r>
          </w:p>
          <w:p w14:paraId="04AEAC16" w14:textId="03938E30" w:rsidR="002126E3" w:rsidRPr="00EB755D" w:rsidRDefault="002126E3" w:rsidP="00C263D0">
            <w:pPr>
              <w:ind w:firstLine="738"/>
              <w:jc w:val="both"/>
              <w:rPr>
                <w:sz w:val="24"/>
                <w:szCs w:val="24"/>
              </w:rPr>
            </w:pPr>
            <w:r w:rsidRPr="00EB755D">
              <w:rPr>
                <w:sz w:val="24"/>
                <w:szCs w:val="24"/>
              </w:rPr>
              <w:t>2020-03-13 Perkančioji organizacija Apex nurodė</w:t>
            </w:r>
            <w:r w:rsidR="000E3169" w:rsidRPr="00EB755D">
              <w:rPr>
                <w:rStyle w:val="FootnoteReference"/>
                <w:sz w:val="24"/>
                <w:szCs w:val="24"/>
              </w:rPr>
              <w:footnoteReference w:id="19"/>
            </w:r>
            <w:r w:rsidRPr="00EB755D">
              <w:rPr>
                <w:sz w:val="24"/>
                <w:szCs w:val="24"/>
              </w:rPr>
              <w:t>, kad „</w:t>
            </w:r>
            <w:r w:rsidRPr="009D6A38">
              <w:rPr>
                <w:i/>
                <w:sz w:val="24"/>
                <w:szCs w:val="24"/>
              </w:rPr>
              <w:t xml:space="preserve">Viešojo pirkimo komisija atsakys į </w:t>
            </w:r>
            <w:r w:rsidR="008F0D43">
              <w:rPr>
                <w:i/>
                <w:sz w:val="24"/>
                <w:szCs w:val="24"/>
              </w:rPr>
              <w:t>&lt;...&gt;</w:t>
            </w:r>
            <w:r w:rsidRPr="009D6A38">
              <w:rPr>
                <w:i/>
                <w:sz w:val="24"/>
                <w:szCs w:val="24"/>
              </w:rPr>
              <w:t xml:space="preserve"> 2020-03-06 pateiktą pretenziją dėl to paties dalyko ir tuo pačiu pagrindu, kaip ir 2020-02-19 pateikta pretenzija, gavusi VPT vertinimo dėl šio pirkimo nutraukimo išvadą</w:t>
            </w:r>
            <w:r w:rsidRPr="00EB755D">
              <w:rPr>
                <w:sz w:val="24"/>
                <w:szCs w:val="24"/>
              </w:rPr>
              <w:t>“.</w:t>
            </w:r>
            <w:r w:rsidR="000E3169" w:rsidRPr="00EB755D">
              <w:rPr>
                <w:sz w:val="24"/>
                <w:szCs w:val="24"/>
              </w:rPr>
              <w:t xml:space="preserve"> </w:t>
            </w:r>
            <w:r w:rsidR="00EB755D" w:rsidRPr="00EB755D">
              <w:rPr>
                <w:sz w:val="24"/>
                <w:szCs w:val="24"/>
              </w:rPr>
              <w:t>2020-03-20 Perkančioji organizacija Apex nurodė</w:t>
            </w:r>
            <w:r w:rsidR="00A002BA">
              <w:rPr>
                <w:rStyle w:val="FootnoteReference"/>
                <w:sz w:val="24"/>
                <w:szCs w:val="24"/>
              </w:rPr>
              <w:footnoteReference w:id="20"/>
            </w:r>
            <w:r w:rsidR="00EB755D" w:rsidRPr="00EB755D">
              <w:rPr>
                <w:sz w:val="24"/>
                <w:szCs w:val="24"/>
              </w:rPr>
              <w:t xml:space="preserve">, kad </w:t>
            </w:r>
            <w:r w:rsidR="00EB755D" w:rsidRPr="009D6A38">
              <w:rPr>
                <w:i/>
                <w:sz w:val="24"/>
                <w:szCs w:val="24"/>
              </w:rPr>
              <w:t>„&lt;...&gt; a</w:t>
            </w:r>
            <w:r w:rsidR="000E3169" w:rsidRPr="009D6A38">
              <w:rPr>
                <w:i/>
                <w:sz w:val="24"/>
                <w:szCs w:val="24"/>
              </w:rPr>
              <w:t xml:space="preserve">tsižvelgiant į 2020-03-19 gautą VPT atsakymą dėl vykdyto viešojo pirkimo </w:t>
            </w:r>
            <w:r w:rsidR="009D6A38">
              <w:rPr>
                <w:i/>
                <w:sz w:val="24"/>
                <w:szCs w:val="24"/>
              </w:rPr>
              <w:t>&lt;...&gt;</w:t>
            </w:r>
            <w:r w:rsidR="000E3169" w:rsidRPr="009D6A38">
              <w:rPr>
                <w:i/>
                <w:sz w:val="24"/>
                <w:szCs w:val="24"/>
              </w:rPr>
              <w:t>, laikome, kad pirkimo procedūros yra nutrauktos</w:t>
            </w:r>
            <w:r w:rsidR="00EB755D" w:rsidRPr="00EB755D">
              <w:rPr>
                <w:sz w:val="24"/>
                <w:szCs w:val="24"/>
              </w:rPr>
              <w:t>“</w:t>
            </w:r>
            <w:r w:rsidR="000E3169" w:rsidRPr="00EB755D">
              <w:rPr>
                <w:sz w:val="24"/>
                <w:szCs w:val="24"/>
              </w:rPr>
              <w:t>.</w:t>
            </w:r>
          </w:p>
          <w:p w14:paraId="53CDD159" w14:textId="77777777" w:rsidR="0052464C" w:rsidRDefault="0052464C" w:rsidP="00C263D0">
            <w:pPr>
              <w:ind w:firstLine="738"/>
              <w:jc w:val="both"/>
              <w:rPr>
                <w:sz w:val="24"/>
                <w:szCs w:val="24"/>
              </w:rPr>
            </w:pPr>
          </w:p>
          <w:p w14:paraId="650DD4A0" w14:textId="4EC27119" w:rsidR="008B5CD7" w:rsidRPr="008B5CD7" w:rsidRDefault="008B5CD7" w:rsidP="00C263D0">
            <w:pPr>
              <w:ind w:firstLine="738"/>
              <w:jc w:val="both"/>
              <w:rPr>
                <w:b/>
                <w:sz w:val="24"/>
                <w:szCs w:val="24"/>
              </w:rPr>
            </w:pPr>
            <w:r w:rsidRPr="008B5CD7">
              <w:rPr>
                <w:b/>
                <w:sz w:val="24"/>
                <w:szCs w:val="24"/>
              </w:rPr>
              <w:t xml:space="preserve">Dėl atsakymo į 2020-03-06 </w:t>
            </w:r>
            <w:r w:rsidR="0058240D" w:rsidRPr="008B5CD7">
              <w:rPr>
                <w:b/>
                <w:sz w:val="24"/>
                <w:szCs w:val="24"/>
              </w:rPr>
              <w:t xml:space="preserve">Apex </w:t>
            </w:r>
            <w:r w:rsidRPr="008B5CD7">
              <w:rPr>
                <w:b/>
                <w:sz w:val="24"/>
                <w:szCs w:val="24"/>
              </w:rPr>
              <w:t>pretenziją</w:t>
            </w:r>
            <w:r>
              <w:rPr>
                <w:b/>
                <w:sz w:val="24"/>
                <w:szCs w:val="24"/>
              </w:rPr>
              <w:t>.</w:t>
            </w:r>
          </w:p>
          <w:p w14:paraId="2CDF6B05" w14:textId="1479A5A0" w:rsidR="00805C63" w:rsidRDefault="00805C63" w:rsidP="00C263D0">
            <w:pPr>
              <w:ind w:firstLine="738"/>
              <w:jc w:val="both"/>
              <w:rPr>
                <w:sz w:val="24"/>
                <w:szCs w:val="24"/>
              </w:rPr>
            </w:pPr>
            <w:r>
              <w:rPr>
                <w:sz w:val="24"/>
                <w:szCs w:val="24"/>
              </w:rPr>
              <w:t>Perkančioji organizacija, gavusi 2020-03-06 Apex pretenziją</w:t>
            </w:r>
            <w:r w:rsidR="00372667">
              <w:rPr>
                <w:sz w:val="24"/>
                <w:szCs w:val="24"/>
              </w:rPr>
              <w:t>, 2020-03-13 pranešime</w:t>
            </w:r>
            <w:r w:rsidR="008B6FBD">
              <w:rPr>
                <w:rStyle w:val="FootnoteReference"/>
                <w:sz w:val="24"/>
                <w:szCs w:val="24"/>
              </w:rPr>
              <w:footnoteReference w:id="21"/>
            </w:r>
            <w:r w:rsidR="00372667">
              <w:rPr>
                <w:sz w:val="24"/>
                <w:szCs w:val="24"/>
              </w:rPr>
              <w:t xml:space="preserve"> tiekėjui</w:t>
            </w:r>
            <w:r>
              <w:rPr>
                <w:sz w:val="24"/>
                <w:szCs w:val="24"/>
              </w:rPr>
              <w:t xml:space="preserve"> pabrėžtinai nurodė, kad </w:t>
            </w:r>
            <w:r w:rsidR="00372667">
              <w:rPr>
                <w:sz w:val="24"/>
                <w:szCs w:val="24"/>
              </w:rPr>
              <w:t>šios pretenzijos</w:t>
            </w:r>
            <w:r>
              <w:rPr>
                <w:sz w:val="24"/>
                <w:szCs w:val="24"/>
              </w:rPr>
              <w:t xml:space="preserve"> dalykas ir pagrindas yra tie patys kaip ir 2020-02-19 Apex pretenzijoje.</w:t>
            </w:r>
            <w:r w:rsidR="00A002BA">
              <w:rPr>
                <w:sz w:val="24"/>
                <w:szCs w:val="24"/>
              </w:rPr>
              <w:t xml:space="preserve"> </w:t>
            </w:r>
            <w:r w:rsidR="00BC48E5">
              <w:rPr>
                <w:sz w:val="24"/>
                <w:szCs w:val="24"/>
              </w:rPr>
              <w:t>Tarnyba nesutinka su tokia Perkančiosios organizacijos pozicija ir pažymi</w:t>
            </w:r>
            <w:r w:rsidR="00A002BA">
              <w:rPr>
                <w:sz w:val="24"/>
                <w:szCs w:val="24"/>
              </w:rPr>
              <w:t xml:space="preserve">, kad 2020-02-19 pretenzijoje buvo ginčijamas pats Pirkimo Nr. 1 pirmosios pirkimo dalies nutraukimo faktas, Perkančiajai organizacijai nenurodant jokių svarių argumentų tokiam svarbiam sprendimui pagrįsti. </w:t>
            </w:r>
            <w:r w:rsidR="00A002BA">
              <w:rPr>
                <w:sz w:val="24"/>
                <w:szCs w:val="24"/>
              </w:rPr>
              <w:lastRenderedPageBreak/>
              <w:t>Tuo tarpu 2020-03-06 pretenzijoje buvo ginčijami Perkančiosios organizacijos pateikti paaiškinimai</w:t>
            </w:r>
            <w:r w:rsidR="00DC2C64">
              <w:rPr>
                <w:sz w:val="24"/>
                <w:szCs w:val="24"/>
              </w:rPr>
              <w:t>, argumentai</w:t>
            </w:r>
            <w:r w:rsidR="00A002BA">
              <w:rPr>
                <w:sz w:val="24"/>
                <w:szCs w:val="24"/>
              </w:rPr>
              <w:t xml:space="preserve"> dėl priimto sprendimo nutraukti </w:t>
            </w:r>
            <w:r w:rsidR="0058240D">
              <w:rPr>
                <w:sz w:val="24"/>
                <w:szCs w:val="24"/>
              </w:rPr>
              <w:t xml:space="preserve">Pirkimo Nr. 1 </w:t>
            </w:r>
            <w:r w:rsidR="00A002BA">
              <w:rPr>
                <w:sz w:val="24"/>
                <w:szCs w:val="24"/>
              </w:rPr>
              <w:t>procedūras.</w:t>
            </w:r>
          </w:p>
          <w:p w14:paraId="749B8932" w14:textId="266D13E1" w:rsidR="00805C63" w:rsidRDefault="00256C4C" w:rsidP="00C263D0">
            <w:pPr>
              <w:ind w:firstLine="738"/>
              <w:jc w:val="both"/>
              <w:rPr>
                <w:sz w:val="24"/>
                <w:szCs w:val="24"/>
              </w:rPr>
            </w:pPr>
            <w:r>
              <w:rPr>
                <w:sz w:val="24"/>
                <w:szCs w:val="24"/>
              </w:rPr>
              <w:t xml:space="preserve">Nepaisant to, kad Perkančioji organizacija nurodė atsakysianti į 2020-03-06 Apex pretenziją gavusi </w:t>
            </w:r>
            <w:r w:rsidR="0058240D">
              <w:rPr>
                <w:sz w:val="24"/>
                <w:szCs w:val="24"/>
              </w:rPr>
              <w:t xml:space="preserve">Tarnybos </w:t>
            </w:r>
            <w:r>
              <w:rPr>
                <w:sz w:val="24"/>
                <w:szCs w:val="24"/>
              </w:rPr>
              <w:t xml:space="preserve">vertinimo išvadą, Perkančioji organizacija į minėtą pretenziją neatsakė, tačiau tiekėjui Apex pateikė lakonišką pranešimą, iš kurio galima spręsti, neva Tarnyba neprieštaravo Perkančiosios organizacijos priimtam sprendimui nutraukti Pirkimo Nr. 1 pirmosios pirkimo dalies procedūras. Pažymėtina, </w:t>
            </w:r>
            <w:r w:rsidR="00696198">
              <w:rPr>
                <w:sz w:val="24"/>
                <w:szCs w:val="24"/>
              </w:rPr>
              <w:t>jog</w:t>
            </w:r>
            <w:r>
              <w:rPr>
                <w:sz w:val="24"/>
                <w:szCs w:val="24"/>
              </w:rPr>
              <w:t xml:space="preserve"> Tarnyba</w:t>
            </w:r>
            <w:r w:rsidR="00994296">
              <w:rPr>
                <w:sz w:val="24"/>
                <w:szCs w:val="24"/>
              </w:rPr>
              <w:t xml:space="preserve"> 2020-03-19 raštu 4S-278</w:t>
            </w:r>
            <w:r>
              <w:rPr>
                <w:sz w:val="24"/>
                <w:szCs w:val="24"/>
              </w:rPr>
              <w:t xml:space="preserve"> </w:t>
            </w:r>
            <w:r w:rsidR="00994296">
              <w:rPr>
                <w:sz w:val="24"/>
                <w:szCs w:val="24"/>
              </w:rPr>
              <w:t xml:space="preserve">informavo </w:t>
            </w:r>
            <w:r>
              <w:rPr>
                <w:sz w:val="24"/>
                <w:szCs w:val="24"/>
              </w:rPr>
              <w:t>Perkančiąją organizaciją, kad „</w:t>
            </w:r>
            <w:r w:rsidR="005B1434">
              <w:rPr>
                <w:i/>
                <w:sz w:val="24"/>
                <w:szCs w:val="24"/>
              </w:rPr>
              <w:t>a</w:t>
            </w:r>
            <w:r w:rsidRPr="00256C4C">
              <w:rPr>
                <w:i/>
                <w:sz w:val="24"/>
                <w:szCs w:val="24"/>
              </w:rPr>
              <w:t xml:space="preserve">tsižvelgdama į tai, kad dėl 2020-03-16 Lietuvoje įvesto karantino, susidarius ekstremaliai situacijai valstybinėms ir savivaldybių asmens sveikatos priežiūros įstaigoms būtina sutelkti materialinius ir žmogiškuosius išteklius, siekiant išvengti darbo sutrikimų, galinčių turėti neigiamos įtakos įstaigos funkcionavimui, jos teikiamoms paslaugoms visuomenei, Viešųjų pirkimų tarnyba </w:t>
            </w:r>
            <w:r>
              <w:rPr>
                <w:i/>
                <w:sz w:val="24"/>
                <w:szCs w:val="24"/>
              </w:rPr>
              <w:t>&lt;...&gt;</w:t>
            </w:r>
            <w:r w:rsidRPr="00256C4C">
              <w:rPr>
                <w:i/>
                <w:sz w:val="24"/>
                <w:szCs w:val="24"/>
              </w:rPr>
              <w:t xml:space="preserve"> informuoja, kad </w:t>
            </w:r>
            <w:r w:rsidRPr="00256C4C">
              <w:rPr>
                <w:rFonts w:eastAsia="Calibri"/>
                <w:bCs/>
                <w:i/>
                <w:sz w:val="24"/>
                <w:szCs w:val="24"/>
              </w:rPr>
              <w:t xml:space="preserve">VšĮ Alytaus apskrities S. Kudirkos ligoninės </w:t>
            </w:r>
            <w:r>
              <w:rPr>
                <w:i/>
                <w:sz w:val="24"/>
                <w:szCs w:val="24"/>
              </w:rPr>
              <w:t>&lt;...&gt;</w:t>
            </w:r>
            <w:r w:rsidRPr="00256C4C">
              <w:rPr>
                <w:i/>
                <w:sz w:val="24"/>
                <w:szCs w:val="24"/>
              </w:rPr>
              <w:t xml:space="preserve"> vykdyto viešojo pirkimo „Medicininė įranga“ </w:t>
            </w:r>
            <w:r>
              <w:rPr>
                <w:i/>
                <w:sz w:val="24"/>
                <w:szCs w:val="24"/>
              </w:rPr>
              <w:t>&lt;...&gt;</w:t>
            </w:r>
            <w:r w:rsidRPr="00256C4C">
              <w:rPr>
                <w:i/>
                <w:sz w:val="24"/>
                <w:szCs w:val="24"/>
              </w:rPr>
              <w:t xml:space="preserve"> objekto dalies Nr. 1 „Mobilus rentgeno aparatas su C lanku“ vertinimo neatliks</w:t>
            </w:r>
            <w:r>
              <w:rPr>
                <w:sz w:val="24"/>
                <w:szCs w:val="24"/>
              </w:rPr>
              <w:t>“.</w:t>
            </w:r>
          </w:p>
          <w:p w14:paraId="7AB49743" w14:textId="4FC939E8" w:rsidR="00994296" w:rsidRDefault="00994296" w:rsidP="00C263D0">
            <w:pPr>
              <w:ind w:firstLine="738"/>
              <w:jc w:val="both"/>
              <w:rPr>
                <w:sz w:val="24"/>
                <w:szCs w:val="24"/>
              </w:rPr>
            </w:pPr>
            <w:r>
              <w:rPr>
                <w:sz w:val="24"/>
                <w:szCs w:val="24"/>
              </w:rPr>
              <w:t xml:space="preserve">Tarnyba konstatuoja, kad </w:t>
            </w:r>
            <w:r w:rsidR="00372667">
              <w:rPr>
                <w:sz w:val="24"/>
                <w:szCs w:val="24"/>
              </w:rPr>
              <w:t>Perkančiajai organizacijai tiekėjui pateikus tokį konkrečios informacijos stokojantį pranešimą,</w:t>
            </w:r>
            <w:r>
              <w:rPr>
                <w:sz w:val="24"/>
                <w:szCs w:val="24"/>
              </w:rPr>
              <w:t xml:space="preserve"> A</w:t>
            </w:r>
            <w:r w:rsidR="00372667">
              <w:rPr>
                <w:sz w:val="24"/>
                <w:szCs w:val="24"/>
              </w:rPr>
              <w:t>pex galimai buvo suklaidinta</w:t>
            </w:r>
            <w:r>
              <w:rPr>
                <w:sz w:val="24"/>
                <w:szCs w:val="24"/>
              </w:rPr>
              <w:t xml:space="preserve"> ir dėl to buvo pažeista šio tiekėjo galimybė ginti savo teises.</w:t>
            </w:r>
          </w:p>
          <w:p w14:paraId="62B816EE" w14:textId="68524606" w:rsidR="00994296" w:rsidRDefault="00994296" w:rsidP="00C263D0">
            <w:pPr>
              <w:ind w:firstLine="738"/>
              <w:jc w:val="both"/>
              <w:rPr>
                <w:sz w:val="24"/>
                <w:szCs w:val="24"/>
              </w:rPr>
            </w:pPr>
            <w:r>
              <w:rPr>
                <w:sz w:val="24"/>
                <w:szCs w:val="24"/>
              </w:rPr>
              <w:t>Pažymėtina, kad Tarnybai priėmus sprendimą neatlikti Pirkimo Nr. 1 vertinimo, Perkančiosios organizacijos pareiga vykdyti imperatyvias Įstatymo nuostatas neišnyko, t. y. Perkančioji organizacija privalėjo pateikti atsakymą į 2020-03-06 Apex pretenziją,</w:t>
            </w:r>
            <w:r w:rsidR="00B50621">
              <w:rPr>
                <w:sz w:val="24"/>
                <w:szCs w:val="24"/>
              </w:rPr>
              <w:t xml:space="preserve"> tačiau šios pareigos nevykdė ir tuo pažeidė</w:t>
            </w:r>
            <w:r>
              <w:rPr>
                <w:sz w:val="24"/>
                <w:szCs w:val="24"/>
              </w:rPr>
              <w:t xml:space="preserve"> </w:t>
            </w:r>
            <w:r w:rsidR="002415D5">
              <w:rPr>
                <w:sz w:val="24"/>
                <w:szCs w:val="24"/>
              </w:rPr>
              <w:t>Įstatymo</w:t>
            </w:r>
            <w:r w:rsidR="00B50621">
              <w:rPr>
                <w:sz w:val="24"/>
                <w:szCs w:val="24"/>
              </w:rPr>
              <w:t xml:space="preserve"> 103 str. 3 d. </w:t>
            </w:r>
            <w:r w:rsidR="0058240D">
              <w:rPr>
                <w:sz w:val="24"/>
                <w:szCs w:val="24"/>
              </w:rPr>
              <w:t xml:space="preserve">įtvirtintos nuostatos reikalavimus </w:t>
            </w:r>
            <w:r w:rsidR="00B50621">
              <w:rPr>
                <w:sz w:val="24"/>
                <w:szCs w:val="24"/>
              </w:rPr>
              <w:t>bei Įstatymo 17 str. 1 d. įtvirtintą skaidrumo principą.</w:t>
            </w:r>
          </w:p>
          <w:p w14:paraId="2FF541EC" w14:textId="7808FF27" w:rsidR="00256C4C" w:rsidRDefault="00256C4C" w:rsidP="00C263D0">
            <w:pPr>
              <w:ind w:firstLine="738"/>
              <w:jc w:val="both"/>
              <w:rPr>
                <w:sz w:val="24"/>
                <w:szCs w:val="24"/>
              </w:rPr>
            </w:pPr>
          </w:p>
          <w:p w14:paraId="25223750" w14:textId="186483BC" w:rsidR="005E1271" w:rsidRPr="00F95A45" w:rsidRDefault="005E1271" w:rsidP="00C263D0">
            <w:pPr>
              <w:ind w:firstLine="738"/>
              <w:jc w:val="both"/>
              <w:rPr>
                <w:b/>
                <w:sz w:val="24"/>
                <w:szCs w:val="24"/>
              </w:rPr>
            </w:pPr>
            <w:r w:rsidRPr="00F95A45">
              <w:rPr>
                <w:b/>
                <w:sz w:val="24"/>
                <w:szCs w:val="24"/>
              </w:rPr>
              <w:t xml:space="preserve">Dėl </w:t>
            </w:r>
            <w:r w:rsidR="00F95A45" w:rsidRPr="00F95A45">
              <w:rPr>
                <w:b/>
                <w:sz w:val="24"/>
                <w:szCs w:val="24"/>
              </w:rPr>
              <w:t>Pirkimo Nr. 1 pirmosios pirkimo dalies nutraukimo pagrindo.</w:t>
            </w:r>
          </w:p>
          <w:p w14:paraId="631E8814" w14:textId="02635AE6" w:rsidR="00F95A45" w:rsidRPr="000C05AA" w:rsidRDefault="000C05AA" w:rsidP="00C263D0">
            <w:pPr>
              <w:ind w:firstLine="738"/>
              <w:jc w:val="both"/>
              <w:rPr>
                <w:sz w:val="24"/>
                <w:szCs w:val="24"/>
              </w:rPr>
            </w:pPr>
            <w:r>
              <w:rPr>
                <w:sz w:val="24"/>
                <w:szCs w:val="24"/>
              </w:rPr>
              <w:t xml:space="preserve">Perkančioji organizacija, </w:t>
            </w:r>
            <w:r w:rsidR="0099412C">
              <w:rPr>
                <w:sz w:val="24"/>
                <w:szCs w:val="24"/>
              </w:rPr>
              <w:t xml:space="preserve">grįsdama </w:t>
            </w:r>
            <w:r>
              <w:rPr>
                <w:sz w:val="24"/>
                <w:szCs w:val="24"/>
              </w:rPr>
              <w:t xml:space="preserve">Pirkimo Nr. 1 pirmosios pirkimo dalies procedūrų nutraukimą kaip pagrindinį argumentą pateikia tą aplinkybę, kad </w:t>
            </w:r>
            <w:r w:rsidR="005843C5">
              <w:rPr>
                <w:sz w:val="24"/>
                <w:szCs w:val="24"/>
              </w:rPr>
              <w:t xml:space="preserve">Pirkimo Nr. 1 </w:t>
            </w:r>
            <w:r>
              <w:rPr>
                <w:sz w:val="24"/>
                <w:szCs w:val="24"/>
              </w:rPr>
              <w:t xml:space="preserve">dokumentuose nebuvo nustatytas </w:t>
            </w:r>
            <w:r w:rsidRPr="000C05AA">
              <w:rPr>
                <w:sz w:val="24"/>
                <w:szCs w:val="24"/>
              </w:rPr>
              <w:t>reikalavimas C lanko rentgeno vamzdžio aukščio reguliavimo riboms</w:t>
            </w:r>
            <w:r>
              <w:rPr>
                <w:sz w:val="24"/>
                <w:szCs w:val="24"/>
              </w:rPr>
              <w:t>, todėl Perkančioji organizacija, vykdydama Pirkimą Nr. 1, negalėjo įsitikinti, ar pasiūlytos prekės atitiks Perkančiosios organizacijos poreikius, t. y. ar C lankas galės būti nuleidžiamas pakankamai žemai, kad aukščiausiai esanti jo apatinė dalis (ne daugiau kaip 52 cm) tilptų po operaciniu stalu.</w:t>
            </w:r>
          </w:p>
          <w:p w14:paraId="0EA1DBBF" w14:textId="790634A3" w:rsidR="00FB491A" w:rsidRDefault="00075E39" w:rsidP="00C263D0">
            <w:pPr>
              <w:ind w:firstLine="738"/>
              <w:jc w:val="both"/>
              <w:rPr>
                <w:sz w:val="24"/>
                <w:szCs w:val="24"/>
              </w:rPr>
            </w:pPr>
            <w:r>
              <w:rPr>
                <w:sz w:val="24"/>
                <w:szCs w:val="24"/>
              </w:rPr>
              <w:t xml:space="preserve">Tarnyba </w:t>
            </w:r>
            <w:r w:rsidRPr="00075E39">
              <w:rPr>
                <w:sz w:val="24"/>
                <w:szCs w:val="24"/>
              </w:rPr>
              <w:t>2</w:t>
            </w:r>
            <w:r>
              <w:rPr>
                <w:sz w:val="24"/>
                <w:szCs w:val="24"/>
              </w:rPr>
              <w:t xml:space="preserve">020-09-11 raštu Nr. 4S-810 </w:t>
            </w:r>
            <w:r w:rsidR="00D756D4">
              <w:rPr>
                <w:sz w:val="24"/>
                <w:szCs w:val="24"/>
              </w:rPr>
              <w:t xml:space="preserve">(toliau – Raštas) </w:t>
            </w:r>
            <w:r>
              <w:rPr>
                <w:sz w:val="24"/>
                <w:szCs w:val="24"/>
              </w:rPr>
              <w:t>kreipėsi į Perkančiąją organizaciją, prašydama</w:t>
            </w:r>
            <w:r w:rsidR="00C1643F">
              <w:rPr>
                <w:sz w:val="24"/>
                <w:szCs w:val="24"/>
              </w:rPr>
              <w:t xml:space="preserve"> nurodyti, ar</w:t>
            </w:r>
            <w:r w:rsidR="00C1643F" w:rsidRPr="00DC2856">
              <w:rPr>
                <w:sz w:val="24"/>
                <w:szCs w:val="24"/>
              </w:rPr>
              <w:t xml:space="preserve"> Perkančioji organizacija, prieš priim</w:t>
            </w:r>
            <w:r w:rsidR="00743BE7">
              <w:rPr>
                <w:sz w:val="24"/>
                <w:szCs w:val="24"/>
              </w:rPr>
              <w:t>dama sprendimą nutraukti Pirkimo</w:t>
            </w:r>
            <w:r w:rsidR="00C1643F" w:rsidRPr="00DC2856">
              <w:rPr>
                <w:sz w:val="24"/>
                <w:szCs w:val="24"/>
              </w:rPr>
              <w:t xml:space="preserve"> Nr. 1</w:t>
            </w:r>
            <w:r w:rsidR="00743BE7">
              <w:rPr>
                <w:sz w:val="24"/>
                <w:szCs w:val="24"/>
              </w:rPr>
              <w:t xml:space="preserve"> pirmąją pirkimo dalį</w:t>
            </w:r>
            <w:r w:rsidR="00C1643F" w:rsidRPr="00DC2856">
              <w:rPr>
                <w:sz w:val="24"/>
                <w:szCs w:val="24"/>
              </w:rPr>
              <w:t xml:space="preserve">, patikrino, ar tiekėjo Apex siūlomos </w:t>
            </w:r>
            <w:r w:rsidR="00C1643F" w:rsidRPr="00744E4A">
              <w:rPr>
                <w:sz w:val="24"/>
                <w:szCs w:val="24"/>
              </w:rPr>
              <w:t>prekės</w:t>
            </w:r>
            <w:r w:rsidR="00744E4A" w:rsidRPr="00744E4A">
              <w:rPr>
                <w:sz w:val="24"/>
                <w:szCs w:val="24"/>
              </w:rPr>
              <w:t xml:space="preserve"> „Eurocolumbus Alien X“</w:t>
            </w:r>
            <w:r w:rsidR="00C1643F" w:rsidRPr="00744E4A">
              <w:rPr>
                <w:sz w:val="24"/>
                <w:szCs w:val="24"/>
              </w:rPr>
              <w:t xml:space="preserve"> </w:t>
            </w:r>
            <w:r w:rsidR="005843C5">
              <w:rPr>
                <w:sz w:val="24"/>
                <w:szCs w:val="24"/>
              </w:rPr>
              <w:t xml:space="preserve">(toliau – Alien X) </w:t>
            </w:r>
            <w:r w:rsidR="00C1643F" w:rsidRPr="00744E4A">
              <w:rPr>
                <w:sz w:val="24"/>
                <w:szCs w:val="24"/>
              </w:rPr>
              <w:t>C lanko rentgeno vamzdis žemiausioje po</w:t>
            </w:r>
            <w:r w:rsidR="00002AA6" w:rsidRPr="00744E4A">
              <w:rPr>
                <w:sz w:val="24"/>
                <w:szCs w:val="24"/>
              </w:rPr>
              <w:t xml:space="preserve">zicijoje yra ne aukščiau nei </w:t>
            </w:r>
            <w:r w:rsidR="00C1643F" w:rsidRPr="00744E4A">
              <w:rPr>
                <w:sz w:val="24"/>
                <w:szCs w:val="24"/>
              </w:rPr>
              <w:t>52 cm matuojant atstumą nuo grindų</w:t>
            </w:r>
            <w:r w:rsidR="00814A88" w:rsidRPr="00744E4A">
              <w:rPr>
                <w:sz w:val="24"/>
                <w:szCs w:val="24"/>
              </w:rPr>
              <w:t xml:space="preserve">, o taip pat – </w:t>
            </w:r>
            <w:r w:rsidR="00814A88" w:rsidRPr="00744E4A">
              <w:rPr>
                <w:color w:val="000000"/>
                <w:sz w:val="24"/>
                <w:szCs w:val="24"/>
                <w:shd w:val="clear" w:color="auto" w:fill="FFFFFF"/>
              </w:rPr>
              <w:t>kaip</w:t>
            </w:r>
            <w:r w:rsidR="00814A88" w:rsidRPr="001723F7">
              <w:rPr>
                <w:color w:val="000000"/>
                <w:sz w:val="24"/>
                <w:szCs w:val="24"/>
                <w:shd w:val="clear" w:color="auto" w:fill="FFFFFF"/>
              </w:rPr>
              <w:t xml:space="preserve"> Perkančioji organizacija įsitikino, kad</w:t>
            </w:r>
            <w:r w:rsidR="005843C5">
              <w:rPr>
                <w:color w:val="000000"/>
                <w:sz w:val="24"/>
                <w:szCs w:val="24"/>
                <w:shd w:val="clear" w:color="auto" w:fill="FFFFFF"/>
              </w:rPr>
              <w:t xml:space="preserve"> </w:t>
            </w:r>
            <w:r w:rsidR="00814A88" w:rsidRPr="001723F7">
              <w:rPr>
                <w:color w:val="000000"/>
                <w:sz w:val="24"/>
                <w:szCs w:val="24"/>
                <w:shd w:val="clear" w:color="auto" w:fill="FFFFFF"/>
              </w:rPr>
              <w:t>kitoje ligoninėje naudojamo rentgeno aparato</w:t>
            </w:r>
            <w:r w:rsidR="004E6A4F">
              <w:rPr>
                <w:color w:val="000000"/>
                <w:sz w:val="24"/>
                <w:szCs w:val="24"/>
                <w:shd w:val="clear" w:color="auto" w:fill="FFFFFF"/>
              </w:rPr>
              <w:t xml:space="preserve"> </w:t>
            </w:r>
            <w:r w:rsidR="004E6A4F" w:rsidRPr="00744E4A">
              <w:rPr>
                <w:sz w:val="24"/>
                <w:szCs w:val="24"/>
              </w:rPr>
              <w:t xml:space="preserve">„Eurocolumbus Alien </w:t>
            </w:r>
            <w:r w:rsidR="004E6A4F">
              <w:rPr>
                <w:sz w:val="24"/>
                <w:szCs w:val="24"/>
              </w:rPr>
              <w:t>E</w:t>
            </w:r>
            <w:r w:rsidR="004E6A4F" w:rsidRPr="00744E4A">
              <w:rPr>
                <w:sz w:val="24"/>
                <w:szCs w:val="24"/>
              </w:rPr>
              <w:t>“</w:t>
            </w:r>
            <w:r w:rsidR="005843C5">
              <w:rPr>
                <w:sz w:val="24"/>
                <w:szCs w:val="24"/>
              </w:rPr>
              <w:t xml:space="preserve"> (toliau – Alien E)</w:t>
            </w:r>
            <w:r w:rsidR="00814A88" w:rsidRPr="001723F7">
              <w:rPr>
                <w:color w:val="000000"/>
                <w:sz w:val="24"/>
                <w:szCs w:val="24"/>
                <w:shd w:val="clear" w:color="auto" w:fill="FFFFFF"/>
              </w:rPr>
              <w:t xml:space="preserve"> C lankas ir tiekėjo </w:t>
            </w:r>
            <w:r w:rsidR="00814A88">
              <w:rPr>
                <w:color w:val="000000"/>
                <w:sz w:val="24"/>
                <w:szCs w:val="24"/>
                <w:shd w:val="clear" w:color="auto" w:fill="FFFFFF"/>
              </w:rPr>
              <w:t xml:space="preserve">Apex </w:t>
            </w:r>
            <w:r w:rsidR="00814A88" w:rsidRPr="001723F7">
              <w:rPr>
                <w:color w:val="000000"/>
                <w:sz w:val="24"/>
                <w:szCs w:val="24"/>
                <w:shd w:val="clear" w:color="auto" w:fill="FFFFFF"/>
              </w:rPr>
              <w:t>pasiūlyme nurodyto rentgeno aparato C lankas yra tokių pačių aukščio parametrų</w:t>
            </w:r>
            <w:r w:rsidR="00C1643F" w:rsidRPr="00DC2856">
              <w:rPr>
                <w:sz w:val="24"/>
                <w:szCs w:val="24"/>
              </w:rPr>
              <w:t>.</w:t>
            </w:r>
          </w:p>
          <w:p w14:paraId="016CD6ED" w14:textId="3A019BCC" w:rsidR="00AD2953" w:rsidRDefault="00AD2953" w:rsidP="00C263D0">
            <w:pPr>
              <w:ind w:firstLine="738"/>
              <w:jc w:val="both"/>
              <w:rPr>
                <w:sz w:val="24"/>
                <w:szCs w:val="24"/>
              </w:rPr>
            </w:pPr>
            <w:r>
              <w:rPr>
                <w:sz w:val="24"/>
                <w:szCs w:val="24"/>
              </w:rPr>
              <w:t xml:space="preserve">Perkančioji organizacija </w:t>
            </w:r>
            <w:r w:rsidR="00852712">
              <w:rPr>
                <w:sz w:val="24"/>
                <w:szCs w:val="24"/>
              </w:rPr>
              <w:t>atsakydama į Tarnybos Raštą 2020-09-25 rašte SD-2306 teigė, kad „</w:t>
            </w:r>
            <w:r w:rsidR="00852712" w:rsidRPr="00832969">
              <w:rPr>
                <w:i/>
                <w:sz w:val="24"/>
                <w:szCs w:val="24"/>
              </w:rPr>
              <w:t>kilus ginčui dėl Pirkimo &lt;...&gt;, UAB „Apex medicus“ pateikė video medžiagą ir nurodė, kad demonstruoja kitoje ligoninėje instaliuotą Alien E serijos aparatą, identišką pasiūlytam Alien X įrenginiui. Video medžiaga buvo pateikta teismui vertinti</w:t>
            </w:r>
            <w:r w:rsidR="00852712">
              <w:rPr>
                <w:sz w:val="24"/>
                <w:szCs w:val="24"/>
              </w:rPr>
              <w:t>“.</w:t>
            </w:r>
            <w:r w:rsidR="00A035CB">
              <w:rPr>
                <w:sz w:val="24"/>
                <w:szCs w:val="24"/>
              </w:rPr>
              <w:t xml:space="preserve"> Perkančioji organizacija taip pat nurodė, kad „</w:t>
            </w:r>
            <w:r w:rsidR="00A035CB" w:rsidRPr="00A035CB">
              <w:rPr>
                <w:i/>
                <w:sz w:val="24"/>
                <w:szCs w:val="24"/>
              </w:rPr>
              <w:t>pabendravus su minėtos ligoninės specialistais &lt;...&gt; paaiškėjo, kad aparatas yra nepatogus naudoti, nes operacijos metu reikia kelti operacinį stalą vien tik tam, kad po stalu tilptų C lankas</w:t>
            </w:r>
            <w:r w:rsidR="00A035CB">
              <w:rPr>
                <w:sz w:val="24"/>
                <w:szCs w:val="24"/>
              </w:rPr>
              <w:t>“.</w:t>
            </w:r>
          </w:p>
          <w:p w14:paraId="7B694721" w14:textId="38A2D4DD" w:rsidR="00DE5E78" w:rsidRDefault="00DE5E78" w:rsidP="00C263D0">
            <w:pPr>
              <w:ind w:firstLine="738"/>
              <w:jc w:val="both"/>
              <w:rPr>
                <w:sz w:val="24"/>
                <w:szCs w:val="24"/>
              </w:rPr>
            </w:pPr>
            <w:r>
              <w:rPr>
                <w:sz w:val="24"/>
                <w:szCs w:val="24"/>
              </w:rPr>
              <w:t xml:space="preserve">Tarnyba pažymi, kad </w:t>
            </w:r>
            <w:r w:rsidR="003775B5">
              <w:rPr>
                <w:sz w:val="24"/>
                <w:szCs w:val="24"/>
              </w:rPr>
              <w:t xml:space="preserve">teisminis ginčas tarp Perkančiosios organizacijos ir Apex kilo dėl visiškai kito, su C lanko aukščio reguliavimu visiškai nesusijusio, </w:t>
            </w:r>
            <w:r w:rsidR="0099412C">
              <w:rPr>
                <w:sz w:val="24"/>
                <w:szCs w:val="24"/>
              </w:rPr>
              <w:t xml:space="preserve">Techninės </w:t>
            </w:r>
            <w:r w:rsidR="003775B5">
              <w:rPr>
                <w:sz w:val="24"/>
                <w:szCs w:val="24"/>
              </w:rPr>
              <w:t>specifikacijos</w:t>
            </w:r>
            <w:r w:rsidR="0099412C">
              <w:rPr>
                <w:sz w:val="24"/>
                <w:szCs w:val="24"/>
              </w:rPr>
              <w:t xml:space="preserve"> Nr. 1</w:t>
            </w:r>
            <w:r w:rsidR="003775B5">
              <w:rPr>
                <w:sz w:val="24"/>
                <w:szCs w:val="24"/>
              </w:rPr>
              <w:t xml:space="preserve"> parametro, t. y. </w:t>
            </w:r>
            <w:r w:rsidR="00165C51">
              <w:rPr>
                <w:sz w:val="24"/>
                <w:szCs w:val="24"/>
              </w:rPr>
              <w:t xml:space="preserve">tiekėjas teisme ginčijo Perkančiosios organizacijos sprendimą atmesti jo pasiūlymą </w:t>
            </w:r>
            <w:r w:rsidR="009E38DF">
              <w:rPr>
                <w:sz w:val="24"/>
                <w:szCs w:val="24"/>
              </w:rPr>
              <w:t>kaip neatitinkantį Techninės specifikacijos Nr. 1 9.1</w:t>
            </w:r>
            <w:r w:rsidR="00EA06C8">
              <w:rPr>
                <w:sz w:val="24"/>
                <w:szCs w:val="24"/>
              </w:rPr>
              <w:t xml:space="preserve"> punkto</w:t>
            </w:r>
            <w:r w:rsidR="009E38DF">
              <w:rPr>
                <w:sz w:val="24"/>
                <w:szCs w:val="24"/>
              </w:rPr>
              <w:t xml:space="preserve"> c</w:t>
            </w:r>
            <w:r w:rsidR="00165C51" w:rsidRPr="00165C51">
              <w:rPr>
                <w:sz w:val="24"/>
                <w:szCs w:val="24"/>
              </w:rPr>
              <w:t xml:space="preserve"> </w:t>
            </w:r>
            <w:r w:rsidR="00EA06C8">
              <w:rPr>
                <w:sz w:val="24"/>
                <w:szCs w:val="24"/>
              </w:rPr>
              <w:t>papunkčio</w:t>
            </w:r>
            <w:r w:rsidR="00165C51" w:rsidRPr="00165C51">
              <w:rPr>
                <w:sz w:val="24"/>
                <w:szCs w:val="24"/>
              </w:rPr>
              <w:t xml:space="preserve"> „vaizdo padidinimas kadrų ir CINE vaizdų peržiūros metu“</w:t>
            </w:r>
            <w:r w:rsidR="009E38DF">
              <w:rPr>
                <w:sz w:val="24"/>
                <w:szCs w:val="24"/>
              </w:rPr>
              <w:t xml:space="preserve"> reikalavimo.</w:t>
            </w:r>
            <w:r w:rsidR="00792925">
              <w:rPr>
                <w:sz w:val="24"/>
                <w:szCs w:val="24"/>
              </w:rPr>
              <w:t xml:space="preserve"> </w:t>
            </w:r>
            <w:r w:rsidR="00CF60E3">
              <w:rPr>
                <w:sz w:val="24"/>
                <w:szCs w:val="24"/>
              </w:rPr>
              <w:t>Taip pat pažymėtina, kad teismo sprendime</w:t>
            </w:r>
            <w:r w:rsidR="00CF60E3">
              <w:rPr>
                <w:rStyle w:val="FootnoteReference"/>
                <w:sz w:val="24"/>
                <w:szCs w:val="24"/>
              </w:rPr>
              <w:footnoteReference w:id="22"/>
            </w:r>
            <w:r w:rsidR="00CF60E3">
              <w:rPr>
                <w:sz w:val="24"/>
                <w:szCs w:val="24"/>
              </w:rPr>
              <w:t xml:space="preserve"> nėra nurodyta, koks rentgeno aparatas buvo demonstruojamas – Alien X ar Alien E.</w:t>
            </w:r>
            <w:r w:rsidR="00B073ED">
              <w:rPr>
                <w:sz w:val="24"/>
                <w:szCs w:val="24"/>
              </w:rPr>
              <w:t xml:space="preserve"> Analizuojant teismo sprendimą, darytina išvada, kad buvo vertinamas pačios vaizdų peržiūros technologijos veikimas, </w:t>
            </w:r>
            <w:r w:rsidR="00B073ED">
              <w:rPr>
                <w:sz w:val="24"/>
                <w:szCs w:val="24"/>
              </w:rPr>
              <w:lastRenderedPageBreak/>
              <w:t>neatsižvelgiant į kitus Alien X ar Alien E rentgeno aparatų panašumus ar skirtumus, todėl nagrinėjamu atveju nėra svarbu, ar lygiai ta pati technologija buvo demonstruojama veikiant Alien X ar Alien E rentgeno aparatui.</w:t>
            </w:r>
            <w:r w:rsidR="00EB307D">
              <w:rPr>
                <w:sz w:val="24"/>
                <w:szCs w:val="24"/>
              </w:rPr>
              <w:t xml:space="preserve"> Tuo tarpu vertinant</w:t>
            </w:r>
            <w:r w:rsidR="009E78F1">
              <w:rPr>
                <w:sz w:val="24"/>
                <w:szCs w:val="24"/>
              </w:rPr>
              <w:t xml:space="preserve"> tik</w:t>
            </w:r>
            <w:r w:rsidR="00EB307D">
              <w:rPr>
                <w:sz w:val="24"/>
                <w:szCs w:val="24"/>
              </w:rPr>
              <w:t xml:space="preserve"> vizualiai</w:t>
            </w:r>
            <w:r w:rsidR="001663DB">
              <w:rPr>
                <w:rStyle w:val="FootnoteReference"/>
                <w:sz w:val="24"/>
                <w:szCs w:val="24"/>
              </w:rPr>
              <w:footnoteReference w:id="23"/>
            </w:r>
            <w:r w:rsidR="00EB307D">
              <w:rPr>
                <w:sz w:val="24"/>
                <w:szCs w:val="24"/>
              </w:rPr>
              <w:t>, akivaizdžiai matosi, kad Alien X ir Alien E rentgeno aparatų dizainas ir, galimai, išmatavimai skiriasi.</w:t>
            </w:r>
          </w:p>
          <w:p w14:paraId="1BC736A2" w14:textId="59CCFBAD" w:rsidR="009E79D8" w:rsidRDefault="00DC424C" w:rsidP="00C263D0">
            <w:pPr>
              <w:ind w:firstLine="738"/>
              <w:jc w:val="both"/>
              <w:rPr>
                <w:sz w:val="24"/>
                <w:szCs w:val="24"/>
              </w:rPr>
            </w:pPr>
            <w:r>
              <w:rPr>
                <w:sz w:val="24"/>
                <w:szCs w:val="24"/>
              </w:rPr>
              <w:t xml:space="preserve">Vertinant </w:t>
            </w:r>
            <w:r w:rsidR="000D7F8E">
              <w:rPr>
                <w:sz w:val="24"/>
                <w:szCs w:val="24"/>
              </w:rPr>
              <w:t>Pirkimo Nr. 1 dokumentus</w:t>
            </w:r>
            <w:r w:rsidR="006B4A86">
              <w:rPr>
                <w:sz w:val="24"/>
                <w:szCs w:val="24"/>
              </w:rPr>
              <w:t xml:space="preserve"> ir Perkančiosios organizacijos pateiktus paaiškinimus</w:t>
            </w:r>
            <w:r w:rsidR="000D7F8E">
              <w:rPr>
                <w:rStyle w:val="FootnoteReference"/>
                <w:sz w:val="24"/>
                <w:szCs w:val="24"/>
              </w:rPr>
              <w:footnoteReference w:id="24"/>
            </w:r>
            <w:r>
              <w:rPr>
                <w:sz w:val="24"/>
                <w:szCs w:val="24"/>
              </w:rPr>
              <w:t>, darytina išvada, kad Perkančioji organizacija nedėjo pakankamų pastangų viešajam pirkimui išsaugoti. Perkančioji organizacija teigia, kad ta aplinkybė, jog tam tikrų parametrų nebuvo nustatyta Techninėje specifikacijoje Nr. 1 reiškia, jog ji neturi teisės prašyti tiekėjų įrodyti atitikimą</w:t>
            </w:r>
            <w:r w:rsidR="004565B5">
              <w:rPr>
                <w:sz w:val="24"/>
                <w:szCs w:val="24"/>
              </w:rPr>
              <w:t xml:space="preserve"> tokiems reikalavimams</w:t>
            </w:r>
            <w:r>
              <w:rPr>
                <w:sz w:val="24"/>
                <w:szCs w:val="24"/>
              </w:rPr>
              <w:t xml:space="preserve">. Vis dėlto, labai tikėtina, kad pasiekus tokią viešojo pirkimo stadiją, kai yra nustatomas galimas laimėtojas, toks tiekėjas </w:t>
            </w:r>
            <w:r w:rsidR="004565B5">
              <w:rPr>
                <w:sz w:val="24"/>
                <w:szCs w:val="24"/>
              </w:rPr>
              <w:t xml:space="preserve">dažniausiai </w:t>
            </w:r>
            <w:r>
              <w:rPr>
                <w:sz w:val="24"/>
                <w:szCs w:val="24"/>
              </w:rPr>
              <w:t>bus suinteresuotas pateikti net ir papildomą informaciją, jeigu jo siūloma prekė tenkina reikalavimus, kurie viešojo pirkimo dokumentuose nebuvo nustatyti. Pažymėtina, kad n</w:t>
            </w:r>
            <w:r w:rsidR="006B4A86">
              <w:rPr>
                <w:sz w:val="24"/>
                <w:szCs w:val="24"/>
              </w:rPr>
              <w:t>agrinėjamo Pirkimo Nr. 1 atveju</w:t>
            </w:r>
            <w:r>
              <w:rPr>
                <w:sz w:val="24"/>
                <w:szCs w:val="24"/>
              </w:rPr>
              <w:t xml:space="preserve"> būtent tokia situacija ir buvo susiklosčiusi – tiekėjas Apex, kurio pasiūlymas buvo nustatytas laimėtoju, </w:t>
            </w:r>
            <w:r w:rsidR="00BC76E7">
              <w:rPr>
                <w:sz w:val="24"/>
                <w:szCs w:val="24"/>
              </w:rPr>
              <w:t xml:space="preserve">2020-03-06 </w:t>
            </w:r>
            <w:r>
              <w:rPr>
                <w:sz w:val="24"/>
                <w:szCs w:val="24"/>
              </w:rPr>
              <w:t xml:space="preserve">pateiktoje </w:t>
            </w:r>
            <w:r w:rsidR="00BC76E7">
              <w:rPr>
                <w:sz w:val="24"/>
                <w:szCs w:val="24"/>
              </w:rPr>
              <w:t xml:space="preserve">pretenzijoje tvirtino, kad atitinka net ir naujus </w:t>
            </w:r>
            <w:r w:rsidR="0099412C">
              <w:rPr>
                <w:sz w:val="24"/>
                <w:szCs w:val="24"/>
              </w:rPr>
              <w:t xml:space="preserve">Perkančiosios organizacijos </w:t>
            </w:r>
            <w:r w:rsidR="00BC76E7">
              <w:rPr>
                <w:sz w:val="24"/>
                <w:szCs w:val="24"/>
              </w:rPr>
              <w:t xml:space="preserve">sugalvotus kriterijus, kurie nebuvo nustatyti pirminėse Pirkimo Nr. 1 </w:t>
            </w:r>
            <w:r w:rsidR="00E1769C">
              <w:rPr>
                <w:sz w:val="24"/>
                <w:szCs w:val="24"/>
              </w:rPr>
              <w:t xml:space="preserve">pirmosios pirkimo dalies </w:t>
            </w:r>
            <w:r w:rsidR="00BC76E7">
              <w:rPr>
                <w:sz w:val="24"/>
                <w:szCs w:val="24"/>
              </w:rPr>
              <w:t>sąlygose</w:t>
            </w:r>
            <w:r w:rsidR="0099412C">
              <w:rPr>
                <w:sz w:val="24"/>
                <w:szCs w:val="24"/>
              </w:rPr>
              <w:t xml:space="preserve"> (Techninėje specifikacijoje Nr. 1)</w:t>
            </w:r>
            <w:r w:rsidR="00BC76E7">
              <w:rPr>
                <w:sz w:val="24"/>
                <w:szCs w:val="24"/>
              </w:rPr>
              <w:t>.</w:t>
            </w:r>
          </w:p>
          <w:p w14:paraId="5B5DA661" w14:textId="27E00114" w:rsidR="00851A0B" w:rsidRDefault="00851A0B" w:rsidP="00C263D0">
            <w:pPr>
              <w:ind w:firstLine="738"/>
              <w:jc w:val="both"/>
              <w:rPr>
                <w:sz w:val="24"/>
                <w:szCs w:val="24"/>
              </w:rPr>
            </w:pPr>
            <w:r>
              <w:rPr>
                <w:sz w:val="24"/>
                <w:szCs w:val="24"/>
              </w:rPr>
              <w:t>Pažymėtina, kad Įstatymo 29 str. 3 d.</w:t>
            </w:r>
            <w:r w:rsidR="005D4FAB">
              <w:rPr>
                <w:rStyle w:val="FootnoteReference"/>
                <w:sz w:val="24"/>
                <w:szCs w:val="24"/>
              </w:rPr>
              <w:footnoteReference w:id="25"/>
            </w:r>
            <w:r>
              <w:rPr>
                <w:sz w:val="24"/>
                <w:szCs w:val="24"/>
              </w:rPr>
              <w:t xml:space="preserve"> įtvirtinta teisė nutraukti viešąjį pirkimą</w:t>
            </w:r>
            <w:r w:rsidR="00A85961">
              <w:rPr>
                <w:sz w:val="24"/>
                <w:szCs w:val="24"/>
              </w:rPr>
              <w:t xml:space="preserve"> iki sutarties sudarymo nėra absoliuti</w:t>
            </w:r>
            <w:r w:rsidR="001B47FD" w:rsidRPr="001B47FD">
              <w:rPr>
                <w:sz w:val="24"/>
                <w:szCs w:val="24"/>
              </w:rPr>
              <w:t xml:space="preserve">, t. y. </w:t>
            </w:r>
            <w:r w:rsidR="00A03347">
              <w:rPr>
                <w:sz w:val="24"/>
                <w:szCs w:val="24"/>
              </w:rPr>
              <w:t xml:space="preserve">tam, kad perkančioji organizacija galėtų pasinaudoti teise </w:t>
            </w:r>
            <w:r w:rsidR="00274034">
              <w:rPr>
                <w:sz w:val="24"/>
                <w:szCs w:val="24"/>
              </w:rPr>
              <w:t>savo iniciatyva nutraukti pradėtas pirkimo procedūras,</w:t>
            </w:r>
            <w:r w:rsidR="00A03347">
              <w:rPr>
                <w:sz w:val="24"/>
                <w:szCs w:val="24"/>
              </w:rPr>
              <w:t xml:space="preserve"> </w:t>
            </w:r>
            <w:r w:rsidR="001B47FD" w:rsidRPr="001B47FD">
              <w:rPr>
                <w:sz w:val="24"/>
                <w:szCs w:val="24"/>
              </w:rPr>
              <w:t xml:space="preserve">turi </w:t>
            </w:r>
            <w:r w:rsidR="001B47FD" w:rsidRPr="001B47FD">
              <w:rPr>
                <w:color w:val="000000"/>
                <w:sz w:val="24"/>
                <w:szCs w:val="24"/>
              </w:rPr>
              <w:t xml:space="preserve">atsirasti </w:t>
            </w:r>
            <w:r w:rsidR="001B47FD" w:rsidRPr="00DD3583">
              <w:rPr>
                <w:b/>
                <w:color w:val="000000"/>
                <w:sz w:val="24"/>
                <w:szCs w:val="24"/>
              </w:rPr>
              <w:t>aplinkybių, kurių nebuvo galima numatyti</w:t>
            </w:r>
            <w:r w:rsidR="00A85961" w:rsidRPr="001B47FD">
              <w:rPr>
                <w:sz w:val="24"/>
                <w:szCs w:val="24"/>
              </w:rPr>
              <w:t>.</w:t>
            </w:r>
            <w:r w:rsidR="00A85961">
              <w:rPr>
                <w:sz w:val="24"/>
                <w:szCs w:val="24"/>
              </w:rPr>
              <w:t xml:space="preserve"> Jeigu perkančiosios organizacijos turėtų absoliučią diskreciją nutraukti pirkimus, akivaizdu, kad nebūtų išvengta piktnaudžiavimo</w:t>
            </w:r>
            <w:r w:rsidR="0048388C">
              <w:rPr>
                <w:sz w:val="24"/>
                <w:szCs w:val="24"/>
              </w:rPr>
              <w:t xml:space="preserve"> ir galimo tam tikrų tiekėjų protegavimo. </w:t>
            </w:r>
            <w:r w:rsidR="00976DE2">
              <w:rPr>
                <w:sz w:val="24"/>
                <w:szCs w:val="24"/>
              </w:rPr>
              <w:t>Akcentuotina ir LAT praktika: „</w:t>
            </w:r>
            <w:r w:rsidR="00976DE2" w:rsidRPr="00976DE2">
              <w:rPr>
                <w:i/>
                <w:sz w:val="24"/>
                <w:szCs w:val="24"/>
              </w:rPr>
              <w:t xml:space="preserve">Kasacinio teismo praktikoje dėl perkančiosios organizacijos sprendimo nutraukti pirkimo procedūras teisėtumo nurodyta, kad teismas, spręsdamas tokio pobūdžio ginčą, pirmiausia atsižvelgia į tokio sprendimo </w:t>
            </w:r>
            <w:r w:rsidR="00976DE2" w:rsidRPr="001A3918">
              <w:rPr>
                <w:b/>
                <w:i/>
                <w:sz w:val="24"/>
                <w:szCs w:val="24"/>
                <w:u w:val="single"/>
              </w:rPr>
              <w:t>išimtinį</w:t>
            </w:r>
            <w:r w:rsidR="00976DE2" w:rsidRPr="00976DE2">
              <w:rPr>
                <w:i/>
                <w:sz w:val="24"/>
                <w:szCs w:val="24"/>
              </w:rPr>
              <w:t xml:space="preserve"> (lot. ultima ratio) </w:t>
            </w:r>
            <w:r w:rsidR="00976DE2" w:rsidRPr="00B70BD2">
              <w:rPr>
                <w:b/>
                <w:i/>
                <w:sz w:val="24"/>
                <w:szCs w:val="24"/>
                <w:u w:val="single"/>
              </w:rPr>
              <w:t>pobūdį</w:t>
            </w:r>
            <w:r w:rsidR="00976DE2" w:rsidRPr="00976DE2">
              <w:rPr>
                <w:i/>
                <w:sz w:val="24"/>
                <w:szCs w:val="24"/>
              </w:rPr>
              <w:t xml:space="preserve">, </w:t>
            </w:r>
            <w:r w:rsidR="00976DE2" w:rsidRPr="00DD3583">
              <w:rPr>
                <w:b/>
                <w:i/>
                <w:sz w:val="24"/>
                <w:szCs w:val="24"/>
              </w:rPr>
              <w:t>objektyvias priežastis (o ne subjektyvų jų vertinimą)</w:t>
            </w:r>
            <w:r w:rsidR="00976DE2" w:rsidRPr="00976DE2">
              <w:rPr>
                <w:i/>
                <w:sz w:val="24"/>
                <w:szCs w:val="24"/>
              </w:rPr>
              <w:t xml:space="preserve">, lėmusias VPĮ </w:t>
            </w:r>
            <w:r w:rsidR="00385E4C">
              <w:rPr>
                <w:i/>
                <w:sz w:val="24"/>
                <w:szCs w:val="24"/>
              </w:rPr>
              <w:t>&lt;...&gt;</w:t>
            </w:r>
            <w:r w:rsidR="00976DE2" w:rsidRPr="00976DE2">
              <w:rPr>
                <w:i/>
                <w:sz w:val="24"/>
                <w:szCs w:val="24"/>
              </w:rPr>
              <w:t xml:space="preserve"> nuostatų taikymą, bei </w:t>
            </w:r>
            <w:r w:rsidR="00976DE2" w:rsidRPr="00DD3583">
              <w:rPr>
                <w:b/>
                <w:i/>
                <w:sz w:val="24"/>
                <w:szCs w:val="24"/>
              </w:rPr>
              <w:t>perkančiosios organizacijos galimybes ir pastangas išsaugoti atitinkamo viešojo pirkimo teisinius santykius</w:t>
            </w:r>
            <w:r w:rsidR="00976DE2" w:rsidRPr="00976DE2">
              <w:rPr>
                <w:i/>
                <w:sz w:val="24"/>
                <w:szCs w:val="24"/>
              </w:rPr>
              <w:t xml:space="preserve">. Šis vertinimas atliekamas visų bylai reikšmingų aplinkybių pagrindu tiekėjų pažeistų teisių gynybos veiksmingumo principo ir iš jo turinio išplaukiančių tiekėjų teisių bei peržiūros institucijų pareigų kontekste. Tokio perkančiosios organizacijos sprendimo teisėtumo vertinimui taip pat </w:t>
            </w:r>
            <w:r w:rsidR="00976DE2" w:rsidRPr="00DD3583">
              <w:rPr>
                <w:b/>
                <w:i/>
                <w:sz w:val="24"/>
                <w:szCs w:val="24"/>
              </w:rPr>
              <w:t>svarbus perkančiosios organizacijos intereso ginčo pirkimu egzistavimas, t. y. ar suinteresuotumas pirkimo objektu išliko ar ne</w:t>
            </w:r>
            <w:r w:rsidR="00976DE2" w:rsidRPr="00976DE2">
              <w:rPr>
                <w:i/>
                <w:sz w:val="24"/>
                <w:szCs w:val="24"/>
              </w:rPr>
              <w:t xml:space="preserve"> (Lietuvos Aukščiausiojo Teismo 2013 m. kovo 12 d. nutartis civilinėje byloje Nr. 3K-7-32/2013)</w:t>
            </w:r>
            <w:r w:rsidR="005D4FAB">
              <w:rPr>
                <w:i/>
                <w:sz w:val="24"/>
                <w:szCs w:val="24"/>
              </w:rPr>
              <w:t>“</w:t>
            </w:r>
            <w:r w:rsidR="00F95DDE">
              <w:rPr>
                <w:rStyle w:val="FootnoteReference"/>
                <w:i/>
                <w:sz w:val="24"/>
                <w:szCs w:val="24"/>
              </w:rPr>
              <w:footnoteReference w:id="26"/>
            </w:r>
            <w:r w:rsidR="00976DE2">
              <w:rPr>
                <w:sz w:val="24"/>
                <w:szCs w:val="24"/>
              </w:rPr>
              <w:t>.</w:t>
            </w:r>
          </w:p>
          <w:p w14:paraId="76652EC4" w14:textId="12306BB6" w:rsidR="00385E4C" w:rsidRDefault="00385E4C" w:rsidP="00C263D0">
            <w:pPr>
              <w:ind w:firstLine="738"/>
              <w:jc w:val="both"/>
              <w:rPr>
                <w:sz w:val="24"/>
                <w:szCs w:val="24"/>
              </w:rPr>
            </w:pPr>
            <w:r>
              <w:rPr>
                <w:sz w:val="24"/>
                <w:szCs w:val="24"/>
              </w:rPr>
              <w:t>Apibendrinant Įstatymo, LAT</w:t>
            </w:r>
            <w:r w:rsidR="00FB5611">
              <w:rPr>
                <w:sz w:val="24"/>
                <w:szCs w:val="24"/>
              </w:rPr>
              <w:t xml:space="preserve"> praktikos i</w:t>
            </w:r>
            <w:r>
              <w:rPr>
                <w:sz w:val="24"/>
                <w:szCs w:val="24"/>
              </w:rPr>
              <w:t>r faktinių aplinkybių visumą, darytin</w:t>
            </w:r>
            <w:r w:rsidR="00FB5611">
              <w:rPr>
                <w:sz w:val="24"/>
                <w:szCs w:val="24"/>
              </w:rPr>
              <w:t>os</w:t>
            </w:r>
            <w:r>
              <w:rPr>
                <w:sz w:val="24"/>
                <w:szCs w:val="24"/>
              </w:rPr>
              <w:t xml:space="preserve"> </w:t>
            </w:r>
            <w:r w:rsidR="00FB5611">
              <w:rPr>
                <w:sz w:val="24"/>
                <w:szCs w:val="24"/>
              </w:rPr>
              <w:t>šios išvados</w:t>
            </w:r>
            <w:r>
              <w:rPr>
                <w:sz w:val="24"/>
                <w:szCs w:val="24"/>
              </w:rPr>
              <w:t>:</w:t>
            </w:r>
          </w:p>
          <w:p w14:paraId="25393302" w14:textId="57961EF3" w:rsidR="00385E4C" w:rsidRDefault="00385E4C" w:rsidP="00385E4C">
            <w:pPr>
              <w:pStyle w:val="ListParagraph"/>
              <w:numPr>
                <w:ilvl w:val="0"/>
                <w:numId w:val="45"/>
              </w:numPr>
              <w:ind w:left="0" w:firstLine="738"/>
              <w:jc w:val="both"/>
              <w:rPr>
                <w:sz w:val="24"/>
                <w:szCs w:val="24"/>
              </w:rPr>
            </w:pPr>
            <w:r>
              <w:rPr>
                <w:sz w:val="24"/>
                <w:szCs w:val="24"/>
              </w:rPr>
              <w:t>Perkančiosios organizacijos poreikis nutraukti Pirkimo Nr. 1 pirmąją pirkimo dalį atsirado dėl subjektyvių</w:t>
            </w:r>
            <w:r w:rsidR="00FB5611">
              <w:rPr>
                <w:sz w:val="24"/>
                <w:szCs w:val="24"/>
              </w:rPr>
              <w:t xml:space="preserve"> aplinkybių, kurios </w:t>
            </w:r>
            <w:r w:rsidR="00394FA4">
              <w:rPr>
                <w:sz w:val="24"/>
                <w:szCs w:val="24"/>
              </w:rPr>
              <w:t xml:space="preserve">Perkančiajai organizacijai </w:t>
            </w:r>
            <w:r w:rsidR="00FB5611">
              <w:rPr>
                <w:sz w:val="24"/>
                <w:szCs w:val="24"/>
              </w:rPr>
              <w:t xml:space="preserve">buvo žinomos </w:t>
            </w:r>
            <w:r w:rsidR="00394FA4">
              <w:rPr>
                <w:sz w:val="24"/>
                <w:szCs w:val="24"/>
              </w:rPr>
              <w:t xml:space="preserve">dar </w:t>
            </w:r>
            <w:r w:rsidR="00FB5611">
              <w:rPr>
                <w:sz w:val="24"/>
                <w:szCs w:val="24"/>
              </w:rPr>
              <w:t xml:space="preserve">iki viešojo </w:t>
            </w:r>
            <w:r w:rsidR="005D4FAB">
              <w:rPr>
                <w:sz w:val="24"/>
                <w:szCs w:val="24"/>
              </w:rPr>
              <w:t xml:space="preserve">Pirkimo Nr. 1 </w:t>
            </w:r>
            <w:r w:rsidR="00274034">
              <w:rPr>
                <w:sz w:val="24"/>
                <w:szCs w:val="24"/>
              </w:rPr>
              <w:t xml:space="preserve">procedūrų </w:t>
            </w:r>
            <w:r w:rsidR="00FB5611">
              <w:rPr>
                <w:sz w:val="24"/>
                <w:szCs w:val="24"/>
              </w:rPr>
              <w:t xml:space="preserve">pradžios (t. y. </w:t>
            </w:r>
            <w:r w:rsidR="00394FA4">
              <w:rPr>
                <w:sz w:val="24"/>
                <w:szCs w:val="24"/>
              </w:rPr>
              <w:t xml:space="preserve">ligoninės patalpose esančių </w:t>
            </w:r>
            <w:r w:rsidR="00FB5611">
              <w:rPr>
                <w:sz w:val="24"/>
                <w:szCs w:val="24"/>
              </w:rPr>
              <w:t xml:space="preserve">operacinių stalų aukštis, ergonomikos </w:t>
            </w:r>
            <w:r w:rsidR="00DD3583">
              <w:rPr>
                <w:sz w:val="24"/>
                <w:szCs w:val="24"/>
              </w:rPr>
              <w:t>reikalavimai</w:t>
            </w:r>
            <w:r w:rsidR="005E5828">
              <w:rPr>
                <w:rStyle w:val="FootnoteReference"/>
                <w:sz w:val="24"/>
                <w:szCs w:val="24"/>
              </w:rPr>
              <w:footnoteReference w:id="27"/>
            </w:r>
            <w:r w:rsidR="00DD3583">
              <w:rPr>
                <w:sz w:val="24"/>
                <w:szCs w:val="24"/>
              </w:rPr>
              <w:t xml:space="preserve"> ir pan.</w:t>
            </w:r>
            <w:r w:rsidR="00FB5611">
              <w:rPr>
                <w:sz w:val="24"/>
                <w:szCs w:val="24"/>
              </w:rPr>
              <w:t>)</w:t>
            </w:r>
            <w:r w:rsidR="00274034">
              <w:rPr>
                <w:sz w:val="24"/>
                <w:szCs w:val="24"/>
              </w:rPr>
              <w:t>, todėl negalėtų būti laikomos aplinkybėmis, kurių nebuvo galima numatyti ir kuriomis būtų pateisinamas Pirkimo Nr. 1 procedūrų nutraukimas</w:t>
            </w:r>
            <w:r w:rsidR="00CE330D">
              <w:rPr>
                <w:sz w:val="24"/>
                <w:szCs w:val="24"/>
              </w:rPr>
              <w:t>.</w:t>
            </w:r>
          </w:p>
          <w:p w14:paraId="24342C44" w14:textId="0D80AFFA" w:rsidR="00DD3583" w:rsidRDefault="006F5485" w:rsidP="00385E4C">
            <w:pPr>
              <w:pStyle w:val="ListParagraph"/>
              <w:numPr>
                <w:ilvl w:val="0"/>
                <w:numId w:val="45"/>
              </w:numPr>
              <w:ind w:left="0" w:firstLine="738"/>
              <w:jc w:val="both"/>
              <w:rPr>
                <w:sz w:val="24"/>
                <w:szCs w:val="24"/>
              </w:rPr>
            </w:pPr>
            <w:r>
              <w:rPr>
                <w:sz w:val="24"/>
                <w:szCs w:val="24"/>
              </w:rPr>
              <w:t xml:space="preserve">Perkančioji organizacija turėjo galimybes išsaugoti Pirkimą Nr. 1, kadangi </w:t>
            </w:r>
            <w:r w:rsidR="005D4FAB">
              <w:rPr>
                <w:sz w:val="24"/>
                <w:szCs w:val="24"/>
              </w:rPr>
              <w:t xml:space="preserve">Pirkimo </w:t>
            </w:r>
            <w:r w:rsidR="00394FA4">
              <w:rPr>
                <w:sz w:val="24"/>
                <w:szCs w:val="24"/>
              </w:rPr>
              <w:t xml:space="preserve">Nr. 1 </w:t>
            </w:r>
            <w:r w:rsidR="007C13FD">
              <w:rPr>
                <w:sz w:val="24"/>
                <w:szCs w:val="24"/>
              </w:rPr>
              <w:t xml:space="preserve">pirmosios pirkimo dalies </w:t>
            </w:r>
            <w:r>
              <w:rPr>
                <w:sz w:val="24"/>
                <w:szCs w:val="24"/>
              </w:rPr>
              <w:t>laimėtojas Apex demonstravo</w:t>
            </w:r>
            <w:r>
              <w:rPr>
                <w:rStyle w:val="FootnoteReference"/>
                <w:sz w:val="24"/>
                <w:szCs w:val="24"/>
              </w:rPr>
              <w:footnoteReference w:id="28"/>
            </w:r>
            <w:r>
              <w:rPr>
                <w:sz w:val="24"/>
                <w:szCs w:val="24"/>
              </w:rPr>
              <w:t xml:space="preserve"> akivaizdų norą bendradarbiauti ir teikti </w:t>
            </w:r>
            <w:r>
              <w:rPr>
                <w:sz w:val="24"/>
                <w:szCs w:val="24"/>
              </w:rPr>
              <w:lastRenderedPageBreak/>
              <w:t xml:space="preserve">reikiamą informaciją Perkančiajai </w:t>
            </w:r>
            <w:r w:rsidRPr="00EE248E">
              <w:rPr>
                <w:sz w:val="24"/>
                <w:szCs w:val="24"/>
              </w:rPr>
              <w:t>organizacijai</w:t>
            </w:r>
            <w:r w:rsidR="00EE248E" w:rsidRPr="00EE248E">
              <w:rPr>
                <w:sz w:val="24"/>
                <w:szCs w:val="24"/>
              </w:rPr>
              <w:t xml:space="preserve">, tačiau Perkančioji organizacija nerodė pastangų </w:t>
            </w:r>
            <w:r w:rsidR="00BC75AB">
              <w:rPr>
                <w:sz w:val="24"/>
                <w:szCs w:val="24"/>
              </w:rPr>
              <w:t xml:space="preserve">ir noro </w:t>
            </w:r>
            <w:r w:rsidR="00EE248E" w:rsidRPr="00EE248E">
              <w:rPr>
                <w:sz w:val="24"/>
                <w:szCs w:val="24"/>
              </w:rPr>
              <w:t xml:space="preserve">išsaugoti viešojo </w:t>
            </w:r>
            <w:r w:rsidR="007C13FD">
              <w:rPr>
                <w:sz w:val="24"/>
                <w:szCs w:val="24"/>
              </w:rPr>
              <w:t>pirkimo</w:t>
            </w:r>
            <w:r w:rsidR="00394FA4">
              <w:rPr>
                <w:sz w:val="24"/>
                <w:szCs w:val="24"/>
              </w:rPr>
              <w:t xml:space="preserve"> </w:t>
            </w:r>
            <w:r w:rsidR="00EE248E" w:rsidRPr="00EE248E">
              <w:rPr>
                <w:sz w:val="24"/>
                <w:szCs w:val="24"/>
              </w:rPr>
              <w:t>teisinius santykius.</w:t>
            </w:r>
          </w:p>
          <w:p w14:paraId="46820EB7" w14:textId="47859379" w:rsidR="00CE330D" w:rsidRPr="00EE248E" w:rsidRDefault="007138E4" w:rsidP="00385E4C">
            <w:pPr>
              <w:pStyle w:val="ListParagraph"/>
              <w:numPr>
                <w:ilvl w:val="0"/>
                <w:numId w:val="45"/>
              </w:numPr>
              <w:ind w:left="0" w:firstLine="738"/>
              <w:jc w:val="both"/>
              <w:rPr>
                <w:sz w:val="24"/>
                <w:szCs w:val="24"/>
              </w:rPr>
            </w:pPr>
            <w:r>
              <w:rPr>
                <w:sz w:val="24"/>
                <w:szCs w:val="24"/>
              </w:rPr>
              <w:t>Suinteresuotumas Pirkimo Nr. 1 pirmosios pirkimo dalies objektu išliko, kadangi nutraukusi minėtąjį pirkimą</w:t>
            </w:r>
            <w:r w:rsidR="00394FA4">
              <w:rPr>
                <w:sz w:val="24"/>
                <w:szCs w:val="24"/>
              </w:rPr>
              <w:t>,</w:t>
            </w:r>
            <w:r>
              <w:rPr>
                <w:sz w:val="24"/>
                <w:szCs w:val="24"/>
              </w:rPr>
              <w:t xml:space="preserve"> Perkančioji organizacija pradėjo vykdyti </w:t>
            </w:r>
            <w:r w:rsidR="00394FA4">
              <w:rPr>
                <w:sz w:val="24"/>
                <w:szCs w:val="24"/>
              </w:rPr>
              <w:t xml:space="preserve">Pirkimo </w:t>
            </w:r>
            <w:r>
              <w:rPr>
                <w:sz w:val="24"/>
                <w:szCs w:val="24"/>
              </w:rPr>
              <w:t xml:space="preserve">Nr. 2 </w:t>
            </w:r>
            <w:r w:rsidR="00394FA4">
              <w:rPr>
                <w:sz w:val="24"/>
                <w:szCs w:val="24"/>
              </w:rPr>
              <w:t xml:space="preserve">procedūras </w:t>
            </w:r>
            <w:r>
              <w:rPr>
                <w:sz w:val="24"/>
                <w:szCs w:val="24"/>
              </w:rPr>
              <w:t>dėl to paties pirkimo objekto.</w:t>
            </w:r>
          </w:p>
          <w:p w14:paraId="69B61452" w14:textId="381093BD" w:rsidR="00075E39" w:rsidRDefault="00E75130" w:rsidP="00274034">
            <w:pPr>
              <w:ind w:firstLine="738"/>
              <w:jc w:val="both"/>
              <w:rPr>
                <w:sz w:val="24"/>
                <w:szCs w:val="24"/>
              </w:rPr>
            </w:pPr>
            <w:r w:rsidRPr="00EE248E">
              <w:rPr>
                <w:sz w:val="24"/>
                <w:szCs w:val="24"/>
              </w:rPr>
              <w:t>Atsižvelgiant į</w:t>
            </w:r>
            <w:r>
              <w:rPr>
                <w:sz w:val="24"/>
                <w:szCs w:val="24"/>
              </w:rPr>
              <w:t xml:space="preserve"> </w:t>
            </w:r>
            <w:r w:rsidR="00274034">
              <w:rPr>
                <w:sz w:val="24"/>
                <w:szCs w:val="24"/>
              </w:rPr>
              <w:t xml:space="preserve">tai, kas išdėstyta, </w:t>
            </w:r>
            <w:r w:rsidR="00394FA4">
              <w:rPr>
                <w:sz w:val="24"/>
                <w:szCs w:val="24"/>
              </w:rPr>
              <w:t xml:space="preserve">Tarnyba konstatuoja, </w:t>
            </w:r>
            <w:r>
              <w:rPr>
                <w:sz w:val="24"/>
                <w:szCs w:val="24"/>
              </w:rPr>
              <w:t>kad Perkančioji organizacija</w:t>
            </w:r>
            <w:r w:rsidR="00274034">
              <w:rPr>
                <w:sz w:val="24"/>
                <w:szCs w:val="24"/>
              </w:rPr>
              <w:t xml:space="preserve"> Pirkimo Nr. 1 procedūrų nutraukimą grįsdama </w:t>
            </w:r>
            <w:r w:rsidR="002F081E">
              <w:rPr>
                <w:sz w:val="24"/>
                <w:szCs w:val="24"/>
              </w:rPr>
              <w:t xml:space="preserve">subjektyviomis </w:t>
            </w:r>
            <w:r w:rsidR="00274034">
              <w:rPr>
                <w:sz w:val="24"/>
                <w:szCs w:val="24"/>
              </w:rPr>
              <w:t>aplinkybėmis, kurios negalėjo būti laikomos aplinkybėmis, kurių nebuvo galima numatyti, pažeidė</w:t>
            </w:r>
            <w:r w:rsidR="0057627E">
              <w:rPr>
                <w:sz w:val="24"/>
                <w:szCs w:val="24"/>
              </w:rPr>
              <w:t xml:space="preserve"> Įstatymo 29 str. 3 d. ir</w:t>
            </w:r>
            <w:r w:rsidR="002812FE">
              <w:rPr>
                <w:sz w:val="24"/>
                <w:szCs w:val="24"/>
              </w:rPr>
              <w:t xml:space="preserve"> </w:t>
            </w:r>
            <w:r w:rsidR="007138E4">
              <w:rPr>
                <w:sz w:val="24"/>
                <w:szCs w:val="24"/>
              </w:rPr>
              <w:t xml:space="preserve">Įstatymo </w:t>
            </w:r>
            <w:r w:rsidR="0057627E">
              <w:rPr>
                <w:sz w:val="24"/>
                <w:szCs w:val="24"/>
              </w:rPr>
              <w:t>17 str. 1 d. įtvirtintą skaidrumo principą</w:t>
            </w:r>
            <w:r w:rsidR="002F081E">
              <w:rPr>
                <w:sz w:val="24"/>
                <w:szCs w:val="24"/>
              </w:rPr>
              <w:t>, o taip pat</w:t>
            </w:r>
            <w:r w:rsidR="00274034">
              <w:rPr>
                <w:sz w:val="24"/>
                <w:szCs w:val="24"/>
              </w:rPr>
              <w:t xml:space="preserve"> – </w:t>
            </w:r>
            <w:r w:rsidR="002F081E">
              <w:rPr>
                <w:sz w:val="24"/>
                <w:szCs w:val="24"/>
              </w:rPr>
              <w:t>tiekėjo Apex, pateikusio</w:t>
            </w:r>
            <w:r w:rsidR="0057627E">
              <w:rPr>
                <w:sz w:val="24"/>
                <w:szCs w:val="24"/>
              </w:rPr>
              <w:t xml:space="preserve"> Pirkimo Nr. 1 </w:t>
            </w:r>
            <w:r w:rsidR="00BC75AB">
              <w:rPr>
                <w:sz w:val="24"/>
                <w:szCs w:val="24"/>
              </w:rPr>
              <w:t xml:space="preserve">pirmosios pirkimo dalies </w:t>
            </w:r>
            <w:r w:rsidR="0057627E">
              <w:rPr>
                <w:sz w:val="24"/>
                <w:szCs w:val="24"/>
              </w:rPr>
              <w:t>reikalavimus tenkinantį pasiūlymą</w:t>
            </w:r>
            <w:r w:rsidR="002F081E">
              <w:rPr>
                <w:sz w:val="24"/>
                <w:szCs w:val="24"/>
              </w:rPr>
              <w:t>,</w:t>
            </w:r>
            <w:r w:rsidR="0057627E">
              <w:rPr>
                <w:sz w:val="24"/>
                <w:szCs w:val="24"/>
              </w:rPr>
              <w:t xml:space="preserve"> </w:t>
            </w:r>
            <w:r w:rsidR="00503D34">
              <w:rPr>
                <w:sz w:val="24"/>
                <w:szCs w:val="24"/>
              </w:rPr>
              <w:t xml:space="preserve">teisėtus </w:t>
            </w:r>
            <w:r w:rsidR="0057627E">
              <w:rPr>
                <w:sz w:val="24"/>
                <w:szCs w:val="24"/>
              </w:rPr>
              <w:t>lūkesčius sudaryti pirkimo sutartį</w:t>
            </w:r>
            <w:r w:rsidR="002812FE">
              <w:rPr>
                <w:sz w:val="24"/>
                <w:szCs w:val="24"/>
              </w:rPr>
              <w:t>.</w:t>
            </w:r>
          </w:p>
          <w:p w14:paraId="2CB758CC" w14:textId="77777777" w:rsidR="00AF46AD" w:rsidRPr="001A57F1" w:rsidRDefault="00AF46AD" w:rsidP="00210405">
            <w:pPr>
              <w:jc w:val="both"/>
              <w:rPr>
                <w:sz w:val="24"/>
                <w:szCs w:val="24"/>
              </w:rPr>
            </w:pPr>
          </w:p>
        </w:tc>
      </w:tr>
      <w:tr w:rsidR="00AF5A7A" w:rsidRPr="00671F6B" w14:paraId="03CC297B" w14:textId="77777777" w:rsidTr="00A3715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D18ED8" w14:textId="77777777" w:rsidR="00AF5A7A" w:rsidRPr="00671F6B" w:rsidRDefault="00AF5A7A" w:rsidP="00A3715B">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7B44580" w14:textId="42540347" w:rsidR="00172ECE" w:rsidRDefault="00172ECE" w:rsidP="00A3715B">
            <w:pPr>
              <w:rPr>
                <w:sz w:val="24"/>
                <w:szCs w:val="24"/>
              </w:rPr>
            </w:pPr>
            <w:r>
              <w:rPr>
                <w:sz w:val="24"/>
                <w:szCs w:val="24"/>
              </w:rPr>
              <w:t>Įstatymo 17 str. 1 d.</w:t>
            </w:r>
            <w:r>
              <w:rPr>
                <w:rStyle w:val="FootnoteReference"/>
                <w:sz w:val="24"/>
                <w:szCs w:val="24"/>
              </w:rPr>
              <w:footnoteReference w:id="29"/>
            </w:r>
            <w:r>
              <w:rPr>
                <w:sz w:val="24"/>
                <w:szCs w:val="24"/>
              </w:rPr>
              <w:t>,</w:t>
            </w:r>
          </w:p>
          <w:p w14:paraId="1AAC2020" w14:textId="2EE4FF2E" w:rsidR="00172ECE" w:rsidRDefault="00172ECE" w:rsidP="00A3715B">
            <w:pPr>
              <w:rPr>
                <w:sz w:val="24"/>
                <w:szCs w:val="24"/>
              </w:rPr>
            </w:pPr>
            <w:r>
              <w:rPr>
                <w:sz w:val="24"/>
                <w:szCs w:val="24"/>
              </w:rPr>
              <w:t>Įstatymo 17 str. 3 d.</w:t>
            </w:r>
            <w:r w:rsidR="00B24A66">
              <w:rPr>
                <w:rStyle w:val="FootnoteReference"/>
                <w:sz w:val="24"/>
                <w:szCs w:val="24"/>
              </w:rPr>
              <w:footnoteReference w:id="30"/>
            </w:r>
            <w:r>
              <w:rPr>
                <w:sz w:val="24"/>
                <w:szCs w:val="24"/>
              </w:rPr>
              <w:t xml:space="preserve">, </w:t>
            </w:r>
          </w:p>
          <w:p w14:paraId="6C61ECF3" w14:textId="3FBDDBA6" w:rsidR="00AF5A7A" w:rsidRPr="00172ECE" w:rsidRDefault="00172ECE" w:rsidP="00172ECE">
            <w:pPr>
              <w:rPr>
                <w:sz w:val="24"/>
                <w:szCs w:val="24"/>
              </w:rPr>
            </w:pPr>
            <w:r>
              <w:rPr>
                <w:sz w:val="24"/>
                <w:szCs w:val="24"/>
              </w:rPr>
              <w:t>Įstatymo 37 str. 3 d.</w:t>
            </w:r>
            <w:r w:rsidR="00ED72B8">
              <w:rPr>
                <w:rStyle w:val="FootnoteReference"/>
                <w:sz w:val="24"/>
                <w:szCs w:val="24"/>
              </w:rPr>
              <w:footnoteReference w:id="31"/>
            </w:r>
          </w:p>
        </w:tc>
      </w:tr>
      <w:tr w:rsidR="00AF5A7A" w:rsidRPr="00671F6B" w14:paraId="5F83BEA8" w14:textId="77777777" w:rsidTr="00A3715B">
        <w:tc>
          <w:tcPr>
            <w:tcW w:w="9918" w:type="dxa"/>
            <w:gridSpan w:val="2"/>
            <w:shd w:val="clear" w:color="auto" w:fill="auto"/>
            <w:vAlign w:val="center"/>
          </w:tcPr>
          <w:p w14:paraId="230D70C1" w14:textId="4410503E" w:rsidR="00AF5A7A" w:rsidRDefault="00CE1D81" w:rsidP="00A3715B">
            <w:pPr>
              <w:ind w:firstLine="738"/>
              <w:jc w:val="both"/>
              <w:rPr>
                <w:rFonts w:eastAsia="Calibri"/>
                <w:sz w:val="24"/>
                <w:szCs w:val="24"/>
              </w:rPr>
            </w:pPr>
            <w:r>
              <w:rPr>
                <w:sz w:val="24"/>
                <w:szCs w:val="24"/>
              </w:rPr>
              <w:t xml:space="preserve">Kaip konstatuota aukščiau, </w:t>
            </w:r>
            <w:r w:rsidR="008C0E25" w:rsidRPr="005D2637">
              <w:rPr>
                <w:sz w:val="24"/>
                <w:szCs w:val="24"/>
              </w:rPr>
              <w:t>Perkančiajai organizacijai nutraukus Pirkimo Nr. 1 pirmąją pirkimo dalį, poreikis įsigyti mobilų rentgeno aparatą su C lanku neišnyko. Dėl šios priežasties Perkančioji organizacija</w:t>
            </w:r>
            <w:r w:rsidR="00E80EBA">
              <w:rPr>
                <w:sz w:val="24"/>
                <w:szCs w:val="24"/>
              </w:rPr>
              <w:t>,</w:t>
            </w:r>
            <w:r w:rsidR="008C0E25" w:rsidRPr="005D2637">
              <w:rPr>
                <w:sz w:val="24"/>
                <w:szCs w:val="24"/>
              </w:rPr>
              <w:t xml:space="preserve"> pakoregavusi ankstesnio pirkimo techninius reikalavimus įsigyjamai prekei, paskelbė Pirkimą Nr. 2.</w:t>
            </w:r>
            <w:r w:rsidR="00D27596">
              <w:rPr>
                <w:sz w:val="24"/>
                <w:szCs w:val="24"/>
              </w:rPr>
              <w:t xml:space="preserve"> Vykdant Pirkimą Nr. 1 pirmojoje pirkimo dalyje buvo gauti </w:t>
            </w:r>
            <w:r w:rsidR="00E80EBA">
              <w:rPr>
                <w:sz w:val="24"/>
                <w:szCs w:val="24"/>
              </w:rPr>
              <w:t xml:space="preserve">4 pasiūlymai, tačiau </w:t>
            </w:r>
            <w:r w:rsidR="00D27596">
              <w:rPr>
                <w:sz w:val="24"/>
                <w:szCs w:val="24"/>
              </w:rPr>
              <w:t xml:space="preserve">tik du </w:t>
            </w:r>
            <w:r w:rsidR="00E80EBA">
              <w:rPr>
                <w:sz w:val="24"/>
                <w:szCs w:val="24"/>
              </w:rPr>
              <w:t xml:space="preserve">iš jų atitiko </w:t>
            </w:r>
            <w:r w:rsidR="00D27596">
              <w:rPr>
                <w:sz w:val="24"/>
                <w:szCs w:val="24"/>
              </w:rPr>
              <w:t>nustatytus parametrus. Pažymėtina, kad jeigu teismas nebūtų įpareigojęs Perkanči</w:t>
            </w:r>
            <w:r w:rsidR="004C2950">
              <w:rPr>
                <w:sz w:val="24"/>
                <w:szCs w:val="24"/>
              </w:rPr>
              <w:t>osios organizacijos į pirkimo</w:t>
            </w:r>
            <w:r w:rsidR="00E80EBA">
              <w:rPr>
                <w:sz w:val="24"/>
                <w:szCs w:val="24"/>
              </w:rPr>
              <w:t xml:space="preserve"> </w:t>
            </w:r>
            <w:r w:rsidR="00D27596">
              <w:rPr>
                <w:sz w:val="24"/>
                <w:szCs w:val="24"/>
              </w:rPr>
              <w:t xml:space="preserve">procedūras grąžinti tiekėją Apex, Pirkimo Nr. 1 pirmojoje pirkimo dalyje būtų likęs vienas tiekėjas – UAB </w:t>
            </w:r>
            <w:r w:rsidR="00D27596">
              <w:rPr>
                <w:rFonts w:eastAsia="Calibri"/>
                <w:sz w:val="24"/>
                <w:szCs w:val="24"/>
              </w:rPr>
              <w:t xml:space="preserve">„Arbor Medical Corporation LT“, kuris </w:t>
            </w:r>
            <w:r w:rsidR="00E80EBA">
              <w:rPr>
                <w:rFonts w:eastAsia="Calibri"/>
                <w:sz w:val="24"/>
                <w:szCs w:val="24"/>
              </w:rPr>
              <w:t xml:space="preserve">buvo pripažintas </w:t>
            </w:r>
            <w:r w:rsidR="00D27596">
              <w:rPr>
                <w:rFonts w:eastAsia="Calibri"/>
                <w:sz w:val="24"/>
                <w:szCs w:val="24"/>
              </w:rPr>
              <w:t>laimė</w:t>
            </w:r>
            <w:r w:rsidR="00E80EBA">
              <w:rPr>
                <w:rFonts w:eastAsia="Calibri"/>
                <w:sz w:val="24"/>
                <w:szCs w:val="24"/>
              </w:rPr>
              <w:t xml:space="preserve">toju vykdant </w:t>
            </w:r>
            <w:r w:rsidR="00D27596">
              <w:rPr>
                <w:rFonts w:eastAsia="Calibri"/>
                <w:sz w:val="24"/>
                <w:szCs w:val="24"/>
              </w:rPr>
              <w:t xml:space="preserve"> </w:t>
            </w:r>
            <w:r w:rsidR="00E80EBA">
              <w:rPr>
                <w:rFonts w:eastAsia="Calibri"/>
                <w:sz w:val="24"/>
                <w:szCs w:val="24"/>
              </w:rPr>
              <w:t xml:space="preserve">Pirkimo </w:t>
            </w:r>
            <w:r w:rsidR="00D27596">
              <w:rPr>
                <w:rFonts w:eastAsia="Calibri"/>
                <w:sz w:val="24"/>
                <w:szCs w:val="24"/>
              </w:rPr>
              <w:t>Nr. 2</w:t>
            </w:r>
            <w:r w:rsidR="00E80EBA">
              <w:rPr>
                <w:rFonts w:eastAsia="Calibri"/>
                <w:sz w:val="24"/>
                <w:szCs w:val="24"/>
              </w:rPr>
              <w:t xml:space="preserve"> procedūras, t. y. </w:t>
            </w:r>
            <w:r w:rsidR="00D27596">
              <w:rPr>
                <w:rFonts w:eastAsia="Calibri"/>
                <w:sz w:val="24"/>
                <w:szCs w:val="24"/>
              </w:rPr>
              <w:t>buvo vienintelis tiekėjas atitinkantis nustatytus techninius reikalavimus.</w:t>
            </w:r>
          </w:p>
          <w:p w14:paraId="471309FA" w14:textId="77777777" w:rsidR="00D27596" w:rsidRDefault="00D27596" w:rsidP="00A3715B">
            <w:pPr>
              <w:ind w:firstLine="738"/>
              <w:jc w:val="both"/>
              <w:rPr>
                <w:rFonts w:eastAsia="Calibri"/>
                <w:b/>
                <w:sz w:val="24"/>
                <w:szCs w:val="24"/>
              </w:rPr>
            </w:pPr>
          </w:p>
          <w:p w14:paraId="1F322EE4" w14:textId="5C11D1D1" w:rsidR="00D27596" w:rsidRPr="00D27596" w:rsidRDefault="00D27596" w:rsidP="00A3715B">
            <w:pPr>
              <w:ind w:firstLine="738"/>
              <w:jc w:val="both"/>
              <w:rPr>
                <w:b/>
                <w:sz w:val="24"/>
                <w:szCs w:val="24"/>
              </w:rPr>
            </w:pPr>
            <w:r w:rsidRPr="00D27596">
              <w:rPr>
                <w:rFonts w:eastAsia="Calibri"/>
                <w:b/>
                <w:sz w:val="24"/>
                <w:szCs w:val="24"/>
              </w:rPr>
              <w:t>Dėl konkurencijos rinkoje vykdant Pirkimą Nr. 2.</w:t>
            </w:r>
          </w:p>
          <w:p w14:paraId="18C1884A" w14:textId="498808D4" w:rsidR="00FE691C" w:rsidRDefault="00FE691C" w:rsidP="00A3715B">
            <w:pPr>
              <w:ind w:firstLine="738"/>
              <w:jc w:val="both"/>
              <w:rPr>
                <w:sz w:val="24"/>
                <w:szCs w:val="24"/>
              </w:rPr>
            </w:pPr>
            <w:r w:rsidRPr="005D2637">
              <w:rPr>
                <w:sz w:val="24"/>
                <w:szCs w:val="24"/>
              </w:rPr>
              <w:t xml:space="preserve">Pirkimo Nr. 2 techninėje specifikacijoje </w:t>
            </w:r>
            <w:r w:rsidR="007D5302">
              <w:rPr>
                <w:sz w:val="24"/>
                <w:szCs w:val="24"/>
              </w:rPr>
              <w:t xml:space="preserve">(toliau – Techninė specifikacija Nr. 2) </w:t>
            </w:r>
            <w:r w:rsidRPr="005D2637">
              <w:rPr>
                <w:sz w:val="24"/>
                <w:szCs w:val="24"/>
              </w:rPr>
              <w:t xml:space="preserve">Perkančioji organizacija nustatė </w:t>
            </w:r>
            <w:r w:rsidR="005D2637" w:rsidRPr="005D2637">
              <w:rPr>
                <w:sz w:val="24"/>
                <w:szCs w:val="24"/>
              </w:rPr>
              <w:t xml:space="preserve">naujus parametrus, </w:t>
            </w:r>
            <w:r w:rsidR="00874AE7" w:rsidRPr="005D2637">
              <w:rPr>
                <w:sz w:val="24"/>
                <w:szCs w:val="24"/>
              </w:rPr>
              <w:t>įskaitant, bet neapsiribojant</w:t>
            </w:r>
            <w:r w:rsidR="005D2637" w:rsidRPr="005D2637">
              <w:rPr>
                <w:sz w:val="24"/>
                <w:szCs w:val="24"/>
              </w:rPr>
              <w:t>, C lanko rentgeno vamzdžio aukštį žemiausioje pozicijoje, matuojant atstumą nuo grindų (≤ 52 cm)</w:t>
            </w:r>
            <w:r w:rsidR="007D5302">
              <w:rPr>
                <w:rStyle w:val="FootnoteReference"/>
                <w:sz w:val="24"/>
                <w:szCs w:val="24"/>
              </w:rPr>
              <w:footnoteReference w:id="32"/>
            </w:r>
            <w:r w:rsidR="00D27596">
              <w:rPr>
                <w:sz w:val="24"/>
                <w:szCs w:val="24"/>
              </w:rPr>
              <w:t>, t. y. parametrą</w:t>
            </w:r>
            <w:r w:rsidR="005D2637">
              <w:rPr>
                <w:sz w:val="24"/>
                <w:szCs w:val="24"/>
              </w:rPr>
              <w:t xml:space="preserve"> </w:t>
            </w:r>
            <w:r w:rsidR="00C94C84">
              <w:rPr>
                <w:sz w:val="24"/>
                <w:szCs w:val="24"/>
              </w:rPr>
              <w:t xml:space="preserve">kurio </w:t>
            </w:r>
            <w:r w:rsidR="004C2950">
              <w:rPr>
                <w:sz w:val="24"/>
                <w:szCs w:val="24"/>
              </w:rPr>
              <w:t xml:space="preserve">nenustatymu </w:t>
            </w:r>
            <w:r w:rsidR="007D5302">
              <w:rPr>
                <w:sz w:val="24"/>
                <w:szCs w:val="24"/>
              </w:rPr>
              <w:t xml:space="preserve">Techninėje specifikacijoje Nr. 1 </w:t>
            </w:r>
            <w:r w:rsidR="005D2637">
              <w:rPr>
                <w:sz w:val="24"/>
                <w:szCs w:val="24"/>
              </w:rPr>
              <w:t>buvo grindžiamas Pirkimo Nr. 1</w:t>
            </w:r>
            <w:r w:rsidR="00C94C84">
              <w:rPr>
                <w:sz w:val="24"/>
                <w:szCs w:val="24"/>
              </w:rPr>
              <w:t xml:space="preserve"> pirmosios pirkimo dalies</w:t>
            </w:r>
            <w:r w:rsidR="005D2637">
              <w:rPr>
                <w:sz w:val="24"/>
                <w:szCs w:val="24"/>
              </w:rPr>
              <w:t xml:space="preserve"> nutraukimas</w:t>
            </w:r>
            <w:r w:rsidR="005D2637" w:rsidRPr="005D2637">
              <w:rPr>
                <w:sz w:val="24"/>
                <w:szCs w:val="24"/>
              </w:rPr>
              <w:t>.</w:t>
            </w:r>
          </w:p>
          <w:p w14:paraId="37ED0DE8" w14:textId="6515319D" w:rsidR="00A3715B" w:rsidRDefault="009B6D95" w:rsidP="00A3715B">
            <w:pPr>
              <w:ind w:firstLine="738"/>
              <w:jc w:val="both"/>
              <w:rPr>
                <w:sz w:val="24"/>
                <w:szCs w:val="24"/>
              </w:rPr>
            </w:pPr>
            <w:r>
              <w:rPr>
                <w:sz w:val="24"/>
                <w:szCs w:val="24"/>
              </w:rPr>
              <w:t xml:space="preserve">Tarnyba Rašte Perkančiosios organizacijos prašė pateikti </w:t>
            </w:r>
            <w:r w:rsidRPr="00583261">
              <w:rPr>
                <w:sz w:val="24"/>
                <w:szCs w:val="24"/>
              </w:rPr>
              <w:t xml:space="preserve">dokumentus, įrodančius, kad Perkančioji organizacija atliko </w:t>
            </w:r>
            <w:r w:rsidRPr="009B6D95">
              <w:rPr>
                <w:sz w:val="24"/>
                <w:szCs w:val="24"/>
              </w:rPr>
              <w:t xml:space="preserve">rinkos tyrimą, siekdama nustatyti, kiek rinkoje yra Pirkimo Nr. 2 </w:t>
            </w:r>
            <w:r w:rsidR="00EB7CA5">
              <w:rPr>
                <w:sz w:val="24"/>
                <w:szCs w:val="24"/>
              </w:rPr>
              <w:t>T</w:t>
            </w:r>
            <w:r w:rsidR="00EB7CA5" w:rsidRPr="009B6D95">
              <w:rPr>
                <w:sz w:val="24"/>
                <w:szCs w:val="24"/>
              </w:rPr>
              <w:t xml:space="preserve">echninės </w:t>
            </w:r>
            <w:r w:rsidRPr="009B6D95">
              <w:rPr>
                <w:sz w:val="24"/>
                <w:szCs w:val="24"/>
              </w:rPr>
              <w:t xml:space="preserve">specifikacijos </w:t>
            </w:r>
            <w:r w:rsidR="00EB7CA5">
              <w:rPr>
                <w:sz w:val="24"/>
                <w:szCs w:val="24"/>
              </w:rPr>
              <w:t xml:space="preserve">Nr. 2 </w:t>
            </w:r>
            <w:r w:rsidRPr="009B6D95">
              <w:rPr>
                <w:sz w:val="24"/>
                <w:szCs w:val="24"/>
              </w:rPr>
              <w:t xml:space="preserve">reikalavimų visumą atitinkančių prekių ir nurodyti bent du konkrečių prekių pavadinimus, modelius bei konkrečias jų specifikacijas, atitinkančias Pirkimo Nr. 2 visus </w:t>
            </w:r>
            <w:r w:rsidR="00EB7CA5">
              <w:rPr>
                <w:sz w:val="24"/>
                <w:szCs w:val="24"/>
              </w:rPr>
              <w:t>T</w:t>
            </w:r>
            <w:r w:rsidR="00EB7CA5" w:rsidRPr="009B6D95">
              <w:rPr>
                <w:sz w:val="24"/>
                <w:szCs w:val="24"/>
              </w:rPr>
              <w:t>echnin</w:t>
            </w:r>
            <w:r w:rsidR="00EB7CA5">
              <w:rPr>
                <w:sz w:val="24"/>
                <w:szCs w:val="24"/>
              </w:rPr>
              <w:t>ėje</w:t>
            </w:r>
            <w:r w:rsidR="00EB7CA5" w:rsidRPr="009B6D95">
              <w:rPr>
                <w:sz w:val="24"/>
                <w:szCs w:val="24"/>
              </w:rPr>
              <w:t xml:space="preserve"> </w:t>
            </w:r>
            <w:r w:rsidRPr="009B6D95">
              <w:rPr>
                <w:sz w:val="24"/>
                <w:szCs w:val="24"/>
              </w:rPr>
              <w:t>specifikacij</w:t>
            </w:r>
            <w:r w:rsidR="00EB7CA5">
              <w:rPr>
                <w:sz w:val="24"/>
                <w:szCs w:val="24"/>
              </w:rPr>
              <w:t>oje įtvirtintus</w:t>
            </w:r>
            <w:r w:rsidRPr="009B6D95">
              <w:rPr>
                <w:sz w:val="24"/>
                <w:szCs w:val="24"/>
              </w:rPr>
              <w:t xml:space="preserve"> reikalavimus</w:t>
            </w:r>
            <w:r>
              <w:rPr>
                <w:sz w:val="24"/>
                <w:szCs w:val="24"/>
              </w:rPr>
              <w:t>.</w:t>
            </w:r>
          </w:p>
          <w:p w14:paraId="6D6E5616" w14:textId="51A71F7B" w:rsidR="007D57E0" w:rsidRDefault="007D57E0" w:rsidP="00A3715B">
            <w:pPr>
              <w:ind w:firstLine="738"/>
              <w:jc w:val="both"/>
              <w:rPr>
                <w:rFonts w:eastAsia="Calibri"/>
                <w:sz w:val="24"/>
                <w:szCs w:val="24"/>
              </w:rPr>
            </w:pPr>
            <w:r>
              <w:rPr>
                <w:sz w:val="24"/>
                <w:szCs w:val="24"/>
              </w:rPr>
              <w:t xml:space="preserve">Perkančioji organizacija Tarnybai nurodė, kad nustatytus reikalavimus atitinka </w:t>
            </w:r>
            <w:r w:rsidR="00431C86">
              <w:rPr>
                <w:sz w:val="24"/>
                <w:szCs w:val="24"/>
              </w:rPr>
              <w:t xml:space="preserve">Philips Veradius </w:t>
            </w:r>
            <w:r w:rsidR="00E64438">
              <w:rPr>
                <w:sz w:val="24"/>
                <w:szCs w:val="24"/>
              </w:rPr>
              <w:t xml:space="preserve">(šią prekę tiek Pirkime Nr. 1, tiek Pirkime Nr. pasiūlė </w:t>
            </w:r>
            <w:r w:rsidR="00E64438">
              <w:rPr>
                <w:rFonts w:eastAsia="Calibri"/>
                <w:sz w:val="24"/>
                <w:szCs w:val="24"/>
              </w:rPr>
              <w:t>UAB „Arbor Medical Corporation LT“)</w:t>
            </w:r>
            <w:r w:rsidR="00431C86">
              <w:rPr>
                <w:rFonts w:eastAsia="Calibri"/>
                <w:sz w:val="24"/>
                <w:szCs w:val="24"/>
              </w:rPr>
              <w:t xml:space="preserve"> ir GE OEC Elite.</w:t>
            </w:r>
          </w:p>
          <w:p w14:paraId="22252DAD" w14:textId="630452E5" w:rsidR="00874AE7" w:rsidRDefault="00656F9D" w:rsidP="00A3715B">
            <w:pPr>
              <w:ind w:firstLine="738"/>
              <w:jc w:val="both"/>
              <w:rPr>
                <w:sz w:val="24"/>
                <w:szCs w:val="24"/>
              </w:rPr>
            </w:pPr>
            <w:r>
              <w:rPr>
                <w:rFonts w:eastAsia="Calibri"/>
                <w:sz w:val="24"/>
                <w:szCs w:val="24"/>
              </w:rPr>
              <w:t xml:space="preserve">Tarnyba, siekdama įsitikinti Perkančiosios organizacijos pateiktų duomenų teisingumu, kreipėsi </w:t>
            </w:r>
            <w:r w:rsidRPr="00656F9D">
              <w:rPr>
                <w:rFonts w:eastAsia="Calibri"/>
                <w:sz w:val="24"/>
                <w:szCs w:val="24"/>
              </w:rPr>
              <w:t xml:space="preserve">UAB </w:t>
            </w:r>
            <w:r>
              <w:rPr>
                <w:rFonts w:eastAsia="Calibri"/>
                <w:sz w:val="24"/>
                <w:szCs w:val="24"/>
              </w:rPr>
              <w:t>„</w:t>
            </w:r>
            <w:r w:rsidRPr="00656F9D">
              <w:rPr>
                <w:rFonts w:eastAsia="Calibri"/>
                <w:sz w:val="24"/>
                <w:szCs w:val="24"/>
              </w:rPr>
              <w:t>Tradintek</w:t>
            </w:r>
            <w:r>
              <w:rPr>
                <w:rFonts w:eastAsia="Calibri"/>
                <w:sz w:val="24"/>
                <w:szCs w:val="24"/>
              </w:rPr>
              <w:t xml:space="preserve">“, kuri yra GE Healthcare oficialus atstovas Lietuvoje. </w:t>
            </w:r>
            <w:r w:rsidR="00A3715B" w:rsidRPr="00656F9D">
              <w:rPr>
                <w:rFonts w:eastAsia="Calibri"/>
                <w:sz w:val="24"/>
                <w:szCs w:val="24"/>
              </w:rPr>
              <w:t xml:space="preserve">UAB </w:t>
            </w:r>
            <w:r w:rsidR="00A3715B">
              <w:rPr>
                <w:rFonts w:eastAsia="Calibri"/>
                <w:sz w:val="24"/>
                <w:szCs w:val="24"/>
              </w:rPr>
              <w:t>„</w:t>
            </w:r>
            <w:r w:rsidR="00A3715B" w:rsidRPr="00656F9D">
              <w:rPr>
                <w:rFonts w:eastAsia="Calibri"/>
                <w:sz w:val="24"/>
                <w:szCs w:val="24"/>
              </w:rPr>
              <w:t>Tradintek</w:t>
            </w:r>
            <w:r w:rsidR="00A3715B">
              <w:rPr>
                <w:rFonts w:eastAsia="Calibri"/>
                <w:sz w:val="24"/>
                <w:szCs w:val="24"/>
              </w:rPr>
              <w:t>“ nurodė, kad rentgeno aparatas GE OEC Elite neatitinka šių Pirkimo Nr. 2 techninės specifikacijos reikalavimų:</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843"/>
              <w:gridCol w:w="2409"/>
              <w:gridCol w:w="2410"/>
              <w:gridCol w:w="2410"/>
            </w:tblGrid>
            <w:tr w:rsidR="00382055" w14:paraId="37299A80" w14:textId="52A075C8" w:rsidTr="00382055">
              <w:trPr>
                <w:trHeight w:val="341"/>
              </w:trPr>
              <w:tc>
                <w:tcPr>
                  <w:tcW w:w="567" w:type="dxa"/>
                  <w:vAlign w:val="center"/>
                </w:tcPr>
                <w:p w14:paraId="28329277" w14:textId="01F51A02" w:rsidR="00382055" w:rsidRPr="008E0756" w:rsidRDefault="00382055" w:rsidP="00874AE7">
                  <w:pPr>
                    <w:jc w:val="center"/>
                    <w:rPr>
                      <w:sz w:val="24"/>
                      <w:szCs w:val="24"/>
                    </w:rPr>
                  </w:pPr>
                  <w:r w:rsidRPr="008E0756">
                    <w:rPr>
                      <w:sz w:val="24"/>
                      <w:szCs w:val="24"/>
                    </w:rPr>
                    <w:t>Eil. Nr.</w:t>
                  </w:r>
                </w:p>
              </w:tc>
              <w:tc>
                <w:tcPr>
                  <w:tcW w:w="1843" w:type="dxa"/>
                  <w:vAlign w:val="center"/>
                </w:tcPr>
                <w:p w14:paraId="04A31B3C" w14:textId="3FF56C20" w:rsidR="00382055" w:rsidRPr="008E0756" w:rsidRDefault="00382055" w:rsidP="00874AE7">
                  <w:pPr>
                    <w:jc w:val="center"/>
                    <w:rPr>
                      <w:sz w:val="24"/>
                      <w:szCs w:val="24"/>
                    </w:rPr>
                  </w:pPr>
                  <w:r w:rsidRPr="008E0756">
                    <w:rPr>
                      <w:sz w:val="24"/>
                      <w:szCs w:val="24"/>
                    </w:rPr>
                    <w:t>Parametrai</w:t>
                  </w:r>
                </w:p>
              </w:tc>
              <w:tc>
                <w:tcPr>
                  <w:tcW w:w="2409" w:type="dxa"/>
                  <w:vAlign w:val="center"/>
                </w:tcPr>
                <w:p w14:paraId="3114518A" w14:textId="0CA41632" w:rsidR="00382055" w:rsidRPr="008E0756" w:rsidRDefault="00382055" w:rsidP="00874AE7">
                  <w:pPr>
                    <w:jc w:val="center"/>
                    <w:rPr>
                      <w:sz w:val="24"/>
                      <w:szCs w:val="24"/>
                    </w:rPr>
                  </w:pPr>
                  <w:r w:rsidRPr="008E0756">
                    <w:rPr>
                      <w:sz w:val="24"/>
                      <w:szCs w:val="24"/>
                    </w:rPr>
                    <w:t>Reikalaujamos parametrų reikšmės</w:t>
                  </w:r>
                </w:p>
              </w:tc>
              <w:tc>
                <w:tcPr>
                  <w:tcW w:w="2410" w:type="dxa"/>
                </w:tcPr>
                <w:p w14:paraId="3385E773" w14:textId="2A648A29" w:rsidR="00382055" w:rsidRPr="008E0756" w:rsidRDefault="00382055" w:rsidP="00874AE7">
                  <w:pPr>
                    <w:jc w:val="center"/>
                    <w:rPr>
                      <w:sz w:val="24"/>
                      <w:szCs w:val="24"/>
                    </w:rPr>
                  </w:pPr>
                  <w:r w:rsidRPr="008E0756">
                    <w:rPr>
                      <w:sz w:val="24"/>
                      <w:szCs w:val="24"/>
                    </w:rPr>
                    <w:t xml:space="preserve">Perkančiosios organizacijos Tarnybai nurodytos </w:t>
                  </w:r>
                  <w:r w:rsidRPr="008E0756">
                    <w:rPr>
                      <w:rFonts w:eastAsia="Calibri"/>
                      <w:sz w:val="24"/>
                      <w:szCs w:val="24"/>
                    </w:rPr>
                    <w:lastRenderedPageBreak/>
                    <w:t>GE OEC Elite parametrų reikšmės</w:t>
                  </w:r>
                </w:p>
              </w:tc>
              <w:tc>
                <w:tcPr>
                  <w:tcW w:w="2410" w:type="dxa"/>
                </w:tcPr>
                <w:p w14:paraId="70D3555E" w14:textId="6B7A8581" w:rsidR="00382055" w:rsidRPr="008E0756" w:rsidRDefault="00382055" w:rsidP="00874AE7">
                  <w:pPr>
                    <w:jc w:val="center"/>
                    <w:rPr>
                      <w:sz w:val="24"/>
                      <w:szCs w:val="24"/>
                    </w:rPr>
                  </w:pPr>
                  <w:r w:rsidRPr="008E0756">
                    <w:rPr>
                      <w:rFonts w:eastAsia="Calibri"/>
                      <w:sz w:val="24"/>
                      <w:szCs w:val="24"/>
                    </w:rPr>
                    <w:lastRenderedPageBreak/>
                    <w:t xml:space="preserve">UAB „Tradintek“ </w:t>
                  </w:r>
                  <w:r w:rsidRPr="008E0756">
                    <w:rPr>
                      <w:sz w:val="24"/>
                      <w:szCs w:val="24"/>
                    </w:rPr>
                    <w:t xml:space="preserve">Tarnybai nurodytos </w:t>
                  </w:r>
                  <w:r w:rsidRPr="008E0756">
                    <w:rPr>
                      <w:rFonts w:eastAsia="Calibri"/>
                      <w:sz w:val="24"/>
                      <w:szCs w:val="24"/>
                    </w:rPr>
                    <w:lastRenderedPageBreak/>
                    <w:t>GE OEC Elite parametrų reikšmės</w:t>
                  </w:r>
                </w:p>
              </w:tc>
            </w:tr>
            <w:tr w:rsidR="00382055" w14:paraId="7533DD06" w14:textId="767EDD93" w:rsidTr="00382055">
              <w:trPr>
                <w:trHeight w:val="341"/>
              </w:trPr>
              <w:tc>
                <w:tcPr>
                  <w:tcW w:w="567" w:type="dxa"/>
                </w:tcPr>
                <w:p w14:paraId="19B39206" w14:textId="07342BE4" w:rsidR="00382055" w:rsidRPr="008E0756" w:rsidRDefault="00382055" w:rsidP="00874AE7">
                  <w:pPr>
                    <w:jc w:val="both"/>
                    <w:rPr>
                      <w:sz w:val="24"/>
                      <w:szCs w:val="24"/>
                    </w:rPr>
                  </w:pPr>
                  <w:r w:rsidRPr="008E0756">
                    <w:rPr>
                      <w:sz w:val="24"/>
                      <w:szCs w:val="24"/>
                    </w:rPr>
                    <w:lastRenderedPageBreak/>
                    <w:t>2.3</w:t>
                  </w:r>
                </w:p>
              </w:tc>
              <w:tc>
                <w:tcPr>
                  <w:tcW w:w="1843" w:type="dxa"/>
                </w:tcPr>
                <w:p w14:paraId="18F5B75D" w14:textId="5663E40E" w:rsidR="00382055" w:rsidRPr="008E0756" w:rsidRDefault="00382055" w:rsidP="00A54219">
                  <w:pPr>
                    <w:jc w:val="both"/>
                    <w:rPr>
                      <w:sz w:val="24"/>
                      <w:szCs w:val="24"/>
                    </w:rPr>
                  </w:pPr>
                  <w:r w:rsidRPr="008E0756">
                    <w:rPr>
                      <w:sz w:val="24"/>
                      <w:szCs w:val="24"/>
                    </w:rPr>
                    <w:t>C lanko rotacija</w:t>
                  </w:r>
                </w:p>
              </w:tc>
              <w:tc>
                <w:tcPr>
                  <w:tcW w:w="2409" w:type="dxa"/>
                </w:tcPr>
                <w:p w14:paraId="258833B1" w14:textId="769CDB33" w:rsidR="00382055" w:rsidRPr="008E0756" w:rsidRDefault="00382055" w:rsidP="00A54219">
                  <w:pPr>
                    <w:jc w:val="both"/>
                    <w:rPr>
                      <w:sz w:val="24"/>
                      <w:szCs w:val="24"/>
                    </w:rPr>
                  </w:pPr>
                  <w:r w:rsidRPr="008E0756">
                    <w:rPr>
                      <w:sz w:val="24"/>
                      <w:szCs w:val="24"/>
                    </w:rPr>
                    <w:t>≥ ±200°</w:t>
                  </w:r>
                </w:p>
              </w:tc>
              <w:tc>
                <w:tcPr>
                  <w:tcW w:w="2410" w:type="dxa"/>
                </w:tcPr>
                <w:p w14:paraId="116B06C7" w14:textId="1F964C32" w:rsidR="00382055" w:rsidRPr="008E0756" w:rsidRDefault="00382055" w:rsidP="00A54219">
                  <w:pPr>
                    <w:jc w:val="both"/>
                    <w:rPr>
                      <w:sz w:val="24"/>
                      <w:szCs w:val="24"/>
                    </w:rPr>
                  </w:pPr>
                  <w:r w:rsidRPr="008E0756">
                    <w:rPr>
                      <w:sz w:val="24"/>
                      <w:szCs w:val="24"/>
                    </w:rPr>
                    <w:t>225°</w:t>
                  </w:r>
                </w:p>
              </w:tc>
              <w:tc>
                <w:tcPr>
                  <w:tcW w:w="2410" w:type="dxa"/>
                </w:tcPr>
                <w:p w14:paraId="7C0735ED" w14:textId="3CC73AB8" w:rsidR="00382055" w:rsidRPr="008E0756" w:rsidRDefault="00382055" w:rsidP="00A54219">
                  <w:pPr>
                    <w:jc w:val="both"/>
                    <w:rPr>
                      <w:sz w:val="24"/>
                      <w:szCs w:val="24"/>
                    </w:rPr>
                  </w:pPr>
                  <w:r w:rsidRPr="008E0756">
                    <w:rPr>
                      <w:sz w:val="24"/>
                      <w:szCs w:val="24"/>
                    </w:rPr>
                    <w:t>+/- 180°</w:t>
                  </w:r>
                </w:p>
              </w:tc>
            </w:tr>
            <w:tr w:rsidR="00382055" w14:paraId="5C61BBBC" w14:textId="3BACCA19" w:rsidTr="00382055">
              <w:trPr>
                <w:trHeight w:val="341"/>
              </w:trPr>
              <w:tc>
                <w:tcPr>
                  <w:tcW w:w="567" w:type="dxa"/>
                </w:tcPr>
                <w:p w14:paraId="6C6ED6E5" w14:textId="1DCA6FB9" w:rsidR="00382055" w:rsidRPr="008E0756" w:rsidRDefault="00382055" w:rsidP="00874AE7">
                  <w:pPr>
                    <w:jc w:val="both"/>
                    <w:rPr>
                      <w:sz w:val="24"/>
                      <w:szCs w:val="24"/>
                    </w:rPr>
                  </w:pPr>
                  <w:r w:rsidRPr="008E0756">
                    <w:rPr>
                      <w:sz w:val="24"/>
                      <w:szCs w:val="24"/>
                    </w:rPr>
                    <w:t>6.6</w:t>
                  </w:r>
                </w:p>
              </w:tc>
              <w:tc>
                <w:tcPr>
                  <w:tcW w:w="1843" w:type="dxa"/>
                </w:tcPr>
                <w:p w14:paraId="7336FF35" w14:textId="7A2CDEB3" w:rsidR="00382055" w:rsidRPr="008E0756" w:rsidRDefault="00382055" w:rsidP="00A54219">
                  <w:pPr>
                    <w:jc w:val="both"/>
                    <w:rPr>
                      <w:sz w:val="24"/>
                      <w:szCs w:val="24"/>
                    </w:rPr>
                  </w:pPr>
                  <w:r w:rsidRPr="008E0756">
                    <w:rPr>
                      <w:sz w:val="24"/>
                      <w:szCs w:val="24"/>
                    </w:rPr>
                    <w:t>Dinaminis diapazonas</w:t>
                  </w:r>
                </w:p>
              </w:tc>
              <w:tc>
                <w:tcPr>
                  <w:tcW w:w="2409" w:type="dxa"/>
                </w:tcPr>
                <w:p w14:paraId="1FE98360" w14:textId="357465F7" w:rsidR="00382055" w:rsidRPr="008E0756" w:rsidRDefault="00382055" w:rsidP="00A54219">
                  <w:pPr>
                    <w:jc w:val="both"/>
                    <w:rPr>
                      <w:sz w:val="24"/>
                      <w:szCs w:val="24"/>
                    </w:rPr>
                  </w:pPr>
                  <w:r w:rsidRPr="008E0756">
                    <w:rPr>
                      <w:sz w:val="24"/>
                      <w:szCs w:val="24"/>
                    </w:rPr>
                    <w:t>≥  95 dB</w:t>
                  </w:r>
                </w:p>
              </w:tc>
              <w:tc>
                <w:tcPr>
                  <w:tcW w:w="2410" w:type="dxa"/>
                </w:tcPr>
                <w:p w14:paraId="739F806F" w14:textId="23B9798E" w:rsidR="00382055" w:rsidRPr="008E0756" w:rsidRDefault="00853C5C" w:rsidP="00A54219">
                  <w:pPr>
                    <w:jc w:val="both"/>
                    <w:rPr>
                      <w:sz w:val="24"/>
                      <w:szCs w:val="24"/>
                    </w:rPr>
                  </w:pPr>
                  <w:r w:rsidRPr="008E0756">
                    <w:rPr>
                      <w:sz w:val="24"/>
                      <w:szCs w:val="24"/>
                    </w:rPr>
                    <w:t>106 dB</w:t>
                  </w:r>
                </w:p>
              </w:tc>
              <w:tc>
                <w:tcPr>
                  <w:tcW w:w="2410" w:type="dxa"/>
                </w:tcPr>
                <w:p w14:paraId="6ED1E471" w14:textId="47785B20" w:rsidR="00382055" w:rsidRPr="008E0756" w:rsidRDefault="00853C5C" w:rsidP="00A54219">
                  <w:pPr>
                    <w:jc w:val="both"/>
                    <w:rPr>
                      <w:sz w:val="24"/>
                      <w:szCs w:val="24"/>
                    </w:rPr>
                  </w:pPr>
                  <w:r w:rsidRPr="008E0756">
                    <w:rPr>
                      <w:sz w:val="24"/>
                      <w:szCs w:val="24"/>
                    </w:rPr>
                    <w:t>87 dB</w:t>
                  </w:r>
                </w:p>
              </w:tc>
            </w:tr>
            <w:tr w:rsidR="00382055" w14:paraId="6F84DC0C" w14:textId="0535A835" w:rsidTr="00382055">
              <w:trPr>
                <w:trHeight w:val="341"/>
              </w:trPr>
              <w:tc>
                <w:tcPr>
                  <w:tcW w:w="567" w:type="dxa"/>
                </w:tcPr>
                <w:p w14:paraId="11467F52" w14:textId="4D788055" w:rsidR="00382055" w:rsidRPr="008E0756" w:rsidRDefault="00382055" w:rsidP="00874AE7">
                  <w:pPr>
                    <w:jc w:val="both"/>
                    <w:rPr>
                      <w:sz w:val="24"/>
                      <w:szCs w:val="24"/>
                    </w:rPr>
                  </w:pPr>
                  <w:r w:rsidRPr="008E0756">
                    <w:rPr>
                      <w:sz w:val="24"/>
                      <w:szCs w:val="24"/>
                    </w:rPr>
                    <w:t>9.3 c</w:t>
                  </w:r>
                </w:p>
              </w:tc>
              <w:tc>
                <w:tcPr>
                  <w:tcW w:w="1843" w:type="dxa"/>
                </w:tcPr>
                <w:p w14:paraId="588F2A01" w14:textId="4C76FFE2" w:rsidR="00382055" w:rsidRPr="008E0756" w:rsidRDefault="00382055" w:rsidP="00A54219">
                  <w:pPr>
                    <w:jc w:val="both"/>
                    <w:rPr>
                      <w:sz w:val="24"/>
                      <w:szCs w:val="24"/>
                    </w:rPr>
                  </w:pPr>
                  <w:r w:rsidRPr="008E0756">
                    <w:rPr>
                      <w:sz w:val="24"/>
                      <w:szCs w:val="24"/>
                    </w:rPr>
                    <w:t>Vaizdų išsaugojimas: Rašymas į CD (arba DVD) diskus.</w:t>
                  </w:r>
                </w:p>
              </w:tc>
              <w:tc>
                <w:tcPr>
                  <w:tcW w:w="2409" w:type="dxa"/>
                </w:tcPr>
                <w:p w14:paraId="074B5191" w14:textId="47648E75" w:rsidR="00382055" w:rsidRPr="008E0756" w:rsidRDefault="00382055" w:rsidP="00A54219">
                  <w:pPr>
                    <w:jc w:val="both"/>
                    <w:rPr>
                      <w:sz w:val="24"/>
                      <w:szCs w:val="24"/>
                    </w:rPr>
                  </w:pPr>
                  <w:r w:rsidRPr="008E0756">
                    <w:rPr>
                      <w:sz w:val="24"/>
                      <w:szCs w:val="24"/>
                    </w:rPr>
                    <w:t>Būtina</w:t>
                  </w:r>
                </w:p>
              </w:tc>
              <w:tc>
                <w:tcPr>
                  <w:tcW w:w="2410" w:type="dxa"/>
                </w:tcPr>
                <w:p w14:paraId="639B5300" w14:textId="6D85E176" w:rsidR="00382055" w:rsidRPr="008E0756" w:rsidRDefault="00853C5C" w:rsidP="00A54219">
                  <w:pPr>
                    <w:jc w:val="both"/>
                    <w:rPr>
                      <w:sz w:val="24"/>
                      <w:szCs w:val="24"/>
                    </w:rPr>
                  </w:pPr>
                  <w:r w:rsidRPr="008E0756">
                    <w:rPr>
                      <w:sz w:val="24"/>
                      <w:szCs w:val="24"/>
                    </w:rPr>
                    <w:t>Yra</w:t>
                  </w:r>
                </w:p>
              </w:tc>
              <w:tc>
                <w:tcPr>
                  <w:tcW w:w="2410" w:type="dxa"/>
                </w:tcPr>
                <w:p w14:paraId="7682B51E" w14:textId="1F16388D" w:rsidR="00382055" w:rsidRPr="008E0756" w:rsidRDefault="00853C5C" w:rsidP="00A54219">
                  <w:pPr>
                    <w:jc w:val="both"/>
                    <w:rPr>
                      <w:sz w:val="24"/>
                      <w:szCs w:val="24"/>
                    </w:rPr>
                  </w:pPr>
                  <w:r w:rsidRPr="008E0756">
                    <w:rPr>
                      <w:sz w:val="24"/>
                      <w:szCs w:val="24"/>
                    </w:rPr>
                    <w:t>OEC Elite sistema vaizdus įrašo į USB laikmenas</w:t>
                  </w:r>
                </w:p>
              </w:tc>
            </w:tr>
          </w:tbl>
          <w:p w14:paraId="2D3C214B" w14:textId="791D47F2" w:rsidR="00B32DA1" w:rsidRPr="009A4B9B" w:rsidRDefault="003938FF" w:rsidP="00A3715B">
            <w:pPr>
              <w:ind w:firstLine="738"/>
              <w:jc w:val="both"/>
              <w:rPr>
                <w:sz w:val="24"/>
                <w:szCs w:val="24"/>
              </w:rPr>
            </w:pPr>
            <w:r w:rsidRPr="009A4B9B">
              <w:rPr>
                <w:sz w:val="24"/>
                <w:szCs w:val="24"/>
              </w:rPr>
              <w:t>Tarnyba pakartotinai kreipėsi į Perkančiąją organizaciją, kad ji paaiškintų šiuos neatitikimus</w:t>
            </w:r>
            <w:r w:rsidR="001A6AD2">
              <w:rPr>
                <w:sz w:val="24"/>
                <w:szCs w:val="24"/>
              </w:rPr>
              <w:t>:</w:t>
            </w:r>
          </w:p>
          <w:p w14:paraId="0B99FB04" w14:textId="2E577E1E" w:rsidR="00B32DA1" w:rsidRPr="009A4B9B" w:rsidRDefault="00B32DA1" w:rsidP="00A3715B">
            <w:pPr>
              <w:ind w:firstLine="738"/>
              <w:jc w:val="both"/>
              <w:rPr>
                <w:b/>
                <w:sz w:val="24"/>
                <w:szCs w:val="24"/>
              </w:rPr>
            </w:pPr>
            <w:r w:rsidRPr="009A4B9B">
              <w:rPr>
                <w:b/>
                <w:sz w:val="24"/>
                <w:szCs w:val="24"/>
              </w:rPr>
              <w:t>Dėl 2.3 punkto reikalavimo.</w:t>
            </w:r>
          </w:p>
          <w:p w14:paraId="42C3EF99" w14:textId="76D60565" w:rsidR="00874AE7" w:rsidRPr="009A4B9B" w:rsidRDefault="003938FF" w:rsidP="00A3715B">
            <w:pPr>
              <w:ind w:firstLine="738"/>
              <w:jc w:val="both"/>
              <w:rPr>
                <w:sz w:val="24"/>
                <w:szCs w:val="24"/>
              </w:rPr>
            </w:pPr>
            <w:r w:rsidRPr="009A4B9B">
              <w:rPr>
                <w:sz w:val="24"/>
                <w:szCs w:val="24"/>
              </w:rPr>
              <w:t xml:space="preserve">Perkančioji organizacija, </w:t>
            </w:r>
            <w:r w:rsidR="007D784B" w:rsidRPr="009A4B9B">
              <w:rPr>
                <w:sz w:val="24"/>
                <w:szCs w:val="24"/>
              </w:rPr>
              <w:t xml:space="preserve">nurodė </w:t>
            </w:r>
            <w:r w:rsidRPr="009A4B9B">
              <w:rPr>
                <w:sz w:val="24"/>
                <w:szCs w:val="24"/>
              </w:rPr>
              <w:t>kad GE OEC Elite C lankas gali rotuoti dvejuose mazguose ir pateikė nuorodas į vaizdo įrašus</w:t>
            </w:r>
            <w:r w:rsidRPr="009A4B9B">
              <w:rPr>
                <w:rStyle w:val="FootnoteReference"/>
                <w:sz w:val="24"/>
                <w:szCs w:val="24"/>
              </w:rPr>
              <w:footnoteReference w:id="33"/>
            </w:r>
            <w:r w:rsidRPr="009A4B9B">
              <w:rPr>
                <w:sz w:val="24"/>
                <w:szCs w:val="24"/>
              </w:rPr>
              <w:t>, kuriuose demonstruojama, kaip rotuoja C lankas.</w:t>
            </w:r>
            <w:r w:rsidR="00FD7215" w:rsidRPr="009A4B9B">
              <w:rPr>
                <w:sz w:val="24"/>
                <w:szCs w:val="24"/>
              </w:rPr>
              <w:t xml:space="preserve"> </w:t>
            </w:r>
            <w:r w:rsidR="0074729E" w:rsidRPr="009A4B9B">
              <w:rPr>
                <w:sz w:val="24"/>
                <w:szCs w:val="24"/>
              </w:rPr>
              <w:t>Tarnyba nustatė, kad g</w:t>
            </w:r>
            <w:r w:rsidR="00FD7215" w:rsidRPr="009A4B9B">
              <w:rPr>
                <w:sz w:val="24"/>
                <w:szCs w:val="24"/>
              </w:rPr>
              <w:t>amintojo tinklalapyje</w:t>
            </w:r>
            <w:r w:rsidR="0074729E" w:rsidRPr="009A4B9B">
              <w:rPr>
                <w:rStyle w:val="FootnoteReference"/>
                <w:sz w:val="24"/>
                <w:szCs w:val="24"/>
              </w:rPr>
              <w:footnoteReference w:id="34"/>
            </w:r>
            <w:r w:rsidR="00FD7215" w:rsidRPr="009A4B9B">
              <w:rPr>
                <w:sz w:val="24"/>
                <w:szCs w:val="24"/>
              </w:rPr>
              <w:t xml:space="preserve"> šios dvi funkcijos įvardijamos kaip dvi atskiros, t. y. orbitalinė rotacija (Max Orbital Rotation 178° (9") and 181° (12")) ir „vartymas“ (Efficient positioning with 90°/180° flip flop)</w:t>
            </w:r>
            <w:r w:rsidR="0074729E" w:rsidRPr="009A4B9B">
              <w:rPr>
                <w:sz w:val="24"/>
                <w:szCs w:val="24"/>
              </w:rPr>
              <w:t>.</w:t>
            </w:r>
          </w:p>
          <w:p w14:paraId="41EB3318" w14:textId="5E07BDE0" w:rsidR="00EA68F5" w:rsidRPr="009A4B9B" w:rsidRDefault="00EA68F5" w:rsidP="00A3715B">
            <w:pPr>
              <w:ind w:firstLine="738"/>
              <w:jc w:val="both"/>
              <w:rPr>
                <w:b/>
                <w:sz w:val="24"/>
                <w:szCs w:val="24"/>
              </w:rPr>
            </w:pPr>
            <w:r w:rsidRPr="009A4B9B">
              <w:rPr>
                <w:b/>
                <w:sz w:val="24"/>
                <w:szCs w:val="24"/>
              </w:rPr>
              <w:t>Dėl 6.6 punkto reikalavimo.</w:t>
            </w:r>
          </w:p>
          <w:p w14:paraId="6A0C2B4A" w14:textId="0BCB02AD" w:rsidR="00EA68F5" w:rsidRDefault="005215A0" w:rsidP="00A3715B">
            <w:pPr>
              <w:ind w:firstLine="738"/>
              <w:jc w:val="both"/>
              <w:rPr>
                <w:sz w:val="24"/>
                <w:szCs w:val="24"/>
              </w:rPr>
            </w:pPr>
            <w:r w:rsidRPr="009A4B9B">
              <w:rPr>
                <w:sz w:val="24"/>
                <w:szCs w:val="24"/>
              </w:rPr>
              <w:t xml:space="preserve">Perkančioji organizacija nurodė, kad </w:t>
            </w:r>
            <w:r w:rsidRPr="009A4B9B">
              <w:rPr>
                <w:i/>
                <w:sz w:val="24"/>
                <w:szCs w:val="24"/>
              </w:rPr>
              <w:t>„&lt;...&gt; GE OEC Elite CFD įrenginys apdoroja daugiau nei 65000 pilkų atspalvių</w:t>
            </w:r>
            <w:r w:rsidRPr="009A4B9B">
              <w:rPr>
                <w:rStyle w:val="FootnoteReference"/>
                <w:sz w:val="24"/>
                <w:szCs w:val="24"/>
              </w:rPr>
              <w:footnoteReference w:id="35"/>
            </w:r>
            <w:r w:rsidRPr="009A4B9B">
              <w:rPr>
                <w:sz w:val="24"/>
                <w:szCs w:val="24"/>
              </w:rPr>
              <w:t>“. „</w:t>
            </w:r>
            <w:r w:rsidRPr="009A4B9B">
              <w:rPr>
                <w:i/>
                <w:sz w:val="24"/>
                <w:szCs w:val="24"/>
              </w:rPr>
              <w:t>Pilkų atspalvių kiekis yra dinaminio diapazono charakteristika tiesiogiai proporcinga dB. Ekvivalentų lenteles galima rasti viešai prieinamuose šaltiniuose</w:t>
            </w:r>
            <w:r w:rsidR="00C5058C" w:rsidRPr="009A4B9B">
              <w:rPr>
                <w:rStyle w:val="FootnoteReference"/>
                <w:i/>
                <w:sz w:val="24"/>
                <w:szCs w:val="24"/>
              </w:rPr>
              <w:footnoteReference w:id="36"/>
            </w:r>
            <w:r w:rsidRPr="009A4B9B">
              <w:rPr>
                <w:sz w:val="24"/>
                <w:szCs w:val="24"/>
              </w:rPr>
              <w:t>“.</w:t>
            </w:r>
            <w:r w:rsidR="00C5058C" w:rsidRPr="009A4B9B">
              <w:rPr>
                <w:sz w:val="24"/>
                <w:szCs w:val="24"/>
              </w:rPr>
              <w:t xml:space="preserve"> Pažymėtina, kad pačiame Perkančiosios organizacijos nurodytame šaltinyje nurodyta, </w:t>
            </w:r>
            <w:r w:rsidR="009A4B9B" w:rsidRPr="009A4B9B">
              <w:rPr>
                <w:sz w:val="24"/>
                <w:szCs w:val="24"/>
              </w:rPr>
              <w:t>jog</w:t>
            </w:r>
            <w:r w:rsidR="00C5058C" w:rsidRPr="009A4B9B">
              <w:rPr>
                <w:sz w:val="24"/>
                <w:szCs w:val="24"/>
              </w:rPr>
              <w:t xml:space="preserve"> </w:t>
            </w:r>
            <w:r w:rsidR="009A4B9B" w:rsidRPr="009A4B9B">
              <w:rPr>
                <w:sz w:val="24"/>
                <w:szCs w:val="24"/>
              </w:rPr>
              <w:t xml:space="preserve">yra </w:t>
            </w:r>
            <w:r w:rsidR="00C5058C" w:rsidRPr="009A4B9B">
              <w:rPr>
                <w:sz w:val="24"/>
                <w:szCs w:val="24"/>
              </w:rPr>
              <w:t xml:space="preserve">pateikiamas </w:t>
            </w:r>
            <w:r w:rsidR="00C5058C" w:rsidRPr="002C6E6D">
              <w:rPr>
                <w:i/>
                <w:sz w:val="24"/>
                <w:szCs w:val="24"/>
              </w:rPr>
              <w:t>potencialus</w:t>
            </w:r>
            <w:r w:rsidR="00C5058C" w:rsidRPr="009A4B9B">
              <w:rPr>
                <w:sz w:val="24"/>
                <w:szCs w:val="24"/>
              </w:rPr>
              <w:t xml:space="preserve"> dinaminis diapazonas (Potential Dynamic Range). Sąvoka „potencialus“</w:t>
            </w:r>
            <w:r w:rsidR="00D56AB6" w:rsidRPr="009A4B9B">
              <w:rPr>
                <w:rStyle w:val="FootnoteReference"/>
                <w:sz w:val="24"/>
                <w:szCs w:val="24"/>
              </w:rPr>
              <w:t xml:space="preserve"> </w:t>
            </w:r>
            <w:r w:rsidR="00D56AB6" w:rsidRPr="009A4B9B">
              <w:rPr>
                <w:rStyle w:val="FootnoteReference"/>
                <w:sz w:val="24"/>
                <w:szCs w:val="24"/>
              </w:rPr>
              <w:footnoteReference w:id="37"/>
            </w:r>
            <w:r w:rsidR="00D56AB6" w:rsidRPr="009A4B9B">
              <w:rPr>
                <w:sz w:val="24"/>
                <w:szCs w:val="24"/>
              </w:rPr>
              <w:t xml:space="preserve"> </w:t>
            </w:r>
            <w:r w:rsidR="00C5058C" w:rsidRPr="009A4B9B">
              <w:rPr>
                <w:sz w:val="24"/>
                <w:szCs w:val="24"/>
              </w:rPr>
              <w:t xml:space="preserve"> reiškia „galimas, galintis pasireikšti esant tam tikroms sąlygoms“.</w:t>
            </w:r>
            <w:r w:rsidR="00ED57EE" w:rsidRPr="009A4B9B">
              <w:rPr>
                <w:sz w:val="24"/>
                <w:szCs w:val="24"/>
              </w:rPr>
              <w:t xml:space="preserve"> Tai reiškia, kad nurodytos reikšmės </w:t>
            </w:r>
            <w:r w:rsidR="009A4B9B" w:rsidRPr="009A4B9B">
              <w:rPr>
                <w:sz w:val="24"/>
                <w:szCs w:val="24"/>
              </w:rPr>
              <w:t xml:space="preserve">nėra visiškai tikslios, </w:t>
            </w:r>
            <w:r w:rsidR="00B16685">
              <w:rPr>
                <w:sz w:val="24"/>
                <w:szCs w:val="24"/>
              </w:rPr>
              <w:t xml:space="preserve">o </w:t>
            </w:r>
            <w:r w:rsidR="009A4B9B" w:rsidRPr="009A4B9B">
              <w:rPr>
                <w:sz w:val="24"/>
                <w:szCs w:val="24"/>
              </w:rPr>
              <w:t xml:space="preserve">Perkančiosios organizacijos </w:t>
            </w:r>
            <w:r w:rsidR="009A4B9B" w:rsidRPr="009A4B9B">
              <w:rPr>
                <w:rFonts w:eastAsia="Calibri"/>
                <w:sz w:val="24"/>
                <w:szCs w:val="24"/>
              </w:rPr>
              <w:t>GE OEC Elite dinaminio diapazono</w:t>
            </w:r>
            <w:r w:rsidR="009A4B9B" w:rsidRPr="009A4B9B">
              <w:rPr>
                <w:sz w:val="24"/>
                <w:szCs w:val="24"/>
              </w:rPr>
              <w:t xml:space="preserve"> pateikti duomenys yra išvestiniai, nepatvirtinti oficialaus gamintojo.</w:t>
            </w:r>
          </w:p>
          <w:p w14:paraId="4A90BC81" w14:textId="64E5D68A" w:rsidR="00DF12E3" w:rsidRPr="007D026E" w:rsidRDefault="00DF12E3" w:rsidP="00A3715B">
            <w:pPr>
              <w:ind w:firstLine="738"/>
              <w:jc w:val="both"/>
              <w:rPr>
                <w:b/>
                <w:sz w:val="24"/>
                <w:szCs w:val="24"/>
              </w:rPr>
            </w:pPr>
            <w:r w:rsidRPr="007D026E">
              <w:rPr>
                <w:b/>
                <w:sz w:val="24"/>
                <w:szCs w:val="24"/>
              </w:rPr>
              <w:t>Dėl 9.6 p. c papunkčio reikalavimo.</w:t>
            </w:r>
          </w:p>
          <w:p w14:paraId="60644BBD" w14:textId="735E0F0A" w:rsidR="00DF12E3" w:rsidRDefault="00481EBC" w:rsidP="00A3715B">
            <w:pPr>
              <w:ind w:firstLine="738"/>
              <w:jc w:val="both"/>
              <w:rPr>
                <w:sz w:val="24"/>
                <w:szCs w:val="24"/>
              </w:rPr>
            </w:pPr>
            <w:r w:rsidRPr="007D026E">
              <w:rPr>
                <w:sz w:val="24"/>
                <w:szCs w:val="24"/>
              </w:rPr>
              <w:t>Perkančioji organizacija nurodė, kad „&lt;....&gt; nebuvo keliamas reikalavimas, jog įrenginys būtų būtinai integruotas. GE OEC Elite aparatas gali būti komplektuojamas ir su papildomu DVD diskų įrašymo įrenginiu</w:t>
            </w:r>
            <w:r w:rsidR="007D026E">
              <w:rPr>
                <w:rStyle w:val="FootnoteReference"/>
                <w:sz w:val="24"/>
                <w:szCs w:val="24"/>
              </w:rPr>
              <w:footnoteReference w:id="38"/>
            </w:r>
            <w:r w:rsidRPr="007D026E">
              <w:rPr>
                <w:sz w:val="24"/>
                <w:szCs w:val="24"/>
              </w:rPr>
              <w:t xml:space="preserve">“. </w:t>
            </w:r>
            <w:r w:rsidR="00571D36">
              <w:rPr>
                <w:sz w:val="24"/>
                <w:szCs w:val="24"/>
              </w:rPr>
              <w:t xml:space="preserve">Tarnyba sutinka, kad rentgeno aparato komplektavimas su papildomu įrašymo įrenginiu atitiktų Pirkimo </w:t>
            </w:r>
            <w:r w:rsidR="00DA7A5C">
              <w:rPr>
                <w:sz w:val="24"/>
                <w:szCs w:val="24"/>
              </w:rPr>
              <w:t xml:space="preserve">Nr. 2 </w:t>
            </w:r>
            <w:r w:rsidR="00571D36">
              <w:rPr>
                <w:sz w:val="24"/>
                <w:szCs w:val="24"/>
              </w:rPr>
              <w:t>9.3 p. c papunkčio reikalavimus.</w:t>
            </w:r>
          </w:p>
          <w:p w14:paraId="449704BB" w14:textId="11FC8EFB" w:rsidR="00CF437B" w:rsidRDefault="00096825" w:rsidP="00A3715B">
            <w:pPr>
              <w:ind w:firstLine="738"/>
              <w:jc w:val="both"/>
              <w:rPr>
                <w:sz w:val="24"/>
                <w:szCs w:val="24"/>
              </w:rPr>
            </w:pPr>
            <w:r>
              <w:rPr>
                <w:sz w:val="24"/>
                <w:szCs w:val="24"/>
              </w:rPr>
              <w:t xml:space="preserve">Įvertinus </w:t>
            </w:r>
            <w:r w:rsidR="00341B43">
              <w:rPr>
                <w:sz w:val="24"/>
                <w:szCs w:val="24"/>
              </w:rPr>
              <w:t xml:space="preserve">pateiktus paaiškinimus dėl nurodytų neatitikimų, daroma išvada, kad </w:t>
            </w:r>
            <w:r w:rsidR="002E18AA">
              <w:rPr>
                <w:sz w:val="24"/>
                <w:szCs w:val="24"/>
              </w:rPr>
              <w:t xml:space="preserve">nors rentgeno aparatas ir gali būti komplektuojamas su papildomu įrašymo įrenginiu, </w:t>
            </w:r>
            <w:r w:rsidR="00341B43">
              <w:rPr>
                <w:sz w:val="24"/>
                <w:szCs w:val="24"/>
              </w:rPr>
              <w:t xml:space="preserve">Perkančioji organizacija </w:t>
            </w:r>
            <w:r>
              <w:rPr>
                <w:sz w:val="24"/>
                <w:szCs w:val="24"/>
              </w:rPr>
              <w:t xml:space="preserve">neįrodė, </w:t>
            </w:r>
            <w:r w:rsidR="00341B43">
              <w:rPr>
                <w:sz w:val="24"/>
                <w:szCs w:val="24"/>
              </w:rPr>
              <w:t>jog</w:t>
            </w:r>
            <w:r>
              <w:rPr>
                <w:sz w:val="24"/>
                <w:szCs w:val="24"/>
              </w:rPr>
              <w:t xml:space="preserve"> rinkoje egzistuoja bent dvi Pirkimo Nr. 2 Techninės specifikacijos Nr. 2 reikalavimų visumą atitinkančios prekės</w:t>
            </w:r>
            <w:r w:rsidR="00341B43">
              <w:rPr>
                <w:sz w:val="24"/>
                <w:szCs w:val="24"/>
              </w:rPr>
              <w:t>.</w:t>
            </w:r>
          </w:p>
          <w:p w14:paraId="2A0F72B7" w14:textId="77777777" w:rsidR="00341B43" w:rsidRDefault="00341B43" w:rsidP="00A3715B">
            <w:pPr>
              <w:ind w:firstLine="738"/>
              <w:jc w:val="both"/>
              <w:rPr>
                <w:sz w:val="24"/>
                <w:szCs w:val="24"/>
              </w:rPr>
            </w:pPr>
          </w:p>
          <w:p w14:paraId="61444656" w14:textId="14FFBAB8" w:rsidR="00CF437B" w:rsidRPr="00CF437B" w:rsidRDefault="00CF437B" w:rsidP="00A3715B">
            <w:pPr>
              <w:ind w:firstLine="738"/>
              <w:jc w:val="both"/>
              <w:rPr>
                <w:b/>
                <w:sz w:val="24"/>
                <w:szCs w:val="24"/>
              </w:rPr>
            </w:pPr>
            <w:r w:rsidRPr="00CF437B">
              <w:rPr>
                <w:b/>
                <w:sz w:val="24"/>
                <w:szCs w:val="24"/>
              </w:rPr>
              <w:t>Dėl techninių reikalavimų įsigyjamai prekei susiaurinimo Pirkime Nr. 2.</w:t>
            </w:r>
          </w:p>
          <w:p w14:paraId="590636A7" w14:textId="3E85CF68" w:rsidR="00CF437B" w:rsidRDefault="00CF437B" w:rsidP="00CF437B">
            <w:pPr>
              <w:pStyle w:val="ListParagraph"/>
              <w:tabs>
                <w:tab w:val="left" w:pos="0"/>
                <w:tab w:val="left" w:pos="1156"/>
              </w:tabs>
              <w:ind w:left="0" w:firstLine="738"/>
              <w:jc w:val="both"/>
              <w:rPr>
                <w:rFonts w:eastAsia="Calibri"/>
                <w:sz w:val="24"/>
                <w:szCs w:val="24"/>
              </w:rPr>
            </w:pPr>
            <w:r>
              <w:rPr>
                <w:rFonts w:eastAsia="Calibri"/>
                <w:sz w:val="24"/>
                <w:szCs w:val="24"/>
              </w:rPr>
              <w:t xml:space="preserve">Analizuojant Pirkimo Nr. 1 pirmosios pirkimo dalies ir Pirkimo Nr. 2 </w:t>
            </w:r>
            <w:r w:rsidR="003049F5">
              <w:rPr>
                <w:rFonts w:eastAsia="Calibri"/>
                <w:sz w:val="24"/>
                <w:szCs w:val="24"/>
              </w:rPr>
              <w:t xml:space="preserve">techninių specifikacijų </w:t>
            </w:r>
            <w:r>
              <w:rPr>
                <w:rFonts w:eastAsia="Calibri"/>
                <w:sz w:val="24"/>
                <w:szCs w:val="24"/>
              </w:rPr>
              <w:t xml:space="preserve">reikalavimus, matyti, kad antrajame pirkime </w:t>
            </w:r>
            <w:r w:rsidR="003049F5">
              <w:rPr>
                <w:rFonts w:eastAsia="Calibri"/>
                <w:sz w:val="24"/>
                <w:szCs w:val="24"/>
              </w:rPr>
              <w:t xml:space="preserve">tam tikri parametrai </w:t>
            </w:r>
            <w:r>
              <w:rPr>
                <w:rFonts w:eastAsia="Calibri"/>
                <w:sz w:val="24"/>
                <w:szCs w:val="24"/>
              </w:rPr>
              <w:t>buvo</w:t>
            </w:r>
            <w:r w:rsidR="003049F5">
              <w:rPr>
                <w:rFonts w:eastAsia="Calibri"/>
                <w:sz w:val="24"/>
                <w:szCs w:val="24"/>
              </w:rPr>
              <w:t xml:space="preserve"> pakeisti juos </w:t>
            </w:r>
            <w:r>
              <w:rPr>
                <w:rFonts w:eastAsia="Calibri"/>
                <w:sz w:val="24"/>
                <w:szCs w:val="24"/>
              </w:rPr>
              <w:t xml:space="preserve">dar labiau </w:t>
            </w:r>
            <w:r w:rsidR="003049F5">
              <w:rPr>
                <w:rFonts w:eastAsia="Calibri"/>
                <w:sz w:val="24"/>
                <w:szCs w:val="24"/>
              </w:rPr>
              <w:t>susiaurinant</w:t>
            </w:r>
            <w:r w:rsidR="00826C0F">
              <w:rPr>
                <w:rFonts w:eastAsia="Calibri"/>
                <w:sz w:val="24"/>
                <w:szCs w:val="24"/>
              </w:rPr>
              <w:t xml:space="preserve"> ir, kaip minėta, vietoje dviejų pirkimo dokumentų reikalavimus atitinkančių pasiūlymų (Pirkimo Nr. 1 pirmojoje pirkimo dalyje) buvo gautas tik vienas tinkamas pasiūlymas (Pirkime Nr. 2)</w:t>
            </w:r>
            <w:r>
              <w:rPr>
                <w:rFonts w:eastAsia="Calibri"/>
                <w:sz w:val="24"/>
                <w:szCs w:val="24"/>
              </w:rPr>
              <w:t>:</w:t>
            </w:r>
            <w:r w:rsidR="003049F5">
              <w:rPr>
                <w:sz w:val="24"/>
                <w:szCs w:val="24"/>
              </w:rPr>
              <w:t xml:space="preserve"> </w:t>
            </w:r>
          </w:p>
          <w:p w14:paraId="0613871B" w14:textId="77777777" w:rsidR="00CF437B" w:rsidRDefault="00CF437B" w:rsidP="00CF437B">
            <w:pPr>
              <w:pStyle w:val="ListParagraph"/>
              <w:tabs>
                <w:tab w:val="left" w:pos="0"/>
                <w:tab w:val="left" w:pos="1156"/>
              </w:tabs>
              <w:ind w:left="0" w:firstLine="738"/>
              <w:jc w:val="both"/>
              <w:rPr>
                <w:sz w:val="24"/>
                <w:szCs w:val="24"/>
              </w:rPr>
            </w:pPr>
          </w:p>
          <w:tbl>
            <w:tblPr>
              <w:tblStyle w:val="TableGrid"/>
              <w:tblW w:w="0" w:type="auto"/>
              <w:tblLook w:val="04A0" w:firstRow="1" w:lastRow="0" w:firstColumn="1" w:lastColumn="0" w:noHBand="0" w:noVBand="1"/>
            </w:tblPr>
            <w:tblGrid>
              <w:gridCol w:w="557"/>
              <w:gridCol w:w="3153"/>
              <w:gridCol w:w="1897"/>
              <w:gridCol w:w="1898"/>
              <w:gridCol w:w="1898"/>
            </w:tblGrid>
            <w:tr w:rsidR="00CF437B" w:rsidRPr="00C8717C" w14:paraId="26CED91A" w14:textId="77777777" w:rsidTr="00CE1D81">
              <w:tc>
                <w:tcPr>
                  <w:tcW w:w="557" w:type="dxa"/>
                </w:tcPr>
                <w:p w14:paraId="5E6B90A3" w14:textId="77777777" w:rsidR="00CF437B" w:rsidRPr="00C8717C" w:rsidRDefault="00CF437B" w:rsidP="00CF437B">
                  <w:pPr>
                    <w:tabs>
                      <w:tab w:val="left" w:pos="0"/>
                      <w:tab w:val="left" w:pos="1156"/>
                    </w:tabs>
                    <w:jc w:val="both"/>
                    <w:rPr>
                      <w:sz w:val="24"/>
                      <w:szCs w:val="24"/>
                    </w:rPr>
                  </w:pPr>
                  <w:r w:rsidRPr="00C8717C">
                    <w:rPr>
                      <w:sz w:val="24"/>
                      <w:szCs w:val="24"/>
                    </w:rPr>
                    <w:lastRenderedPageBreak/>
                    <w:t>Eil. Nr.</w:t>
                  </w:r>
                </w:p>
              </w:tc>
              <w:tc>
                <w:tcPr>
                  <w:tcW w:w="3153" w:type="dxa"/>
                </w:tcPr>
                <w:p w14:paraId="5F98B39A" w14:textId="77777777" w:rsidR="00CF437B" w:rsidRPr="00C8717C" w:rsidRDefault="00CF437B" w:rsidP="00CF437B">
                  <w:pPr>
                    <w:tabs>
                      <w:tab w:val="left" w:pos="0"/>
                      <w:tab w:val="left" w:pos="1156"/>
                    </w:tabs>
                    <w:jc w:val="both"/>
                    <w:rPr>
                      <w:sz w:val="24"/>
                      <w:szCs w:val="24"/>
                    </w:rPr>
                  </w:pPr>
                  <w:r w:rsidRPr="00C8717C">
                    <w:rPr>
                      <w:sz w:val="24"/>
                      <w:szCs w:val="24"/>
                    </w:rPr>
                    <w:t>Reikalaujamas parametras</w:t>
                  </w:r>
                </w:p>
              </w:tc>
              <w:tc>
                <w:tcPr>
                  <w:tcW w:w="1897" w:type="dxa"/>
                </w:tcPr>
                <w:p w14:paraId="002EF47D" w14:textId="77777777" w:rsidR="00CF437B" w:rsidRPr="00C8717C" w:rsidRDefault="00CF437B" w:rsidP="00CF437B">
                  <w:pPr>
                    <w:tabs>
                      <w:tab w:val="left" w:pos="0"/>
                      <w:tab w:val="left" w:pos="1156"/>
                    </w:tabs>
                    <w:jc w:val="both"/>
                    <w:rPr>
                      <w:sz w:val="24"/>
                      <w:szCs w:val="24"/>
                    </w:rPr>
                  </w:pPr>
                  <w:r w:rsidRPr="00C8717C">
                    <w:rPr>
                      <w:sz w:val="24"/>
                      <w:szCs w:val="24"/>
                    </w:rPr>
                    <w:t>Pirkimo Nr. 1 pirmoji pirkimo dalis</w:t>
                  </w:r>
                </w:p>
              </w:tc>
              <w:tc>
                <w:tcPr>
                  <w:tcW w:w="1898" w:type="dxa"/>
                </w:tcPr>
                <w:p w14:paraId="24661536" w14:textId="77777777" w:rsidR="00CF437B" w:rsidRPr="00C8717C" w:rsidRDefault="00CF437B" w:rsidP="00CF437B">
                  <w:pPr>
                    <w:tabs>
                      <w:tab w:val="left" w:pos="0"/>
                      <w:tab w:val="left" w:pos="1156"/>
                    </w:tabs>
                    <w:jc w:val="both"/>
                    <w:rPr>
                      <w:sz w:val="24"/>
                      <w:szCs w:val="24"/>
                    </w:rPr>
                  </w:pPr>
                  <w:r w:rsidRPr="00C8717C">
                    <w:rPr>
                      <w:sz w:val="24"/>
                      <w:szCs w:val="24"/>
                    </w:rPr>
                    <w:t>Pirkimas Nr. 2</w:t>
                  </w:r>
                </w:p>
              </w:tc>
              <w:tc>
                <w:tcPr>
                  <w:tcW w:w="1898" w:type="dxa"/>
                </w:tcPr>
                <w:p w14:paraId="7B487C20" w14:textId="77777777" w:rsidR="00CF437B" w:rsidRPr="00C8717C" w:rsidRDefault="00CF437B" w:rsidP="00CF437B">
                  <w:pPr>
                    <w:tabs>
                      <w:tab w:val="left" w:pos="0"/>
                      <w:tab w:val="left" w:pos="1156"/>
                    </w:tabs>
                    <w:jc w:val="both"/>
                    <w:rPr>
                      <w:sz w:val="24"/>
                      <w:szCs w:val="24"/>
                    </w:rPr>
                  </w:pPr>
                  <w:r w:rsidRPr="00C8717C">
                    <w:rPr>
                      <w:sz w:val="24"/>
                      <w:szCs w:val="24"/>
                    </w:rPr>
                    <w:t xml:space="preserve">UAB </w:t>
                  </w:r>
                  <w:r w:rsidRPr="00C8717C">
                    <w:rPr>
                      <w:rFonts w:eastAsia="Calibri"/>
                      <w:sz w:val="24"/>
                      <w:szCs w:val="24"/>
                    </w:rPr>
                    <w:t>„Arbor Medical Corporation LT“ siūlomo Philips Veradius Unity techniniai parametrai</w:t>
                  </w:r>
                </w:p>
              </w:tc>
            </w:tr>
            <w:tr w:rsidR="00CF437B" w:rsidRPr="00C8717C" w14:paraId="449EEACA" w14:textId="77777777" w:rsidTr="00CE1D81">
              <w:tc>
                <w:tcPr>
                  <w:tcW w:w="557" w:type="dxa"/>
                </w:tcPr>
                <w:p w14:paraId="686B8F7D" w14:textId="77777777" w:rsidR="00CF437B" w:rsidRPr="00C8717C" w:rsidRDefault="00CF437B" w:rsidP="00CF437B">
                  <w:pPr>
                    <w:tabs>
                      <w:tab w:val="left" w:pos="0"/>
                      <w:tab w:val="left" w:pos="1156"/>
                    </w:tabs>
                    <w:jc w:val="both"/>
                    <w:rPr>
                      <w:sz w:val="24"/>
                      <w:szCs w:val="24"/>
                    </w:rPr>
                  </w:pPr>
                  <w:r w:rsidRPr="00C8717C">
                    <w:rPr>
                      <w:sz w:val="24"/>
                      <w:szCs w:val="24"/>
                    </w:rPr>
                    <w:t>1.</w:t>
                  </w:r>
                </w:p>
              </w:tc>
              <w:tc>
                <w:tcPr>
                  <w:tcW w:w="3153" w:type="dxa"/>
                </w:tcPr>
                <w:p w14:paraId="016C8E79" w14:textId="77777777" w:rsidR="00CF437B" w:rsidRPr="00C8717C" w:rsidRDefault="00CF437B" w:rsidP="00CF437B">
                  <w:pPr>
                    <w:tabs>
                      <w:tab w:val="left" w:pos="0"/>
                      <w:tab w:val="left" w:pos="1156"/>
                    </w:tabs>
                    <w:jc w:val="both"/>
                    <w:rPr>
                      <w:sz w:val="24"/>
                      <w:szCs w:val="24"/>
                    </w:rPr>
                  </w:pPr>
                  <w:r w:rsidRPr="00C8717C">
                    <w:rPr>
                      <w:sz w:val="24"/>
                      <w:szCs w:val="24"/>
                    </w:rPr>
                    <w:t>C lanko svoris</w:t>
                  </w:r>
                </w:p>
              </w:tc>
              <w:tc>
                <w:tcPr>
                  <w:tcW w:w="1897" w:type="dxa"/>
                </w:tcPr>
                <w:p w14:paraId="3CA26630" w14:textId="77777777" w:rsidR="00CF437B" w:rsidRPr="00C8717C" w:rsidRDefault="00CF437B" w:rsidP="00CF437B">
                  <w:pPr>
                    <w:tabs>
                      <w:tab w:val="left" w:pos="0"/>
                      <w:tab w:val="left" w:pos="1156"/>
                    </w:tabs>
                    <w:jc w:val="both"/>
                    <w:rPr>
                      <w:sz w:val="24"/>
                      <w:szCs w:val="24"/>
                    </w:rPr>
                  </w:pPr>
                  <w:r w:rsidRPr="00C8717C">
                    <w:rPr>
                      <w:sz w:val="24"/>
                      <w:szCs w:val="24"/>
                    </w:rPr>
                    <w:t>Netaikoma</w:t>
                  </w:r>
                </w:p>
              </w:tc>
              <w:tc>
                <w:tcPr>
                  <w:tcW w:w="1898" w:type="dxa"/>
                </w:tcPr>
                <w:p w14:paraId="3D371C0D" w14:textId="77777777" w:rsidR="00CF437B" w:rsidRPr="00C8717C" w:rsidRDefault="00CF437B" w:rsidP="00CF437B">
                  <w:pPr>
                    <w:tabs>
                      <w:tab w:val="left" w:pos="0"/>
                      <w:tab w:val="left" w:pos="1156"/>
                    </w:tabs>
                    <w:jc w:val="both"/>
                    <w:rPr>
                      <w:sz w:val="24"/>
                      <w:szCs w:val="24"/>
                    </w:rPr>
                  </w:pPr>
                  <w:r w:rsidRPr="00C8717C">
                    <w:rPr>
                      <w:sz w:val="24"/>
                      <w:szCs w:val="24"/>
                    </w:rPr>
                    <w:t>≤ 350 kg</w:t>
                  </w:r>
                </w:p>
              </w:tc>
              <w:tc>
                <w:tcPr>
                  <w:tcW w:w="1898" w:type="dxa"/>
                </w:tcPr>
                <w:p w14:paraId="063BF126" w14:textId="77777777" w:rsidR="00CF437B" w:rsidRPr="00C8717C" w:rsidRDefault="00CF437B" w:rsidP="00CF437B">
                  <w:pPr>
                    <w:tabs>
                      <w:tab w:val="left" w:pos="0"/>
                      <w:tab w:val="left" w:pos="1156"/>
                    </w:tabs>
                    <w:jc w:val="both"/>
                    <w:rPr>
                      <w:sz w:val="24"/>
                      <w:szCs w:val="24"/>
                    </w:rPr>
                  </w:pPr>
                  <w:r w:rsidRPr="00C8717C">
                    <w:rPr>
                      <w:sz w:val="24"/>
                      <w:szCs w:val="24"/>
                    </w:rPr>
                    <w:t>346 kg</w:t>
                  </w:r>
                </w:p>
              </w:tc>
            </w:tr>
            <w:tr w:rsidR="00CF437B" w:rsidRPr="00C8717C" w14:paraId="2F8021D5" w14:textId="77777777" w:rsidTr="00CE1D81">
              <w:tc>
                <w:tcPr>
                  <w:tcW w:w="557" w:type="dxa"/>
                </w:tcPr>
                <w:p w14:paraId="1FA212C3" w14:textId="77777777" w:rsidR="00CF437B" w:rsidRPr="00C8717C" w:rsidRDefault="00CF437B" w:rsidP="00CF437B">
                  <w:pPr>
                    <w:tabs>
                      <w:tab w:val="left" w:pos="0"/>
                      <w:tab w:val="left" w:pos="1156"/>
                    </w:tabs>
                    <w:jc w:val="both"/>
                    <w:rPr>
                      <w:sz w:val="24"/>
                      <w:szCs w:val="24"/>
                    </w:rPr>
                  </w:pPr>
                  <w:r w:rsidRPr="00C8717C">
                    <w:rPr>
                      <w:sz w:val="24"/>
                      <w:szCs w:val="24"/>
                    </w:rPr>
                    <w:t>2.</w:t>
                  </w:r>
                </w:p>
              </w:tc>
              <w:tc>
                <w:tcPr>
                  <w:tcW w:w="3153" w:type="dxa"/>
                </w:tcPr>
                <w:p w14:paraId="27B69257" w14:textId="77777777" w:rsidR="00CF437B" w:rsidRPr="00C8717C" w:rsidRDefault="00CF437B" w:rsidP="00CF437B">
                  <w:pPr>
                    <w:tabs>
                      <w:tab w:val="left" w:pos="0"/>
                      <w:tab w:val="left" w:pos="1156"/>
                    </w:tabs>
                    <w:jc w:val="both"/>
                    <w:rPr>
                      <w:sz w:val="24"/>
                      <w:szCs w:val="24"/>
                    </w:rPr>
                  </w:pPr>
                  <w:r w:rsidRPr="00C8717C">
                    <w:rPr>
                      <w:sz w:val="24"/>
                      <w:szCs w:val="24"/>
                    </w:rPr>
                    <w:t>C lanko rentgeno vamzdžio aukštis žemiausioje pozicijoje, matuojant atstumą nuo grindų</w:t>
                  </w:r>
                </w:p>
              </w:tc>
              <w:tc>
                <w:tcPr>
                  <w:tcW w:w="1897" w:type="dxa"/>
                </w:tcPr>
                <w:p w14:paraId="2218E2BB" w14:textId="77777777" w:rsidR="00CF437B" w:rsidRPr="00C8717C" w:rsidRDefault="00CF437B" w:rsidP="00CF437B">
                  <w:pPr>
                    <w:tabs>
                      <w:tab w:val="left" w:pos="0"/>
                      <w:tab w:val="left" w:pos="1156"/>
                    </w:tabs>
                    <w:jc w:val="both"/>
                    <w:rPr>
                      <w:sz w:val="24"/>
                      <w:szCs w:val="24"/>
                    </w:rPr>
                  </w:pPr>
                  <w:r w:rsidRPr="00C8717C">
                    <w:rPr>
                      <w:sz w:val="24"/>
                      <w:szCs w:val="24"/>
                    </w:rPr>
                    <w:t>Netaikoma</w:t>
                  </w:r>
                </w:p>
              </w:tc>
              <w:tc>
                <w:tcPr>
                  <w:tcW w:w="1898" w:type="dxa"/>
                </w:tcPr>
                <w:p w14:paraId="2FBEF295" w14:textId="77777777" w:rsidR="00CF437B" w:rsidRPr="00C8717C" w:rsidRDefault="00CF437B" w:rsidP="00CF437B">
                  <w:pPr>
                    <w:tabs>
                      <w:tab w:val="left" w:pos="0"/>
                      <w:tab w:val="left" w:pos="1156"/>
                    </w:tabs>
                    <w:jc w:val="both"/>
                    <w:rPr>
                      <w:sz w:val="24"/>
                      <w:szCs w:val="24"/>
                    </w:rPr>
                  </w:pPr>
                  <w:r w:rsidRPr="00C8717C">
                    <w:rPr>
                      <w:sz w:val="24"/>
                      <w:szCs w:val="24"/>
                    </w:rPr>
                    <w:t>≤ 52 cm</w:t>
                  </w:r>
                </w:p>
              </w:tc>
              <w:tc>
                <w:tcPr>
                  <w:tcW w:w="1898" w:type="dxa"/>
                </w:tcPr>
                <w:p w14:paraId="4B6CFF04" w14:textId="77777777" w:rsidR="00CF437B" w:rsidRPr="00C8717C" w:rsidRDefault="00CF437B" w:rsidP="00CF437B">
                  <w:pPr>
                    <w:tabs>
                      <w:tab w:val="left" w:pos="0"/>
                      <w:tab w:val="left" w:pos="1156"/>
                    </w:tabs>
                    <w:jc w:val="both"/>
                    <w:rPr>
                      <w:sz w:val="24"/>
                      <w:szCs w:val="24"/>
                    </w:rPr>
                  </w:pPr>
                  <w:r w:rsidRPr="00C8717C">
                    <w:rPr>
                      <w:sz w:val="24"/>
                      <w:szCs w:val="24"/>
                    </w:rPr>
                    <w:t>50 cm</w:t>
                  </w:r>
                </w:p>
              </w:tc>
            </w:tr>
            <w:tr w:rsidR="00CF437B" w:rsidRPr="00C8717C" w14:paraId="44E4BD5B" w14:textId="77777777" w:rsidTr="00CE1D81">
              <w:tc>
                <w:tcPr>
                  <w:tcW w:w="557" w:type="dxa"/>
                </w:tcPr>
                <w:p w14:paraId="619EB900" w14:textId="77777777" w:rsidR="00CF437B" w:rsidRPr="00C8717C" w:rsidRDefault="00CF437B" w:rsidP="00CF437B">
                  <w:pPr>
                    <w:tabs>
                      <w:tab w:val="left" w:pos="0"/>
                      <w:tab w:val="left" w:pos="1156"/>
                    </w:tabs>
                    <w:jc w:val="both"/>
                    <w:rPr>
                      <w:sz w:val="24"/>
                      <w:szCs w:val="24"/>
                    </w:rPr>
                  </w:pPr>
                  <w:r w:rsidRPr="00C8717C">
                    <w:rPr>
                      <w:sz w:val="24"/>
                      <w:szCs w:val="24"/>
                    </w:rPr>
                    <w:t>3.</w:t>
                  </w:r>
                </w:p>
              </w:tc>
              <w:tc>
                <w:tcPr>
                  <w:tcW w:w="3153" w:type="dxa"/>
                </w:tcPr>
                <w:p w14:paraId="212C1FED" w14:textId="77777777" w:rsidR="00CF437B" w:rsidRPr="00C8717C" w:rsidRDefault="00CF437B" w:rsidP="00CF437B">
                  <w:pPr>
                    <w:tabs>
                      <w:tab w:val="left" w:pos="0"/>
                      <w:tab w:val="left" w:pos="1156"/>
                    </w:tabs>
                    <w:jc w:val="both"/>
                    <w:rPr>
                      <w:sz w:val="24"/>
                      <w:szCs w:val="24"/>
                    </w:rPr>
                  </w:pPr>
                  <w:r w:rsidRPr="00C8717C">
                    <w:rPr>
                      <w:sz w:val="24"/>
                      <w:szCs w:val="24"/>
                    </w:rPr>
                    <w:t>Filtravimas (bendrojo filtro storis)</w:t>
                  </w:r>
                </w:p>
              </w:tc>
              <w:tc>
                <w:tcPr>
                  <w:tcW w:w="1897" w:type="dxa"/>
                </w:tcPr>
                <w:p w14:paraId="34D1824B" w14:textId="77777777" w:rsidR="00CF437B" w:rsidRPr="00C8717C" w:rsidRDefault="00CF437B" w:rsidP="00CF437B">
                  <w:pPr>
                    <w:tabs>
                      <w:tab w:val="left" w:pos="0"/>
                      <w:tab w:val="left" w:pos="1156"/>
                    </w:tabs>
                    <w:jc w:val="both"/>
                    <w:rPr>
                      <w:sz w:val="24"/>
                      <w:szCs w:val="24"/>
                    </w:rPr>
                  </w:pPr>
                  <w:r w:rsidRPr="00C8717C">
                    <w:rPr>
                      <w:sz w:val="24"/>
                      <w:szCs w:val="24"/>
                    </w:rPr>
                    <w:t xml:space="preserve">≥ </w:t>
                  </w:r>
                  <w:r w:rsidRPr="00C8717C">
                    <w:rPr>
                      <w:sz w:val="24"/>
                      <w:szCs w:val="24"/>
                      <w:lang w:val="en-US"/>
                    </w:rPr>
                    <w:t>3</w:t>
                  </w:r>
                  <w:r w:rsidRPr="00C8717C">
                    <w:rPr>
                      <w:sz w:val="24"/>
                      <w:szCs w:val="24"/>
                    </w:rPr>
                    <w:t xml:space="preserve"> mm Al</w:t>
                  </w:r>
                </w:p>
              </w:tc>
              <w:tc>
                <w:tcPr>
                  <w:tcW w:w="1898" w:type="dxa"/>
                </w:tcPr>
                <w:p w14:paraId="64803DC0" w14:textId="77777777" w:rsidR="00CF437B" w:rsidRPr="00C8717C" w:rsidRDefault="00CF437B" w:rsidP="00CF437B">
                  <w:pPr>
                    <w:tabs>
                      <w:tab w:val="left" w:pos="0"/>
                      <w:tab w:val="left" w:pos="1156"/>
                    </w:tabs>
                    <w:jc w:val="both"/>
                    <w:rPr>
                      <w:sz w:val="24"/>
                      <w:szCs w:val="24"/>
                    </w:rPr>
                  </w:pPr>
                  <w:r w:rsidRPr="00C8717C">
                    <w:rPr>
                      <w:sz w:val="24"/>
                      <w:szCs w:val="24"/>
                    </w:rPr>
                    <w:t xml:space="preserve">≥ </w:t>
                  </w:r>
                  <w:r w:rsidRPr="00C8717C">
                    <w:rPr>
                      <w:sz w:val="24"/>
                      <w:szCs w:val="24"/>
                      <w:lang w:val="en-US"/>
                    </w:rPr>
                    <w:t>5</w:t>
                  </w:r>
                  <w:r w:rsidRPr="00C8717C">
                    <w:rPr>
                      <w:sz w:val="24"/>
                      <w:szCs w:val="24"/>
                    </w:rPr>
                    <w:t xml:space="preserve"> mm Al</w:t>
                  </w:r>
                </w:p>
              </w:tc>
              <w:tc>
                <w:tcPr>
                  <w:tcW w:w="1898" w:type="dxa"/>
                </w:tcPr>
                <w:p w14:paraId="26CDEC08" w14:textId="77777777" w:rsidR="00CF437B" w:rsidRPr="00C8717C" w:rsidRDefault="00CF437B" w:rsidP="00CF437B">
                  <w:pPr>
                    <w:tabs>
                      <w:tab w:val="left" w:pos="0"/>
                      <w:tab w:val="left" w:pos="1156"/>
                    </w:tabs>
                    <w:jc w:val="both"/>
                    <w:rPr>
                      <w:sz w:val="24"/>
                      <w:szCs w:val="24"/>
                    </w:rPr>
                  </w:pPr>
                  <w:r w:rsidRPr="00C8717C">
                    <w:rPr>
                      <w:sz w:val="24"/>
                      <w:szCs w:val="24"/>
                    </w:rPr>
                    <w:t>6,75 mm</w:t>
                  </w:r>
                </w:p>
              </w:tc>
            </w:tr>
            <w:tr w:rsidR="00CF437B" w:rsidRPr="00C8717C" w14:paraId="7E51F7AA" w14:textId="77777777" w:rsidTr="00CE1D81">
              <w:tc>
                <w:tcPr>
                  <w:tcW w:w="557" w:type="dxa"/>
                </w:tcPr>
                <w:p w14:paraId="16412CB8" w14:textId="77777777" w:rsidR="00CF437B" w:rsidRPr="00C8717C" w:rsidRDefault="00CF437B" w:rsidP="00CF437B">
                  <w:pPr>
                    <w:tabs>
                      <w:tab w:val="left" w:pos="0"/>
                      <w:tab w:val="left" w:pos="1156"/>
                    </w:tabs>
                    <w:jc w:val="both"/>
                    <w:rPr>
                      <w:sz w:val="24"/>
                      <w:szCs w:val="24"/>
                    </w:rPr>
                  </w:pPr>
                  <w:r w:rsidRPr="00C8717C">
                    <w:rPr>
                      <w:sz w:val="24"/>
                      <w:szCs w:val="24"/>
                    </w:rPr>
                    <w:t>4.</w:t>
                  </w:r>
                </w:p>
              </w:tc>
              <w:tc>
                <w:tcPr>
                  <w:tcW w:w="3153" w:type="dxa"/>
                </w:tcPr>
                <w:p w14:paraId="5D5D4E75" w14:textId="77777777" w:rsidR="00CF437B" w:rsidRPr="00C8717C" w:rsidRDefault="00CF437B" w:rsidP="00CF437B">
                  <w:pPr>
                    <w:tabs>
                      <w:tab w:val="left" w:pos="0"/>
                      <w:tab w:val="left" w:pos="1156"/>
                    </w:tabs>
                    <w:jc w:val="both"/>
                    <w:rPr>
                      <w:sz w:val="24"/>
                      <w:szCs w:val="24"/>
                    </w:rPr>
                  </w:pPr>
                  <w:r w:rsidRPr="00C8717C">
                    <w:rPr>
                      <w:sz w:val="24"/>
                      <w:szCs w:val="24"/>
                    </w:rPr>
                    <w:t>Kolimavimo sistema</w:t>
                  </w:r>
                </w:p>
              </w:tc>
              <w:tc>
                <w:tcPr>
                  <w:tcW w:w="1897" w:type="dxa"/>
                </w:tcPr>
                <w:p w14:paraId="5F97C082" w14:textId="77777777" w:rsidR="00CF437B" w:rsidRPr="00C8717C" w:rsidRDefault="00CF437B" w:rsidP="00CF437B">
                  <w:pPr>
                    <w:tabs>
                      <w:tab w:val="left" w:pos="0"/>
                      <w:tab w:val="left" w:pos="1156"/>
                    </w:tabs>
                    <w:jc w:val="both"/>
                    <w:rPr>
                      <w:sz w:val="24"/>
                      <w:szCs w:val="24"/>
                    </w:rPr>
                  </w:pPr>
                  <w:r w:rsidRPr="00C8717C">
                    <w:rPr>
                      <w:sz w:val="24"/>
                      <w:szCs w:val="24"/>
                    </w:rPr>
                    <w:t>Būtina (su galimybe atlikti kolimavimą, nenaudojant rentgeno spinduliuotės)</w:t>
                  </w:r>
                </w:p>
              </w:tc>
              <w:tc>
                <w:tcPr>
                  <w:tcW w:w="1898" w:type="dxa"/>
                </w:tcPr>
                <w:p w14:paraId="5BC12B8B" w14:textId="77777777" w:rsidR="00CF437B" w:rsidRPr="00C8717C" w:rsidRDefault="00CF437B" w:rsidP="00CF437B">
                  <w:pPr>
                    <w:tabs>
                      <w:tab w:val="left" w:pos="0"/>
                      <w:tab w:val="left" w:pos="1156"/>
                    </w:tabs>
                    <w:jc w:val="both"/>
                    <w:rPr>
                      <w:sz w:val="24"/>
                      <w:szCs w:val="24"/>
                    </w:rPr>
                  </w:pPr>
                  <w:r w:rsidRPr="00C8717C">
                    <w:rPr>
                      <w:sz w:val="24"/>
                      <w:szCs w:val="24"/>
                    </w:rPr>
                    <w:t>Būtina:</w:t>
                  </w:r>
                </w:p>
                <w:p w14:paraId="1CB0580D" w14:textId="77777777" w:rsidR="00CF437B" w:rsidRPr="00C8717C" w:rsidRDefault="00CF437B" w:rsidP="00CF437B">
                  <w:pPr>
                    <w:tabs>
                      <w:tab w:val="left" w:pos="0"/>
                      <w:tab w:val="left" w:pos="1156"/>
                    </w:tabs>
                    <w:jc w:val="both"/>
                    <w:rPr>
                      <w:sz w:val="24"/>
                      <w:szCs w:val="24"/>
                    </w:rPr>
                  </w:pPr>
                  <w:r w:rsidRPr="00C8717C">
                    <w:rPr>
                      <w:sz w:val="24"/>
                      <w:szCs w:val="24"/>
                    </w:rPr>
                    <w:t>Rainelės tipo kolimatorius;</w:t>
                  </w:r>
                </w:p>
                <w:p w14:paraId="342EBB6C" w14:textId="77777777" w:rsidR="00CF437B" w:rsidRPr="00C8717C" w:rsidRDefault="00CF437B" w:rsidP="00CF437B">
                  <w:pPr>
                    <w:tabs>
                      <w:tab w:val="left" w:pos="0"/>
                      <w:tab w:val="left" w:pos="1156"/>
                    </w:tabs>
                    <w:jc w:val="both"/>
                    <w:rPr>
                      <w:sz w:val="24"/>
                      <w:szCs w:val="24"/>
                    </w:rPr>
                  </w:pPr>
                  <w:r w:rsidRPr="00C8717C">
                    <w:rPr>
                      <w:sz w:val="24"/>
                      <w:szCs w:val="24"/>
                    </w:rPr>
                    <w:t>Plyšinio tipo kolimatorius;</w:t>
                  </w:r>
                </w:p>
                <w:p w14:paraId="7FD8E9C2" w14:textId="77777777" w:rsidR="00CF437B" w:rsidRPr="00C8717C" w:rsidRDefault="00CF437B" w:rsidP="00CF437B">
                  <w:pPr>
                    <w:tabs>
                      <w:tab w:val="left" w:pos="0"/>
                      <w:tab w:val="left" w:pos="1156"/>
                    </w:tabs>
                    <w:jc w:val="both"/>
                    <w:rPr>
                      <w:sz w:val="24"/>
                      <w:szCs w:val="24"/>
                    </w:rPr>
                  </w:pPr>
                  <w:r w:rsidRPr="00C8717C">
                    <w:rPr>
                      <w:sz w:val="24"/>
                      <w:szCs w:val="24"/>
                    </w:rPr>
                    <w:t>Virtualus kolimavimas nenaudojant rentgeno spinduliuotės</w:t>
                  </w:r>
                </w:p>
              </w:tc>
              <w:tc>
                <w:tcPr>
                  <w:tcW w:w="1898" w:type="dxa"/>
                </w:tcPr>
                <w:p w14:paraId="3F8CBB47" w14:textId="77777777" w:rsidR="00CF437B" w:rsidRPr="00C8717C" w:rsidRDefault="00CF437B" w:rsidP="00CF437B">
                  <w:pPr>
                    <w:tabs>
                      <w:tab w:val="left" w:pos="0"/>
                      <w:tab w:val="left" w:pos="1156"/>
                    </w:tabs>
                    <w:jc w:val="both"/>
                    <w:rPr>
                      <w:sz w:val="24"/>
                      <w:szCs w:val="24"/>
                    </w:rPr>
                  </w:pPr>
                  <w:r w:rsidRPr="00C8717C">
                    <w:rPr>
                      <w:sz w:val="24"/>
                      <w:szCs w:val="24"/>
                    </w:rPr>
                    <w:t>Galima pozicionuoti užraktus ar reguliuoti</w:t>
                  </w:r>
                </w:p>
                <w:p w14:paraId="14F959C1" w14:textId="2E729A88" w:rsidR="00CF437B" w:rsidRPr="00C8717C" w:rsidRDefault="00CF437B" w:rsidP="00CF437B">
                  <w:pPr>
                    <w:tabs>
                      <w:tab w:val="left" w:pos="0"/>
                      <w:tab w:val="left" w:pos="1156"/>
                    </w:tabs>
                    <w:jc w:val="both"/>
                    <w:rPr>
                      <w:sz w:val="24"/>
                      <w:szCs w:val="24"/>
                    </w:rPr>
                  </w:pPr>
                  <w:r w:rsidRPr="00C8717C">
                    <w:rPr>
                      <w:sz w:val="24"/>
                      <w:szCs w:val="24"/>
                    </w:rPr>
                    <w:t>diafragma paskutin</w:t>
                  </w:r>
                  <w:r w:rsidR="003049F5">
                    <w:rPr>
                      <w:sz w:val="24"/>
                      <w:szCs w:val="24"/>
                    </w:rPr>
                    <w:t>ė</w:t>
                  </w:r>
                  <w:r w:rsidRPr="00C8717C">
                    <w:rPr>
                      <w:sz w:val="24"/>
                      <w:szCs w:val="24"/>
                    </w:rPr>
                    <w:t>je rentgeno nuotraukoje (Paskutinio</w:t>
                  </w:r>
                </w:p>
                <w:p w14:paraId="3CF4F51D" w14:textId="77777777" w:rsidR="00CF437B" w:rsidRPr="00C8717C" w:rsidRDefault="00CF437B" w:rsidP="00CF437B">
                  <w:pPr>
                    <w:tabs>
                      <w:tab w:val="left" w:pos="0"/>
                      <w:tab w:val="left" w:pos="1156"/>
                    </w:tabs>
                    <w:jc w:val="both"/>
                    <w:rPr>
                      <w:sz w:val="24"/>
                      <w:szCs w:val="24"/>
                    </w:rPr>
                  </w:pPr>
                  <w:r w:rsidRPr="00C8717C">
                    <w:rPr>
                      <w:sz w:val="24"/>
                      <w:szCs w:val="24"/>
                    </w:rPr>
                    <w:t>vaizdo užlaikymas), kadangi galima užraktus ar</w:t>
                  </w:r>
                </w:p>
                <w:p w14:paraId="1C6C35A0" w14:textId="77777777" w:rsidR="00CF437B" w:rsidRPr="00C8717C" w:rsidRDefault="00CF437B" w:rsidP="00CF437B">
                  <w:pPr>
                    <w:tabs>
                      <w:tab w:val="left" w:pos="0"/>
                      <w:tab w:val="left" w:pos="1156"/>
                    </w:tabs>
                    <w:jc w:val="both"/>
                    <w:rPr>
                      <w:sz w:val="24"/>
                      <w:szCs w:val="24"/>
                    </w:rPr>
                  </w:pPr>
                  <w:r w:rsidRPr="00C8717C">
                    <w:rPr>
                      <w:sz w:val="24"/>
                      <w:szCs w:val="24"/>
                    </w:rPr>
                    <w:t>diafragma pozicionuoti neatliekant fluoroskopijos.</w:t>
                  </w:r>
                </w:p>
              </w:tc>
            </w:tr>
            <w:tr w:rsidR="00CF437B" w:rsidRPr="00C8717C" w14:paraId="75221F57" w14:textId="77777777" w:rsidTr="00CE1D81">
              <w:tc>
                <w:tcPr>
                  <w:tcW w:w="557" w:type="dxa"/>
                </w:tcPr>
                <w:p w14:paraId="29972BF8" w14:textId="77777777" w:rsidR="00CF437B" w:rsidRPr="00C8717C" w:rsidRDefault="00CF437B" w:rsidP="00CF437B">
                  <w:pPr>
                    <w:tabs>
                      <w:tab w:val="left" w:pos="0"/>
                      <w:tab w:val="left" w:pos="1156"/>
                    </w:tabs>
                    <w:jc w:val="both"/>
                    <w:rPr>
                      <w:sz w:val="24"/>
                      <w:szCs w:val="24"/>
                    </w:rPr>
                  </w:pPr>
                  <w:r w:rsidRPr="00C8717C">
                    <w:rPr>
                      <w:sz w:val="24"/>
                      <w:szCs w:val="24"/>
                    </w:rPr>
                    <w:t>5.</w:t>
                  </w:r>
                </w:p>
              </w:tc>
              <w:tc>
                <w:tcPr>
                  <w:tcW w:w="3153" w:type="dxa"/>
                </w:tcPr>
                <w:p w14:paraId="277EA2A3" w14:textId="77777777" w:rsidR="00CF437B" w:rsidRPr="00C8717C" w:rsidRDefault="00CF437B" w:rsidP="00CF437B">
                  <w:pPr>
                    <w:tabs>
                      <w:tab w:val="left" w:pos="0"/>
                      <w:tab w:val="left" w:pos="1156"/>
                    </w:tabs>
                    <w:jc w:val="both"/>
                    <w:rPr>
                      <w:sz w:val="24"/>
                      <w:szCs w:val="24"/>
                    </w:rPr>
                  </w:pPr>
                  <w:r w:rsidRPr="00C8717C">
                    <w:rPr>
                      <w:sz w:val="24"/>
                      <w:szCs w:val="24"/>
                    </w:rPr>
                    <w:t>Detektoriaus raiška</w:t>
                  </w:r>
                </w:p>
              </w:tc>
              <w:tc>
                <w:tcPr>
                  <w:tcW w:w="1897" w:type="dxa"/>
                </w:tcPr>
                <w:p w14:paraId="4031FD04" w14:textId="77777777" w:rsidR="00CF437B" w:rsidRPr="00C8717C" w:rsidRDefault="00CF437B" w:rsidP="00CF437B">
                  <w:pPr>
                    <w:tabs>
                      <w:tab w:val="left" w:pos="0"/>
                      <w:tab w:val="left" w:pos="1156"/>
                    </w:tabs>
                    <w:jc w:val="both"/>
                    <w:rPr>
                      <w:sz w:val="24"/>
                      <w:szCs w:val="24"/>
                    </w:rPr>
                  </w:pPr>
                  <w:r w:rsidRPr="00C8717C">
                    <w:rPr>
                      <w:sz w:val="24"/>
                      <w:szCs w:val="24"/>
                    </w:rPr>
                    <w:t>≥ (1500 x 1400) taškų</w:t>
                  </w:r>
                </w:p>
              </w:tc>
              <w:tc>
                <w:tcPr>
                  <w:tcW w:w="1898" w:type="dxa"/>
                </w:tcPr>
                <w:p w14:paraId="58C445F6" w14:textId="77777777" w:rsidR="00CF437B" w:rsidRPr="00C8717C" w:rsidRDefault="00CF437B" w:rsidP="00CF437B">
                  <w:pPr>
                    <w:tabs>
                      <w:tab w:val="left" w:pos="0"/>
                      <w:tab w:val="left" w:pos="1156"/>
                    </w:tabs>
                    <w:jc w:val="both"/>
                    <w:rPr>
                      <w:sz w:val="24"/>
                      <w:szCs w:val="24"/>
                    </w:rPr>
                  </w:pPr>
                  <w:r w:rsidRPr="00C8717C">
                    <w:rPr>
                      <w:sz w:val="24"/>
                      <w:szCs w:val="24"/>
                    </w:rPr>
                    <w:t>≥ (1548 x 1420) taškų</w:t>
                  </w:r>
                </w:p>
              </w:tc>
              <w:tc>
                <w:tcPr>
                  <w:tcW w:w="1898" w:type="dxa"/>
                </w:tcPr>
                <w:p w14:paraId="7CBCE174" w14:textId="77777777" w:rsidR="00CF437B" w:rsidRPr="00C8717C" w:rsidRDefault="00CF437B" w:rsidP="00CF437B">
                  <w:pPr>
                    <w:tabs>
                      <w:tab w:val="left" w:pos="0"/>
                      <w:tab w:val="left" w:pos="1156"/>
                    </w:tabs>
                    <w:jc w:val="both"/>
                    <w:rPr>
                      <w:sz w:val="24"/>
                      <w:szCs w:val="24"/>
                    </w:rPr>
                  </w:pPr>
                  <w:r w:rsidRPr="00C8717C">
                    <w:rPr>
                      <w:sz w:val="24"/>
                      <w:szCs w:val="24"/>
                    </w:rPr>
                    <w:t>1560 x 1420 taškų</w:t>
                  </w:r>
                </w:p>
              </w:tc>
            </w:tr>
            <w:tr w:rsidR="00CF437B" w:rsidRPr="00C8717C" w14:paraId="0D5EB21E" w14:textId="77777777" w:rsidTr="00CE1D81">
              <w:tc>
                <w:tcPr>
                  <w:tcW w:w="557" w:type="dxa"/>
                </w:tcPr>
                <w:p w14:paraId="391944B7" w14:textId="77777777" w:rsidR="00CF437B" w:rsidRPr="00C8717C" w:rsidRDefault="00CF437B" w:rsidP="00CF437B">
                  <w:pPr>
                    <w:tabs>
                      <w:tab w:val="left" w:pos="0"/>
                      <w:tab w:val="left" w:pos="1156"/>
                    </w:tabs>
                    <w:jc w:val="both"/>
                    <w:rPr>
                      <w:sz w:val="24"/>
                      <w:szCs w:val="24"/>
                    </w:rPr>
                  </w:pPr>
                  <w:r w:rsidRPr="00C8717C">
                    <w:rPr>
                      <w:sz w:val="24"/>
                      <w:szCs w:val="24"/>
                    </w:rPr>
                    <w:t>6.</w:t>
                  </w:r>
                </w:p>
              </w:tc>
              <w:tc>
                <w:tcPr>
                  <w:tcW w:w="3153" w:type="dxa"/>
                </w:tcPr>
                <w:p w14:paraId="196E00EA" w14:textId="77777777" w:rsidR="00CF437B" w:rsidRPr="00C8717C" w:rsidRDefault="00CF437B" w:rsidP="00CF437B">
                  <w:pPr>
                    <w:tabs>
                      <w:tab w:val="left" w:pos="0"/>
                      <w:tab w:val="left" w:pos="1156"/>
                    </w:tabs>
                    <w:jc w:val="both"/>
                    <w:rPr>
                      <w:sz w:val="24"/>
                      <w:szCs w:val="24"/>
                    </w:rPr>
                  </w:pPr>
                  <w:r w:rsidRPr="00C8717C">
                    <w:rPr>
                      <w:sz w:val="24"/>
                      <w:szCs w:val="24"/>
                    </w:rPr>
                    <w:t>Dinaminis diapazonas</w:t>
                  </w:r>
                </w:p>
              </w:tc>
              <w:tc>
                <w:tcPr>
                  <w:tcW w:w="1897" w:type="dxa"/>
                </w:tcPr>
                <w:p w14:paraId="2C25E215" w14:textId="77777777" w:rsidR="00CF437B" w:rsidRPr="00C8717C" w:rsidRDefault="00CF437B" w:rsidP="00CF437B">
                  <w:pPr>
                    <w:tabs>
                      <w:tab w:val="left" w:pos="0"/>
                      <w:tab w:val="left" w:pos="1156"/>
                    </w:tabs>
                    <w:jc w:val="both"/>
                    <w:rPr>
                      <w:sz w:val="24"/>
                      <w:szCs w:val="24"/>
                    </w:rPr>
                  </w:pPr>
                  <w:r w:rsidRPr="00C8717C">
                    <w:rPr>
                      <w:sz w:val="24"/>
                      <w:szCs w:val="24"/>
                    </w:rPr>
                    <w:t>Netaikoma</w:t>
                  </w:r>
                </w:p>
              </w:tc>
              <w:tc>
                <w:tcPr>
                  <w:tcW w:w="1898" w:type="dxa"/>
                </w:tcPr>
                <w:p w14:paraId="445F07A3" w14:textId="77777777" w:rsidR="00CF437B" w:rsidRPr="00C8717C" w:rsidRDefault="00CF437B" w:rsidP="00CF437B">
                  <w:pPr>
                    <w:tabs>
                      <w:tab w:val="left" w:pos="0"/>
                      <w:tab w:val="left" w:pos="1156"/>
                    </w:tabs>
                    <w:jc w:val="both"/>
                    <w:rPr>
                      <w:sz w:val="24"/>
                      <w:szCs w:val="24"/>
                    </w:rPr>
                  </w:pPr>
                  <w:r w:rsidRPr="00C8717C">
                    <w:rPr>
                      <w:sz w:val="24"/>
                      <w:szCs w:val="24"/>
                    </w:rPr>
                    <w:t>≥ 95 dB</w:t>
                  </w:r>
                </w:p>
              </w:tc>
              <w:tc>
                <w:tcPr>
                  <w:tcW w:w="1898" w:type="dxa"/>
                </w:tcPr>
                <w:p w14:paraId="0CB4C10C" w14:textId="77777777" w:rsidR="00CF437B" w:rsidRPr="00C8717C" w:rsidRDefault="00CF437B" w:rsidP="00CF437B">
                  <w:pPr>
                    <w:tabs>
                      <w:tab w:val="left" w:pos="0"/>
                      <w:tab w:val="left" w:pos="1156"/>
                    </w:tabs>
                    <w:jc w:val="both"/>
                    <w:rPr>
                      <w:sz w:val="24"/>
                      <w:szCs w:val="24"/>
                    </w:rPr>
                  </w:pPr>
                  <w:r w:rsidRPr="00C8717C">
                    <w:rPr>
                      <w:sz w:val="24"/>
                      <w:szCs w:val="24"/>
                    </w:rPr>
                    <w:t>96 dB</w:t>
                  </w:r>
                </w:p>
              </w:tc>
            </w:tr>
            <w:tr w:rsidR="00CF437B" w:rsidRPr="00C8717C" w14:paraId="25A6F58A" w14:textId="77777777" w:rsidTr="00CE1D81">
              <w:tc>
                <w:tcPr>
                  <w:tcW w:w="557" w:type="dxa"/>
                </w:tcPr>
                <w:p w14:paraId="04E3EAB0" w14:textId="77777777" w:rsidR="00CF437B" w:rsidRPr="00C8717C" w:rsidRDefault="00CF437B" w:rsidP="00CF437B">
                  <w:pPr>
                    <w:tabs>
                      <w:tab w:val="left" w:pos="0"/>
                      <w:tab w:val="left" w:pos="1156"/>
                    </w:tabs>
                    <w:jc w:val="both"/>
                    <w:rPr>
                      <w:sz w:val="24"/>
                      <w:szCs w:val="24"/>
                    </w:rPr>
                  </w:pPr>
                  <w:r w:rsidRPr="00C8717C">
                    <w:rPr>
                      <w:sz w:val="24"/>
                      <w:szCs w:val="24"/>
                    </w:rPr>
                    <w:t>7.</w:t>
                  </w:r>
                </w:p>
              </w:tc>
              <w:tc>
                <w:tcPr>
                  <w:tcW w:w="3153" w:type="dxa"/>
                </w:tcPr>
                <w:p w14:paraId="36AF27D9" w14:textId="77777777" w:rsidR="00CF437B" w:rsidRPr="00C8717C" w:rsidRDefault="00CF437B" w:rsidP="00CF437B">
                  <w:pPr>
                    <w:tabs>
                      <w:tab w:val="left" w:pos="0"/>
                      <w:tab w:val="left" w:pos="1156"/>
                    </w:tabs>
                    <w:jc w:val="both"/>
                    <w:rPr>
                      <w:sz w:val="24"/>
                      <w:szCs w:val="24"/>
                    </w:rPr>
                  </w:pPr>
                  <w:r w:rsidRPr="00C8717C">
                    <w:rPr>
                      <w:sz w:val="24"/>
                      <w:szCs w:val="24"/>
                    </w:rPr>
                    <w:t>Vaizdų apdorojimo galimybės</w:t>
                  </w:r>
                </w:p>
              </w:tc>
              <w:tc>
                <w:tcPr>
                  <w:tcW w:w="1897" w:type="dxa"/>
                </w:tcPr>
                <w:p w14:paraId="7898755D" w14:textId="77777777" w:rsidR="00CF437B" w:rsidRPr="00C8717C" w:rsidRDefault="00CF437B" w:rsidP="00CF437B">
                  <w:pPr>
                    <w:tabs>
                      <w:tab w:val="left" w:pos="0"/>
                      <w:tab w:val="left" w:pos="1156"/>
                    </w:tabs>
                    <w:jc w:val="both"/>
                    <w:rPr>
                      <w:sz w:val="24"/>
                      <w:szCs w:val="24"/>
                    </w:rPr>
                  </w:pPr>
                  <w:r w:rsidRPr="00C8717C">
                    <w:rPr>
                      <w:sz w:val="24"/>
                      <w:szCs w:val="24"/>
                    </w:rPr>
                    <w:t>Vaizdo padidinimas kadrų ir CINE vaizdų peržiūros metu</w:t>
                  </w:r>
                </w:p>
              </w:tc>
              <w:tc>
                <w:tcPr>
                  <w:tcW w:w="1898" w:type="dxa"/>
                </w:tcPr>
                <w:p w14:paraId="0BDB6035" w14:textId="77777777" w:rsidR="00CF437B" w:rsidRPr="00C8717C" w:rsidRDefault="00CF437B" w:rsidP="00CF437B">
                  <w:pPr>
                    <w:tabs>
                      <w:tab w:val="left" w:pos="0"/>
                      <w:tab w:val="left" w:pos="1156"/>
                    </w:tabs>
                    <w:jc w:val="both"/>
                    <w:rPr>
                      <w:sz w:val="24"/>
                      <w:szCs w:val="24"/>
                    </w:rPr>
                  </w:pPr>
                  <w:r w:rsidRPr="00C8717C">
                    <w:rPr>
                      <w:sz w:val="24"/>
                      <w:szCs w:val="24"/>
                    </w:rPr>
                    <w:t>Vaizdo padidinimas kadrų ir CINE vaizdų peržiūros metu (visos serijos stebėjimui padidintame vaizde)</w:t>
                  </w:r>
                </w:p>
              </w:tc>
              <w:tc>
                <w:tcPr>
                  <w:tcW w:w="1898" w:type="dxa"/>
                </w:tcPr>
                <w:p w14:paraId="7A06889F" w14:textId="77777777" w:rsidR="00CF437B" w:rsidRPr="00C8717C" w:rsidRDefault="00CF437B" w:rsidP="00CF437B">
                  <w:pPr>
                    <w:tabs>
                      <w:tab w:val="left" w:pos="0"/>
                      <w:tab w:val="left" w:pos="1156"/>
                    </w:tabs>
                    <w:jc w:val="both"/>
                    <w:rPr>
                      <w:sz w:val="24"/>
                      <w:szCs w:val="24"/>
                    </w:rPr>
                  </w:pPr>
                  <w:r w:rsidRPr="00C8717C">
                    <w:rPr>
                      <w:sz w:val="24"/>
                      <w:szCs w:val="24"/>
                    </w:rPr>
                    <w:t>Priartinimas ir judėjimas (2x padidinimas realiuoju laiku,</w:t>
                  </w:r>
                </w:p>
                <w:p w14:paraId="67B444E1" w14:textId="77777777" w:rsidR="00CF437B" w:rsidRPr="00C8717C" w:rsidRDefault="00CF437B" w:rsidP="00CF437B">
                  <w:pPr>
                    <w:tabs>
                      <w:tab w:val="left" w:pos="0"/>
                      <w:tab w:val="left" w:pos="1156"/>
                    </w:tabs>
                    <w:jc w:val="both"/>
                    <w:rPr>
                      <w:sz w:val="24"/>
                      <w:szCs w:val="24"/>
                    </w:rPr>
                  </w:pPr>
                  <w:r w:rsidRPr="00C8717C">
                    <w:rPr>
                      <w:sz w:val="24"/>
                      <w:szCs w:val="24"/>
                    </w:rPr>
                    <w:t>laisvai perkeliamas i bet kuria statinio vaizdo dalį ar</w:t>
                  </w:r>
                </w:p>
                <w:p w14:paraId="09C3552B" w14:textId="77777777" w:rsidR="00CF437B" w:rsidRPr="00C8717C" w:rsidRDefault="00CF437B" w:rsidP="00CF437B">
                  <w:pPr>
                    <w:tabs>
                      <w:tab w:val="left" w:pos="0"/>
                      <w:tab w:val="left" w:pos="1156"/>
                    </w:tabs>
                    <w:jc w:val="both"/>
                    <w:rPr>
                      <w:sz w:val="24"/>
                      <w:szCs w:val="24"/>
                    </w:rPr>
                  </w:pPr>
                  <w:r w:rsidRPr="00C8717C">
                    <w:rPr>
                      <w:sz w:val="24"/>
                      <w:szCs w:val="24"/>
                    </w:rPr>
                    <w:t>dinaminių Cine vaizdų peržiūros metu).</w:t>
                  </w:r>
                </w:p>
              </w:tc>
            </w:tr>
          </w:tbl>
          <w:p w14:paraId="2EC09BEC" w14:textId="44478A15" w:rsidR="00341B43" w:rsidRDefault="00824BCD" w:rsidP="00397900">
            <w:pPr>
              <w:ind w:firstLine="738"/>
              <w:jc w:val="both"/>
              <w:rPr>
                <w:rFonts w:eastAsia="Calibri"/>
                <w:sz w:val="24"/>
                <w:szCs w:val="24"/>
              </w:rPr>
            </w:pPr>
            <w:r>
              <w:rPr>
                <w:sz w:val="24"/>
                <w:szCs w:val="24"/>
              </w:rPr>
              <w:t>Atsižvelgiant į</w:t>
            </w:r>
            <w:r w:rsidR="00B50022">
              <w:rPr>
                <w:sz w:val="24"/>
                <w:szCs w:val="24"/>
              </w:rPr>
              <w:t xml:space="preserve"> nurodytus pakeitimus</w:t>
            </w:r>
            <w:r w:rsidR="00341B43">
              <w:rPr>
                <w:sz w:val="24"/>
                <w:szCs w:val="24"/>
              </w:rPr>
              <w:t xml:space="preserve">, </w:t>
            </w:r>
            <w:r w:rsidR="00B50022">
              <w:rPr>
                <w:sz w:val="24"/>
                <w:szCs w:val="24"/>
              </w:rPr>
              <w:t>Tarnyba konstatuoja</w:t>
            </w:r>
            <w:r>
              <w:rPr>
                <w:sz w:val="24"/>
                <w:szCs w:val="24"/>
              </w:rPr>
              <w:t xml:space="preserve">, kad </w:t>
            </w:r>
            <w:r w:rsidR="00096825">
              <w:rPr>
                <w:sz w:val="24"/>
                <w:szCs w:val="24"/>
              </w:rPr>
              <w:t xml:space="preserve">Techninės </w:t>
            </w:r>
            <w:r w:rsidR="002812C5">
              <w:rPr>
                <w:sz w:val="24"/>
                <w:szCs w:val="24"/>
              </w:rPr>
              <w:t xml:space="preserve">specifikacijos </w:t>
            </w:r>
            <w:r w:rsidR="00096825">
              <w:rPr>
                <w:sz w:val="24"/>
                <w:szCs w:val="24"/>
              </w:rPr>
              <w:t xml:space="preserve">Nr. 2 </w:t>
            </w:r>
            <w:r w:rsidR="002812C5">
              <w:rPr>
                <w:sz w:val="24"/>
                <w:szCs w:val="24"/>
              </w:rPr>
              <w:t>reikalavim</w:t>
            </w:r>
            <w:r w:rsidR="00341B43">
              <w:rPr>
                <w:sz w:val="24"/>
                <w:szCs w:val="24"/>
              </w:rPr>
              <w:t>ai</w:t>
            </w:r>
            <w:r w:rsidR="002812C5">
              <w:rPr>
                <w:sz w:val="24"/>
                <w:szCs w:val="24"/>
              </w:rPr>
              <w:t xml:space="preserve"> </w:t>
            </w:r>
            <w:r w:rsidR="00B50022">
              <w:rPr>
                <w:sz w:val="24"/>
                <w:szCs w:val="24"/>
              </w:rPr>
              <w:t>buvo susiaurinti</w:t>
            </w:r>
            <w:r w:rsidR="00C05C9D">
              <w:rPr>
                <w:sz w:val="24"/>
                <w:szCs w:val="24"/>
              </w:rPr>
              <w:t xml:space="preserve"> </w:t>
            </w:r>
            <w:r w:rsidR="002812C5">
              <w:rPr>
                <w:sz w:val="24"/>
                <w:szCs w:val="24"/>
              </w:rPr>
              <w:t xml:space="preserve">tiek, kad </w:t>
            </w:r>
            <w:r w:rsidR="002812C5">
              <w:rPr>
                <w:rFonts w:eastAsia="Calibri"/>
                <w:sz w:val="24"/>
                <w:szCs w:val="24"/>
              </w:rPr>
              <w:t xml:space="preserve">UAB „Arbor Medical Corporation LT“ siūlomas rentgeno aparatas </w:t>
            </w:r>
            <w:r w:rsidR="002812C5" w:rsidRPr="00C8717C">
              <w:rPr>
                <w:rFonts w:eastAsia="Calibri"/>
                <w:sz w:val="24"/>
                <w:szCs w:val="24"/>
              </w:rPr>
              <w:t>Philips Veradius Unity</w:t>
            </w:r>
            <w:r w:rsidR="002812C5">
              <w:rPr>
                <w:rFonts w:eastAsia="Calibri"/>
                <w:sz w:val="24"/>
                <w:szCs w:val="24"/>
              </w:rPr>
              <w:t xml:space="preserve"> beveik identiškai atitiko</w:t>
            </w:r>
            <w:r w:rsidR="00C57D0E">
              <w:rPr>
                <w:rFonts w:eastAsia="Calibri"/>
                <w:sz w:val="24"/>
                <w:szCs w:val="24"/>
              </w:rPr>
              <w:t xml:space="preserve"> </w:t>
            </w:r>
            <w:r w:rsidR="00096825">
              <w:rPr>
                <w:rFonts w:eastAsia="Calibri"/>
                <w:sz w:val="24"/>
                <w:szCs w:val="24"/>
              </w:rPr>
              <w:t xml:space="preserve">Techninėje specifikacijoje Nr. 2 </w:t>
            </w:r>
            <w:r w:rsidR="00C57D0E">
              <w:rPr>
                <w:rFonts w:eastAsia="Calibri"/>
                <w:sz w:val="24"/>
                <w:szCs w:val="24"/>
              </w:rPr>
              <w:t>nustatytus</w:t>
            </w:r>
            <w:r w:rsidR="002812C5">
              <w:rPr>
                <w:rFonts w:eastAsia="Calibri"/>
                <w:sz w:val="24"/>
                <w:szCs w:val="24"/>
              </w:rPr>
              <w:t xml:space="preserve"> reikalavimus. </w:t>
            </w:r>
          </w:p>
          <w:p w14:paraId="51152050" w14:textId="66AFC453" w:rsidR="002812C5" w:rsidRPr="007D026E" w:rsidRDefault="002812C5" w:rsidP="00397900">
            <w:pPr>
              <w:ind w:firstLine="738"/>
              <w:jc w:val="both"/>
              <w:rPr>
                <w:sz w:val="24"/>
                <w:szCs w:val="24"/>
              </w:rPr>
            </w:pPr>
            <w:r>
              <w:rPr>
                <w:rFonts w:eastAsia="Calibri"/>
                <w:sz w:val="24"/>
                <w:szCs w:val="24"/>
              </w:rPr>
              <w:t xml:space="preserve">Sistemiškai vertinant Pirkimo Nr. 1 pirmosios pirkimo dalies nutraukimo priežastis bei vėliau atliktus pakeitimus vykdant Pirkimą Nr. 2, o taip pat tai, kad Perkančioji organizacija neįrodė rinkoje egzistuojant daugiau </w:t>
            </w:r>
            <w:r w:rsidR="00096825">
              <w:rPr>
                <w:rFonts w:eastAsia="Calibri"/>
                <w:sz w:val="24"/>
                <w:szCs w:val="24"/>
              </w:rPr>
              <w:t xml:space="preserve">Techninėje specifikacijoje Nr. 2 </w:t>
            </w:r>
            <w:r>
              <w:rPr>
                <w:rFonts w:eastAsia="Calibri"/>
                <w:sz w:val="24"/>
                <w:szCs w:val="24"/>
              </w:rPr>
              <w:t>nustatytus reikalavimus atitinkančių prekių,</w:t>
            </w:r>
            <w:r w:rsidR="00290AA2">
              <w:rPr>
                <w:sz w:val="24"/>
                <w:szCs w:val="24"/>
              </w:rPr>
              <w:t xml:space="preserve"> </w:t>
            </w:r>
            <w:r w:rsidR="00290AA2">
              <w:rPr>
                <w:sz w:val="24"/>
                <w:szCs w:val="24"/>
              </w:rPr>
              <w:lastRenderedPageBreak/>
              <w:t xml:space="preserve">darytina išvada, kad Pirkimo Nr. 2 </w:t>
            </w:r>
            <w:r w:rsidR="00096825">
              <w:rPr>
                <w:sz w:val="24"/>
                <w:szCs w:val="24"/>
              </w:rPr>
              <w:t xml:space="preserve">Techninės </w:t>
            </w:r>
            <w:r w:rsidR="00290AA2">
              <w:rPr>
                <w:sz w:val="24"/>
                <w:szCs w:val="24"/>
              </w:rPr>
              <w:t xml:space="preserve">specifikacijos </w:t>
            </w:r>
            <w:r w:rsidR="00096825">
              <w:rPr>
                <w:sz w:val="24"/>
                <w:szCs w:val="24"/>
              </w:rPr>
              <w:t xml:space="preserve">Nr. 2 </w:t>
            </w:r>
            <w:r w:rsidR="00290AA2">
              <w:rPr>
                <w:sz w:val="24"/>
                <w:szCs w:val="24"/>
              </w:rPr>
              <w:t xml:space="preserve">reikalavimai dirbtinai </w:t>
            </w:r>
            <w:r w:rsidR="00737BB5">
              <w:rPr>
                <w:sz w:val="24"/>
                <w:szCs w:val="24"/>
              </w:rPr>
              <w:t xml:space="preserve">apribojo </w:t>
            </w:r>
            <w:r w:rsidR="00290AA2">
              <w:rPr>
                <w:sz w:val="24"/>
                <w:szCs w:val="24"/>
              </w:rPr>
              <w:t xml:space="preserve">tiekėjų konkurenciją ir dėl to buvo sudarytos palankesnės sąlygos tiekėjui </w:t>
            </w:r>
            <w:r w:rsidR="00290AA2">
              <w:rPr>
                <w:rFonts w:eastAsia="Calibri"/>
                <w:sz w:val="24"/>
                <w:szCs w:val="24"/>
              </w:rPr>
              <w:t>UAB „Arbor Medical Corporation LT</w:t>
            </w:r>
            <w:r w:rsidR="003922D2">
              <w:rPr>
                <w:rFonts w:eastAsia="Calibri"/>
                <w:sz w:val="24"/>
                <w:szCs w:val="24"/>
              </w:rPr>
              <w:t>“</w:t>
            </w:r>
            <w:r w:rsidR="00290AA2">
              <w:rPr>
                <w:rFonts w:eastAsia="Calibri"/>
                <w:sz w:val="24"/>
                <w:szCs w:val="24"/>
              </w:rPr>
              <w:t xml:space="preserve"> laimėti Pirkimą Nr. 2</w:t>
            </w:r>
            <w:r w:rsidR="00824BCD">
              <w:rPr>
                <w:sz w:val="24"/>
                <w:szCs w:val="24"/>
              </w:rPr>
              <w:t>.</w:t>
            </w:r>
            <w:r w:rsidR="00397900">
              <w:rPr>
                <w:sz w:val="24"/>
                <w:szCs w:val="24"/>
              </w:rPr>
              <w:t xml:space="preserve"> Tokiu būdu Perkančioji organizacija pažeidė Įstatymo 17 str. 3 d.</w:t>
            </w:r>
            <w:r w:rsidR="000C005B">
              <w:rPr>
                <w:sz w:val="24"/>
                <w:szCs w:val="24"/>
              </w:rPr>
              <w:t>, 37 str. 3 d. ir Įstatymo 17 str. 1 d. įtvirtintą skaidrumo principą.</w:t>
            </w:r>
          </w:p>
          <w:p w14:paraId="4F99EF72" w14:textId="2871711F" w:rsidR="008C0E25" w:rsidRPr="00C26725" w:rsidRDefault="008C0E25" w:rsidP="00A3715B">
            <w:pPr>
              <w:ind w:firstLine="738"/>
              <w:jc w:val="both"/>
              <w:rPr>
                <w:sz w:val="24"/>
                <w:szCs w:val="24"/>
              </w:rPr>
            </w:pPr>
          </w:p>
        </w:tc>
      </w:tr>
    </w:tbl>
    <w:p w14:paraId="622C9543" w14:textId="6B8D487F" w:rsidR="00FC780C" w:rsidRPr="00671F6B" w:rsidRDefault="00FC780C" w:rsidP="0088148E">
      <w:pPr>
        <w:jc w:val="center"/>
        <w:rPr>
          <w:rFonts w:eastAsia="Calibri"/>
          <w:b/>
          <w:sz w:val="24"/>
          <w:szCs w:val="24"/>
        </w:rPr>
      </w:pPr>
    </w:p>
    <w:p w14:paraId="1FFFED4F" w14:textId="77777777" w:rsidR="0088148E" w:rsidRPr="00671F6B" w:rsidRDefault="001372F6" w:rsidP="00DB5DAD">
      <w:pPr>
        <w:jc w:val="center"/>
        <w:rPr>
          <w:b/>
          <w:bCs/>
          <w:sz w:val="24"/>
          <w:szCs w:val="24"/>
        </w:rPr>
      </w:pPr>
      <w:r w:rsidRPr="00671F6B">
        <w:rPr>
          <w:b/>
          <w:bCs/>
          <w:sz w:val="24"/>
          <w:szCs w:val="24"/>
        </w:rPr>
        <w:t>III dalis. Kiti nustatyti pažeidimai</w:t>
      </w:r>
    </w:p>
    <w:p w14:paraId="383FC02C" w14:textId="77777777" w:rsidR="001372F6" w:rsidRPr="00671F6B"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671F6B" w14:paraId="3D5AD1F4" w14:textId="77777777" w:rsidTr="00EF7C5F">
        <w:tc>
          <w:tcPr>
            <w:tcW w:w="421" w:type="dxa"/>
            <w:shd w:val="clear" w:color="auto" w:fill="auto"/>
            <w:vAlign w:val="center"/>
          </w:tcPr>
          <w:p w14:paraId="00BC34F9" w14:textId="77777777" w:rsidR="0088148E" w:rsidRPr="00671F6B" w:rsidRDefault="0088148E" w:rsidP="00041F7F">
            <w:pPr>
              <w:tabs>
                <w:tab w:val="left" w:pos="0"/>
              </w:tabs>
              <w:spacing w:after="160" w:line="259" w:lineRule="auto"/>
              <w:ind w:left="360" w:right="172"/>
              <w:contextualSpacing/>
              <w:jc w:val="center"/>
              <w:rPr>
                <w:rFonts w:eastAsia="Calibri"/>
                <w:sz w:val="24"/>
                <w:szCs w:val="24"/>
              </w:rPr>
            </w:pPr>
          </w:p>
        </w:tc>
        <w:tc>
          <w:tcPr>
            <w:tcW w:w="9323" w:type="dxa"/>
            <w:shd w:val="clear" w:color="auto" w:fill="auto"/>
          </w:tcPr>
          <w:p w14:paraId="4F48F7E4" w14:textId="69C19DF8" w:rsidR="0088148E" w:rsidRPr="00671F6B" w:rsidRDefault="0088148E" w:rsidP="0088148E">
            <w:pPr>
              <w:tabs>
                <w:tab w:val="left" w:pos="993"/>
              </w:tabs>
              <w:jc w:val="both"/>
              <w:rPr>
                <w:bCs/>
                <w:sz w:val="24"/>
                <w:szCs w:val="24"/>
              </w:rPr>
            </w:pPr>
          </w:p>
        </w:tc>
      </w:tr>
      <w:tr w:rsidR="00CB04A1" w:rsidRPr="00671F6B" w14:paraId="760002AB" w14:textId="77777777" w:rsidTr="00EF7C5F">
        <w:tc>
          <w:tcPr>
            <w:tcW w:w="9744" w:type="dxa"/>
            <w:gridSpan w:val="2"/>
            <w:shd w:val="clear" w:color="auto" w:fill="auto"/>
            <w:vAlign w:val="center"/>
          </w:tcPr>
          <w:p w14:paraId="603540B3" w14:textId="00342398" w:rsidR="002E480C" w:rsidRPr="00671F6B" w:rsidRDefault="002E480C" w:rsidP="002E480C">
            <w:pPr>
              <w:tabs>
                <w:tab w:val="left" w:pos="993"/>
              </w:tabs>
              <w:ind w:firstLine="731"/>
              <w:jc w:val="both"/>
              <w:rPr>
                <w:sz w:val="24"/>
                <w:szCs w:val="24"/>
              </w:rPr>
            </w:pPr>
          </w:p>
        </w:tc>
      </w:tr>
    </w:tbl>
    <w:p w14:paraId="4050BCED" w14:textId="77777777" w:rsidR="00F62B6A" w:rsidRPr="00671F6B" w:rsidRDefault="00F62B6A" w:rsidP="0088148E">
      <w:pPr>
        <w:jc w:val="center"/>
        <w:rPr>
          <w:rFonts w:eastAsia="Calibri"/>
          <w:b/>
          <w:sz w:val="24"/>
          <w:szCs w:val="24"/>
        </w:rPr>
      </w:pPr>
    </w:p>
    <w:p w14:paraId="5751CB6F" w14:textId="057A01F5"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77777777" w:rsidR="001372F6" w:rsidRPr="00671F6B"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671F6B" w14:paraId="19F3F149" w14:textId="77777777" w:rsidTr="00BB78DE">
        <w:tc>
          <w:tcPr>
            <w:tcW w:w="9629" w:type="dxa"/>
          </w:tcPr>
          <w:p w14:paraId="3AF74DFC" w14:textId="000B9C31" w:rsidR="005C34F2" w:rsidRDefault="005C34F2" w:rsidP="005C34F2">
            <w:pPr>
              <w:tabs>
                <w:tab w:val="left" w:pos="993"/>
              </w:tabs>
              <w:ind w:firstLine="738"/>
              <w:jc w:val="both"/>
              <w:rPr>
                <w:rFonts w:eastAsia="Calibri"/>
                <w:bCs/>
                <w:sz w:val="24"/>
                <w:szCs w:val="24"/>
              </w:rPr>
            </w:pPr>
            <w:r>
              <w:rPr>
                <w:rFonts w:eastAsia="Calibri"/>
                <w:bCs/>
                <w:sz w:val="24"/>
                <w:szCs w:val="24"/>
              </w:rPr>
              <w:t xml:space="preserve">Atsižvelgiant į nustatytus pažeidimus, Tarnyba konstatuoja, kad Pirkimo Nr. 1 pirmoji pirkimo dalis buvo nutraukta pažeidžiant Įstatymo nuostatas, o Pirkimo Nr. 2 </w:t>
            </w:r>
            <w:r w:rsidR="00737BB5">
              <w:rPr>
                <w:rFonts w:eastAsia="Calibri"/>
                <w:bCs/>
                <w:sz w:val="24"/>
                <w:szCs w:val="24"/>
              </w:rPr>
              <w:t xml:space="preserve">Techninės </w:t>
            </w:r>
            <w:r>
              <w:rPr>
                <w:rFonts w:eastAsia="Calibri"/>
                <w:bCs/>
                <w:sz w:val="24"/>
                <w:szCs w:val="24"/>
              </w:rPr>
              <w:t xml:space="preserve">specifikacijos </w:t>
            </w:r>
            <w:r w:rsidR="00737BB5">
              <w:rPr>
                <w:rFonts w:eastAsia="Calibri"/>
                <w:bCs/>
                <w:sz w:val="24"/>
                <w:szCs w:val="24"/>
              </w:rPr>
              <w:t xml:space="preserve">Nr. 2 </w:t>
            </w:r>
            <w:r>
              <w:rPr>
                <w:rFonts w:eastAsia="Calibri"/>
                <w:bCs/>
                <w:sz w:val="24"/>
                <w:szCs w:val="24"/>
              </w:rPr>
              <w:t xml:space="preserve">reikalavimai pernelyg apribojo tiekėjų konkurenciją ir, sprendžiant pagal šio vertinimo metu nustatytas aplinkybes, </w:t>
            </w:r>
            <w:r w:rsidR="0048036C">
              <w:rPr>
                <w:rFonts w:eastAsia="Calibri"/>
                <w:bCs/>
                <w:sz w:val="24"/>
                <w:szCs w:val="24"/>
              </w:rPr>
              <w:t>buvo pritaikyti</w:t>
            </w:r>
            <w:r>
              <w:rPr>
                <w:rFonts w:eastAsia="Calibri"/>
                <w:bCs/>
                <w:sz w:val="24"/>
                <w:szCs w:val="24"/>
              </w:rPr>
              <w:t xml:space="preserve"> konkrečiam tiekėjui.</w:t>
            </w:r>
          </w:p>
          <w:p w14:paraId="5C715B94" w14:textId="7B643946" w:rsidR="00554199" w:rsidRDefault="00725A02" w:rsidP="005C34F2">
            <w:pPr>
              <w:tabs>
                <w:tab w:val="left" w:pos="993"/>
              </w:tabs>
              <w:ind w:firstLine="738"/>
              <w:jc w:val="both"/>
              <w:rPr>
                <w:rFonts w:eastAsia="Calibri"/>
                <w:bCs/>
                <w:sz w:val="24"/>
                <w:szCs w:val="24"/>
              </w:rPr>
            </w:pPr>
            <w:r>
              <w:rPr>
                <w:rFonts w:eastAsia="Calibri"/>
                <w:bCs/>
                <w:sz w:val="24"/>
                <w:szCs w:val="24"/>
              </w:rPr>
              <w:t xml:space="preserve">Atsižvelgiant į tai, kad rentgeno aparatas pagal </w:t>
            </w:r>
            <w:r w:rsidR="0095400A">
              <w:rPr>
                <w:rFonts w:eastAsia="Calibri"/>
                <w:bCs/>
                <w:sz w:val="24"/>
                <w:szCs w:val="24"/>
              </w:rPr>
              <w:t xml:space="preserve">Pirkimo Nr. 2 pagrindu su UAB </w:t>
            </w:r>
            <w:r w:rsidR="0095400A">
              <w:rPr>
                <w:rFonts w:eastAsia="Calibri"/>
                <w:sz w:val="24"/>
                <w:szCs w:val="24"/>
              </w:rPr>
              <w:t xml:space="preserve">„Arbor Medical Corporation LT“ </w:t>
            </w:r>
            <w:r>
              <w:rPr>
                <w:rFonts w:eastAsia="Calibri"/>
                <w:bCs/>
                <w:sz w:val="24"/>
                <w:szCs w:val="24"/>
              </w:rPr>
              <w:t xml:space="preserve">2020-05-18 </w:t>
            </w:r>
            <w:r w:rsidR="0095400A">
              <w:rPr>
                <w:rFonts w:eastAsia="Calibri"/>
                <w:bCs/>
                <w:sz w:val="24"/>
                <w:szCs w:val="24"/>
              </w:rPr>
              <w:t xml:space="preserve">sudarytą </w:t>
            </w:r>
            <w:r>
              <w:rPr>
                <w:rFonts w:eastAsia="Calibri"/>
                <w:bCs/>
                <w:sz w:val="24"/>
                <w:szCs w:val="24"/>
              </w:rPr>
              <w:t>sutartį Nr. LS-105 jau yra pristatytas Perkančiajai organizacijai, Tarnyba apsiriboja Pirkimo Nr. 1 ir Pirkimo Nr. 2 vertinimu.</w:t>
            </w:r>
          </w:p>
          <w:p w14:paraId="0C75B02A" w14:textId="3D3525C8" w:rsidR="005C34F2" w:rsidRPr="0061280D" w:rsidRDefault="005C34F2" w:rsidP="005C34F2">
            <w:pPr>
              <w:tabs>
                <w:tab w:val="left" w:pos="993"/>
              </w:tabs>
              <w:ind w:firstLine="738"/>
              <w:jc w:val="both"/>
              <w:rPr>
                <w:rFonts w:eastAsia="Calibri"/>
                <w:bCs/>
                <w:sz w:val="24"/>
                <w:szCs w:val="24"/>
              </w:rPr>
            </w:pPr>
          </w:p>
        </w:tc>
      </w:tr>
    </w:tbl>
    <w:p w14:paraId="3E7C2F92" w14:textId="77777777" w:rsidR="00BB78DE" w:rsidRPr="00671F6B" w:rsidRDefault="00BB78DE" w:rsidP="003B4E5E">
      <w:pPr>
        <w:tabs>
          <w:tab w:val="left" w:pos="993"/>
        </w:tabs>
        <w:jc w:val="center"/>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671F6B" w14:paraId="21FA281B" w14:textId="77777777" w:rsidTr="00BB78DE">
        <w:tc>
          <w:tcPr>
            <w:tcW w:w="9629" w:type="dxa"/>
          </w:tcPr>
          <w:p w14:paraId="447ACE36" w14:textId="19C33531" w:rsidR="005C5D2B" w:rsidRDefault="00F12799" w:rsidP="00F12799">
            <w:pPr>
              <w:pStyle w:val="ListParagraph"/>
              <w:tabs>
                <w:tab w:val="left" w:pos="0"/>
                <w:tab w:val="left" w:pos="1156"/>
              </w:tabs>
              <w:ind w:left="0" w:firstLine="738"/>
              <w:jc w:val="both"/>
              <w:rPr>
                <w:sz w:val="24"/>
                <w:szCs w:val="24"/>
              </w:rPr>
            </w:pPr>
            <w:r>
              <w:rPr>
                <w:sz w:val="24"/>
                <w:szCs w:val="24"/>
              </w:rPr>
              <w:t xml:space="preserve">Perkančioji organizacija 2020-09-25 rašte SD-2306 Tarnybai nurodė, kad </w:t>
            </w:r>
            <w:r w:rsidRPr="00F12799">
              <w:rPr>
                <w:sz w:val="24"/>
                <w:szCs w:val="24"/>
              </w:rPr>
              <w:t>„</w:t>
            </w:r>
            <w:r w:rsidRPr="00251D4B">
              <w:rPr>
                <w:i/>
                <w:sz w:val="24"/>
                <w:szCs w:val="24"/>
              </w:rPr>
              <w:t>C lanko rotacijos intervalo reikšmės nustatytos atsižvelgiant į rinkoje esančių aparatų parametrus. Platesnė C lanko intervalo apimtis palyginus su siauresniu rotacijos kampu leidžia atlikti skirtingus radiografinius tyrimus operacijos metu nekeičiant paciento pozicijos</w:t>
            </w:r>
            <w:r w:rsidRPr="00F12799">
              <w:rPr>
                <w:sz w:val="24"/>
                <w:szCs w:val="24"/>
              </w:rPr>
              <w:t>“. Iš Perkančiosios organizacijos pateikto paaiškinimo galima daryti išvadą, kad Perkančiajai organizacijai yra svarbu, kad C lanko rotacijos intervalas būtų pakankamai platus, o jo ribos nustatytos atsižvelgiant į rinkoje esančias tokio tipo prekes.</w:t>
            </w:r>
          </w:p>
          <w:p w14:paraId="1526F983" w14:textId="7E31511E" w:rsidR="008C6B11" w:rsidRDefault="004C2D70" w:rsidP="00F12799">
            <w:pPr>
              <w:pStyle w:val="ListParagraph"/>
              <w:tabs>
                <w:tab w:val="left" w:pos="0"/>
                <w:tab w:val="left" w:pos="1156"/>
              </w:tabs>
              <w:ind w:left="0" w:firstLine="738"/>
              <w:jc w:val="both"/>
              <w:rPr>
                <w:sz w:val="24"/>
                <w:szCs w:val="24"/>
              </w:rPr>
            </w:pPr>
            <w:r w:rsidRPr="004C1F24">
              <w:rPr>
                <w:sz w:val="24"/>
                <w:szCs w:val="24"/>
              </w:rPr>
              <w:t xml:space="preserve">Tiek Pirkimo Nr. 1 pirmosios pirkimo dalies, tiek Pirkimo Nr. 2 techninėse specifikacijose buvo nustatytas reikalavimas, kad </w:t>
            </w:r>
            <w:r w:rsidR="004C1F24" w:rsidRPr="004C1F24">
              <w:rPr>
                <w:sz w:val="24"/>
                <w:szCs w:val="24"/>
              </w:rPr>
              <w:t>C lanko rotacija turi būti ≥ (-50 iki +90)°. Pirkimo Nr. 1 pirmojoje pirkimo dalyje tiekėjo „Siemens Healthcare Oy Lietuvos filialas“ pasiūlymas buvo atmestas vien tik tuo pagrindu, kad šio tiekėjo siūlomos prekės C lanko orbitalinė rotacija yra ≥ (-48 iki +93)°.</w:t>
            </w:r>
            <w:r w:rsidR="004C1F24">
              <w:rPr>
                <w:sz w:val="24"/>
                <w:szCs w:val="24"/>
              </w:rPr>
              <w:t xml:space="preserve"> Akivaizdu, kad skirtumas tarp reikalaujamų ir siūlomų ribinių reikšmių yra itin menkas. Pažymėtina ir tai, kad siūlomos prekės </w:t>
            </w:r>
            <w:r w:rsidR="00135E0E">
              <w:rPr>
                <w:sz w:val="24"/>
                <w:szCs w:val="24"/>
              </w:rPr>
              <w:t xml:space="preserve">suminis C lanko rotacijos </w:t>
            </w:r>
            <w:r w:rsidR="004C1F24">
              <w:rPr>
                <w:sz w:val="24"/>
                <w:szCs w:val="24"/>
              </w:rPr>
              <w:t>intervalas yra 1</w:t>
            </w:r>
            <w:r w:rsidR="004C1F24" w:rsidRPr="004C1F24">
              <w:rPr>
                <w:sz w:val="24"/>
                <w:szCs w:val="24"/>
              </w:rPr>
              <w:t>°</w:t>
            </w:r>
            <w:r w:rsidR="004C1F24">
              <w:rPr>
                <w:sz w:val="24"/>
                <w:szCs w:val="24"/>
              </w:rPr>
              <w:t xml:space="preserve"> platesnis nei reikalaujamas minimalus.</w:t>
            </w:r>
            <w:r w:rsidR="008C6B11">
              <w:rPr>
                <w:sz w:val="24"/>
                <w:szCs w:val="24"/>
              </w:rPr>
              <w:t xml:space="preserve"> </w:t>
            </w:r>
          </w:p>
          <w:p w14:paraId="5C909D46" w14:textId="425170EA" w:rsidR="004C2D70" w:rsidRPr="004C1F24" w:rsidRDefault="008C6B11" w:rsidP="00F12799">
            <w:pPr>
              <w:pStyle w:val="ListParagraph"/>
              <w:tabs>
                <w:tab w:val="left" w:pos="0"/>
                <w:tab w:val="left" w:pos="1156"/>
              </w:tabs>
              <w:ind w:left="0" w:firstLine="738"/>
              <w:jc w:val="both"/>
              <w:rPr>
                <w:sz w:val="24"/>
                <w:szCs w:val="24"/>
              </w:rPr>
            </w:pPr>
            <w:r>
              <w:rPr>
                <w:sz w:val="24"/>
                <w:szCs w:val="24"/>
              </w:rPr>
              <w:t xml:space="preserve">Atsižvelgiant į tai, kad Perkančioji organizacija akcentuoja platesnę C lanko rotacijos intervalo </w:t>
            </w:r>
            <w:r w:rsidRPr="008C6B11">
              <w:rPr>
                <w:b/>
                <w:sz w:val="24"/>
                <w:szCs w:val="24"/>
              </w:rPr>
              <w:t>apimtį</w:t>
            </w:r>
            <w:r>
              <w:rPr>
                <w:sz w:val="24"/>
                <w:szCs w:val="24"/>
              </w:rPr>
              <w:t xml:space="preserve">,  </w:t>
            </w:r>
            <w:r w:rsidR="0013006B">
              <w:rPr>
                <w:sz w:val="24"/>
                <w:szCs w:val="24"/>
              </w:rPr>
              <w:t>konkrečios</w:t>
            </w:r>
            <w:r w:rsidR="003038E4">
              <w:rPr>
                <w:sz w:val="24"/>
                <w:szCs w:val="24"/>
              </w:rPr>
              <w:t xml:space="preserve"> apatinės ir viršutinės rotacijos ribos nustatymas </w:t>
            </w:r>
            <w:r w:rsidR="00E26F19">
              <w:rPr>
                <w:sz w:val="24"/>
                <w:szCs w:val="24"/>
              </w:rPr>
              <w:t xml:space="preserve">galimai </w:t>
            </w:r>
            <w:r w:rsidR="003038E4">
              <w:rPr>
                <w:sz w:val="24"/>
                <w:szCs w:val="24"/>
              </w:rPr>
              <w:t>yra ydingas</w:t>
            </w:r>
            <w:r w:rsidR="00A14783">
              <w:rPr>
                <w:sz w:val="24"/>
                <w:szCs w:val="24"/>
              </w:rPr>
              <w:t xml:space="preserve"> ir ribojantis konkurenciją</w:t>
            </w:r>
            <w:r w:rsidR="003038E4">
              <w:rPr>
                <w:sz w:val="24"/>
                <w:szCs w:val="24"/>
              </w:rPr>
              <w:t>.</w:t>
            </w:r>
            <w:r w:rsidR="000260F4">
              <w:rPr>
                <w:sz w:val="24"/>
                <w:szCs w:val="24"/>
              </w:rPr>
              <w:t xml:space="preserve"> Manytina, kad Perkančioji organizacija turėjo nustatyti tik konkrečią minimalią </w:t>
            </w:r>
            <w:r w:rsidR="00335F25">
              <w:rPr>
                <w:sz w:val="24"/>
                <w:szCs w:val="24"/>
              </w:rPr>
              <w:t>rotacijos</w:t>
            </w:r>
            <w:r w:rsidR="000260F4">
              <w:rPr>
                <w:sz w:val="24"/>
                <w:szCs w:val="24"/>
              </w:rPr>
              <w:t xml:space="preserve"> reikšmę (pvz., 140</w:t>
            </w:r>
            <w:r w:rsidR="000260F4" w:rsidRPr="004C1F24">
              <w:rPr>
                <w:sz w:val="24"/>
                <w:szCs w:val="24"/>
              </w:rPr>
              <w:t>°</w:t>
            </w:r>
            <w:r w:rsidR="000260F4">
              <w:rPr>
                <w:sz w:val="24"/>
                <w:szCs w:val="24"/>
              </w:rPr>
              <w:t>) arba</w:t>
            </w:r>
            <w:r w:rsidR="0013006B">
              <w:rPr>
                <w:sz w:val="24"/>
                <w:szCs w:val="24"/>
              </w:rPr>
              <w:t xml:space="preserve"> – kad </w:t>
            </w:r>
            <w:r w:rsidR="000260F4">
              <w:rPr>
                <w:sz w:val="24"/>
                <w:szCs w:val="24"/>
              </w:rPr>
              <w:t xml:space="preserve">konkreti </w:t>
            </w:r>
            <w:r w:rsidR="00A14783">
              <w:rPr>
                <w:sz w:val="24"/>
                <w:szCs w:val="24"/>
              </w:rPr>
              <w:t>rotacijos</w:t>
            </w:r>
            <w:r w:rsidR="000260F4">
              <w:rPr>
                <w:sz w:val="24"/>
                <w:szCs w:val="24"/>
              </w:rPr>
              <w:t xml:space="preserve"> reikšmė turi būti pasiekta </w:t>
            </w:r>
            <w:r w:rsidR="0013006B">
              <w:rPr>
                <w:sz w:val="24"/>
                <w:szCs w:val="24"/>
              </w:rPr>
              <w:t>tam tikrose ribose (pvz., C lanko rotacija turi sudaryti 140</w:t>
            </w:r>
            <w:r w:rsidR="0013006B" w:rsidRPr="004C1F24">
              <w:rPr>
                <w:sz w:val="24"/>
                <w:szCs w:val="24"/>
              </w:rPr>
              <w:t>°</w:t>
            </w:r>
            <w:r w:rsidR="0013006B">
              <w:rPr>
                <w:sz w:val="24"/>
                <w:szCs w:val="24"/>
              </w:rPr>
              <w:t xml:space="preserve"> intervale nuo -120</w:t>
            </w:r>
            <w:r w:rsidR="0013006B" w:rsidRPr="004C1F24">
              <w:rPr>
                <w:sz w:val="24"/>
                <w:szCs w:val="24"/>
              </w:rPr>
              <w:t>°</w:t>
            </w:r>
            <w:r w:rsidR="0013006B">
              <w:rPr>
                <w:sz w:val="24"/>
                <w:szCs w:val="24"/>
              </w:rPr>
              <w:t xml:space="preserve"> iki +120</w:t>
            </w:r>
            <w:r w:rsidR="0013006B" w:rsidRPr="004C1F24">
              <w:rPr>
                <w:sz w:val="24"/>
                <w:szCs w:val="24"/>
              </w:rPr>
              <w:t>°</w:t>
            </w:r>
            <w:r w:rsidR="0013006B">
              <w:rPr>
                <w:sz w:val="24"/>
                <w:szCs w:val="24"/>
              </w:rPr>
              <w:t>).</w:t>
            </w:r>
          </w:p>
          <w:p w14:paraId="170E7DBB" w14:textId="50B82BF2" w:rsidR="00F12799" w:rsidRPr="001443E3" w:rsidRDefault="00F12799" w:rsidP="00D80ACF">
            <w:pPr>
              <w:pStyle w:val="ListParagraph"/>
              <w:tabs>
                <w:tab w:val="left" w:pos="0"/>
                <w:tab w:val="left" w:pos="1156"/>
              </w:tabs>
              <w:ind w:left="882"/>
              <w:jc w:val="both"/>
              <w:rPr>
                <w:sz w:val="24"/>
                <w:szCs w:val="24"/>
              </w:rPr>
            </w:pPr>
          </w:p>
        </w:tc>
      </w:tr>
    </w:tbl>
    <w:p w14:paraId="1951503B" w14:textId="243DF1AB" w:rsidR="00E174CA" w:rsidRDefault="00E174CA" w:rsidP="00CC0DE3">
      <w:pPr>
        <w:tabs>
          <w:tab w:val="left" w:pos="-142"/>
          <w:tab w:val="left" w:pos="284"/>
        </w:tabs>
        <w:jc w:val="center"/>
        <w:rPr>
          <w:rFonts w:eastAsia="Calibri"/>
          <w:bCs/>
          <w:sz w:val="24"/>
          <w:szCs w:val="24"/>
        </w:rPr>
      </w:pPr>
    </w:p>
    <w:p w14:paraId="4128ADCF" w14:textId="77777777" w:rsidR="00137A7A" w:rsidRDefault="00137A7A"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1854D6">
        <w:tc>
          <w:tcPr>
            <w:tcW w:w="4824" w:type="dxa"/>
            <w:shd w:val="clear" w:color="auto" w:fill="auto"/>
          </w:tcPr>
          <w:p w14:paraId="633D8BE4" w14:textId="77777777" w:rsidR="00440F15" w:rsidRPr="00671F6B" w:rsidRDefault="00440F15" w:rsidP="00440F15">
            <w:pPr>
              <w:rPr>
                <w:rFonts w:eastAsia="Calibri"/>
                <w:sz w:val="24"/>
                <w:szCs w:val="24"/>
              </w:rPr>
            </w:pPr>
            <w:r w:rsidRPr="00671F6B">
              <w:rPr>
                <w:rFonts w:eastAsia="Calibri"/>
                <w:sz w:val="24"/>
                <w:szCs w:val="24"/>
              </w:rPr>
              <w:t xml:space="preserve">Direktoriaus pavaduotoja, laikinai </w:t>
            </w:r>
          </w:p>
          <w:p w14:paraId="28F76AA9" w14:textId="4B2CA4DC" w:rsidR="00CC0DE3" w:rsidRPr="00671F6B" w:rsidRDefault="00440F15" w:rsidP="00440F15">
            <w:pPr>
              <w:rPr>
                <w:rFonts w:eastAsia="Calibri"/>
                <w:b/>
                <w:sz w:val="24"/>
                <w:szCs w:val="24"/>
              </w:rPr>
            </w:pPr>
            <w:r w:rsidRPr="00671F6B">
              <w:rPr>
                <w:rFonts w:eastAsia="Calibri"/>
                <w:sz w:val="24"/>
                <w:szCs w:val="24"/>
              </w:rPr>
              <w:t>atliekanti direktoriaus funkcijas</w:t>
            </w:r>
          </w:p>
        </w:tc>
        <w:tc>
          <w:tcPr>
            <w:tcW w:w="4815" w:type="dxa"/>
            <w:shd w:val="clear" w:color="auto" w:fill="auto"/>
          </w:tcPr>
          <w:p w14:paraId="36C3B095" w14:textId="61E0B836" w:rsidR="00CC0DE3" w:rsidRPr="00671F6B" w:rsidRDefault="00440F15" w:rsidP="001854D6">
            <w:pPr>
              <w:spacing w:line="360" w:lineRule="auto"/>
              <w:jc w:val="right"/>
              <w:rPr>
                <w:rFonts w:eastAsia="Calibri"/>
                <w:b/>
                <w:sz w:val="24"/>
                <w:szCs w:val="24"/>
              </w:rPr>
            </w:pPr>
            <w:r w:rsidRPr="00671F6B">
              <w:rPr>
                <w:rFonts w:eastAsia="Calibri"/>
                <w:sz w:val="24"/>
                <w:szCs w:val="24"/>
              </w:rPr>
              <w:t>Jovita Petkuvienė</w:t>
            </w:r>
          </w:p>
        </w:tc>
      </w:tr>
    </w:tbl>
    <w:p w14:paraId="78584926" w14:textId="77777777" w:rsidR="00137A7A" w:rsidRDefault="00137A7A" w:rsidP="007D3CE1">
      <w:pPr>
        <w:shd w:val="clear" w:color="auto" w:fill="FFFFFF"/>
        <w:tabs>
          <w:tab w:val="left" w:pos="900"/>
        </w:tabs>
        <w:rPr>
          <w:sz w:val="24"/>
          <w:szCs w:val="24"/>
        </w:rPr>
      </w:pPr>
    </w:p>
    <w:p w14:paraId="531E2821" w14:textId="77777777" w:rsidR="00EA4FC6" w:rsidRDefault="00EA4FC6" w:rsidP="007D3CE1">
      <w:pPr>
        <w:shd w:val="clear" w:color="auto" w:fill="FFFFFF"/>
        <w:tabs>
          <w:tab w:val="left" w:pos="900"/>
        </w:tabs>
        <w:rPr>
          <w:sz w:val="24"/>
          <w:szCs w:val="24"/>
        </w:rPr>
      </w:pPr>
    </w:p>
    <w:p w14:paraId="42783918" w14:textId="0C08BE33" w:rsidR="007D3CE1" w:rsidRPr="00671F6B" w:rsidRDefault="007D3CE1" w:rsidP="007D3CE1">
      <w:pPr>
        <w:shd w:val="clear" w:color="auto" w:fill="FFFFFF"/>
        <w:tabs>
          <w:tab w:val="left" w:pos="900"/>
        </w:tabs>
        <w:rPr>
          <w:sz w:val="24"/>
          <w:szCs w:val="24"/>
        </w:rPr>
      </w:pPr>
      <w:r w:rsidRPr="00671F6B">
        <w:rPr>
          <w:sz w:val="24"/>
          <w:szCs w:val="24"/>
        </w:rPr>
        <w:t>M. Knopkus, tel. (8 5) 219 7042, el. p. Mindaugas.Knopkus@vpt.lt</w:t>
      </w:r>
    </w:p>
    <w:sectPr w:rsidR="007D3CE1" w:rsidRPr="00671F6B" w:rsidSect="00F62741">
      <w:headerReference w:type="even" r:id="rId12"/>
      <w:headerReference w:type="default" r:id="rId13"/>
      <w:footerReference w:type="default" r:id="rId14"/>
      <w:footerReference w:type="first" r:id="rId15"/>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4C836" w14:textId="77777777" w:rsidR="00351357" w:rsidRDefault="00351357">
      <w:r>
        <w:separator/>
      </w:r>
    </w:p>
  </w:endnote>
  <w:endnote w:type="continuationSeparator" w:id="0">
    <w:p w14:paraId="5610349B" w14:textId="77777777" w:rsidR="00351357" w:rsidRDefault="0035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E1D81" w:rsidRDefault="00CE1D81">
    <w:pPr>
      <w:pStyle w:val="Footer"/>
    </w:pPr>
  </w:p>
  <w:p w14:paraId="1B99118B" w14:textId="77777777" w:rsidR="00CE1D81" w:rsidRDefault="00CE1D81">
    <w:pPr>
      <w:pStyle w:val="Footer"/>
    </w:pPr>
  </w:p>
  <w:p w14:paraId="5A42BE90" w14:textId="77777777" w:rsidR="00CE1D81" w:rsidRDefault="00CE1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CE1D81" w:rsidRPr="00C96169" w:rsidRDefault="00CE1D81"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tab/>
    </w:r>
    <w:r w:rsidRPr="00C96169">
      <w:t>Tel. (8 5) 219 7001</w:t>
    </w:r>
    <w:r>
      <w:tab/>
    </w:r>
    <w:r w:rsidRPr="00C96169">
      <w:t>Duomenys kaupiami ir saugomi </w:t>
    </w:r>
    <w:r>
      <w:t xml:space="preserve">             </w:t>
    </w:r>
  </w:p>
  <w:p w14:paraId="30093DEF" w14:textId="74056540" w:rsidR="00CE1D81" w:rsidRPr="00C96169" w:rsidRDefault="00CE1D81" w:rsidP="00D9052E">
    <w:pPr>
      <w:pBdr>
        <w:top w:val="single" w:sz="4" w:space="1" w:color="auto"/>
      </w:pBdr>
      <w:jc w:val="both"/>
    </w:pPr>
    <w:r w:rsidRPr="00C96169">
      <w:t>Kareivių g. 1, LT-</w:t>
    </w:r>
    <w:r>
      <w:t>08351</w:t>
    </w:r>
    <w:r w:rsidRPr="00C96169">
      <w:t xml:space="preserve"> Vilnius</w:t>
    </w:r>
    <w:r>
      <w:tab/>
    </w:r>
    <w:r w:rsidRPr="00C96169">
      <w:t>Faks. (8 5) 213 6213</w:t>
    </w:r>
    <w:r>
      <w:t xml:space="preserve"> </w:t>
    </w:r>
    <w:r>
      <w:tab/>
    </w:r>
    <w:r w:rsidRPr="00C96169">
      <w:t>Juridinių asmenų registre</w:t>
    </w:r>
    <w:r>
      <w:t xml:space="preserve"> </w:t>
    </w:r>
  </w:p>
  <w:p w14:paraId="6D99B3D1" w14:textId="56185871" w:rsidR="00CE1D81" w:rsidRPr="00C96169" w:rsidRDefault="00351357" w:rsidP="00D9052E">
    <w:pPr>
      <w:pBdr>
        <w:top w:val="single" w:sz="4" w:space="1" w:color="auto"/>
      </w:pBdr>
      <w:jc w:val="both"/>
    </w:pPr>
    <w:hyperlink r:id="rId3" w:history="1">
      <w:r w:rsidR="00CE1D81" w:rsidRPr="00C96169">
        <w:rPr>
          <w:rStyle w:val="Hyperlink"/>
        </w:rPr>
        <w:t>http://www.vpt.lrv.lt</w:t>
      </w:r>
    </w:hyperlink>
    <w:r w:rsidR="00CE1D81">
      <w:tab/>
    </w:r>
    <w:r w:rsidR="00CE1D81">
      <w:tab/>
    </w:r>
    <w:r w:rsidR="00CE1D81" w:rsidRPr="00C96169">
      <w:t xml:space="preserve">El. p. </w:t>
    </w:r>
    <w:hyperlink r:id="rId4" w:history="1">
      <w:r w:rsidR="00CE1D81" w:rsidRPr="00C96169">
        <w:rPr>
          <w:rStyle w:val="Hyperlink"/>
        </w:rPr>
        <w:t>info@vpt.lt</w:t>
      </w:r>
    </w:hyperlink>
    <w:r w:rsidR="00CE1D81">
      <w:t xml:space="preserve"> </w:t>
    </w:r>
    <w:r w:rsidR="00CE1D81">
      <w:tab/>
    </w:r>
    <w:r w:rsidR="00CE1D81" w:rsidRPr="00C96169">
      <w:t>Kodas 188656261</w:t>
    </w:r>
    <w:r w:rsidR="00CE1D81">
      <w:t xml:space="preserve">                                   </w:t>
    </w:r>
  </w:p>
  <w:p w14:paraId="3C944965" w14:textId="77777777" w:rsidR="00CE1D81" w:rsidRPr="004D1BAD" w:rsidRDefault="00CE1D81" w:rsidP="00D9052E">
    <w:pPr>
      <w:pStyle w:val="Footer"/>
    </w:pPr>
    <w:r>
      <w:ptab w:relativeTo="margin" w:alignment="right" w:leader="none"/>
    </w:r>
  </w:p>
  <w:p w14:paraId="5763CF8C" w14:textId="77777777" w:rsidR="00CE1D81" w:rsidRPr="00D9052E" w:rsidRDefault="00CE1D81"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B2241" w14:textId="77777777" w:rsidR="00351357" w:rsidRDefault="00351357">
      <w:r>
        <w:separator/>
      </w:r>
    </w:p>
  </w:footnote>
  <w:footnote w:type="continuationSeparator" w:id="0">
    <w:p w14:paraId="3FCCC4D7" w14:textId="77777777" w:rsidR="00351357" w:rsidRDefault="00351357">
      <w:r>
        <w:continuationSeparator/>
      </w:r>
    </w:p>
  </w:footnote>
  <w:footnote w:id="1">
    <w:p w14:paraId="0C422410" w14:textId="724F476B" w:rsidR="00CE1D81" w:rsidRPr="00B24A66" w:rsidRDefault="00CE1D81" w:rsidP="00897949">
      <w:pPr>
        <w:pStyle w:val="FootnoteText"/>
        <w:jc w:val="both"/>
      </w:pPr>
      <w:r w:rsidRPr="00B24A66">
        <w:rPr>
          <w:rStyle w:val="FootnoteReference"/>
        </w:rPr>
        <w:footnoteRef/>
      </w:r>
      <w:r w:rsidRPr="00B24A66">
        <w:t xml:space="preserve"> „Perkančioji organizacija užtikrina, kad vykdant pirkimą būtų laikomasi lygiateisiškumo, nediskriminavimo, abipusio pripažinimo, proporcingumo, skaidrumo principų“.</w:t>
      </w:r>
    </w:p>
  </w:footnote>
  <w:footnote w:id="2">
    <w:p w14:paraId="646D551A" w14:textId="7FBD9DBF" w:rsidR="00CE1D81" w:rsidRPr="00B24A66" w:rsidRDefault="00CE1D81" w:rsidP="00897949">
      <w:pPr>
        <w:pStyle w:val="FootnoteText"/>
        <w:jc w:val="both"/>
      </w:pPr>
      <w:r w:rsidRPr="00B24A66">
        <w:rPr>
          <w:rStyle w:val="FootnoteReference"/>
        </w:rPr>
        <w:footnoteRef/>
      </w:r>
      <w:r w:rsidRPr="00B24A66">
        <w:t xml:space="preserve"> CVP IS pranešimas Nr. 7526691.</w:t>
      </w:r>
    </w:p>
  </w:footnote>
  <w:footnote w:id="3">
    <w:p w14:paraId="09F41013" w14:textId="061C2FA7" w:rsidR="00CE1D81" w:rsidRPr="00B24A66" w:rsidRDefault="00CE1D81" w:rsidP="00897949">
      <w:pPr>
        <w:pStyle w:val="FootnoteText"/>
        <w:jc w:val="both"/>
      </w:pPr>
      <w:r w:rsidRPr="00B24A66">
        <w:rPr>
          <w:rStyle w:val="FootnoteReference"/>
        </w:rPr>
        <w:footnoteRef/>
      </w:r>
      <w:r w:rsidRPr="00B24A66">
        <w:t xml:space="preserve"> „Seno tipo ankstesnės kartos rentgeno diagnostinėse sistemose dėl naudotų rentgeno spinduliuotės ir vaizdo gavimo sistemų technologinių apribojimų buvo naudojama nuolatinio tipo rentgenoskopija, kai tyrimo metu rentgeno spinduliuotė yra nuolatinio pobūdžio. Siekiant sumažinti pacientui ir personalui tenkančią rentgeno spinduliuotės dozę, naujos kartos moderniuose rentgeno diagnostiniuose aparatuose naudotą nuolatinę rentgenoskopiją pakeitė pulsinė rentgenoskopija. Rentgeno generatoriui veikiant pulsiniu režimu, gaunama geresnė vaizdų kokybė, ženkliai (iki kelių kartų) sumažinama pacientui ir personalui tenkanti apšvita. Atliekant dinaminius rentgenoskopijos tyrimus ar manipuliacijas rentgeno apšvitos lauke gali būti naudojamas didelis (iki 20-30 kartų per sekundę) pulsų kitimo greitis, kas leidžia sumažinti apšvitą ir pagerinti gaunamo rentgenologinio vaizdo kokybę. Todėl nuolatinė rentgenoskopija nėra naudojama. Įstaigos personalas, atlikdamas rentgeno diagnostinį tyrimą, privalo vadovautis Lietuvos higienos normos HN31:2008 „Radiacinės saugos reikalavimai medicininėje rentgenodiagnostikoje" 69 straipsnio nuostatomis: „Licencijos turėtojas turi užtikrinti, kad rentgenodiagnostikos procedūroms būtų naudojami optimalūs rentgenodiagnostinės įrangos parametrai, kad paciento apšvita būtų kaip įmanoma mažesnė, o vaizdo kokybė būtų tokia, kokios reikia diagnostinei informacijai gauti. Ypatingas dėmesys turi būti skirtas vaikų, kompiuterinės tomografijos, intervencinės radiologijos bei mamografijos tyrimams“, tokiu būdu nuolatinės rentgenoskopijos režimo naudojimas galiojančiais teisės aktais yra ribojamas ir nėra kliniškai pagrįstas jokioms procedūroms, jei yra galimybė naudoti pažangesnį pulsinės rentgenoskopijos metodą, siekiant pacientui ir personalui tenkančią rentgeno spinduliuotės dozę sumažinti iki minimumo.“.</w:t>
      </w:r>
    </w:p>
  </w:footnote>
  <w:footnote w:id="4">
    <w:p w14:paraId="3CC99C8D" w14:textId="2F579F91" w:rsidR="00CE1D81" w:rsidRPr="00B24A66" w:rsidRDefault="00CE1D81" w:rsidP="00897949">
      <w:pPr>
        <w:pStyle w:val="FootnoteText"/>
        <w:jc w:val="both"/>
      </w:pPr>
      <w:r w:rsidRPr="00B24A66">
        <w:rPr>
          <w:rStyle w:val="FootnoteReference"/>
        </w:rPr>
        <w:footnoteRef/>
      </w:r>
      <w:r w:rsidRPr="00B24A66">
        <w:t xml:space="preserve"> 2019-08-30 protokolas Nr. 4.</w:t>
      </w:r>
    </w:p>
  </w:footnote>
  <w:footnote w:id="5">
    <w:p w14:paraId="75DCB42F" w14:textId="5834BC8C" w:rsidR="00CE1D81" w:rsidRPr="00B24A66" w:rsidRDefault="00CE1D81" w:rsidP="00897949">
      <w:pPr>
        <w:pStyle w:val="FootnoteText"/>
        <w:jc w:val="both"/>
      </w:pPr>
      <w:r w:rsidRPr="00B24A66">
        <w:rPr>
          <w:rStyle w:val="FootnoteReference"/>
        </w:rPr>
        <w:footnoteRef/>
      </w:r>
      <w:r w:rsidRPr="00B24A66">
        <w:t xml:space="preserve"> LAT 2016 m. kovo 30 d. nutartis </w:t>
      </w:r>
      <w:r>
        <w:t>civilinėje byloje</w:t>
      </w:r>
      <w:r w:rsidRPr="00B24A66">
        <w:t xml:space="preserve"> Nr. 3K-3-177-916/2016.</w:t>
      </w:r>
    </w:p>
  </w:footnote>
  <w:footnote w:id="6">
    <w:p w14:paraId="2EF96F47" w14:textId="73C93A68" w:rsidR="00CE1D81" w:rsidRPr="00B24A66" w:rsidRDefault="00CE1D81" w:rsidP="00897949">
      <w:pPr>
        <w:pStyle w:val="FootnoteText"/>
        <w:jc w:val="both"/>
      </w:pPr>
      <w:r w:rsidRPr="00B24A66">
        <w:rPr>
          <w:rStyle w:val="FootnoteReference"/>
        </w:rPr>
        <w:footnoteRef/>
      </w:r>
      <w:r w:rsidRPr="00B24A66">
        <w:t xml:space="preserve"> LAT 2017 m. vasario 14 d. nutartis </w:t>
      </w:r>
      <w:r>
        <w:t xml:space="preserve">civilinėje byloje </w:t>
      </w:r>
      <w:r w:rsidRPr="00B24A66">
        <w:t xml:space="preserve"> Nr. e3K-7-23-248/2017.</w:t>
      </w:r>
    </w:p>
  </w:footnote>
  <w:footnote w:id="7">
    <w:p w14:paraId="02DE22A0" w14:textId="5C931CF5" w:rsidR="00CE1D81" w:rsidRPr="00B24A66" w:rsidRDefault="00CE1D81" w:rsidP="00897949">
      <w:pPr>
        <w:pStyle w:val="FootnoteText"/>
        <w:jc w:val="both"/>
      </w:pPr>
      <w:r w:rsidRPr="00B24A66">
        <w:rPr>
          <w:rStyle w:val="FootnoteReference"/>
        </w:rPr>
        <w:footnoteRef/>
      </w:r>
      <w:r w:rsidRPr="00B24A66">
        <w:t xml:space="preserve"> „Perkančioji organizacija užtikrina, kad vykdant pirkimą būtų laikomasi lygiateisiškumo, nediskriminavimo, abipusio pripažinimo, proporcingumo, skaidrumo principų“.</w:t>
      </w:r>
    </w:p>
  </w:footnote>
  <w:footnote w:id="8">
    <w:p w14:paraId="06940096" w14:textId="30509B93" w:rsidR="00374608" w:rsidRPr="00374608" w:rsidRDefault="00374608" w:rsidP="00374608">
      <w:pPr>
        <w:pStyle w:val="FootnoteText"/>
        <w:jc w:val="both"/>
      </w:pPr>
      <w:r>
        <w:rPr>
          <w:rStyle w:val="FootnoteReference"/>
        </w:rPr>
        <w:footnoteRef/>
      </w:r>
      <w:r>
        <w:t xml:space="preserve"> „</w:t>
      </w:r>
      <w:r w:rsidRPr="00374608">
        <w:t>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šio įstatymo 17 straipsnio 1 dalyje nustatyti principai ir atitinka</w:t>
      </w:r>
      <w:r>
        <w:t>mos padėties negalima ištaisyti“.</w:t>
      </w:r>
    </w:p>
  </w:footnote>
  <w:footnote w:id="9">
    <w:p w14:paraId="6142F075" w14:textId="01EC432C" w:rsidR="00CE1D81" w:rsidRPr="00E50630" w:rsidRDefault="00CE1D81" w:rsidP="00E50630">
      <w:pPr>
        <w:pStyle w:val="FootnoteText"/>
        <w:jc w:val="both"/>
      </w:pPr>
      <w:r>
        <w:rPr>
          <w:rStyle w:val="FootnoteReference"/>
        </w:rPr>
        <w:footnoteRef/>
      </w:r>
      <w:r>
        <w:t xml:space="preserve"> „</w:t>
      </w:r>
      <w:r w:rsidRPr="00E50630">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w:t>
      </w:r>
      <w:r>
        <w:t>s nuo pretenzijos gavimo dienos“.</w:t>
      </w:r>
    </w:p>
  </w:footnote>
  <w:footnote w:id="10">
    <w:p w14:paraId="4B20FB09" w14:textId="4BF61829" w:rsidR="00CE1D81" w:rsidRDefault="00CE1D81">
      <w:pPr>
        <w:pStyle w:val="FootnoteText"/>
      </w:pPr>
      <w:r>
        <w:rPr>
          <w:rStyle w:val="FootnoteReference"/>
        </w:rPr>
        <w:footnoteRef/>
      </w:r>
      <w:r>
        <w:t xml:space="preserve"> 2020-09-20 protokolas Nr. 7.</w:t>
      </w:r>
    </w:p>
  </w:footnote>
  <w:footnote w:id="11">
    <w:p w14:paraId="5E652591" w14:textId="3AB817D5" w:rsidR="00CE1D81" w:rsidRDefault="00CE1D81">
      <w:pPr>
        <w:pStyle w:val="FootnoteText"/>
      </w:pPr>
      <w:r>
        <w:rPr>
          <w:rStyle w:val="FootnoteReference"/>
        </w:rPr>
        <w:footnoteRef/>
      </w:r>
      <w:r>
        <w:t xml:space="preserve"> 2019-10-02 protokolas Nr. 10.</w:t>
      </w:r>
    </w:p>
  </w:footnote>
  <w:footnote w:id="12">
    <w:p w14:paraId="3D4AEB04" w14:textId="3EF16011" w:rsidR="00CE1D81" w:rsidRPr="00B24A66" w:rsidRDefault="00CE1D81" w:rsidP="00897949">
      <w:pPr>
        <w:pStyle w:val="FootnoteText"/>
        <w:jc w:val="both"/>
      </w:pPr>
      <w:r w:rsidRPr="00B24A66">
        <w:rPr>
          <w:rStyle w:val="FootnoteReference"/>
        </w:rPr>
        <w:footnoteRef/>
      </w:r>
      <w:r w:rsidRPr="00B24A66">
        <w:t xml:space="preserve"> 2020-01-24 protokolas Nr. 15.</w:t>
      </w:r>
    </w:p>
  </w:footnote>
  <w:footnote w:id="13">
    <w:p w14:paraId="72CD0C50" w14:textId="0711D2ED" w:rsidR="00CE1D81" w:rsidRPr="00B24A66" w:rsidRDefault="00CE1D81" w:rsidP="00897949">
      <w:pPr>
        <w:pStyle w:val="FootnoteText"/>
        <w:jc w:val="both"/>
      </w:pPr>
      <w:r w:rsidRPr="00B24A66">
        <w:rPr>
          <w:rStyle w:val="FootnoteReference"/>
        </w:rPr>
        <w:footnoteRef/>
      </w:r>
      <w:r w:rsidRPr="00B24A66">
        <w:t xml:space="preserve"> 2020-01-31 pretenzija Nr. 20200131, CVP IS pranešimo Nr. 7950466.</w:t>
      </w:r>
    </w:p>
  </w:footnote>
  <w:footnote w:id="14">
    <w:p w14:paraId="35CDDB14" w14:textId="1413E71E" w:rsidR="00CE1D81" w:rsidRPr="00B24A66" w:rsidRDefault="00CE1D81" w:rsidP="00897949">
      <w:pPr>
        <w:pStyle w:val="FootnoteText"/>
        <w:jc w:val="both"/>
      </w:pPr>
      <w:r w:rsidRPr="00B24A66">
        <w:rPr>
          <w:rStyle w:val="FootnoteReference"/>
        </w:rPr>
        <w:footnoteRef/>
      </w:r>
      <w:r w:rsidRPr="00B24A66">
        <w:t xml:space="preserve"> 2020-02-03 CVP IS pranešimas Nr. 7955287.</w:t>
      </w:r>
    </w:p>
  </w:footnote>
  <w:footnote w:id="15">
    <w:p w14:paraId="24D1AE31" w14:textId="5CC01EAB" w:rsidR="00CE1D81" w:rsidRDefault="00CE1D81">
      <w:pPr>
        <w:pStyle w:val="FootnoteText"/>
      </w:pPr>
      <w:r>
        <w:rPr>
          <w:rStyle w:val="FootnoteReference"/>
        </w:rPr>
        <w:footnoteRef/>
      </w:r>
      <w:r>
        <w:t xml:space="preserve"> 2020-02-03 protokolas Nr. 19.</w:t>
      </w:r>
    </w:p>
  </w:footnote>
  <w:footnote w:id="16">
    <w:p w14:paraId="199AA515" w14:textId="29F23779" w:rsidR="00CE1D81" w:rsidRPr="00B24A66" w:rsidRDefault="00CE1D81" w:rsidP="00897949">
      <w:pPr>
        <w:pStyle w:val="FootnoteText"/>
        <w:jc w:val="both"/>
      </w:pPr>
      <w:r w:rsidRPr="00B24A66">
        <w:rPr>
          <w:rStyle w:val="FootnoteReference"/>
        </w:rPr>
        <w:footnoteRef/>
      </w:r>
      <w:r w:rsidRPr="00B24A66">
        <w:t xml:space="preserve"> </w:t>
      </w:r>
      <w:r>
        <w:t xml:space="preserve">Matyt prie kai kurių CVP IS pranešimų reiktų datų, nes ne visur tekste datą rašom. Sutikrinti. 2020-02-06 </w:t>
      </w:r>
      <w:r w:rsidRPr="00B24A66">
        <w:t>CVP IS pranešimas Nr. 7965516.</w:t>
      </w:r>
    </w:p>
  </w:footnote>
  <w:footnote w:id="17">
    <w:p w14:paraId="604D0818" w14:textId="5DB92D82" w:rsidR="00CE1D81" w:rsidRPr="00B24A66" w:rsidRDefault="00CE1D81" w:rsidP="00897949">
      <w:pPr>
        <w:pStyle w:val="FootnoteText"/>
        <w:jc w:val="both"/>
      </w:pPr>
      <w:r w:rsidRPr="00B24A66">
        <w:rPr>
          <w:rStyle w:val="FootnoteReference"/>
        </w:rPr>
        <w:footnoteRef/>
      </w:r>
      <w:r w:rsidRPr="00B24A66">
        <w:t xml:space="preserve"> CVP IS pranešimas Nr. 8005104.</w:t>
      </w:r>
    </w:p>
  </w:footnote>
  <w:footnote w:id="18">
    <w:p w14:paraId="1B4404F9" w14:textId="4FFAAA7B" w:rsidR="00CE1D81" w:rsidRPr="00B24A66" w:rsidRDefault="00CE1D81" w:rsidP="00897949">
      <w:pPr>
        <w:pStyle w:val="FootnoteText"/>
        <w:jc w:val="both"/>
      </w:pPr>
      <w:r w:rsidRPr="00B24A66">
        <w:rPr>
          <w:rStyle w:val="FootnoteReference"/>
        </w:rPr>
        <w:footnoteRef/>
      </w:r>
      <w:r w:rsidRPr="00B24A66">
        <w:t xml:space="preserve"> CVP IS pranešimas Nr. 8058016.</w:t>
      </w:r>
    </w:p>
  </w:footnote>
  <w:footnote w:id="19">
    <w:p w14:paraId="2989783E" w14:textId="673EB5BE" w:rsidR="00CE1D81" w:rsidRPr="00B24A66" w:rsidRDefault="00CE1D81" w:rsidP="00897949">
      <w:pPr>
        <w:pStyle w:val="FootnoteText"/>
        <w:jc w:val="both"/>
      </w:pPr>
      <w:r w:rsidRPr="00B24A66">
        <w:rPr>
          <w:rStyle w:val="FootnoteReference"/>
        </w:rPr>
        <w:footnoteRef/>
      </w:r>
      <w:r w:rsidRPr="00B24A66">
        <w:t xml:space="preserve"> CVP IS pranešimas Nr. 8076300.</w:t>
      </w:r>
    </w:p>
  </w:footnote>
  <w:footnote w:id="20">
    <w:p w14:paraId="4AC8D335" w14:textId="152C9CA4" w:rsidR="00CE1D81" w:rsidRPr="00B24A66" w:rsidRDefault="00CE1D81" w:rsidP="00897949">
      <w:pPr>
        <w:pStyle w:val="FootnoteText"/>
        <w:jc w:val="both"/>
      </w:pPr>
      <w:r w:rsidRPr="00B24A66">
        <w:rPr>
          <w:rStyle w:val="FootnoteReference"/>
        </w:rPr>
        <w:footnoteRef/>
      </w:r>
      <w:r w:rsidRPr="00B24A66">
        <w:t xml:space="preserve"> CVP IS pranešimas Nr. 8097628.</w:t>
      </w:r>
    </w:p>
  </w:footnote>
  <w:footnote w:id="21">
    <w:p w14:paraId="56B1F41C" w14:textId="2903E31D" w:rsidR="00CE1D81" w:rsidRPr="00B24A66" w:rsidRDefault="00CE1D81" w:rsidP="00897949">
      <w:pPr>
        <w:pStyle w:val="FootnoteText"/>
        <w:jc w:val="both"/>
      </w:pPr>
      <w:r w:rsidRPr="00B24A66">
        <w:rPr>
          <w:rStyle w:val="FootnoteReference"/>
        </w:rPr>
        <w:footnoteRef/>
      </w:r>
      <w:r w:rsidRPr="00B24A66">
        <w:t xml:space="preserve"> CVP IS pranešimas Nr. 8076300.</w:t>
      </w:r>
    </w:p>
  </w:footnote>
  <w:footnote w:id="22">
    <w:p w14:paraId="1706B534" w14:textId="32AE7EF1" w:rsidR="00CE1D81" w:rsidRPr="00B24A66" w:rsidRDefault="00CE1D81" w:rsidP="00897949">
      <w:pPr>
        <w:pStyle w:val="FootnoteText"/>
        <w:jc w:val="both"/>
      </w:pPr>
      <w:r w:rsidRPr="00B24A66">
        <w:rPr>
          <w:rStyle w:val="FootnoteReference"/>
        </w:rPr>
        <w:footnoteRef/>
      </w:r>
      <w:r w:rsidRPr="00B24A66">
        <w:t xml:space="preserve"> </w:t>
      </w:r>
      <w:r w:rsidRPr="00B24A66">
        <w:rPr>
          <w:color w:val="000000"/>
        </w:rPr>
        <w:t>2019 m. gruodžio 12 d. Kauno apygardos teismo sprendimas civilinėje byloje Nr. e2-2190-657/2019.</w:t>
      </w:r>
    </w:p>
  </w:footnote>
  <w:footnote w:id="23">
    <w:p w14:paraId="4AD7CCCD" w14:textId="54AA293D" w:rsidR="00CE1D81" w:rsidRPr="00B24A66" w:rsidRDefault="00CE1D81" w:rsidP="00897949">
      <w:pPr>
        <w:pStyle w:val="FootnoteText"/>
      </w:pPr>
      <w:r w:rsidRPr="00B24A66">
        <w:rPr>
          <w:rStyle w:val="FootnoteReference"/>
        </w:rPr>
        <w:footnoteRef/>
      </w:r>
      <w:r w:rsidRPr="00B24A66">
        <w:t xml:space="preserve"> </w:t>
      </w:r>
      <w:hyperlink r:id="rId1" w:history="1">
        <w:r w:rsidRPr="00B24A66">
          <w:rPr>
            <w:rStyle w:val="Hyperlink"/>
          </w:rPr>
          <w:t>https://www.medicalexpo.com/prod/eurocolumbus/product-68427-942410.html</w:t>
        </w:r>
      </w:hyperlink>
      <w:r w:rsidRPr="00B24A66">
        <w:t xml:space="preserve">; </w:t>
      </w:r>
      <w:hyperlink r:id="rId2" w:history="1">
        <w:r w:rsidRPr="00B24A66">
          <w:rPr>
            <w:rStyle w:val="Hyperlink"/>
          </w:rPr>
          <w:t>https://www.medicalexpo.com/prod/eurocolumbus/product-68427-942651.html</w:t>
        </w:r>
      </w:hyperlink>
      <w:r w:rsidRPr="00B24A66">
        <w:t xml:space="preserve">. </w:t>
      </w:r>
    </w:p>
  </w:footnote>
  <w:footnote w:id="24">
    <w:p w14:paraId="0F546E9A" w14:textId="627404F6" w:rsidR="00CE1D81" w:rsidRPr="00B24A66" w:rsidRDefault="00CE1D81" w:rsidP="00897949">
      <w:pPr>
        <w:pStyle w:val="FootnoteText"/>
        <w:jc w:val="both"/>
      </w:pPr>
      <w:r w:rsidRPr="00B24A66">
        <w:rPr>
          <w:rStyle w:val="FootnoteReference"/>
        </w:rPr>
        <w:footnoteRef/>
      </w:r>
      <w:r w:rsidRPr="00B24A66">
        <w:t xml:space="preserve"> 2020-02-26 raštas Nr. SD-462.</w:t>
      </w:r>
    </w:p>
  </w:footnote>
  <w:footnote w:id="25">
    <w:p w14:paraId="6002F532" w14:textId="4C373D37" w:rsidR="00CE1D81" w:rsidRDefault="00CE1D81" w:rsidP="00041F7F">
      <w:pPr>
        <w:pStyle w:val="FootnoteText"/>
        <w:jc w:val="both"/>
      </w:pPr>
      <w:r>
        <w:rPr>
          <w:rStyle w:val="FootnoteReference"/>
        </w:rPr>
        <w:footnoteRef/>
      </w:r>
      <w:r>
        <w:t xml:space="preserve"> „</w:t>
      </w:r>
      <w:r w:rsidRPr="005D4FAB">
        <w:t>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šio įstatymo 17 straipsnio 1 dalyje nustatyti principai ir atitinka</w:t>
      </w:r>
      <w:r w:rsidR="00127B80">
        <w:t>mos padėties negalima ištaisyti</w:t>
      </w:r>
      <w:r>
        <w:t>“</w:t>
      </w:r>
      <w:r w:rsidR="00127B80">
        <w:t>.</w:t>
      </w:r>
    </w:p>
  </w:footnote>
  <w:footnote w:id="26">
    <w:p w14:paraId="32D6DB9D" w14:textId="09D2A2BE" w:rsidR="00CE1D81" w:rsidRPr="00B24A66" w:rsidRDefault="00CE1D81" w:rsidP="00B24A66">
      <w:pPr>
        <w:pStyle w:val="FootnoteText"/>
        <w:jc w:val="both"/>
      </w:pPr>
      <w:r w:rsidRPr="00B24A66">
        <w:rPr>
          <w:rStyle w:val="FootnoteReference"/>
        </w:rPr>
        <w:footnoteRef/>
      </w:r>
      <w:r w:rsidRPr="00B24A66">
        <w:t xml:space="preserve"> </w:t>
      </w:r>
      <w:r>
        <w:t>LAT</w:t>
      </w:r>
      <w:r w:rsidRPr="00B24A66">
        <w:t xml:space="preserve"> 2017 m. gruodžio 7 d. nutartis civilinėje byloje Nr. e3K-3-437-916/2017.</w:t>
      </w:r>
    </w:p>
  </w:footnote>
  <w:footnote w:id="27">
    <w:p w14:paraId="184CE12F" w14:textId="253EADBB" w:rsidR="005E5828" w:rsidRDefault="005E5828" w:rsidP="00041F7F">
      <w:pPr>
        <w:pStyle w:val="FootnoteText"/>
        <w:jc w:val="both"/>
      </w:pPr>
      <w:r>
        <w:rPr>
          <w:rStyle w:val="FootnoteReference"/>
        </w:rPr>
        <w:footnoteRef/>
      </w:r>
      <w:r>
        <w:t xml:space="preserve"> Perkančioji organizacija 2020-02-26 rašte Nr. SD-462 nurodo, kad „</w:t>
      </w:r>
      <w:r w:rsidRPr="001E351B">
        <w:t>operacijų metu chirurgo naudojami instrumentai turi būti ne žemiau sulenktos 90 laipsniu rankos alkūnės ir ne aukščiau 5 cm alkūnės lygio</w:t>
      </w:r>
      <w:r>
        <w:t xml:space="preserve">“ ir nurodo informacijos šaltinį: </w:t>
      </w:r>
      <w:r w:rsidRPr="00BC10B8">
        <w:rPr>
          <w:sz w:val="18"/>
          <w:szCs w:val="18"/>
        </w:rPr>
        <w:t>Ergonomic assessment of optimum operating table height for hand-assisted laparoscopic surgery</w:t>
      </w:r>
      <w:r>
        <w:rPr>
          <w:sz w:val="18"/>
          <w:szCs w:val="18"/>
        </w:rPr>
        <w:t xml:space="preserve"> </w:t>
      </w:r>
      <w:hyperlink r:id="rId3" w:history="1">
        <w:r w:rsidRPr="005E5828">
          <w:rPr>
            <w:rStyle w:val="Hyperlink"/>
            <w:sz w:val="18"/>
            <w:szCs w:val="18"/>
          </w:rPr>
          <w:t>https://www.researchgate.net/publication/51404389_Ergonomic_assessment_of_optimum_operating_table_height_for_hand-assisted_laparoscopic_surgery</w:t>
        </w:r>
      </w:hyperlink>
      <w:r>
        <w:t>.</w:t>
      </w:r>
    </w:p>
  </w:footnote>
  <w:footnote w:id="28">
    <w:p w14:paraId="48FDB6D3" w14:textId="0858EA4C" w:rsidR="00CE1D81" w:rsidRPr="00B24A66" w:rsidRDefault="00CE1D81" w:rsidP="00B24A66">
      <w:pPr>
        <w:pStyle w:val="FootnoteText"/>
        <w:jc w:val="both"/>
      </w:pPr>
      <w:r w:rsidRPr="00B24A66">
        <w:rPr>
          <w:rStyle w:val="FootnoteReference"/>
        </w:rPr>
        <w:footnoteRef/>
      </w:r>
      <w:r w:rsidRPr="00B24A66">
        <w:t xml:space="preserve"> 2020-03-06 UAB „Apex Medicus“ pretenzija.</w:t>
      </w:r>
    </w:p>
  </w:footnote>
  <w:footnote w:id="29">
    <w:p w14:paraId="0603294C" w14:textId="77777777" w:rsidR="00CE1D81" w:rsidRPr="00B24A66" w:rsidRDefault="00CE1D81" w:rsidP="00B24A66">
      <w:pPr>
        <w:pStyle w:val="FootnoteText"/>
        <w:jc w:val="both"/>
      </w:pPr>
      <w:r w:rsidRPr="00B24A66">
        <w:rPr>
          <w:rStyle w:val="FootnoteReference"/>
        </w:rPr>
        <w:footnoteRef/>
      </w:r>
      <w:r w:rsidRPr="00B24A66">
        <w:t xml:space="preserve"> „Perkančioji organizacija užtikrina, kad vykdant pirkimą būtų laikomasi lygiateisiškumo, nediskriminavimo, abipusio pripažinimo, proporcingumo, skaidrumo principų“.</w:t>
      </w:r>
    </w:p>
  </w:footnote>
  <w:footnote w:id="30">
    <w:p w14:paraId="221E612D" w14:textId="498BB318" w:rsidR="00CE1D81" w:rsidRPr="00B24A66" w:rsidRDefault="00CE1D81" w:rsidP="00B24A66">
      <w:pPr>
        <w:pStyle w:val="FootnoteText"/>
        <w:jc w:val="both"/>
      </w:pPr>
      <w:r w:rsidRPr="00B24A66">
        <w:rPr>
          <w:rStyle w:val="FootnoteReference"/>
        </w:rPr>
        <w:footnoteRef/>
      </w:r>
      <w:r w:rsidRPr="00B24A66">
        <w:t xml:space="preserve"> </w:t>
      </w:r>
      <w:r>
        <w:t>„</w:t>
      </w:r>
      <w:r>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31">
    <w:p w14:paraId="71A04E76" w14:textId="2B7D47A7" w:rsidR="00CE1D81" w:rsidRPr="00ED72B8" w:rsidRDefault="00CE1D81" w:rsidP="00ED72B8">
      <w:pPr>
        <w:pStyle w:val="FootnoteText"/>
        <w:jc w:val="both"/>
      </w:pPr>
      <w:r>
        <w:rPr>
          <w:rStyle w:val="FootnoteReference"/>
        </w:rPr>
        <w:footnoteRef/>
      </w:r>
      <w:r>
        <w:t xml:space="preserve"> „</w:t>
      </w:r>
      <w:r>
        <w:rPr>
          <w:color w:val="000000"/>
        </w:rPr>
        <w:t>Techninė specifikacija turi užtikrinti konkurenciją ir nediskriminuoti tiekėjų</w:t>
      </w:r>
      <w:r>
        <w:t>“.</w:t>
      </w:r>
    </w:p>
  </w:footnote>
  <w:footnote w:id="32">
    <w:p w14:paraId="7038BCD1" w14:textId="347015D8" w:rsidR="007D5302" w:rsidRDefault="007D5302">
      <w:pPr>
        <w:pStyle w:val="FootnoteText"/>
      </w:pPr>
      <w:r>
        <w:rPr>
          <w:rStyle w:val="FootnoteReference"/>
        </w:rPr>
        <w:footnoteRef/>
      </w:r>
      <w:r>
        <w:t xml:space="preserve"> Techninės specifikacijos Nr. 2 2.10 p.</w:t>
      </w:r>
    </w:p>
  </w:footnote>
  <w:footnote w:id="33">
    <w:p w14:paraId="567575BC" w14:textId="3646F865" w:rsidR="00CE1D81" w:rsidRPr="00B24A66" w:rsidRDefault="00CE1D81" w:rsidP="003938FF">
      <w:pPr>
        <w:pStyle w:val="FootnoteText"/>
        <w:jc w:val="both"/>
      </w:pPr>
      <w:r w:rsidRPr="00B24A66">
        <w:rPr>
          <w:rStyle w:val="FootnoteReference"/>
        </w:rPr>
        <w:footnoteRef/>
      </w:r>
      <w:r w:rsidRPr="00B24A66">
        <w:t xml:space="preserve"> Viršutinio mazgo: </w:t>
      </w:r>
      <w:hyperlink r:id="rId4" w:history="1">
        <w:r w:rsidRPr="00B24A66">
          <w:rPr>
            <w:rStyle w:val="Hyperlink"/>
          </w:rPr>
          <w:t>https://www.youtube.com/watch?v=o8tBGs8A_r4&amp;feature=emb_logo</w:t>
        </w:r>
      </w:hyperlink>
      <w:r w:rsidRPr="00B24A66">
        <w:t xml:space="preserve">, apatinio mazgo: </w:t>
      </w:r>
      <w:hyperlink r:id="rId5" w:history="1">
        <w:r w:rsidRPr="00B24A66">
          <w:rPr>
            <w:rStyle w:val="Hyperlink"/>
          </w:rPr>
          <w:t>https://www.youtube.com/watch?v=y8s6R1tYtDo&amp;feature=emb_logo</w:t>
        </w:r>
      </w:hyperlink>
      <w:r w:rsidRPr="00B24A66">
        <w:rPr>
          <w:rStyle w:val="Hyperlink"/>
        </w:rPr>
        <w:t xml:space="preserve"> </w:t>
      </w:r>
    </w:p>
  </w:footnote>
  <w:footnote w:id="34">
    <w:p w14:paraId="38314F52" w14:textId="0AF85626" w:rsidR="00CE1D81" w:rsidRPr="00B24A66" w:rsidRDefault="00CE1D81">
      <w:pPr>
        <w:pStyle w:val="FootnoteText"/>
      </w:pPr>
      <w:r w:rsidRPr="00B24A66">
        <w:rPr>
          <w:rStyle w:val="FootnoteReference"/>
        </w:rPr>
        <w:footnoteRef/>
      </w:r>
      <w:r w:rsidRPr="00B24A66">
        <w:t xml:space="preserve"> </w:t>
      </w:r>
      <w:hyperlink r:id="rId6" w:history="1">
        <w:r w:rsidRPr="00B24A66">
          <w:rPr>
            <w:rStyle w:val="Hyperlink"/>
          </w:rPr>
          <w:t>https://www.gehealthcare.com/products/surgical-imaging/oec-elite</w:t>
        </w:r>
      </w:hyperlink>
      <w:r w:rsidRPr="00B24A66">
        <w:t xml:space="preserve"> </w:t>
      </w:r>
    </w:p>
  </w:footnote>
  <w:footnote w:id="35">
    <w:p w14:paraId="22B94431" w14:textId="71DD43DA" w:rsidR="00CE1D81" w:rsidRPr="00B24A66" w:rsidRDefault="00CE1D81">
      <w:pPr>
        <w:pStyle w:val="FootnoteText"/>
        <w:rPr>
          <w:u w:val="single"/>
        </w:rPr>
      </w:pPr>
      <w:r w:rsidRPr="00B24A66">
        <w:rPr>
          <w:rStyle w:val="FootnoteReference"/>
        </w:rPr>
        <w:footnoteRef/>
      </w:r>
      <w:r w:rsidRPr="00B24A66">
        <w:t xml:space="preserve"> </w:t>
      </w:r>
      <w:hyperlink r:id="rId7" w:history="1">
        <w:r w:rsidRPr="00B24A66">
          <w:rPr>
            <w:rStyle w:val="Hyperlink"/>
          </w:rPr>
          <w:t>https://tahealthcaregroup.com/wp-content/uploads/2020/03/GE-OEC-Elite-CFD.pdf</w:t>
        </w:r>
      </w:hyperlink>
    </w:p>
  </w:footnote>
  <w:footnote w:id="36">
    <w:p w14:paraId="3DCC5695" w14:textId="365215DC" w:rsidR="00CE1D81" w:rsidRPr="00B24A66" w:rsidRDefault="00CE1D81">
      <w:pPr>
        <w:pStyle w:val="FootnoteText"/>
      </w:pPr>
      <w:r w:rsidRPr="00B24A66">
        <w:rPr>
          <w:rStyle w:val="FootnoteReference"/>
        </w:rPr>
        <w:footnoteRef/>
      </w:r>
      <w:r w:rsidRPr="00B24A66">
        <w:t xml:space="preserve"> </w:t>
      </w:r>
      <w:hyperlink r:id="rId8" w:history="1">
        <w:r w:rsidRPr="00B24A66">
          <w:rPr>
            <w:rStyle w:val="Hyperlink"/>
          </w:rPr>
          <w:t>https://www.outdoorphoto.co.za/blog/bit-depth/amp/</w:t>
        </w:r>
      </w:hyperlink>
      <w:r w:rsidRPr="00B24A66">
        <w:rPr>
          <w:rStyle w:val="Hyperlink"/>
        </w:rPr>
        <w:t xml:space="preserve"> </w:t>
      </w:r>
    </w:p>
  </w:footnote>
  <w:footnote w:id="37">
    <w:p w14:paraId="62E0D896" w14:textId="77777777" w:rsidR="00CE1D81" w:rsidRPr="00B24A66" w:rsidRDefault="00CE1D81" w:rsidP="00D56AB6">
      <w:pPr>
        <w:pStyle w:val="FootnoteText"/>
      </w:pPr>
      <w:r w:rsidRPr="00B24A66">
        <w:rPr>
          <w:rStyle w:val="FootnoteReference"/>
        </w:rPr>
        <w:footnoteRef/>
      </w:r>
      <w:r w:rsidRPr="00B24A66">
        <w:t xml:space="preserve"> </w:t>
      </w:r>
      <w:hyperlink r:id="rId9" w:history="1">
        <w:r w:rsidRPr="00B24A66">
          <w:rPr>
            <w:rStyle w:val="Hyperlink"/>
          </w:rPr>
          <w:t>https://www.lietuviuzodynas.lt/terminai/Potencialus</w:t>
        </w:r>
      </w:hyperlink>
      <w:r w:rsidRPr="00B24A66">
        <w:t xml:space="preserve"> </w:t>
      </w:r>
    </w:p>
  </w:footnote>
  <w:footnote w:id="38">
    <w:p w14:paraId="511D6DC3" w14:textId="304C5DE4" w:rsidR="00CE1D81" w:rsidRPr="00B24A66" w:rsidRDefault="00CE1D81">
      <w:pPr>
        <w:pStyle w:val="FootnoteText"/>
      </w:pPr>
      <w:r w:rsidRPr="00B24A66">
        <w:rPr>
          <w:rStyle w:val="FootnoteReference"/>
        </w:rPr>
        <w:footnoteRef/>
      </w:r>
      <w:r w:rsidRPr="00B24A66">
        <w:t xml:space="preserve"> </w:t>
      </w:r>
      <w:hyperlink r:id="rId10" w:history="1">
        <w:r w:rsidRPr="00B24A66">
          <w:rPr>
            <w:rStyle w:val="Hyperlink"/>
          </w:rPr>
          <w:t>https://jayxray.com/x-rays/c-arm-buyers-guide/c-arm-comparison/oec-elite-cfd-vs-oscar-15-fd/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E1D81" w:rsidRDefault="00CE1D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6C157D" w14:textId="77777777" w:rsidR="00CE1D81" w:rsidRDefault="00CE1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E1D81" w:rsidRDefault="00CE1D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0022">
      <w:rPr>
        <w:rStyle w:val="PageNumber"/>
        <w:noProof/>
      </w:rPr>
      <w:t>8</w:t>
    </w:r>
    <w:r>
      <w:rPr>
        <w:rStyle w:val="PageNumber"/>
      </w:rPr>
      <w:fldChar w:fldCharType="end"/>
    </w:r>
  </w:p>
  <w:p w14:paraId="2B06A8A7" w14:textId="77777777" w:rsidR="00CE1D81" w:rsidRDefault="00CE1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3CCCBFB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CD210E"/>
    <w:multiLevelType w:val="hybridMultilevel"/>
    <w:tmpl w:val="1786F6F4"/>
    <w:lvl w:ilvl="0" w:tplc="37BA33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F0F3A"/>
    <w:multiLevelType w:val="hybridMultilevel"/>
    <w:tmpl w:val="ACE424D4"/>
    <w:lvl w:ilvl="0" w:tplc="684CA5F6">
      <w:start w:val="3"/>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691EC6"/>
    <w:multiLevelType w:val="hybridMultilevel"/>
    <w:tmpl w:val="B1885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F7169"/>
    <w:multiLevelType w:val="hybridMultilevel"/>
    <w:tmpl w:val="3CCCBFB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42"/>
  </w:num>
  <w:num w:numId="3">
    <w:abstractNumId w:val="24"/>
  </w:num>
  <w:num w:numId="4">
    <w:abstractNumId w:val="28"/>
  </w:num>
  <w:num w:numId="5">
    <w:abstractNumId w:val="15"/>
  </w:num>
  <w:num w:numId="6">
    <w:abstractNumId w:val="13"/>
  </w:num>
  <w:num w:numId="7">
    <w:abstractNumId w:val="26"/>
  </w:num>
  <w:num w:numId="8">
    <w:abstractNumId w:val="39"/>
  </w:num>
  <w:num w:numId="9">
    <w:abstractNumId w:val="30"/>
  </w:num>
  <w:num w:numId="10">
    <w:abstractNumId w:val="44"/>
  </w:num>
  <w:num w:numId="11">
    <w:abstractNumId w:val="19"/>
  </w:num>
  <w:num w:numId="12">
    <w:abstractNumId w:val="35"/>
  </w:num>
  <w:num w:numId="13">
    <w:abstractNumId w:val="22"/>
  </w:num>
  <w:num w:numId="14">
    <w:abstractNumId w:val="4"/>
  </w:num>
  <w:num w:numId="15">
    <w:abstractNumId w:val="43"/>
  </w:num>
  <w:num w:numId="16">
    <w:abstractNumId w:val="6"/>
  </w:num>
  <w:num w:numId="17">
    <w:abstractNumId w:val="32"/>
  </w:num>
  <w:num w:numId="18">
    <w:abstractNumId w:val="38"/>
  </w:num>
  <w:num w:numId="19">
    <w:abstractNumId w:val="1"/>
  </w:num>
  <w:num w:numId="20">
    <w:abstractNumId w:val="0"/>
  </w:num>
  <w:num w:numId="21">
    <w:abstractNumId w:val="9"/>
  </w:num>
  <w:num w:numId="22">
    <w:abstractNumId w:val="31"/>
  </w:num>
  <w:num w:numId="23">
    <w:abstractNumId w:val="40"/>
  </w:num>
  <w:num w:numId="24">
    <w:abstractNumId w:val="29"/>
  </w:num>
  <w:num w:numId="25">
    <w:abstractNumId w:val="21"/>
  </w:num>
  <w:num w:numId="26">
    <w:abstractNumId w:val="12"/>
  </w:num>
  <w:num w:numId="27">
    <w:abstractNumId w:val="41"/>
  </w:num>
  <w:num w:numId="28">
    <w:abstractNumId w:val="2"/>
  </w:num>
  <w:num w:numId="29">
    <w:abstractNumId w:val="36"/>
  </w:num>
  <w:num w:numId="30">
    <w:abstractNumId w:val="37"/>
  </w:num>
  <w:num w:numId="31">
    <w:abstractNumId w:val="20"/>
  </w:num>
  <w:num w:numId="32">
    <w:abstractNumId w:val="10"/>
  </w:num>
  <w:num w:numId="33">
    <w:abstractNumId w:val="16"/>
  </w:num>
  <w:num w:numId="34">
    <w:abstractNumId w:val="27"/>
  </w:num>
  <w:num w:numId="35">
    <w:abstractNumId w:val="18"/>
  </w:num>
  <w:num w:numId="36">
    <w:abstractNumId w:val="33"/>
  </w:num>
  <w:num w:numId="37">
    <w:abstractNumId w:val="17"/>
  </w:num>
  <w:num w:numId="38">
    <w:abstractNumId w:val="5"/>
  </w:num>
  <w:num w:numId="39">
    <w:abstractNumId w:val="3"/>
  </w:num>
  <w:num w:numId="40">
    <w:abstractNumId w:val="23"/>
  </w:num>
  <w:num w:numId="41">
    <w:abstractNumId w:val="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5"/>
  </w:num>
  <w:num w:numId="45">
    <w:abstractNumId w:val="3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64A"/>
    <w:rsid w:val="00002AA6"/>
    <w:rsid w:val="000046E2"/>
    <w:rsid w:val="00005217"/>
    <w:rsid w:val="00005373"/>
    <w:rsid w:val="00007341"/>
    <w:rsid w:val="00007372"/>
    <w:rsid w:val="0000738C"/>
    <w:rsid w:val="00007F4B"/>
    <w:rsid w:val="00010D1A"/>
    <w:rsid w:val="00011331"/>
    <w:rsid w:val="00012A03"/>
    <w:rsid w:val="00012ADC"/>
    <w:rsid w:val="00012CF3"/>
    <w:rsid w:val="0001347B"/>
    <w:rsid w:val="000138A4"/>
    <w:rsid w:val="00013971"/>
    <w:rsid w:val="00013F24"/>
    <w:rsid w:val="00014FE0"/>
    <w:rsid w:val="00016D30"/>
    <w:rsid w:val="000177DE"/>
    <w:rsid w:val="00020BAD"/>
    <w:rsid w:val="00021053"/>
    <w:rsid w:val="000220AE"/>
    <w:rsid w:val="000228A3"/>
    <w:rsid w:val="00022A01"/>
    <w:rsid w:val="00023B43"/>
    <w:rsid w:val="0002403F"/>
    <w:rsid w:val="00024BE0"/>
    <w:rsid w:val="000260F4"/>
    <w:rsid w:val="000268FD"/>
    <w:rsid w:val="00027BDD"/>
    <w:rsid w:val="000310F0"/>
    <w:rsid w:val="000315EE"/>
    <w:rsid w:val="00032628"/>
    <w:rsid w:val="000327A3"/>
    <w:rsid w:val="00033A32"/>
    <w:rsid w:val="00033CC7"/>
    <w:rsid w:val="00034597"/>
    <w:rsid w:val="00035EB7"/>
    <w:rsid w:val="00036B71"/>
    <w:rsid w:val="000377FD"/>
    <w:rsid w:val="00041F7F"/>
    <w:rsid w:val="000428AB"/>
    <w:rsid w:val="000429D0"/>
    <w:rsid w:val="00043152"/>
    <w:rsid w:val="00044227"/>
    <w:rsid w:val="00044AFE"/>
    <w:rsid w:val="00045B87"/>
    <w:rsid w:val="000506A7"/>
    <w:rsid w:val="000515C3"/>
    <w:rsid w:val="00051E8E"/>
    <w:rsid w:val="00052C07"/>
    <w:rsid w:val="00052D68"/>
    <w:rsid w:val="0005431B"/>
    <w:rsid w:val="00055561"/>
    <w:rsid w:val="00055576"/>
    <w:rsid w:val="00056901"/>
    <w:rsid w:val="00056E16"/>
    <w:rsid w:val="00057B99"/>
    <w:rsid w:val="00063476"/>
    <w:rsid w:val="0006375B"/>
    <w:rsid w:val="000647C2"/>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5E39"/>
    <w:rsid w:val="000767A4"/>
    <w:rsid w:val="00077A8F"/>
    <w:rsid w:val="00077E4B"/>
    <w:rsid w:val="0008142D"/>
    <w:rsid w:val="00083B0D"/>
    <w:rsid w:val="00085B4B"/>
    <w:rsid w:val="00085FAB"/>
    <w:rsid w:val="0008682A"/>
    <w:rsid w:val="0008695E"/>
    <w:rsid w:val="00087CE3"/>
    <w:rsid w:val="0009207D"/>
    <w:rsid w:val="00092283"/>
    <w:rsid w:val="0009375D"/>
    <w:rsid w:val="00094361"/>
    <w:rsid w:val="00094626"/>
    <w:rsid w:val="000952F6"/>
    <w:rsid w:val="00096825"/>
    <w:rsid w:val="000974BF"/>
    <w:rsid w:val="00097A68"/>
    <w:rsid w:val="00097D69"/>
    <w:rsid w:val="00097F19"/>
    <w:rsid w:val="000A180B"/>
    <w:rsid w:val="000A1C7A"/>
    <w:rsid w:val="000A28F6"/>
    <w:rsid w:val="000A430F"/>
    <w:rsid w:val="000A449F"/>
    <w:rsid w:val="000A4528"/>
    <w:rsid w:val="000A4E9C"/>
    <w:rsid w:val="000A5052"/>
    <w:rsid w:val="000A5D59"/>
    <w:rsid w:val="000A5F61"/>
    <w:rsid w:val="000A6B1E"/>
    <w:rsid w:val="000A6E1F"/>
    <w:rsid w:val="000A6F88"/>
    <w:rsid w:val="000B0319"/>
    <w:rsid w:val="000B16A4"/>
    <w:rsid w:val="000B1AEE"/>
    <w:rsid w:val="000B1B1C"/>
    <w:rsid w:val="000B24B5"/>
    <w:rsid w:val="000B32CC"/>
    <w:rsid w:val="000B47DD"/>
    <w:rsid w:val="000B58C5"/>
    <w:rsid w:val="000B60BF"/>
    <w:rsid w:val="000B6318"/>
    <w:rsid w:val="000B6B7A"/>
    <w:rsid w:val="000B711A"/>
    <w:rsid w:val="000B7D89"/>
    <w:rsid w:val="000C005B"/>
    <w:rsid w:val="000C05AA"/>
    <w:rsid w:val="000C1BAD"/>
    <w:rsid w:val="000C1BD8"/>
    <w:rsid w:val="000C2281"/>
    <w:rsid w:val="000C2B12"/>
    <w:rsid w:val="000C3491"/>
    <w:rsid w:val="000C36B1"/>
    <w:rsid w:val="000C3ADB"/>
    <w:rsid w:val="000C4491"/>
    <w:rsid w:val="000C5B91"/>
    <w:rsid w:val="000C5C9B"/>
    <w:rsid w:val="000C72F3"/>
    <w:rsid w:val="000C7CB3"/>
    <w:rsid w:val="000C7F4A"/>
    <w:rsid w:val="000D13FD"/>
    <w:rsid w:val="000D197A"/>
    <w:rsid w:val="000D19BE"/>
    <w:rsid w:val="000D1F86"/>
    <w:rsid w:val="000D23D1"/>
    <w:rsid w:val="000D3566"/>
    <w:rsid w:val="000D42EB"/>
    <w:rsid w:val="000D4D51"/>
    <w:rsid w:val="000D7F8E"/>
    <w:rsid w:val="000E096C"/>
    <w:rsid w:val="000E0F48"/>
    <w:rsid w:val="000E1D07"/>
    <w:rsid w:val="000E2FFC"/>
    <w:rsid w:val="000E3169"/>
    <w:rsid w:val="000E4432"/>
    <w:rsid w:val="000E4E09"/>
    <w:rsid w:val="000E5146"/>
    <w:rsid w:val="000E5635"/>
    <w:rsid w:val="000E5D45"/>
    <w:rsid w:val="000E7BC1"/>
    <w:rsid w:val="000F015C"/>
    <w:rsid w:val="000F0DE8"/>
    <w:rsid w:val="000F1DB0"/>
    <w:rsid w:val="000F219F"/>
    <w:rsid w:val="000F259D"/>
    <w:rsid w:val="000F2D8E"/>
    <w:rsid w:val="000F3561"/>
    <w:rsid w:val="000F3A51"/>
    <w:rsid w:val="000F3B76"/>
    <w:rsid w:val="000F64EB"/>
    <w:rsid w:val="00102C4C"/>
    <w:rsid w:val="00103D1F"/>
    <w:rsid w:val="00103DFB"/>
    <w:rsid w:val="001043E2"/>
    <w:rsid w:val="001051BE"/>
    <w:rsid w:val="001052D9"/>
    <w:rsid w:val="00105D65"/>
    <w:rsid w:val="00105E00"/>
    <w:rsid w:val="00106187"/>
    <w:rsid w:val="00106596"/>
    <w:rsid w:val="001101B1"/>
    <w:rsid w:val="00110430"/>
    <w:rsid w:val="0011054C"/>
    <w:rsid w:val="0011174A"/>
    <w:rsid w:val="001121F0"/>
    <w:rsid w:val="00113C02"/>
    <w:rsid w:val="0011420A"/>
    <w:rsid w:val="001150CC"/>
    <w:rsid w:val="00117AAD"/>
    <w:rsid w:val="001205AB"/>
    <w:rsid w:val="00122B7A"/>
    <w:rsid w:val="00123351"/>
    <w:rsid w:val="00123982"/>
    <w:rsid w:val="00124DA9"/>
    <w:rsid w:val="0012712B"/>
    <w:rsid w:val="00127B80"/>
    <w:rsid w:val="0013002A"/>
    <w:rsid w:val="0013006B"/>
    <w:rsid w:val="001316D9"/>
    <w:rsid w:val="00131A20"/>
    <w:rsid w:val="001327F9"/>
    <w:rsid w:val="00132953"/>
    <w:rsid w:val="00132D72"/>
    <w:rsid w:val="00133213"/>
    <w:rsid w:val="00133344"/>
    <w:rsid w:val="00134361"/>
    <w:rsid w:val="00135029"/>
    <w:rsid w:val="0013568D"/>
    <w:rsid w:val="00135E0E"/>
    <w:rsid w:val="001361D2"/>
    <w:rsid w:val="00136B1F"/>
    <w:rsid w:val="001372F6"/>
    <w:rsid w:val="00137A7A"/>
    <w:rsid w:val="00140E7C"/>
    <w:rsid w:val="001410F6"/>
    <w:rsid w:val="00142D71"/>
    <w:rsid w:val="00143747"/>
    <w:rsid w:val="001443E3"/>
    <w:rsid w:val="001448E0"/>
    <w:rsid w:val="00145C1F"/>
    <w:rsid w:val="00146CE2"/>
    <w:rsid w:val="001473E4"/>
    <w:rsid w:val="001530D4"/>
    <w:rsid w:val="00153D28"/>
    <w:rsid w:val="00155C39"/>
    <w:rsid w:val="00156C15"/>
    <w:rsid w:val="00157F83"/>
    <w:rsid w:val="0016057A"/>
    <w:rsid w:val="0016154B"/>
    <w:rsid w:val="001616C1"/>
    <w:rsid w:val="00163D63"/>
    <w:rsid w:val="00165C51"/>
    <w:rsid w:val="001663DB"/>
    <w:rsid w:val="001664C0"/>
    <w:rsid w:val="00166628"/>
    <w:rsid w:val="001672D8"/>
    <w:rsid w:val="0017077F"/>
    <w:rsid w:val="001709FB"/>
    <w:rsid w:val="00170A17"/>
    <w:rsid w:val="00170BAD"/>
    <w:rsid w:val="00170F68"/>
    <w:rsid w:val="0017166B"/>
    <w:rsid w:val="0017287F"/>
    <w:rsid w:val="00172ECE"/>
    <w:rsid w:val="0017357C"/>
    <w:rsid w:val="001737C4"/>
    <w:rsid w:val="00174911"/>
    <w:rsid w:val="00175CAB"/>
    <w:rsid w:val="0017676F"/>
    <w:rsid w:val="00176E36"/>
    <w:rsid w:val="00180706"/>
    <w:rsid w:val="0018488A"/>
    <w:rsid w:val="001854D6"/>
    <w:rsid w:val="0018757F"/>
    <w:rsid w:val="001877DE"/>
    <w:rsid w:val="00187DE1"/>
    <w:rsid w:val="001914E0"/>
    <w:rsid w:val="00192235"/>
    <w:rsid w:val="00193A41"/>
    <w:rsid w:val="00193F9C"/>
    <w:rsid w:val="001941B6"/>
    <w:rsid w:val="0019468A"/>
    <w:rsid w:val="001947C6"/>
    <w:rsid w:val="00195DF7"/>
    <w:rsid w:val="001962D7"/>
    <w:rsid w:val="001963D5"/>
    <w:rsid w:val="00197406"/>
    <w:rsid w:val="00197D68"/>
    <w:rsid w:val="001A02BA"/>
    <w:rsid w:val="001A0BE7"/>
    <w:rsid w:val="001A10C8"/>
    <w:rsid w:val="001A1436"/>
    <w:rsid w:val="001A2A3C"/>
    <w:rsid w:val="001A2B7E"/>
    <w:rsid w:val="001A3262"/>
    <w:rsid w:val="001A334E"/>
    <w:rsid w:val="001A368C"/>
    <w:rsid w:val="001A3918"/>
    <w:rsid w:val="001A39E9"/>
    <w:rsid w:val="001A47DB"/>
    <w:rsid w:val="001A4AF1"/>
    <w:rsid w:val="001A57F1"/>
    <w:rsid w:val="001A6AD2"/>
    <w:rsid w:val="001A6C51"/>
    <w:rsid w:val="001B112A"/>
    <w:rsid w:val="001B2603"/>
    <w:rsid w:val="001B2907"/>
    <w:rsid w:val="001B2D19"/>
    <w:rsid w:val="001B2D97"/>
    <w:rsid w:val="001B44AC"/>
    <w:rsid w:val="001B457D"/>
    <w:rsid w:val="001B47FD"/>
    <w:rsid w:val="001B762A"/>
    <w:rsid w:val="001C05A8"/>
    <w:rsid w:val="001C0E68"/>
    <w:rsid w:val="001C3E95"/>
    <w:rsid w:val="001C50B5"/>
    <w:rsid w:val="001C5730"/>
    <w:rsid w:val="001C573C"/>
    <w:rsid w:val="001C64A9"/>
    <w:rsid w:val="001D1A58"/>
    <w:rsid w:val="001D3D7A"/>
    <w:rsid w:val="001D3D7D"/>
    <w:rsid w:val="001D512F"/>
    <w:rsid w:val="001D5209"/>
    <w:rsid w:val="001D5B90"/>
    <w:rsid w:val="001D7E3F"/>
    <w:rsid w:val="001E0F20"/>
    <w:rsid w:val="001E0F3D"/>
    <w:rsid w:val="001E1DDC"/>
    <w:rsid w:val="001E268A"/>
    <w:rsid w:val="001E3045"/>
    <w:rsid w:val="001E3E57"/>
    <w:rsid w:val="001E4D19"/>
    <w:rsid w:val="001E68BC"/>
    <w:rsid w:val="001E69C7"/>
    <w:rsid w:val="001E7376"/>
    <w:rsid w:val="001F1830"/>
    <w:rsid w:val="001F259A"/>
    <w:rsid w:val="001F3A52"/>
    <w:rsid w:val="001F556E"/>
    <w:rsid w:val="001F5E39"/>
    <w:rsid w:val="001F6517"/>
    <w:rsid w:val="002011C3"/>
    <w:rsid w:val="0020247F"/>
    <w:rsid w:val="00203BCD"/>
    <w:rsid w:val="00204E2F"/>
    <w:rsid w:val="00205CCB"/>
    <w:rsid w:val="00207281"/>
    <w:rsid w:val="00210405"/>
    <w:rsid w:val="002116D9"/>
    <w:rsid w:val="00211E03"/>
    <w:rsid w:val="002124C2"/>
    <w:rsid w:val="002126E3"/>
    <w:rsid w:val="0021425C"/>
    <w:rsid w:val="00214683"/>
    <w:rsid w:val="00214F7B"/>
    <w:rsid w:val="0021516B"/>
    <w:rsid w:val="00215540"/>
    <w:rsid w:val="002155E2"/>
    <w:rsid w:val="00220D58"/>
    <w:rsid w:val="00221C4F"/>
    <w:rsid w:val="00221E1F"/>
    <w:rsid w:val="00223E47"/>
    <w:rsid w:val="002249A5"/>
    <w:rsid w:val="00225780"/>
    <w:rsid w:val="00227FCF"/>
    <w:rsid w:val="00230FF8"/>
    <w:rsid w:val="00232AF9"/>
    <w:rsid w:val="002339C8"/>
    <w:rsid w:val="00234177"/>
    <w:rsid w:val="00234FC6"/>
    <w:rsid w:val="00235BB1"/>
    <w:rsid w:val="0023619A"/>
    <w:rsid w:val="00236A08"/>
    <w:rsid w:val="002415D5"/>
    <w:rsid w:val="00244987"/>
    <w:rsid w:val="0024531A"/>
    <w:rsid w:val="00245D0E"/>
    <w:rsid w:val="002465D8"/>
    <w:rsid w:val="002465EB"/>
    <w:rsid w:val="00246C3A"/>
    <w:rsid w:val="00250E6A"/>
    <w:rsid w:val="00251D4B"/>
    <w:rsid w:val="002533B3"/>
    <w:rsid w:val="002563D1"/>
    <w:rsid w:val="0025698D"/>
    <w:rsid w:val="002569E9"/>
    <w:rsid w:val="00256C4C"/>
    <w:rsid w:val="00256CEF"/>
    <w:rsid w:val="002571B3"/>
    <w:rsid w:val="00260586"/>
    <w:rsid w:val="00260B9E"/>
    <w:rsid w:val="002629CB"/>
    <w:rsid w:val="00263A85"/>
    <w:rsid w:val="00264928"/>
    <w:rsid w:val="00265354"/>
    <w:rsid w:val="00266A3C"/>
    <w:rsid w:val="0026782E"/>
    <w:rsid w:val="002732E5"/>
    <w:rsid w:val="00274034"/>
    <w:rsid w:val="00274E0A"/>
    <w:rsid w:val="00276A4A"/>
    <w:rsid w:val="00276A8B"/>
    <w:rsid w:val="00277E2C"/>
    <w:rsid w:val="00277E6F"/>
    <w:rsid w:val="0028049F"/>
    <w:rsid w:val="002812C5"/>
    <w:rsid w:val="002812FE"/>
    <w:rsid w:val="00281553"/>
    <w:rsid w:val="00282A9C"/>
    <w:rsid w:val="00282B7A"/>
    <w:rsid w:val="0028515F"/>
    <w:rsid w:val="0028536D"/>
    <w:rsid w:val="002859C8"/>
    <w:rsid w:val="00287365"/>
    <w:rsid w:val="002878B6"/>
    <w:rsid w:val="002907DA"/>
    <w:rsid w:val="002909AD"/>
    <w:rsid w:val="00290AA2"/>
    <w:rsid w:val="002918C5"/>
    <w:rsid w:val="002920A1"/>
    <w:rsid w:val="00292119"/>
    <w:rsid w:val="0029382D"/>
    <w:rsid w:val="00295456"/>
    <w:rsid w:val="00297410"/>
    <w:rsid w:val="0029784C"/>
    <w:rsid w:val="002A06B0"/>
    <w:rsid w:val="002A3F5B"/>
    <w:rsid w:val="002A4248"/>
    <w:rsid w:val="002A7275"/>
    <w:rsid w:val="002A77D4"/>
    <w:rsid w:val="002B04E3"/>
    <w:rsid w:val="002B0D9C"/>
    <w:rsid w:val="002B40F8"/>
    <w:rsid w:val="002B515D"/>
    <w:rsid w:val="002B52E1"/>
    <w:rsid w:val="002B54F2"/>
    <w:rsid w:val="002B5FFD"/>
    <w:rsid w:val="002B6A22"/>
    <w:rsid w:val="002B7015"/>
    <w:rsid w:val="002B79CB"/>
    <w:rsid w:val="002C4A68"/>
    <w:rsid w:val="002C6E6D"/>
    <w:rsid w:val="002C74EF"/>
    <w:rsid w:val="002D13A4"/>
    <w:rsid w:val="002D1F71"/>
    <w:rsid w:val="002D2069"/>
    <w:rsid w:val="002D215C"/>
    <w:rsid w:val="002D2221"/>
    <w:rsid w:val="002D282C"/>
    <w:rsid w:val="002D3208"/>
    <w:rsid w:val="002D3BBF"/>
    <w:rsid w:val="002D427B"/>
    <w:rsid w:val="002D4753"/>
    <w:rsid w:val="002D483C"/>
    <w:rsid w:val="002D4DE4"/>
    <w:rsid w:val="002D5292"/>
    <w:rsid w:val="002D58B0"/>
    <w:rsid w:val="002D5B3F"/>
    <w:rsid w:val="002D5B86"/>
    <w:rsid w:val="002D6495"/>
    <w:rsid w:val="002D6816"/>
    <w:rsid w:val="002D7F15"/>
    <w:rsid w:val="002E0294"/>
    <w:rsid w:val="002E142A"/>
    <w:rsid w:val="002E18AA"/>
    <w:rsid w:val="002E32C2"/>
    <w:rsid w:val="002E480C"/>
    <w:rsid w:val="002E54F7"/>
    <w:rsid w:val="002E5609"/>
    <w:rsid w:val="002E65D1"/>
    <w:rsid w:val="002E679F"/>
    <w:rsid w:val="002F081E"/>
    <w:rsid w:val="002F15FC"/>
    <w:rsid w:val="002F241B"/>
    <w:rsid w:val="002F2837"/>
    <w:rsid w:val="002F2B58"/>
    <w:rsid w:val="002F40CC"/>
    <w:rsid w:val="002F4533"/>
    <w:rsid w:val="002F566D"/>
    <w:rsid w:val="002F60E8"/>
    <w:rsid w:val="002F637B"/>
    <w:rsid w:val="002F6A88"/>
    <w:rsid w:val="002F7F97"/>
    <w:rsid w:val="00300CAD"/>
    <w:rsid w:val="003038E4"/>
    <w:rsid w:val="0030473E"/>
    <w:rsid w:val="003049F5"/>
    <w:rsid w:val="00306ED7"/>
    <w:rsid w:val="00306FBE"/>
    <w:rsid w:val="00307683"/>
    <w:rsid w:val="00310C15"/>
    <w:rsid w:val="00311AC8"/>
    <w:rsid w:val="003139E3"/>
    <w:rsid w:val="00313FC6"/>
    <w:rsid w:val="003146FA"/>
    <w:rsid w:val="00316252"/>
    <w:rsid w:val="003179BE"/>
    <w:rsid w:val="00320F80"/>
    <w:rsid w:val="00321C61"/>
    <w:rsid w:val="0032223E"/>
    <w:rsid w:val="00322CD2"/>
    <w:rsid w:val="00323923"/>
    <w:rsid w:val="00324100"/>
    <w:rsid w:val="00326BB9"/>
    <w:rsid w:val="003271F3"/>
    <w:rsid w:val="00327D59"/>
    <w:rsid w:val="003307EB"/>
    <w:rsid w:val="00331EAE"/>
    <w:rsid w:val="00333906"/>
    <w:rsid w:val="00334538"/>
    <w:rsid w:val="00334B16"/>
    <w:rsid w:val="00335F25"/>
    <w:rsid w:val="003368B4"/>
    <w:rsid w:val="003406A1"/>
    <w:rsid w:val="00340786"/>
    <w:rsid w:val="00341013"/>
    <w:rsid w:val="0034142C"/>
    <w:rsid w:val="00341B43"/>
    <w:rsid w:val="00342972"/>
    <w:rsid w:val="00343D8F"/>
    <w:rsid w:val="0034536A"/>
    <w:rsid w:val="00345D8C"/>
    <w:rsid w:val="0035036E"/>
    <w:rsid w:val="00350400"/>
    <w:rsid w:val="003507C5"/>
    <w:rsid w:val="00350917"/>
    <w:rsid w:val="00350A75"/>
    <w:rsid w:val="00351357"/>
    <w:rsid w:val="00351E8D"/>
    <w:rsid w:val="0035223A"/>
    <w:rsid w:val="0035548E"/>
    <w:rsid w:val="0035557A"/>
    <w:rsid w:val="00355818"/>
    <w:rsid w:val="0035640A"/>
    <w:rsid w:val="003569E3"/>
    <w:rsid w:val="00356A47"/>
    <w:rsid w:val="00356FF2"/>
    <w:rsid w:val="00357A1F"/>
    <w:rsid w:val="00357ACB"/>
    <w:rsid w:val="0036036D"/>
    <w:rsid w:val="00360D16"/>
    <w:rsid w:val="00362EE0"/>
    <w:rsid w:val="00363575"/>
    <w:rsid w:val="00363EB6"/>
    <w:rsid w:val="00364784"/>
    <w:rsid w:val="00366A1E"/>
    <w:rsid w:val="00367940"/>
    <w:rsid w:val="00370536"/>
    <w:rsid w:val="00372667"/>
    <w:rsid w:val="00373E3F"/>
    <w:rsid w:val="00373F8E"/>
    <w:rsid w:val="00374608"/>
    <w:rsid w:val="003753D9"/>
    <w:rsid w:val="00375B2A"/>
    <w:rsid w:val="0037734B"/>
    <w:rsid w:val="003775B5"/>
    <w:rsid w:val="00380466"/>
    <w:rsid w:val="00380747"/>
    <w:rsid w:val="00380CE0"/>
    <w:rsid w:val="00382055"/>
    <w:rsid w:val="0038303F"/>
    <w:rsid w:val="0038365F"/>
    <w:rsid w:val="00383E99"/>
    <w:rsid w:val="00384211"/>
    <w:rsid w:val="00385E4C"/>
    <w:rsid w:val="00387160"/>
    <w:rsid w:val="00387ED7"/>
    <w:rsid w:val="003922D2"/>
    <w:rsid w:val="003924F4"/>
    <w:rsid w:val="00392AB9"/>
    <w:rsid w:val="003934C7"/>
    <w:rsid w:val="003938FF"/>
    <w:rsid w:val="00394BAF"/>
    <w:rsid w:val="00394FA4"/>
    <w:rsid w:val="00395519"/>
    <w:rsid w:val="00396975"/>
    <w:rsid w:val="00396B0F"/>
    <w:rsid w:val="00397900"/>
    <w:rsid w:val="00397FD3"/>
    <w:rsid w:val="003A09F0"/>
    <w:rsid w:val="003A2C4D"/>
    <w:rsid w:val="003A2F7A"/>
    <w:rsid w:val="003A3FCA"/>
    <w:rsid w:val="003A4571"/>
    <w:rsid w:val="003A4CEF"/>
    <w:rsid w:val="003A7A99"/>
    <w:rsid w:val="003B006E"/>
    <w:rsid w:val="003B093A"/>
    <w:rsid w:val="003B1835"/>
    <w:rsid w:val="003B1CB8"/>
    <w:rsid w:val="003B3873"/>
    <w:rsid w:val="003B4E5E"/>
    <w:rsid w:val="003B61F5"/>
    <w:rsid w:val="003B682D"/>
    <w:rsid w:val="003B6F14"/>
    <w:rsid w:val="003B7012"/>
    <w:rsid w:val="003B75BE"/>
    <w:rsid w:val="003C0273"/>
    <w:rsid w:val="003C1BA7"/>
    <w:rsid w:val="003C31F3"/>
    <w:rsid w:val="003C441C"/>
    <w:rsid w:val="003C48BC"/>
    <w:rsid w:val="003C4F5A"/>
    <w:rsid w:val="003C51B8"/>
    <w:rsid w:val="003C5758"/>
    <w:rsid w:val="003D0362"/>
    <w:rsid w:val="003D1ED0"/>
    <w:rsid w:val="003D2CC2"/>
    <w:rsid w:val="003D3D13"/>
    <w:rsid w:val="003D4521"/>
    <w:rsid w:val="003D507D"/>
    <w:rsid w:val="003D5878"/>
    <w:rsid w:val="003E03E4"/>
    <w:rsid w:val="003E06EF"/>
    <w:rsid w:val="003E18E5"/>
    <w:rsid w:val="003E3A97"/>
    <w:rsid w:val="003E4359"/>
    <w:rsid w:val="003E4F80"/>
    <w:rsid w:val="003E60B6"/>
    <w:rsid w:val="003F019D"/>
    <w:rsid w:val="003F01DE"/>
    <w:rsid w:val="003F0A4A"/>
    <w:rsid w:val="003F1034"/>
    <w:rsid w:val="003F2AFD"/>
    <w:rsid w:val="003F5351"/>
    <w:rsid w:val="003F670C"/>
    <w:rsid w:val="003F6798"/>
    <w:rsid w:val="003F7368"/>
    <w:rsid w:val="003F7ECB"/>
    <w:rsid w:val="00400419"/>
    <w:rsid w:val="004008FA"/>
    <w:rsid w:val="0040092E"/>
    <w:rsid w:val="00402F3E"/>
    <w:rsid w:val="00403221"/>
    <w:rsid w:val="00403610"/>
    <w:rsid w:val="00404563"/>
    <w:rsid w:val="00405FAE"/>
    <w:rsid w:val="00406205"/>
    <w:rsid w:val="0040682E"/>
    <w:rsid w:val="00407574"/>
    <w:rsid w:val="00412169"/>
    <w:rsid w:val="0041331C"/>
    <w:rsid w:val="00413ACA"/>
    <w:rsid w:val="0041421A"/>
    <w:rsid w:val="00414BE7"/>
    <w:rsid w:val="00414FBC"/>
    <w:rsid w:val="00415487"/>
    <w:rsid w:val="00415897"/>
    <w:rsid w:val="0041628F"/>
    <w:rsid w:val="004168DD"/>
    <w:rsid w:val="00416C6C"/>
    <w:rsid w:val="00420432"/>
    <w:rsid w:val="0042101A"/>
    <w:rsid w:val="00421265"/>
    <w:rsid w:val="00422942"/>
    <w:rsid w:val="00424142"/>
    <w:rsid w:val="004268B9"/>
    <w:rsid w:val="00427805"/>
    <w:rsid w:val="004306E5"/>
    <w:rsid w:val="00431390"/>
    <w:rsid w:val="00431BCF"/>
    <w:rsid w:val="00431C86"/>
    <w:rsid w:val="00432D34"/>
    <w:rsid w:val="004334D2"/>
    <w:rsid w:val="00433CCA"/>
    <w:rsid w:val="00435799"/>
    <w:rsid w:val="0043638A"/>
    <w:rsid w:val="0043660F"/>
    <w:rsid w:val="00436732"/>
    <w:rsid w:val="00436AD6"/>
    <w:rsid w:val="004373D9"/>
    <w:rsid w:val="00440E48"/>
    <w:rsid w:val="00440F15"/>
    <w:rsid w:val="004434D2"/>
    <w:rsid w:val="00443892"/>
    <w:rsid w:val="0044540D"/>
    <w:rsid w:val="00446153"/>
    <w:rsid w:val="0044729E"/>
    <w:rsid w:val="0045154A"/>
    <w:rsid w:val="00454D65"/>
    <w:rsid w:val="004565B5"/>
    <w:rsid w:val="004567A8"/>
    <w:rsid w:val="00456F48"/>
    <w:rsid w:val="004573F4"/>
    <w:rsid w:val="00460340"/>
    <w:rsid w:val="00460447"/>
    <w:rsid w:val="0046202F"/>
    <w:rsid w:val="0046214D"/>
    <w:rsid w:val="00462A10"/>
    <w:rsid w:val="00462D1D"/>
    <w:rsid w:val="00464840"/>
    <w:rsid w:val="0046534A"/>
    <w:rsid w:val="004653D9"/>
    <w:rsid w:val="00465B94"/>
    <w:rsid w:val="004702D8"/>
    <w:rsid w:val="00471459"/>
    <w:rsid w:val="0047218D"/>
    <w:rsid w:val="004726CF"/>
    <w:rsid w:val="00472705"/>
    <w:rsid w:val="00473CCE"/>
    <w:rsid w:val="00474221"/>
    <w:rsid w:val="00474CD4"/>
    <w:rsid w:val="00474D28"/>
    <w:rsid w:val="00475E85"/>
    <w:rsid w:val="004802AC"/>
    <w:rsid w:val="0048036C"/>
    <w:rsid w:val="0048076E"/>
    <w:rsid w:val="004807C7"/>
    <w:rsid w:val="0048148B"/>
    <w:rsid w:val="00481EBC"/>
    <w:rsid w:val="00482B01"/>
    <w:rsid w:val="0048388C"/>
    <w:rsid w:val="00483F3B"/>
    <w:rsid w:val="00484530"/>
    <w:rsid w:val="00485124"/>
    <w:rsid w:val="00487A5A"/>
    <w:rsid w:val="00491154"/>
    <w:rsid w:val="00491F07"/>
    <w:rsid w:val="00491F47"/>
    <w:rsid w:val="00491FAF"/>
    <w:rsid w:val="00492768"/>
    <w:rsid w:val="00492AB9"/>
    <w:rsid w:val="00492F92"/>
    <w:rsid w:val="00493E4F"/>
    <w:rsid w:val="0049525F"/>
    <w:rsid w:val="00495B5D"/>
    <w:rsid w:val="00495FE4"/>
    <w:rsid w:val="00496538"/>
    <w:rsid w:val="004A09DC"/>
    <w:rsid w:val="004A19F6"/>
    <w:rsid w:val="004A2BDD"/>
    <w:rsid w:val="004A32E9"/>
    <w:rsid w:val="004A37DB"/>
    <w:rsid w:val="004A6E8F"/>
    <w:rsid w:val="004A78DE"/>
    <w:rsid w:val="004B00A2"/>
    <w:rsid w:val="004B2626"/>
    <w:rsid w:val="004B33AE"/>
    <w:rsid w:val="004B4602"/>
    <w:rsid w:val="004B5CFF"/>
    <w:rsid w:val="004B6E7E"/>
    <w:rsid w:val="004C0093"/>
    <w:rsid w:val="004C0C7C"/>
    <w:rsid w:val="004C108A"/>
    <w:rsid w:val="004C1C26"/>
    <w:rsid w:val="004C1F24"/>
    <w:rsid w:val="004C2950"/>
    <w:rsid w:val="004C2D70"/>
    <w:rsid w:val="004C39B1"/>
    <w:rsid w:val="004C44D9"/>
    <w:rsid w:val="004C4A54"/>
    <w:rsid w:val="004C52D6"/>
    <w:rsid w:val="004D03A6"/>
    <w:rsid w:val="004D1BAD"/>
    <w:rsid w:val="004D1E32"/>
    <w:rsid w:val="004D2891"/>
    <w:rsid w:val="004D2D1A"/>
    <w:rsid w:val="004D30E1"/>
    <w:rsid w:val="004D45A5"/>
    <w:rsid w:val="004D46F3"/>
    <w:rsid w:val="004D50DD"/>
    <w:rsid w:val="004D6A5A"/>
    <w:rsid w:val="004E1FAC"/>
    <w:rsid w:val="004E4CA7"/>
    <w:rsid w:val="004E57D4"/>
    <w:rsid w:val="004E61A1"/>
    <w:rsid w:val="004E6A4F"/>
    <w:rsid w:val="004E6C56"/>
    <w:rsid w:val="004E7D4E"/>
    <w:rsid w:val="004F1719"/>
    <w:rsid w:val="004F2642"/>
    <w:rsid w:val="004F2FEC"/>
    <w:rsid w:val="004F322C"/>
    <w:rsid w:val="004F3323"/>
    <w:rsid w:val="004F398B"/>
    <w:rsid w:val="004F3C72"/>
    <w:rsid w:val="004F64B0"/>
    <w:rsid w:val="004F6833"/>
    <w:rsid w:val="004F6AA8"/>
    <w:rsid w:val="004F6B07"/>
    <w:rsid w:val="004F733B"/>
    <w:rsid w:val="004F7B84"/>
    <w:rsid w:val="005003BF"/>
    <w:rsid w:val="00500817"/>
    <w:rsid w:val="00503D34"/>
    <w:rsid w:val="00503E26"/>
    <w:rsid w:val="005052B8"/>
    <w:rsid w:val="0051090A"/>
    <w:rsid w:val="00510C55"/>
    <w:rsid w:val="00510D7D"/>
    <w:rsid w:val="00510EE1"/>
    <w:rsid w:val="00511850"/>
    <w:rsid w:val="00512A31"/>
    <w:rsid w:val="00513E90"/>
    <w:rsid w:val="0051460F"/>
    <w:rsid w:val="00514B13"/>
    <w:rsid w:val="00514F38"/>
    <w:rsid w:val="00516788"/>
    <w:rsid w:val="00516EE9"/>
    <w:rsid w:val="00516F30"/>
    <w:rsid w:val="00517EEE"/>
    <w:rsid w:val="005201E3"/>
    <w:rsid w:val="00520908"/>
    <w:rsid w:val="005215A0"/>
    <w:rsid w:val="0052419F"/>
    <w:rsid w:val="0052460B"/>
    <w:rsid w:val="0052464C"/>
    <w:rsid w:val="00525099"/>
    <w:rsid w:val="00530242"/>
    <w:rsid w:val="005308B9"/>
    <w:rsid w:val="00530D55"/>
    <w:rsid w:val="00532610"/>
    <w:rsid w:val="00533305"/>
    <w:rsid w:val="00534328"/>
    <w:rsid w:val="00534396"/>
    <w:rsid w:val="00534AEF"/>
    <w:rsid w:val="005402A5"/>
    <w:rsid w:val="00540AEF"/>
    <w:rsid w:val="00541F93"/>
    <w:rsid w:val="005428DC"/>
    <w:rsid w:val="00542FAC"/>
    <w:rsid w:val="005439EA"/>
    <w:rsid w:val="00543C0A"/>
    <w:rsid w:val="00544EF6"/>
    <w:rsid w:val="00554199"/>
    <w:rsid w:val="00554E90"/>
    <w:rsid w:val="00555E3E"/>
    <w:rsid w:val="00555F52"/>
    <w:rsid w:val="00556382"/>
    <w:rsid w:val="00557549"/>
    <w:rsid w:val="0055791B"/>
    <w:rsid w:val="00557C7F"/>
    <w:rsid w:val="005615D9"/>
    <w:rsid w:val="00562480"/>
    <w:rsid w:val="00562F19"/>
    <w:rsid w:val="005637FB"/>
    <w:rsid w:val="00564CE4"/>
    <w:rsid w:val="00565106"/>
    <w:rsid w:val="00566064"/>
    <w:rsid w:val="0056615D"/>
    <w:rsid w:val="00566667"/>
    <w:rsid w:val="0056775B"/>
    <w:rsid w:val="005700DD"/>
    <w:rsid w:val="00570BB7"/>
    <w:rsid w:val="005712D5"/>
    <w:rsid w:val="0057192C"/>
    <w:rsid w:val="00571D36"/>
    <w:rsid w:val="005725D8"/>
    <w:rsid w:val="00572B2E"/>
    <w:rsid w:val="00574B21"/>
    <w:rsid w:val="0057627E"/>
    <w:rsid w:val="005762AE"/>
    <w:rsid w:val="00576D20"/>
    <w:rsid w:val="00577408"/>
    <w:rsid w:val="00577552"/>
    <w:rsid w:val="005811EC"/>
    <w:rsid w:val="00582109"/>
    <w:rsid w:val="0058240D"/>
    <w:rsid w:val="00582CE7"/>
    <w:rsid w:val="00582F9E"/>
    <w:rsid w:val="005832AB"/>
    <w:rsid w:val="00583785"/>
    <w:rsid w:val="005843C5"/>
    <w:rsid w:val="005843DA"/>
    <w:rsid w:val="00584626"/>
    <w:rsid w:val="005847DA"/>
    <w:rsid w:val="00585FBE"/>
    <w:rsid w:val="00586530"/>
    <w:rsid w:val="0058691E"/>
    <w:rsid w:val="005872B5"/>
    <w:rsid w:val="005877D6"/>
    <w:rsid w:val="00587AAE"/>
    <w:rsid w:val="00591057"/>
    <w:rsid w:val="0059114D"/>
    <w:rsid w:val="00592B6F"/>
    <w:rsid w:val="00595A44"/>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CED"/>
    <w:rsid w:val="005B0E98"/>
    <w:rsid w:val="005B0F81"/>
    <w:rsid w:val="005B1434"/>
    <w:rsid w:val="005B6914"/>
    <w:rsid w:val="005B6FCB"/>
    <w:rsid w:val="005C05DA"/>
    <w:rsid w:val="005C07E0"/>
    <w:rsid w:val="005C0A9B"/>
    <w:rsid w:val="005C1647"/>
    <w:rsid w:val="005C1F93"/>
    <w:rsid w:val="005C2615"/>
    <w:rsid w:val="005C2F90"/>
    <w:rsid w:val="005C31BC"/>
    <w:rsid w:val="005C34F2"/>
    <w:rsid w:val="005C41F0"/>
    <w:rsid w:val="005C4585"/>
    <w:rsid w:val="005C4889"/>
    <w:rsid w:val="005C48D1"/>
    <w:rsid w:val="005C4A0B"/>
    <w:rsid w:val="005C4D45"/>
    <w:rsid w:val="005C5B8C"/>
    <w:rsid w:val="005C5D2B"/>
    <w:rsid w:val="005D057A"/>
    <w:rsid w:val="005D0D46"/>
    <w:rsid w:val="005D12DA"/>
    <w:rsid w:val="005D2637"/>
    <w:rsid w:val="005D27D3"/>
    <w:rsid w:val="005D3300"/>
    <w:rsid w:val="005D3AB0"/>
    <w:rsid w:val="005D42B6"/>
    <w:rsid w:val="005D439B"/>
    <w:rsid w:val="005D4FAB"/>
    <w:rsid w:val="005D551A"/>
    <w:rsid w:val="005D6D88"/>
    <w:rsid w:val="005E042B"/>
    <w:rsid w:val="005E1271"/>
    <w:rsid w:val="005E213C"/>
    <w:rsid w:val="005E2206"/>
    <w:rsid w:val="005E241B"/>
    <w:rsid w:val="005E310B"/>
    <w:rsid w:val="005E3DC9"/>
    <w:rsid w:val="005E533A"/>
    <w:rsid w:val="005E5828"/>
    <w:rsid w:val="005E61D1"/>
    <w:rsid w:val="005E6625"/>
    <w:rsid w:val="005E6BB3"/>
    <w:rsid w:val="005E7486"/>
    <w:rsid w:val="005F038C"/>
    <w:rsid w:val="005F1A12"/>
    <w:rsid w:val="005F3063"/>
    <w:rsid w:val="005F30FE"/>
    <w:rsid w:val="005F3602"/>
    <w:rsid w:val="005F3A60"/>
    <w:rsid w:val="005F410B"/>
    <w:rsid w:val="005F580D"/>
    <w:rsid w:val="005F5F70"/>
    <w:rsid w:val="005F6D7D"/>
    <w:rsid w:val="005F778E"/>
    <w:rsid w:val="00600103"/>
    <w:rsid w:val="00601032"/>
    <w:rsid w:val="00601D8F"/>
    <w:rsid w:val="006020F8"/>
    <w:rsid w:val="00603B52"/>
    <w:rsid w:val="00604645"/>
    <w:rsid w:val="006047AC"/>
    <w:rsid w:val="00604D11"/>
    <w:rsid w:val="00604DCE"/>
    <w:rsid w:val="00605035"/>
    <w:rsid w:val="0060688B"/>
    <w:rsid w:val="00606982"/>
    <w:rsid w:val="00606D86"/>
    <w:rsid w:val="00607C94"/>
    <w:rsid w:val="006102A4"/>
    <w:rsid w:val="00611DFA"/>
    <w:rsid w:val="0061280D"/>
    <w:rsid w:val="006130F2"/>
    <w:rsid w:val="00613535"/>
    <w:rsid w:val="006139E4"/>
    <w:rsid w:val="0061434E"/>
    <w:rsid w:val="006148D4"/>
    <w:rsid w:val="00615EA7"/>
    <w:rsid w:val="00616027"/>
    <w:rsid w:val="006166C3"/>
    <w:rsid w:val="00617673"/>
    <w:rsid w:val="00617AEB"/>
    <w:rsid w:val="00620667"/>
    <w:rsid w:val="006216A1"/>
    <w:rsid w:val="00621ED1"/>
    <w:rsid w:val="006239BE"/>
    <w:rsid w:val="00625C37"/>
    <w:rsid w:val="006268B1"/>
    <w:rsid w:val="00626943"/>
    <w:rsid w:val="00626EB9"/>
    <w:rsid w:val="006300F3"/>
    <w:rsid w:val="00630EBC"/>
    <w:rsid w:val="0063136A"/>
    <w:rsid w:val="0063180B"/>
    <w:rsid w:val="00632FCE"/>
    <w:rsid w:val="00633E2F"/>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E59"/>
    <w:rsid w:val="00646B3E"/>
    <w:rsid w:val="00646B59"/>
    <w:rsid w:val="00646FF2"/>
    <w:rsid w:val="0064738D"/>
    <w:rsid w:val="00650A6B"/>
    <w:rsid w:val="00653884"/>
    <w:rsid w:val="00654627"/>
    <w:rsid w:val="00654BA2"/>
    <w:rsid w:val="00654BAE"/>
    <w:rsid w:val="00656597"/>
    <w:rsid w:val="006565B3"/>
    <w:rsid w:val="00656F9D"/>
    <w:rsid w:val="006579F4"/>
    <w:rsid w:val="00657DCF"/>
    <w:rsid w:val="006608AC"/>
    <w:rsid w:val="00661465"/>
    <w:rsid w:val="00661BA7"/>
    <w:rsid w:val="006626FC"/>
    <w:rsid w:val="00663222"/>
    <w:rsid w:val="00664877"/>
    <w:rsid w:val="00664AE8"/>
    <w:rsid w:val="00665549"/>
    <w:rsid w:val="00665CE3"/>
    <w:rsid w:val="00665E8F"/>
    <w:rsid w:val="006664B1"/>
    <w:rsid w:val="00671DCE"/>
    <w:rsid w:val="00671F6B"/>
    <w:rsid w:val="00672311"/>
    <w:rsid w:val="006726D8"/>
    <w:rsid w:val="00672D97"/>
    <w:rsid w:val="00672F75"/>
    <w:rsid w:val="00674770"/>
    <w:rsid w:val="00675214"/>
    <w:rsid w:val="006763BA"/>
    <w:rsid w:val="00681EFE"/>
    <w:rsid w:val="00681F41"/>
    <w:rsid w:val="00683DC6"/>
    <w:rsid w:val="0068439E"/>
    <w:rsid w:val="00684E34"/>
    <w:rsid w:val="00685A96"/>
    <w:rsid w:val="00686630"/>
    <w:rsid w:val="00687524"/>
    <w:rsid w:val="00690D94"/>
    <w:rsid w:val="00691084"/>
    <w:rsid w:val="00691633"/>
    <w:rsid w:val="0069169D"/>
    <w:rsid w:val="00691ADF"/>
    <w:rsid w:val="00692322"/>
    <w:rsid w:val="00692F8F"/>
    <w:rsid w:val="006935D2"/>
    <w:rsid w:val="00693D78"/>
    <w:rsid w:val="00693F43"/>
    <w:rsid w:val="0069420F"/>
    <w:rsid w:val="00694EC5"/>
    <w:rsid w:val="0069593E"/>
    <w:rsid w:val="00696198"/>
    <w:rsid w:val="0069667B"/>
    <w:rsid w:val="00696BF7"/>
    <w:rsid w:val="006A189E"/>
    <w:rsid w:val="006A18A6"/>
    <w:rsid w:val="006A409D"/>
    <w:rsid w:val="006A5196"/>
    <w:rsid w:val="006A58F0"/>
    <w:rsid w:val="006A6DE5"/>
    <w:rsid w:val="006A702C"/>
    <w:rsid w:val="006B0107"/>
    <w:rsid w:val="006B412C"/>
    <w:rsid w:val="006B4A70"/>
    <w:rsid w:val="006B4A86"/>
    <w:rsid w:val="006B5CBC"/>
    <w:rsid w:val="006B5EEC"/>
    <w:rsid w:val="006B7199"/>
    <w:rsid w:val="006B7885"/>
    <w:rsid w:val="006C0CCC"/>
    <w:rsid w:val="006C4DCE"/>
    <w:rsid w:val="006C54CB"/>
    <w:rsid w:val="006C5F42"/>
    <w:rsid w:val="006C69AD"/>
    <w:rsid w:val="006C6FDB"/>
    <w:rsid w:val="006D0A91"/>
    <w:rsid w:val="006D0FD2"/>
    <w:rsid w:val="006D1714"/>
    <w:rsid w:val="006D1C2C"/>
    <w:rsid w:val="006D2C70"/>
    <w:rsid w:val="006D38C3"/>
    <w:rsid w:val="006D4066"/>
    <w:rsid w:val="006D428D"/>
    <w:rsid w:val="006D44EB"/>
    <w:rsid w:val="006D6071"/>
    <w:rsid w:val="006D6140"/>
    <w:rsid w:val="006D6F78"/>
    <w:rsid w:val="006E0DA2"/>
    <w:rsid w:val="006E2104"/>
    <w:rsid w:val="006E299F"/>
    <w:rsid w:val="006E3974"/>
    <w:rsid w:val="006E498F"/>
    <w:rsid w:val="006E49B7"/>
    <w:rsid w:val="006E49E8"/>
    <w:rsid w:val="006E4D64"/>
    <w:rsid w:val="006E59BA"/>
    <w:rsid w:val="006E71D1"/>
    <w:rsid w:val="006E7EF3"/>
    <w:rsid w:val="006F40CE"/>
    <w:rsid w:val="006F44F0"/>
    <w:rsid w:val="006F5485"/>
    <w:rsid w:val="006F6A21"/>
    <w:rsid w:val="006F74BC"/>
    <w:rsid w:val="006F7F78"/>
    <w:rsid w:val="007004D4"/>
    <w:rsid w:val="00700508"/>
    <w:rsid w:val="007006B5"/>
    <w:rsid w:val="00700704"/>
    <w:rsid w:val="00702A0D"/>
    <w:rsid w:val="00702AA0"/>
    <w:rsid w:val="00702BFC"/>
    <w:rsid w:val="00702DFF"/>
    <w:rsid w:val="007039AE"/>
    <w:rsid w:val="00703D0F"/>
    <w:rsid w:val="00703F4E"/>
    <w:rsid w:val="007048B6"/>
    <w:rsid w:val="0070555E"/>
    <w:rsid w:val="00705697"/>
    <w:rsid w:val="007064C6"/>
    <w:rsid w:val="00707161"/>
    <w:rsid w:val="00710079"/>
    <w:rsid w:val="0071138D"/>
    <w:rsid w:val="007113E8"/>
    <w:rsid w:val="0071227C"/>
    <w:rsid w:val="00712B2A"/>
    <w:rsid w:val="0071380F"/>
    <w:rsid w:val="007138E4"/>
    <w:rsid w:val="007139FB"/>
    <w:rsid w:val="007140A0"/>
    <w:rsid w:val="007142D2"/>
    <w:rsid w:val="00714423"/>
    <w:rsid w:val="00716221"/>
    <w:rsid w:val="00716B28"/>
    <w:rsid w:val="00717CA0"/>
    <w:rsid w:val="00720718"/>
    <w:rsid w:val="0072074D"/>
    <w:rsid w:val="00721B41"/>
    <w:rsid w:val="00722BA9"/>
    <w:rsid w:val="00722DC6"/>
    <w:rsid w:val="007241FC"/>
    <w:rsid w:val="00724791"/>
    <w:rsid w:val="00724B79"/>
    <w:rsid w:val="00725A02"/>
    <w:rsid w:val="00725B83"/>
    <w:rsid w:val="007265B1"/>
    <w:rsid w:val="00726B5A"/>
    <w:rsid w:val="00727CA6"/>
    <w:rsid w:val="00732060"/>
    <w:rsid w:val="007334D2"/>
    <w:rsid w:val="00733D75"/>
    <w:rsid w:val="007340D3"/>
    <w:rsid w:val="0073429E"/>
    <w:rsid w:val="007361B8"/>
    <w:rsid w:val="00736888"/>
    <w:rsid w:val="00736AF1"/>
    <w:rsid w:val="00737302"/>
    <w:rsid w:val="00737721"/>
    <w:rsid w:val="00737BB5"/>
    <w:rsid w:val="00740980"/>
    <w:rsid w:val="00740CF7"/>
    <w:rsid w:val="00740E1C"/>
    <w:rsid w:val="00742E8E"/>
    <w:rsid w:val="00743BE7"/>
    <w:rsid w:val="007445CB"/>
    <w:rsid w:val="00744A01"/>
    <w:rsid w:val="00744E44"/>
    <w:rsid w:val="00744E4A"/>
    <w:rsid w:val="00745833"/>
    <w:rsid w:val="0074729E"/>
    <w:rsid w:val="0075061D"/>
    <w:rsid w:val="007567EA"/>
    <w:rsid w:val="00760663"/>
    <w:rsid w:val="00760B7C"/>
    <w:rsid w:val="00760CBC"/>
    <w:rsid w:val="007633B4"/>
    <w:rsid w:val="00764EFD"/>
    <w:rsid w:val="007659C1"/>
    <w:rsid w:val="00765ED2"/>
    <w:rsid w:val="007667B8"/>
    <w:rsid w:val="00767CFC"/>
    <w:rsid w:val="00772A6A"/>
    <w:rsid w:val="00772FDE"/>
    <w:rsid w:val="00773B2D"/>
    <w:rsid w:val="00773E76"/>
    <w:rsid w:val="00775ABC"/>
    <w:rsid w:val="007766BF"/>
    <w:rsid w:val="00776EF9"/>
    <w:rsid w:val="0078058C"/>
    <w:rsid w:val="00780851"/>
    <w:rsid w:val="00780AEC"/>
    <w:rsid w:val="00781570"/>
    <w:rsid w:val="00782C55"/>
    <w:rsid w:val="00782E64"/>
    <w:rsid w:val="00783586"/>
    <w:rsid w:val="00784E23"/>
    <w:rsid w:val="007876D0"/>
    <w:rsid w:val="00790529"/>
    <w:rsid w:val="00790C89"/>
    <w:rsid w:val="00791B4C"/>
    <w:rsid w:val="00792925"/>
    <w:rsid w:val="00792F77"/>
    <w:rsid w:val="00793418"/>
    <w:rsid w:val="00793677"/>
    <w:rsid w:val="0079427D"/>
    <w:rsid w:val="00794894"/>
    <w:rsid w:val="00794BA9"/>
    <w:rsid w:val="00795BE1"/>
    <w:rsid w:val="00795FBB"/>
    <w:rsid w:val="007965D6"/>
    <w:rsid w:val="00797958"/>
    <w:rsid w:val="007A02B1"/>
    <w:rsid w:val="007A0C80"/>
    <w:rsid w:val="007A2A61"/>
    <w:rsid w:val="007A3192"/>
    <w:rsid w:val="007A371E"/>
    <w:rsid w:val="007A384E"/>
    <w:rsid w:val="007A3CE6"/>
    <w:rsid w:val="007A46B0"/>
    <w:rsid w:val="007A6FB3"/>
    <w:rsid w:val="007A7D5B"/>
    <w:rsid w:val="007A7FEC"/>
    <w:rsid w:val="007B0287"/>
    <w:rsid w:val="007B0FBE"/>
    <w:rsid w:val="007B3FCC"/>
    <w:rsid w:val="007B5C2E"/>
    <w:rsid w:val="007B62AC"/>
    <w:rsid w:val="007B6DA2"/>
    <w:rsid w:val="007B7485"/>
    <w:rsid w:val="007C13FD"/>
    <w:rsid w:val="007C17A4"/>
    <w:rsid w:val="007C3867"/>
    <w:rsid w:val="007C3AAB"/>
    <w:rsid w:val="007C65DC"/>
    <w:rsid w:val="007C678A"/>
    <w:rsid w:val="007C762B"/>
    <w:rsid w:val="007D026E"/>
    <w:rsid w:val="007D0FBD"/>
    <w:rsid w:val="007D3CE1"/>
    <w:rsid w:val="007D4ED7"/>
    <w:rsid w:val="007D5302"/>
    <w:rsid w:val="007D5459"/>
    <w:rsid w:val="007D57E0"/>
    <w:rsid w:val="007D784B"/>
    <w:rsid w:val="007E0331"/>
    <w:rsid w:val="007E19B6"/>
    <w:rsid w:val="007E2416"/>
    <w:rsid w:val="007E3EAF"/>
    <w:rsid w:val="007E3EF6"/>
    <w:rsid w:val="007E52CB"/>
    <w:rsid w:val="007E5ED3"/>
    <w:rsid w:val="007E66B0"/>
    <w:rsid w:val="007E7008"/>
    <w:rsid w:val="007F176B"/>
    <w:rsid w:val="007F33B1"/>
    <w:rsid w:val="007F39CC"/>
    <w:rsid w:val="007F4FCB"/>
    <w:rsid w:val="007F62F4"/>
    <w:rsid w:val="007F75B9"/>
    <w:rsid w:val="00800244"/>
    <w:rsid w:val="00800661"/>
    <w:rsid w:val="00800B4B"/>
    <w:rsid w:val="008017FB"/>
    <w:rsid w:val="00801D0A"/>
    <w:rsid w:val="0080215A"/>
    <w:rsid w:val="00802448"/>
    <w:rsid w:val="00802CE4"/>
    <w:rsid w:val="00804212"/>
    <w:rsid w:val="00805C63"/>
    <w:rsid w:val="00805F9F"/>
    <w:rsid w:val="008066B7"/>
    <w:rsid w:val="00806986"/>
    <w:rsid w:val="00806D5E"/>
    <w:rsid w:val="00807FF4"/>
    <w:rsid w:val="00810277"/>
    <w:rsid w:val="00810514"/>
    <w:rsid w:val="00810B4E"/>
    <w:rsid w:val="00810BEB"/>
    <w:rsid w:val="00811271"/>
    <w:rsid w:val="008119D9"/>
    <w:rsid w:val="00811B4A"/>
    <w:rsid w:val="00812456"/>
    <w:rsid w:val="008124CA"/>
    <w:rsid w:val="00813E6B"/>
    <w:rsid w:val="00813F23"/>
    <w:rsid w:val="00814A88"/>
    <w:rsid w:val="00814D7C"/>
    <w:rsid w:val="008175E3"/>
    <w:rsid w:val="00817A49"/>
    <w:rsid w:val="00820EAA"/>
    <w:rsid w:val="0082120E"/>
    <w:rsid w:val="00821F39"/>
    <w:rsid w:val="00823C8F"/>
    <w:rsid w:val="0082410E"/>
    <w:rsid w:val="008241A3"/>
    <w:rsid w:val="00824BCD"/>
    <w:rsid w:val="00824C49"/>
    <w:rsid w:val="00825A03"/>
    <w:rsid w:val="00825F68"/>
    <w:rsid w:val="008261DB"/>
    <w:rsid w:val="00826C0F"/>
    <w:rsid w:val="00827945"/>
    <w:rsid w:val="00831E70"/>
    <w:rsid w:val="00832837"/>
    <w:rsid w:val="00832969"/>
    <w:rsid w:val="00832DBE"/>
    <w:rsid w:val="00832F10"/>
    <w:rsid w:val="0083369F"/>
    <w:rsid w:val="00835A10"/>
    <w:rsid w:val="008360AF"/>
    <w:rsid w:val="008360FC"/>
    <w:rsid w:val="0083695F"/>
    <w:rsid w:val="00836AAA"/>
    <w:rsid w:val="00840688"/>
    <w:rsid w:val="008434A5"/>
    <w:rsid w:val="00843987"/>
    <w:rsid w:val="00844076"/>
    <w:rsid w:val="00845929"/>
    <w:rsid w:val="008462C8"/>
    <w:rsid w:val="008465EF"/>
    <w:rsid w:val="00846E64"/>
    <w:rsid w:val="008474D5"/>
    <w:rsid w:val="008477DD"/>
    <w:rsid w:val="00847AFE"/>
    <w:rsid w:val="00850D06"/>
    <w:rsid w:val="00851128"/>
    <w:rsid w:val="00851A0B"/>
    <w:rsid w:val="00852712"/>
    <w:rsid w:val="00853C52"/>
    <w:rsid w:val="00853C5C"/>
    <w:rsid w:val="00854578"/>
    <w:rsid w:val="00854F66"/>
    <w:rsid w:val="00856642"/>
    <w:rsid w:val="0085688B"/>
    <w:rsid w:val="00856E44"/>
    <w:rsid w:val="008602CD"/>
    <w:rsid w:val="008611DF"/>
    <w:rsid w:val="008615D8"/>
    <w:rsid w:val="00861C52"/>
    <w:rsid w:val="008622DF"/>
    <w:rsid w:val="008631DC"/>
    <w:rsid w:val="00863D04"/>
    <w:rsid w:val="00864086"/>
    <w:rsid w:val="00864E0F"/>
    <w:rsid w:val="008673B6"/>
    <w:rsid w:val="00871268"/>
    <w:rsid w:val="00871BCC"/>
    <w:rsid w:val="0087286C"/>
    <w:rsid w:val="00872E10"/>
    <w:rsid w:val="00874AE7"/>
    <w:rsid w:val="00875F94"/>
    <w:rsid w:val="00877384"/>
    <w:rsid w:val="0087749B"/>
    <w:rsid w:val="00877740"/>
    <w:rsid w:val="008811C8"/>
    <w:rsid w:val="0088148E"/>
    <w:rsid w:val="00881646"/>
    <w:rsid w:val="008818E9"/>
    <w:rsid w:val="00884124"/>
    <w:rsid w:val="00884E99"/>
    <w:rsid w:val="008852A5"/>
    <w:rsid w:val="00885A6D"/>
    <w:rsid w:val="008879AD"/>
    <w:rsid w:val="0089022E"/>
    <w:rsid w:val="00890985"/>
    <w:rsid w:val="0089450E"/>
    <w:rsid w:val="00894FBE"/>
    <w:rsid w:val="00897949"/>
    <w:rsid w:val="00897B60"/>
    <w:rsid w:val="008A03FE"/>
    <w:rsid w:val="008A0A57"/>
    <w:rsid w:val="008A0CCF"/>
    <w:rsid w:val="008A163E"/>
    <w:rsid w:val="008A190B"/>
    <w:rsid w:val="008A277A"/>
    <w:rsid w:val="008A3AD7"/>
    <w:rsid w:val="008A3C73"/>
    <w:rsid w:val="008A50C5"/>
    <w:rsid w:val="008A5A7B"/>
    <w:rsid w:val="008A5C12"/>
    <w:rsid w:val="008A6637"/>
    <w:rsid w:val="008A6DB3"/>
    <w:rsid w:val="008B223F"/>
    <w:rsid w:val="008B30BF"/>
    <w:rsid w:val="008B369B"/>
    <w:rsid w:val="008B4AF6"/>
    <w:rsid w:val="008B52F3"/>
    <w:rsid w:val="008B5CD7"/>
    <w:rsid w:val="008B6EE0"/>
    <w:rsid w:val="008B6FBD"/>
    <w:rsid w:val="008C06E5"/>
    <w:rsid w:val="008C08DC"/>
    <w:rsid w:val="008C0E25"/>
    <w:rsid w:val="008C12A8"/>
    <w:rsid w:val="008C2229"/>
    <w:rsid w:val="008C2F12"/>
    <w:rsid w:val="008C3CBA"/>
    <w:rsid w:val="008C451E"/>
    <w:rsid w:val="008C466B"/>
    <w:rsid w:val="008C5084"/>
    <w:rsid w:val="008C5689"/>
    <w:rsid w:val="008C6B11"/>
    <w:rsid w:val="008D131F"/>
    <w:rsid w:val="008D1892"/>
    <w:rsid w:val="008D24D3"/>
    <w:rsid w:val="008D2773"/>
    <w:rsid w:val="008D2EF0"/>
    <w:rsid w:val="008D4D41"/>
    <w:rsid w:val="008D6B9C"/>
    <w:rsid w:val="008D77ED"/>
    <w:rsid w:val="008E0756"/>
    <w:rsid w:val="008E1DDE"/>
    <w:rsid w:val="008E3AA1"/>
    <w:rsid w:val="008E620F"/>
    <w:rsid w:val="008E6867"/>
    <w:rsid w:val="008E6CDE"/>
    <w:rsid w:val="008E6EDF"/>
    <w:rsid w:val="008E6EE9"/>
    <w:rsid w:val="008E7100"/>
    <w:rsid w:val="008E778B"/>
    <w:rsid w:val="008E7D4C"/>
    <w:rsid w:val="008F0D43"/>
    <w:rsid w:val="008F0EB9"/>
    <w:rsid w:val="008F10BE"/>
    <w:rsid w:val="008F2919"/>
    <w:rsid w:val="008F68FF"/>
    <w:rsid w:val="008F74BC"/>
    <w:rsid w:val="00900135"/>
    <w:rsid w:val="0090065B"/>
    <w:rsid w:val="009011B3"/>
    <w:rsid w:val="009012E7"/>
    <w:rsid w:val="00903D62"/>
    <w:rsid w:val="00904185"/>
    <w:rsid w:val="00904C3C"/>
    <w:rsid w:val="00904D25"/>
    <w:rsid w:val="00904F5C"/>
    <w:rsid w:val="00905482"/>
    <w:rsid w:val="009061B3"/>
    <w:rsid w:val="00906253"/>
    <w:rsid w:val="00907558"/>
    <w:rsid w:val="00907C82"/>
    <w:rsid w:val="00907ECE"/>
    <w:rsid w:val="00911CFD"/>
    <w:rsid w:val="009138BE"/>
    <w:rsid w:val="00914946"/>
    <w:rsid w:val="009172A4"/>
    <w:rsid w:val="009233B1"/>
    <w:rsid w:val="00924869"/>
    <w:rsid w:val="009255E9"/>
    <w:rsid w:val="00925BF7"/>
    <w:rsid w:val="00926552"/>
    <w:rsid w:val="00927D90"/>
    <w:rsid w:val="0093007D"/>
    <w:rsid w:val="009310AB"/>
    <w:rsid w:val="00933A96"/>
    <w:rsid w:val="0093494E"/>
    <w:rsid w:val="00936E98"/>
    <w:rsid w:val="009373C2"/>
    <w:rsid w:val="00937598"/>
    <w:rsid w:val="00937DA5"/>
    <w:rsid w:val="009405EC"/>
    <w:rsid w:val="00940701"/>
    <w:rsid w:val="00943B44"/>
    <w:rsid w:val="00943DBD"/>
    <w:rsid w:val="00944115"/>
    <w:rsid w:val="00945641"/>
    <w:rsid w:val="00946648"/>
    <w:rsid w:val="00951519"/>
    <w:rsid w:val="00951BF7"/>
    <w:rsid w:val="00951DC3"/>
    <w:rsid w:val="0095400A"/>
    <w:rsid w:val="00954760"/>
    <w:rsid w:val="00955370"/>
    <w:rsid w:val="00955DED"/>
    <w:rsid w:val="0095689C"/>
    <w:rsid w:val="00956B26"/>
    <w:rsid w:val="009607FC"/>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30CD"/>
    <w:rsid w:val="0097361A"/>
    <w:rsid w:val="00974669"/>
    <w:rsid w:val="009748ED"/>
    <w:rsid w:val="00974B9C"/>
    <w:rsid w:val="009753BB"/>
    <w:rsid w:val="00976DE2"/>
    <w:rsid w:val="00980F37"/>
    <w:rsid w:val="00982FC0"/>
    <w:rsid w:val="00983160"/>
    <w:rsid w:val="009831BF"/>
    <w:rsid w:val="0098570E"/>
    <w:rsid w:val="009857AF"/>
    <w:rsid w:val="00987111"/>
    <w:rsid w:val="0098735F"/>
    <w:rsid w:val="00987795"/>
    <w:rsid w:val="00987F7F"/>
    <w:rsid w:val="00990937"/>
    <w:rsid w:val="0099149E"/>
    <w:rsid w:val="0099157D"/>
    <w:rsid w:val="009925E2"/>
    <w:rsid w:val="0099412C"/>
    <w:rsid w:val="0099427E"/>
    <w:rsid w:val="00994296"/>
    <w:rsid w:val="00995603"/>
    <w:rsid w:val="00995D7D"/>
    <w:rsid w:val="009976FC"/>
    <w:rsid w:val="009A2E69"/>
    <w:rsid w:val="009A3AC4"/>
    <w:rsid w:val="009A4B9B"/>
    <w:rsid w:val="009A57B8"/>
    <w:rsid w:val="009A65B0"/>
    <w:rsid w:val="009A707A"/>
    <w:rsid w:val="009A7CC2"/>
    <w:rsid w:val="009A7F65"/>
    <w:rsid w:val="009B02FF"/>
    <w:rsid w:val="009B096A"/>
    <w:rsid w:val="009B0E4D"/>
    <w:rsid w:val="009B0E76"/>
    <w:rsid w:val="009B2513"/>
    <w:rsid w:val="009B2799"/>
    <w:rsid w:val="009B3BBD"/>
    <w:rsid w:val="009B4276"/>
    <w:rsid w:val="009B5B29"/>
    <w:rsid w:val="009B6D95"/>
    <w:rsid w:val="009B6FC8"/>
    <w:rsid w:val="009B709B"/>
    <w:rsid w:val="009C0CF4"/>
    <w:rsid w:val="009C217A"/>
    <w:rsid w:val="009C3526"/>
    <w:rsid w:val="009C476B"/>
    <w:rsid w:val="009C4840"/>
    <w:rsid w:val="009C7B40"/>
    <w:rsid w:val="009D19FF"/>
    <w:rsid w:val="009D2CB6"/>
    <w:rsid w:val="009D3EC8"/>
    <w:rsid w:val="009D5887"/>
    <w:rsid w:val="009D5929"/>
    <w:rsid w:val="009D5FE0"/>
    <w:rsid w:val="009D6A38"/>
    <w:rsid w:val="009D74F5"/>
    <w:rsid w:val="009D78D2"/>
    <w:rsid w:val="009E14FF"/>
    <w:rsid w:val="009E1EAE"/>
    <w:rsid w:val="009E2D7F"/>
    <w:rsid w:val="009E38DF"/>
    <w:rsid w:val="009E58BC"/>
    <w:rsid w:val="009E590A"/>
    <w:rsid w:val="009E5B76"/>
    <w:rsid w:val="009E6EB6"/>
    <w:rsid w:val="009E768E"/>
    <w:rsid w:val="009E78F1"/>
    <w:rsid w:val="009E79D8"/>
    <w:rsid w:val="009F0003"/>
    <w:rsid w:val="009F13E9"/>
    <w:rsid w:val="009F1576"/>
    <w:rsid w:val="009F18B3"/>
    <w:rsid w:val="009F1E6E"/>
    <w:rsid w:val="009F2EC1"/>
    <w:rsid w:val="009F4C76"/>
    <w:rsid w:val="009F55F5"/>
    <w:rsid w:val="009F6CB9"/>
    <w:rsid w:val="009F78F9"/>
    <w:rsid w:val="00A002BA"/>
    <w:rsid w:val="00A00BA9"/>
    <w:rsid w:val="00A0130B"/>
    <w:rsid w:val="00A02077"/>
    <w:rsid w:val="00A03347"/>
    <w:rsid w:val="00A035CB"/>
    <w:rsid w:val="00A037E6"/>
    <w:rsid w:val="00A03A71"/>
    <w:rsid w:val="00A051AF"/>
    <w:rsid w:val="00A0575E"/>
    <w:rsid w:val="00A06D15"/>
    <w:rsid w:val="00A07134"/>
    <w:rsid w:val="00A0798D"/>
    <w:rsid w:val="00A07FB5"/>
    <w:rsid w:val="00A10430"/>
    <w:rsid w:val="00A12A4F"/>
    <w:rsid w:val="00A14783"/>
    <w:rsid w:val="00A15C5B"/>
    <w:rsid w:val="00A15ECC"/>
    <w:rsid w:val="00A1665E"/>
    <w:rsid w:val="00A170D5"/>
    <w:rsid w:val="00A20561"/>
    <w:rsid w:val="00A21935"/>
    <w:rsid w:val="00A22C6E"/>
    <w:rsid w:val="00A24D9A"/>
    <w:rsid w:val="00A25084"/>
    <w:rsid w:val="00A26587"/>
    <w:rsid w:val="00A26FAE"/>
    <w:rsid w:val="00A3153C"/>
    <w:rsid w:val="00A34ADE"/>
    <w:rsid w:val="00A34F04"/>
    <w:rsid w:val="00A364DD"/>
    <w:rsid w:val="00A36CF3"/>
    <w:rsid w:val="00A3715B"/>
    <w:rsid w:val="00A4030A"/>
    <w:rsid w:val="00A403D4"/>
    <w:rsid w:val="00A40640"/>
    <w:rsid w:val="00A40D3E"/>
    <w:rsid w:val="00A41860"/>
    <w:rsid w:val="00A41990"/>
    <w:rsid w:val="00A41F79"/>
    <w:rsid w:val="00A42D4F"/>
    <w:rsid w:val="00A43035"/>
    <w:rsid w:val="00A43254"/>
    <w:rsid w:val="00A4328E"/>
    <w:rsid w:val="00A43FB2"/>
    <w:rsid w:val="00A45F9E"/>
    <w:rsid w:val="00A4740E"/>
    <w:rsid w:val="00A47BCE"/>
    <w:rsid w:val="00A47C0D"/>
    <w:rsid w:val="00A47FE2"/>
    <w:rsid w:val="00A50899"/>
    <w:rsid w:val="00A51799"/>
    <w:rsid w:val="00A5216C"/>
    <w:rsid w:val="00A52509"/>
    <w:rsid w:val="00A53B2E"/>
    <w:rsid w:val="00A54219"/>
    <w:rsid w:val="00A55244"/>
    <w:rsid w:val="00A5560E"/>
    <w:rsid w:val="00A5604A"/>
    <w:rsid w:val="00A562B1"/>
    <w:rsid w:val="00A56581"/>
    <w:rsid w:val="00A566B8"/>
    <w:rsid w:val="00A57EF6"/>
    <w:rsid w:val="00A6106B"/>
    <w:rsid w:val="00A62977"/>
    <w:rsid w:val="00A630A8"/>
    <w:rsid w:val="00A6359B"/>
    <w:rsid w:val="00A63F46"/>
    <w:rsid w:val="00A65C13"/>
    <w:rsid w:val="00A65F3B"/>
    <w:rsid w:val="00A664F2"/>
    <w:rsid w:val="00A67074"/>
    <w:rsid w:val="00A679F0"/>
    <w:rsid w:val="00A72210"/>
    <w:rsid w:val="00A73A36"/>
    <w:rsid w:val="00A74919"/>
    <w:rsid w:val="00A74A8A"/>
    <w:rsid w:val="00A74C7C"/>
    <w:rsid w:val="00A75D37"/>
    <w:rsid w:val="00A76D45"/>
    <w:rsid w:val="00A77381"/>
    <w:rsid w:val="00A77B98"/>
    <w:rsid w:val="00A77BDD"/>
    <w:rsid w:val="00A80F06"/>
    <w:rsid w:val="00A826E3"/>
    <w:rsid w:val="00A82D4A"/>
    <w:rsid w:val="00A836B0"/>
    <w:rsid w:val="00A8494C"/>
    <w:rsid w:val="00A850D6"/>
    <w:rsid w:val="00A85961"/>
    <w:rsid w:val="00A85D78"/>
    <w:rsid w:val="00A86048"/>
    <w:rsid w:val="00A869D6"/>
    <w:rsid w:val="00A87E2F"/>
    <w:rsid w:val="00A91B2D"/>
    <w:rsid w:val="00A95564"/>
    <w:rsid w:val="00A95CC1"/>
    <w:rsid w:val="00A95DF9"/>
    <w:rsid w:val="00A97753"/>
    <w:rsid w:val="00AA1E79"/>
    <w:rsid w:val="00AA292D"/>
    <w:rsid w:val="00AA29ED"/>
    <w:rsid w:val="00AA2AEA"/>
    <w:rsid w:val="00AA2EE5"/>
    <w:rsid w:val="00AA3499"/>
    <w:rsid w:val="00AA3802"/>
    <w:rsid w:val="00AA415D"/>
    <w:rsid w:val="00AA444C"/>
    <w:rsid w:val="00AA4B60"/>
    <w:rsid w:val="00AA56E0"/>
    <w:rsid w:val="00AA61A7"/>
    <w:rsid w:val="00AA65D4"/>
    <w:rsid w:val="00AA6776"/>
    <w:rsid w:val="00AA6E20"/>
    <w:rsid w:val="00AA7411"/>
    <w:rsid w:val="00AB10E9"/>
    <w:rsid w:val="00AB1DB4"/>
    <w:rsid w:val="00AB25FD"/>
    <w:rsid w:val="00AB3B99"/>
    <w:rsid w:val="00AB46D2"/>
    <w:rsid w:val="00AB49BC"/>
    <w:rsid w:val="00AB5B28"/>
    <w:rsid w:val="00AB5CD0"/>
    <w:rsid w:val="00AB7516"/>
    <w:rsid w:val="00AC14C2"/>
    <w:rsid w:val="00AC24AE"/>
    <w:rsid w:val="00AC29B2"/>
    <w:rsid w:val="00AC3287"/>
    <w:rsid w:val="00AC389C"/>
    <w:rsid w:val="00AC487A"/>
    <w:rsid w:val="00AC720E"/>
    <w:rsid w:val="00AC7FBB"/>
    <w:rsid w:val="00AD1162"/>
    <w:rsid w:val="00AD1CDA"/>
    <w:rsid w:val="00AD2953"/>
    <w:rsid w:val="00AD337D"/>
    <w:rsid w:val="00AD4220"/>
    <w:rsid w:val="00AD4FCC"/>
    <w:rsid w:val="00AD598C"/>
    <w:rsid w:val="00AD6A3C"/>
    <w:rsid w:val="00AD6B9F"/>
    <w:rsid w:val="00AD6EA4"/>
    <w:rsid w:val="00AD7C62"/>
    <w:rsid w:val="00AD7CA1"/>
    <w:rsid w:val="00AE1A79"/>
    <w:rsid w:val="00AE28DE"/>
    <w:rsid w:val="00AE3AD0"/>
    <w:rsid w:val="00AE3C6F"/>
    <w:rsid w:val="00AE4710"/>
    <w:rsid w:val="00AE56B0"/>
    <w:rsid w:val="00AE56B4"/>
    <w:rsid w:val="00AF052B"/>
    <w:rsid w:val="00AF09A5"/>
    <w:rsid w:val="00AF2D97"/>
    <w:rsid w:val="00AF33E3"/>
    <w:rsid w:val="00AF3E81"/>
    <w:rsid w:val="00AF3FBD"/>
    <w:rsid w:val="00AF46AD"/>
    <w:rsid w:val="00AF5A7A"/>
    <w:rsid w:val="00AF77D9"/>
    <w:rsid w:val="00B0166B"/>
    <w:rsid w:val="00B02D49"/>
    <w:rsid w:val="00B04893"/>
    <w:rsid w:val="00B06B27"/>
    <w:rsid w:val="00B06B69"/>
    <w:rsid w:val="00B073ED"/>
    <w:rsid w:val="00B07F71"/>
    <w:rsid w:val="00B11281"/>
    <w:rsid w:val="00B1182C"/>
    <w:rsid w:val="00B12C26"/>
    <w:rsid w:val="00B13D09"/>
    <w:rsid w:val="00B14F12"/>
    <w:rsid w:val="00B157B3"/>
    <w:rsid w:val="00B16685"/>
    <w:rsid w:val="00B17031"/>
    <w:rsid w:val="00B17804"/>
    <w:rsid w:val="00B20D4B"/>
    <w:rsid w:val="00B20DDF"/>
    <w:rsid w:val="00B212C0"/>
    <w:rsid w:val="00B21363"/>
    <w:rsid w:val="00B22A34"/>
    <w:rsid w:val="00B22FD5"/>
    <w:rsid w:val="00B23540"/>
    <w:rsid w:val="00B23C74"/>
    <w:rsid w:val="00B24847"/>
    <w:rsid w:val="00B24A66"/>
    <w:rsid w:val="00B24DEE"/>
    <w:rsid w:val="00B25C75"/>
    <w:rsid w:val="00B31475"/>
    <w:rsid w:val="00B31A6B"/>
    <w:rsid w:val="00B32004"/>
    <w:rsid w:val="00B32DA1"/>
    <w:rsid w:val="00B32EA2"/>
    <w:rsid w:val="00B334B9"/>
    <w:rsid w:val="00B33E49"/>
    <w:rsid w:val="00B34117"/>
    <w:rsid w:val="00B35286"/>
    <w:rsid w:val="00B36738"/>
    <w:rsid w:val="00B36D2A"/>
    <w:rsid w:val="00B36DDA"/>
    <w:rsid w:val="00B371EE"/>
    <w:rsid w:val="00B4093B"/>
    <w:rsid w:val="00B411B7"/>
    <w:rsid w:val="00B43206"/>
    <w:rsid w:val="00B43442"/>
    <w:rsid w:val="00B44671"/>
    <w:rsid w:val="00B44718"/>
    <w:rsid w:val="00B4781B"/>
    <w:rsid w:val="00B47D15"/>
    <w:rsid w:val="00B50022"/>
    <w:rsid w:val="00B50621"/>
    <w:rsid w:val="00B50955"/>
    <w:rsid w:val="00B50E45"/>
    <w:rsid w:val="00B51499"/>
    <w:rsid w:val="00B514B6"/>
    <w:rsid w:val="00B51F15"/>
    <w:rsid w:val="00B52B77"/>
    <w:rsid w:val="00B53DC4"/>
    <w:rsid w:val="00B5486C"/>
    <w:rsid w:val="00B550EB"/>
    <w:rsid w:val="00B55C56"/>
    <w:rsid w:val="00B55CDA"/>
    <w:rsid w:val="00B61E88"/>
    <w:rsid w:val="00B624D1"/>
    <w:rsid w:val="00B62719"/>
    <w:rsid w:val="00B62E10"/>
    <w:rsid w:val="00B62F9D"/>
    <w:rsid w:val="00B64871"/>
    <w:rsid w:val="00B658A1"/>
    <w:rsid w:val="00B67722"/>
    <w:rsid w:val="00B67ABF"/>
    <w:rsid w:val="00B67ACC"/>
    <w:rsid w:val="00B67F07"/>
    <w:rsid w:val="00B702FE"/>
    <w:rsid w:val="00B708C0"/>
    <w:rsid w:val="00B70A9B"/>
    <w:rsid w:val="00B70BD2"/>
    <w:rsid w:val="00B734E3"/>
    <w:rsid w:val="00B74DBA"/>
    <w:rsid w:val="00B75CE1"/>
    <w:rsid w:val="00B77328"/>
    <w:rsid w:val="00B82014"/>
    <w:rsid w:val="00B8230D"/>
    <w:rsid w:val="00B83750"/>
    <w:rsid w:val="00B84580"/>
    <w:rsid w:val="00B85328"/>
    <w:rsid w:val="00B85F0B"/>
    <w:rsid w:val="00B8717A"/>
    <w:rsid w:val="00B90429"/>
    <w:rsid w:val="00B90B3A"/>
    <w:rsid w:val="00B92AEE"/>
    <w:rsid w:val="00B95635"/>
    <w:rsid w:val="00B97470"/>
    <w:rsid w:val="00BA0805"/>
    <w:rsid w:val="00BA12A9"/>
    <w:rsid w:val="00BA13EE"/>
    <w:rsid w:val="00BA1C36"/>
    <w:rsid w:val="00BA3947"/>
    <w:rsid w:val="00BA4F02"/>
    <w:rsid w:val="00BA51B7"/>
    <w:rsid w:val="00BB0636"/>
    <w:rsid w:val="00BB1BBF"/>
    <w:rsid w:val="00BB2EF3"/>
    <w:rsid w:val="00BB3371"/>
    <w:rsid w:val="00BB4ED2"/>
    <w:rsid w:val="00BB5017"/>
    <w:rsid w:val="00BB6D51"/>
    <w:rsid w:val="00BB78DE"/>
    <w:rsid w:val="00BB7BD5"/>
    <w:rsid w:val="00BC03C4"/>
    <w:rsid w:val="00BC08AC"/>
    <w:rsid w:val="00BC0A90"/>
    <w:rsid w:val="00BC1974"/>
    <w:rsid w:val="00BC2522"/>
    <w:rsid w:val="00BC2A65"/>
    <w:rsid w:val="00BC3D29"/>
    <w:rsid w:val="00BC48E5"/>
    <w:rsid w:val="00BC53ED"/>
    <w:rsid w:val="00BC61D9"/>
    <w:rsid w:val="00BC6417"/>
    <w:rsid w:val="00BC75AB"/>
    <w:rsid w:val="00BC76E7"/>
    <w:rsid w:val="00BC7D78"/>
    <w:rsid w:val="00BD1205"/>
    <w:rsid w:val="00BD3B68"/>
    <w:rsid w:val="00BD4760"/>
    <w:rsid w:val="00BD5DBD"/>
    <w:rsid w:val="00BD6338"/>
    <w:rsid w:val="00BD7C29"/>
    <w:rsid w:val="00BE1BF2"/>
    <w:rsid w:val="00BE1D7A"/>
    <w:rsid w:val="00BE3491"/>
    <w:rsid w:val="00BE4D85"/>
    <w:rsid w:val="00BE5D23"/>
    <w:rsid w:val="00BE5F43"/>
    <w:rsid w:val="00BF08A5"/>
    <w:rsid w:val="00BF099D"/>
    <w:rsid w:val="00BF12F2"/>
    <w:rsid w:val="00BF2CFC"/>
    <w:rsid w:val="00BF30D4"/>
    <w:rsid w:val="00BF46E1"/>
    <w:rsid w:val="00BF54DA"/>
    <w:rsid w:val="00BF5913"/>
    <w:rsid w:val="00BF5F5B"/>
    <w:rsid w:val="00BF6BA7"/>
    <w:rsid w:val="00BF6DED"/>
    <w:rsid w:val="00BF7BAE"/>
    <w:rsid w:val="00C00D92"/>
    <w:rsid w:val="00C020FD"/>
    <w:rsid w:val="00C0375B"/>
    <w:rsid w:val="00C038F7"/>
    <w:rsid w:val="00C04AB2"/>
    <w:rsid w:val="00C05666"/>
    <w:rsid w:val="00C05C9D"/>
    <w:rsid w:val="00C05E31"/>
    <w:rsid w:val="00C10321"/>
    <w:rsid w:val="00C108DE"/>
    <w:rsid w:val="00C11535"/>
    <w:rsid w:val="00C116F5"/>
    <w:rsid w:val="00C12E64"/>
    <w:rsid w:val="00C142E3"/>
    <w:rsid w:val="00C14D57"/>
    <w:rsid w:val="00C15807"/>
    <w:rsid w:val="00C15B2C"/>
    <w:rsid w:val="00C1643F"/>
    <w:rsid w:val="00C16B04"/>
    <w:rsid w:val="00C17116"/>
    <w:rsid w:val="00C17B58"/>
    <w:rsid w:val="00C201B5"/>
    <w:rsid w:val="00C208AA"/>
    <w:rsid w:val="00C20D01"/>
    <w:rsid w:val="00C2118B"/>
    <w:rsid w:val="00C21C19"/>
    <w:rsid w:val="00C249AF"/>
    <w:rsid w:val="00C25526"/>
    <w:rsid w:val="00C259A7"/>
    <w:rsid w:val="00C263D0"/>
    <w:rsid w:val="00C26725"/>
    <w:rsid w:val="00C267ED"/>
    <w:rsid w:val="00C26A44"/>
    <w:rsid w:val="00C26F2A"/>
    <w:rsid w:val="00C3102D"/>
    <w:rsid w:val="00C3256F"/>
    <w:rsid w:val="00C333C3"/>
    <w:rsid w:val="00C345C8"/>
    <w:rsid w:val="00C347DD"/>
    <w:rsid w:val="00C41C06"/>
    <w:rsid w:val="00C43728"/>
    <w:rsid w:val="00C43BF9"/>
    <w:rsid w:val="00C442AA"/>
    <w:rsid w:val="00C4489D"/>
    <w:rsid w:val="00C44DBA"/>
    <w:rsid w:val="00C44FF6"/>
    <w:rsid w:val="00C452B8"/>
    <w:rsid w:val="00C45B3F"/>
    <w:rsid w:val="00C466DF"/>
    <w:rsid w:val="00C46A1F"/>
    <w:rsid w:val="00C47080"/>
    <w:rsid w:val="00C472BD"/>
    <w:rsid w:val="00C5058C"/>
    <w:rsid w:val="00C50FCB"/>
    <w:rsid w:val="00C52433"/>
    <w:rsid w:val="00C539E9"/>
    <w:rsid w:val="00C55B08"/>
    <w:rsid w:val="00C55B1E"/>
    <w:rsid w:val="00C55F76"/>
    <w:rsid w:val="00C57D0E"/>
    <w:rsid w:val="00C616E4"/>
    <w:rsid w:val="00C62095"/>
    <w:rsid w:val="00C62B4C"/>
    <w:rsid w:val="00C63366"/>
    <w:rsid w:val="00C647CB"/>
    <w:rsid w:val="00C66352"/>
    <w:rsid w:val="00C66CE8"/>
    <w:rsid w:val="00C67194"/>
    <w:rsid w:val="00C71B4A"/>
    <w:rsid w:val="00C7210E"/>
    <w:rsid w:val="00C73BDB"/>
    <w:rsid w:val="00C73C79"/>
    <w:rsid w:val="00C753E5"/>
    <w:rsid w:val="00C7551B"/>
    <w:rsid w:val="00C76A98"/>
    <w:rsid w:val="00C8216A"/>
    <w:rsid w:val="00C821D4"/>
    <w:rsid w:val="00C8247B"/>
    <w:rsid w:val="00C84AC3"/>
    <w:rsid w:val="00C84F64"/>
    <w:rsid w:val="00C8590E"/>
    <w:rsid w:val="00C85AE5"/>
    <w:rsid w:val="00C86BE6"/>
    <w:rsid w:val="00C8717C"/>
    <w:rsid w:val="00C90612"/>
    <w:rsid w:val="00C90FD8"/>
    <w:rsid w:val="00C914A1"/>
    <w:rsid w:val="00C925EC"/>
    <w:rsid w:val="00C93B40"/>
    <w:rsid w:val="00C9438A"/>
    <w:rsid w:val="00C94C84"/>
    <w:rsid w:val="00C94FC6"/>
    <w:rsid w:val="00C95B7C"/>
    <w:rsid w:val="00C95F60"/>
    <w:rsid w:val="00C96BFF"/>
    <w:rsid w:val="00C96CAB"/>
    <w:rsid w:val="00C96F1B"/>
    <w:rsid w:val="00CA09B7"/>
    <w:rsid w:val="00CA181A"/>
    <w:rsid w:val="00CA2CC5"/>
    <w:rsid w:val="00CA2D2A"/>
    <w:rsid w:val="00CA465B"/>
    <w:rsid w:val="00CA5C64"/>
    <w:rsid w:val="00CA6122"/>
    <w:rsid w:val="00CA6CA1"/>
    <w:rsid w:val="00CA702B"/>
    <w:rsid w:val="00CB01D3"/>
    <w:rsid w:val="00CB04A1"/>
    <w:rsid w:val="00CB05E1"/>
    <w:rsid w:val="00CB267F"/>
    <w:rsid w:val="00CB36A4"/>
    <w:rsid w:val="00CB433A"/>
    <w:rsid w:val="00CB5DB3"/>
    <w:rsid w:val="00CB639A"/>
    <w:rsid w:val="00CB7216"/>
    <w:rsid w:val="00CB7232"/>
    <w:rsid w:val="00CC0DE3"/>
    <w:rsid w:val="00CC1551"/>
    <w:rsid w:val="00CC163E"/>
    <w:rsid w:val="00CC1A91"/>
    <w:rsid w:val="00CC1E21"/>
    <w:rsid w:val="00CC538E"/>
    <w:rsid w:val="00CC5646"/>
    <w:rsid w:val="00CC5A60"/>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7F42"/>
    <w:rsid w:val="00CE09C1"/>
    <w:rsid w:val="00CE09C2"/>
    <w:rsid w:val="00CE0F07"/>
    <w:rsid w:val="00CE1D81"/>
    <w:rsid w:val="00CE1ECD"/>
    <w:rsid w:val="00CE2D44"/>
    <w:rsid w:val="00CE330D"/>
    <w:rsid w:val="00CE64C3"/>
    <w:rsid w:val="00CE6C99"/>
    <w:rsid w:val="00CE76CB"/>
    <w:rsid w:val="00CF04CE"/>
    <w:rsid w:val="00CF07B7"/>
    <w:rsid w:val="00CF0D74"/>
    <w:rsid w:val="00CF3A18"/>
    <w:rsid w:val="00CF437B"/>
    <w:rsid w:val="00CF4493"/>
    <w:rsid w:val="00CF5680"/>
    <w:rsid w:val="00CF58A8"/>
    <w:rsid w:val="00CF60E3"/>
    <w:rsid w:val="00CF6ED4"/>
    <w:rsid w:val="00CF79A8"/>
    <w:rsid w:val="00D01598"/>
    <w:rsid w:val="00D021FE"/>
    <w:rsid w:val="00D042D2"/>
    <w:rsid w:val="00D04BBF"/>
    <w:rsid w:val="00D0552A"/>
    <w:rsid w:val="00D05D06"/>
    <w:rsid w:val="00D06045"/>
    <w:rsid w:val="00D0713A"/>
    <w:rsid w:val="00D10D48"/>
    <w:rsid w:val="00D11675"/>
    <w:rsid w:val="00D11A4A"/>
    <w:rsid w:val="00D12C80"/>
    <w:rsid w:val="00D12F62"/>
    <w:rsid w:val="00D13962"/>
    <w:rsid w:val="00D14546"/>
    <w:rsid w:val="00D16D01"/>
    <w:rsid w:val="00D17CDA"/>
    <w:rsid w:val="00D200BB"/>
    <w:rsid w:val="00D214E2"/>
    <w:rsid w:val="00D215F6"/>
    <w:rsid w:val="00D22153"/>
    <w:rsid w:val="00D25F3B"/>
    <w:rsid w:val="00D26C7E"/>
    <w:rsid w:val="00D27596"/>
    <w:rsid w:val="00D27F15"/>
    <w:rsid w:val="00D30231"/>
    <w:rsid w:val="00D303F1"/>
    <w:rsid w:val="00D30739"/>
    <w:rsid w:val="00D31828"/>
    <w:rsid w:val="00D337AF"/>
    <w:rsid w:val="00D368FD"/>
    <w:rsid w:val="00D373C3"/>
    <w:rsid w:val="00D37AE0"/>
    <w:rsid w:val="00D37CA9"/>
    <w:rsid w:val="00D405C3"/>
    <w:rsid w:val="00D40D40"/>
    <w:rsid w:val="00D4218A"/>
    <w:rsid w:val="00D47E18"/>
    <w:rsid w:val="00D5057E"/>
    <w:rsid w:val="00D52DE2"/>
    <w:rsid w:val="00D53253"/>
    <w:rsid w:val="00D533A1"/>
    <w:rsid w:val="00D5417A"/>
    <w:rsid w:val="00D54D31"/>
    <w:rsid w:val="00D556C1"/>
    <w:rsid w:val="00D56AB6"/>
    <w:rsid w:val="00D57242"/>
    <w:rsid w:val="00D57EA6"/>
    <w:rsid w:val="00D60B2C"/>
    <w:rsid w:val="00D61033"/>
    <w:rsid w:val="00D626E0"/>
    <w:rsid w:val="00D62AC2"/>
    <w:rsid w:val="00D630C8"/>
    <w:rsid w:val="00D630FB"/>
    <w:rsid w:val="00D63143"/>
    <w:rsid w:val="00D643CA"/>
    <w:rsid w:val="00D64EDC"/>
    <w:rsid w:val="00D664E2"/>
    <w:rsid w:val="00D70550"/>
    <w:rsid w:val="00D7062B"/>
    <w:rsid w:val="00D71AF4"/>
    <w:rsid w:val="00D73CF3"/>
    <w:rsid w:val="00D74661"/>
    <w:rsid w:val="00D756D4"/>
    <w:rsid w:val="00D757E5"/>
    <w:rsid w:val="00D77456"/>
    <w:rsid w:val="00D8044B"/>
    <w:rsid w:val="00D80ACF"/>
    <w:rsid w:val="00D82108"/>
    <w:rsid w:val="00D838EB"/>
    <w:rsid w:val="00D858A1"/>
    <w:rsid w:val="00D87661"/>
    <w:rsid w:val="00D8772B"/>
    <w:rsid w:val="00D87EE8"/>
    <w:rsid w:val="00D902D4"/>
    <w:rsid w:val="00D904A5"/>
    <w:rsid w:val="00D9052E"/>
    <w:rsid w:val="00D906CB"/>
    <w:rsid w:val="00D909E8"/>
    <w:rsid w:val="00D9168B"/>
    <w:rsid w:val="00D917BE"/>
    <w:rsid w:val="00D922AE"/>
    <w:rsid w:val="00D932E8"/>
    <w:rsid w:val="00D93ED9"/>
    <w:rsid w:val="00D944B0"/>
    <w:rsid w:val="00D946C9"/>
    <w:rsid w:val="00D947B6"/>
    <w:rsid w:val="00D95358"/>
    <w:rsid w:val="00D96926"/>
    <w:rsid w:val="00DA1C70"/>
    <w:rsid w:val="00DA210E"/>
    <w:rsid w:val="00DA5833"/>
    <w:rsid w:val="00DA60C1"/>
    <w:rsid w:val="00DA6383"/>
    <w:rsid w:val="00DA6480"/>
    <w:rsid w:val="00DA6EB0"/>
    <w:rsid w:val="00DA7A5C"/>
    <w:rsid w:val="00DB0A88"/>
    <w:rsid w:val="00DB16CE"/>
    <w:rsid w:val="00DB2912"/>
    <w:rsid w:val="00DB2F39"/>
    <w:rsid w:val="00DB377D"/>
    <w:rsid w:val="00DB3D63"/>
    <w:rsid w:val="00DB465B"/>
    <w:rsid w:val="00DB5162"/>
    <w:rsid w:val="00DB5A61"/>
    <w:rsid w:val="00DB5DAD"/>
    <w:rsid w:val="00DB6D9B"/>
    <w:rsid w:val="00DB7B07"/>
    <w:rsid w:val="00DC1BB9"/>
    <w:rsid w:val="00DC1F20"/>
    <w:rsid w:val="00DC2C64"/>
    <w:rsid w:val="00DC3BE2"/>
    <w:rsid w:val="00DC424C"/>
    <w:rsid w:val="00DC5D24"/>
    <w:rsid w:val="00DC6CB9"/>
    <w:rsid w:val="00DC6EE2"/>
    <w:rsid w:val="00DC743D"/>
    <w:rsid w:val="00DC764F"/>
    <w:rsid w:val="00DD083B"/>
    <w:rsid w:val="00DD0FE2"/>
    <w:rsid w:val="00DD26EA"/>
    <w:rsid w:val="00DD2C9A"/>
    <w:rsid w:val="00DD3583"/>
    <w:rsid w:val="00DD40D8"/>
    <w:rsid w:val="00DD453A"/>
    <w:rsid w:val="00DD69D8"/>
    <w:rsid w:val="00DD6FF1"/>
    <w:rsid w:val="00DD7006"/>
    <w:rsid w:val="00DD75A6"/>
    <w:rsid w:val="00DE00BD"/>
    <w:rsid w:val="00DE22FF"/>
    <w:rsid w:val="00DE2388"/>
    <w:rsid w:val="00DE23F7"/>
    <w:rsid w:val="00DE5053"/>
    <w:rsid w:val="00DE5A33"/>
    <w:rsid w:val="00DE5B11"/>
    <w:rsid w:val="00DE5E78"/>
    <w:rsid w:val="00DE7300"/>
    <w:rsid w:val="00DE7BB2"/>
    <w:rsid w:val="00DF0036"/>
    <w:rsid w:val="00DF12E3"/>
    <w:rsid w:val="00DF184E"/>
    <w:rsid w:val="00DF1E7B"/>
    <w:rsid w:val="00DF26B5"/>
    <w:rsid w:val="00DF2C6A"/>
    <w:rsid w:val="00DF3AF7"/>
    <w:rsid w:val="00DF669D"/>
    <w:rsid w:val="00DF72B2"/>
    <w:rsid w:val="00E00CCF"/>
    <w:rsid w:val="00E01234"/>
    <w:rsid w:val="00E01475"/>
    <w:rsid w:val="00E02102"/>
    <w:rsid w:val="00E02450"/>
    <w:rsid w:val="00E02E4F"/>
    <w:rsid w:val="00E03CAA"/>
    <w:rsid w:val="00E05526"/>
    <w:rsid w:val="00E05C3E"/>
    <w:rsid w:val="00E06A4E"/>
    <w:rsid w:val="00E0756A"/>
    <w:rsid w:val="00E07A1E"/>
    <w:rsid w:val="00E1020E"/>
    <w:rsid w:val="00E10247"/>
    <w:rsid w:val="00E10488"/>
    <w:rsid w:val="00E109EA"/>
    <w:rsid w:val="00E117ED"/>
    <w:rsid w:val="00E11AC6"/>
    <w:rsid w:val="00E11CC2"/>
    <w:rsid w:val="00E124BD"/>
    <w:rsid w:val="00E13347"/>
    <w:rsid w:val="00E133DA"/>
    <w:rsid w:val="00E1387D"/>
    <w:rsid w:val="00E1506E"/>
    <w:rsid w:val="00E15B48"/>
    <w:rsid w:val="00E16CAF"/>
    <w:rsid w:val="00E172DA"/>
    <w:rsid w:val="00E174CA"/>
    <w:rsid w:val="00E1755C"/>
    <w:rsid w:val="00E1769C"/>
    <w:rsid w:val="00E1788F"/>
    <w:rsid w:val="00E200F6"/>
    <w:rsid w:val="00E20602"/>
    <w:rsid w:val="00E2063E"/>
    <w:rsid w:val="00E20BCB"/>
    <w:rsid w:val="00E21F92"/>
    <w:rsid w:val="00E23209"/>
    <w:rsid w:val="00E244C5"/>
    <w:rsid w:val="00E26684"/>
    <w:rsid w:val="00E26F19"/>
    <w:rsid w:val="00E27F60"/>
    <w:rsid w:val="00E27FC5"/>
    <w:rsid w:val="00E31892"/>
    <w:rsid w:val="00E31CBD"/>
    <w:rsid w:val="00E3200B"/>
    <w:rsid w:val="00E326ED"/>
    <w:rsid w:val="00E32C86"/>
    <w:rsid w:val="00E330D9"/>
    <w:rsid w:val="00E33AA4"/>
    <w:rsid w:val="00E34C4E"/>
    <w:rsid w:val="00E34DE8"/>
    <w:rsid w:val="00E409F7"/>
    <w:rsid w:val="00E41B0C"/>
    <w:rsid w:val="00E421EB"/>
    <w:rsid w:val="00E425D5"/>
    <w:rsid w:val="00E43DA7"/>
    <w:rsid w:val="00E4757C"/>
    <w:rsid w:val="00E47785"/>
    <w:rsid w:val="00E50630"/>
    <w:rsid w:val="00E50AEE"/>
    <w:rsid w:val="00E51308"/>
    <w:rsid w:val="00E52781"/>
    <w:rsid w:val="00E52ECE"/>
    <w:rsid w:val="00E531D9"/>
    <w:rsid w:val="00E55AE0"/>
    <w:rsid w:val="00E57238"/>
    <w:rsid w:val="00E57CC2"/>
    <w:rsid w:val="00E57E4F"/>
    <w:rsid w:val="00E6131F"/>
    <w:rsid w:val="00E62963"/>
    <w:rsid w:val="00E633A3"/>
    <w:rsid w:val="00E63CD7"/>
    <w:rsid w:val="00E64438"/>
    <w:rsid w:val="00E65971"/>
    <w:rsid w:val="00E65FD8"/>
    <w:rsid w:val="00E66879"/>
    <w:rsid w:val="00E6714D"/>
    <w:rsid w:val="00E67ED1"/>
    <w:rsid w:val="00E70076"/>
    <w:rsid w:val="00E71D9D"/>
    <w:rsid w:val="00E72211"/>
    <w:rsid w:val="00E72E24"/>
    <w:rsid w:val="00E73306"/>
    <w:rsid w:val="00E744C4"/>
    <w:rsid w:val="00E74FE1"/>
    <w:rsid w:val="00E75130"/>
    <w:rsid w:val="00E76216"/>
    <w:rsid w:val="00E7655B"/>
    <w:rsid w:val="00E76F9B"/>
    <w:rsid w:val="00E77D83"/>
    <w:rsid w:val="00E80884"/>
    <w:rsid w:val="00E80EBA"/>
    <w:rsid w:val="00E80F4F"/>
    <w:rsid w:val="00E8168A"/>
    <w:rsid w:val="00E828CE"/>
    <w:rsid w:val="00E82EBB"/>
    <w:rsid w:val="00E839A5"/>
    <w:rsid w:val="00E8449C"/>
    <w:rsid w:val="00E847E4"/>
    <w:rsid w:val="00E8488D"/>
    <w:rsid w:val="00E867B6"/>
    <w:rsid w:val="00E8691E"/>
    <w:rsid w:val="00E86FE0"/>
    <w:rsid w:val="00E912C2"/>
    <w:rsid w:val="00E921DD"/>
    <w:rsid w:val="00E93062"/>
    <w:rsid w:val="00E940A7"/>
    <w:rsid w:val="00E952DA"/>
    <w:rsid w:val="00E95822"/>
    <w:rsid w:val="00E95D9D"/>
    <w:rsid w:val="00E96003"/>
    <w:rsid w:val="00E97368"/>
    <w:rsid w:val="00EA06C8"/>
    <w:rsid w:val="00EA19C9"/>
    <w:rsid w:val="00EA2A99"/>
    <w:rsid w:val="00EA3EAA"/>
    <w:rsid w:val="00EA465B"/>
    <w:rsid w:val="00EA4FC6"/>
    <w:rsid w:val="00EA54BD"/>
    <w:rsid w:val="00EA57F7"/>
    <w:rsid w:val="00EA5883"/>
    <w:rsid w:val="00EA68F5"/>
    <w:rsid w:val="00EA6BCB"/>
    <w:rsid w:val="00EA79A9"/>
    <w:rsid w:val="00EB1856"/>
    <w:rsid w:val="00EB1882"/>
    <w:rsid w:val="00EB23F4"/>
    <w:rsid w:val="00EB307D"/>
    <w:rsid w:val="00EB3B6A"/>
    <w:rsid w:val="00EB3BA0"/>
    <w:rsid w:val="00EB58A9"/>
    <w:rsid w:val="00EB6ED8"/>
    <w:rsid w:val="00EB6F63"/>
    <w:rsid w:val="00EB755D"/>
    <w:rsid w:val="00EB7CA5"/>
    <w:rsid w:val="00EB7DCC"/>
    <w:rsid w:val="00EC01B4"/>
    <w:rsid w:val="00EC1185"/>
    <w:rsid w:val="00EC2146"/>
    <w:rsid w:val="00EC3B31"/>
    <w:rsid w:val="00EC7D09"/>
    <w:rsid w:val="00ED0677"/>
    <w:rsid w:val="00ED3CEF"/>
    <w:rsid w:val="00ED57EE"/>
    <w:rsid w:val="00ED68F5"/>
    <w:rsid w:val="00ED6BC2"/>
    <w:rsid w:val="00ED72B8"/>
    <w:rsid w:val="00EE0064"/>
    <w:rsid w:val="00EE0B08"/>
    <w:rsid w:val="00EE1B05"/>
    <w:rsid w:val="00EE248E"/>
    <w:rsid w:val="00EE277F"/>
    <w:rsid w:val="00EE2B7C"/>
    <w:rsid w:val="00EE378D"/>
    <w:rsid w:val="00EE3893"/>
    <w:rsid w:val="00EE4097"/>
    <w:rsid w:val="00EE6258"/>
    <w:rsid w:val="00EE6B9A"/>
    <w:rsid w:val="00EE6BF4"/>
    <w:rsid w:val="00EF22DE"/>
    <w:rsid w:val="00EF23ED"/>
    <w:rsid w:val="00EF34FA"/>
    <w:rsid w:val="00EF4994"/>
    <w:rsid w:val="00EF74A1"/>
    <w:rsid w:val="00EF7C0B"/>
    <w:rsid w:val="00EF7C5F"/>
    <w:rsid w:val="00EF7C68"/>
    <w:rsid w:val="00F000BB"/>
    <w:rsid w:val="00F04602"/>
    <w:rsid w:val="00F059C5"/>
    <w:rsid w:val="00F0604A"/>
    <w:rsid w:val="00F060A9"/>
    <w:rsid w:val="00F06805"/>
    <w:rsid w:val="00F10FFC"/>
    <w:rsid w:val="00F12799"/>
    <w:rsid w:val="00F12F16"/>
    <w:rsid w:val="00F13539"/>
    <w:rsid w:val="00F139D9"/>
    <w:rsid w:val="00F13A5D"/>
    <w:rsid w:val="00F13C77"/>
    <w:rsid w:val="00F14722"/>
    <w:rsid w:val="00F15BB7"/>
    <w:rsid w:val="00F170B2"/>
    <w:rsid w:val="00F17B34"/>
    <w:rsid w:val="00F17CA4"/>
    <w:rsid w:val="00F205D0"/>
    <w:rsid w:val="00F215B1"/>
    <w:rsid w:val="00F215E4"/>
    <w:rsid w:val="00F21E4E"/>
    <w:rsid w:val="00F2281E"/>
    <w:rsid w:val="00F22D2D"/>
    <w:rsid w:val="00F244B9"/>
    <w:rsid w:val="00F27753"/>
    <w:rsid w:val="00F300A9"/>
    <w:rsid w:val="00F32428"/>
    <w:rsid w:val="00F32762"/>
    <w:rsid w:val="00F327BB"/>
    <w:rsid w:val="00F32A8E"/>
    <w:rsid w:val="00F338E4"/>
    <w:rsid w:val="00F34035"/>
    <w:rsid w:val="00F35809"/>
    <w:rsid w:val="00F3611B"/>
    <w:rsid w:val="00F37CF5"/>
    <w:rsid w:val="00F40A0B"/>
    <w:rsid w:val="00F41175"/>
    <w:rsid w:val="00F42496"/>
    <w:rsid w:val="00F431FD"/>
    <w:rsid w:val="00F45E23"/>
    <w:rsid w:val="00F46126"/>
    <w:rsid w:val="00F4701D"/>
    <w:rsid w:val="00F5078A"/>
    <w:rsid w:val="00F51022"/>
    <w:rsid w:val="00F521B8"/>
    <w:rsid w:val="00F52A54"/>
    <w:rsid w:val="00F5302C"/>
    <w:rsid w:val="00F5333A"/>
    <w:rsid w:val="00F536FA"/>
    <w:rsid w:val="00F5458A"/>
    <w:rsid w:val="00F5710E"/>
    <w:rsid w:val="00F57F18"/>
    <w:rsid w:val="00F606BC"/>
    <w:rsid w:val="00F61B3D"/>
    <w:rsid w:val="00F62741"/>
    <w:rsid w:val="00F62B6A"/>
    <w:rsid w:val="00F636FE"/>
    <w:rsid w:val="00F645AD"/>
    <w:rsid w:val="00F646FA"/>
    <w:rsid w:val="00F7194D"/>
    <w:rsid w:val="00F722F1"/>
    <w:rsid w:val="00F72515"/>
    <w:rsid w:val="00F72A76"/>
    <w:rsid w:val="00F73391"/>
    <w:rsid w:val="00F741BC"/>
    <w:rsid w:val="00F75737"/>
    <w:rsid w:val="00F75C32"/>
    <w:rsid w:val="00F75CB5"/>
    <w:rsid w:val="00F75D57"/>
    <w:rsid w:val="00F771B3"/>
    <w:rsid w:val="00F822F1"/>
    <w:rsid w:val="00F828EA"/>
    <w:rsid w:val="00F830CF"/>
    <w:rsid w:val="00F85784"/>
    <w:rsid w:val="00F866BF"/>
    <w:rsid w:val="00F90553"/>
    <w:rsid w:val="00F90D16"/>
    <w:rsid w:val="00F91A5F"/>
    <w:rsid w:val="00F9211A"/>
    <w:rsid w:val="00F93201"/>
    <w:rsid w:val="00F93F1D"/>
    <w:rsid w:val="00F94195"/>
    <w:rsid w:val="00F94496"/>
    <w:rsid w:val="00F948CD"/>
    <w:rsid w:val="00F9545A"/>
    <w:rsid w:val="00F95A45"/>
    <w:rsid w:val="00F95DDE"/>
    <w:rsid w:val="00F96315"/>
    <w:rsid w:val="00FA0294"/>
    <w:rsid w:val="00FA0C34"/>
    <w:rsid w:val="00FA1658"/>
    <w:rsid w:val="00FA23A8"/>
    <w:rsid w:val="00FA3073"/>
    <w:rsid w:val="00FA3CC2"/>
    <w:rsid w:val="00FA444A"/>
    <w:rsid w:val="00FA6713"/>
    <w:rsid w:val="00FA73F1"/>
    <w:rsid w:val="00FA76E1"/>
    <w:rsid w:val="00FB200E"/>
    <w:rsid w:val="00FB491A"/>
    <w:rsid w:val="00FB5611"/>
    <w:rsid w:val="00FB5674"/>
    <w:rsid w:val="00FB5AAB"/>
    <w:rsid w:val="00FB7ADF"/>
    <w:rsid w:val="00FB7CBA"/>
    <w:rsid w:val="00FC0CF9"/>
    <w:rsid w:val="00FC2AFF"/>
    <w:rsid w:val="00FC46CB"/>
    <w:rsid w:val="00FC4C6C"/>
    <w:rsid w:val="00FC6632"/>
    <w:rsid w:val="00FC66F1"/>
    <w:rsid w:val="00FC6ACB"/>
    <w:rsid w:val="00FC780C"/>
    <w:rsid w:val="00FD049D"/>
    <w:rsid w:val="00FD3E99"/>
    <w:rsid w:val="00FD445A"/>
    <w:rsid w:val="00FD7215"/>
    <w:rsid w:val="00FE03DE"/>
    <w:rsid w:val="00FE485F"/>
    <w:rsid w:val="00FE5CC6"/>
    <w:rsid w:val="00FE65EF"/>
    <w:rsid w:val="00FE691C"/>
    <w:rsid w:val="00FE72D9"/>
    <w:rsid w:val="00FF013B"/>
    <w:rsid w:val="00FF0706"/>
    <w:rsid w:val="00FF0E24"/>
    <w:rsid w:val="00FF2051"/>
    <w:rsid w:val="00FF2D05"/>
    <w:rsid w:val="00FF483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2CED1EDD-01C9-4381-A860-1DFF19BF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p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p11 Char"/>
    <w:link w:val="ListParagraph"/>
    <w:uiPriority w:val="34"/>
    <w:qFormat/>
    <w:rsid w:val="005F778E"/>
    <w:rPr>
      <w:lang w:eastAsia="en-US"/>
    </w:rPr>
  </w:style>
  <w:style w:type="character" w:customStyle="1" w:styleId="UnresolvedMention2">
    <w:name w:val="Unresolved Mention2"/>
    <w:basedOn w:val="DefaultParagraphFont"/>
    <w:uiPriority w:val="99"/>
    <w:semiHidden/>
    <w:unhideWhenUsed/>
    <w:rsid w:val="00E26F19"/>
    <w:rPr>
      <w:color w:val="605E5C"/>
      <w:shd w:val="clear" w:color="auto" w:fill="E1DFDD"/>
    </w:rPr>
  </w:style>
  <w:style w:type="character" w:styleId="FollowedHyperlink">
    <w:name w:val="FollowedHyperlink"/>
    <w:basedOn w:val="DefaultParagraphFont"/>
    <w:semiHidden/>
    <w:unhideWhenUsed/>
    <w:rsid w:val="005E5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30674193">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lniusjts.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utdoorphoto.co.za/blog/bit-depth/amp/" TargetMode="External"/><Relationship Id="rId3" Type="http://schemas.openxmlformats.org/officeDocument/2006/relationships/hyperlink" Target="https://www.researchgate.net/publication/51404389_Ergonomic_assessment_of_optimum_operating_table_height_for_hand-assisted_laparoscopic_surgery" TargetMode="External"/><Relationship Id="rId7" Type="http://schemas.openxmlformats.org/officeDocument/2006/relationships/hyperlink" Target="https://tahealthcaregroup.com/wp-content/uploads/2020/03/GE-OEC-Elite-CFD.pdf" TargetMode="External"/><Relationship Id="rId2" Type="http://schemas.openxmlformats.org/officeDocument/2006/relationships/hyperlink" Target="https://www.medicalexpo.com/prod/eurocolumbus/product-68427-942651.html" TargetMode="External"/><Relationship Id="rId1" Type="http://schemas.openxmlformats.org/officeDocument/2006/relationships/hyperlink" Target="https://www.medicalexpo.com/prod/eurocolumbus/product-68427-942410.html" TargetMode="External"/><Relationship Id="rId6" Type="http://schemas.openxmlformats.org/officeDocument/2006/relationships/hyperlink" Target="https://www.gehealthcare.com/products/surgical-imaging/oec-elite" TargetMode="External"/><Relationship Id="rId5" Type="http://schemas.openxmlformats.org/officeDocument/2006/relationships/hyperlink" Target="https://www.youtube.com/watch?v=y8s6R1tYtDo&amp;feature=emb_logo" TargetMode="External"/><Relationship Id="rId10" Type="http://schemas.openxmlformats.org/officeDocument/2006/relationships/hyperlink" Target="https://jayxray.com/x-rays/c-arm-buyers-guide/c-arm-comparison/oec-elite-cfd-vs-oscar-15-fd/" TargetMode="External"/><Relationship Id="rId4" Type="http://schemas.openxmlformats.org/officeDocument/2006/relationships/hyperlink" Target="https://www.youtube.com/watch?v=o8tBGs8A_r4&amp;feature=emb_logo" TargetMode="External"/><Relationship Id="rId9" Type="http://schemas.openxmlformats.org/officeDocument/2006/relationships/hyperlink" Target="https://www.lietuviuzodynas.lt/terminai/Potencia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3818B-4A88-4C33-A079-B353AADD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98</TotalTime>
  <Pages>10</Pages>
  <Words>18592</Words>
  <Characters>10599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18</cp:revision>
  <cp:lastPrinted>2020-11-06T14:30:00Z</cp:lastPrinted>
  <dcterms:created xsi:type="dcterms:W3CDTF">2020-11-10T07:41:00Z</dcterms:created>
  <dcterms:modified xsi:type="dcterms:W3CDTF">2020-11-13T09:27:00Z</dcterms:modified>
</cp:coreProperties>
</file>