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051956295"/>
    <w:bookmarkEnd w:id="0"/>
    <w:bookmarkStart w:id="1" w:name="_MON_1301915618"/>
    <w:bookmarkEnd w:id="1"/>
    <w:p w14:paraId="4BD45968" w14:textId="77777777" w:rsidR="00E6256E" w:rsidRPr="00E75B4A" w:rsidRDefault="00E6256E" w:rsidP="00E6256E">
      <w:pPr>
        <w:jc w:val="center"/>
        <w:rPr>
          <w:rFonts w:ascii="CG Times" w:hAnsi="CG Times"/>
          <w:sz w:val="24"/>
          <w:szCs w:val="24"/>
        </w:rPr>
      </w:pPr>
      <w:r w:rsidRPr="00E75B4A">
        <w:rPr>
          <w:rFonts w:ascii="CG Times" w:hAnsi="CG Times"/>
          <w:sz w:val="24"/>
          <w:szCs w:val="24"/>
        </w:rPr>
        <w:object w:dxaOrig="871" w:dyaOrig="886" w14:anchorId="60DB1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665914677" r:id="rId9"/>
        </w:object>
      </w:r>
    </w:p>
    <w:p w14:paraId="2C76D688" w14:textId="77777777" w:rsidR="00E6256E" w:rsidRPr="00E75B4A" w:rsidRDefault="00E6256E" w:rsidP="00E6256E">
      <w:pPr>
        <w:jc w:val="center"/>
        <w:rPr>
          <w:sz w:val="24"/>
          <w:szCs w:val="24"/>
        </w:rPr>
      </w:pPr>
    </w:p>
    <w:p w14:paraId="6610DA86" w14:textId="77777777" w:rsidR="00E6256E" w:rsidRPr="00AA13F0" w:rsidRDefault="00E6256E" w:rsidP="00E6256E">
      <w:pPr>
        <w:pStyle w:val="Antrat1"/>
        <w:tabs>
          <w:tab w:val="left" w:pos="900"/>
        </w:tabs>
        <w:jc w:val="center"/>
        <w:rPr>
          <w:sz w:val="24"/>
          <w:szCs w:val="24"/>
        </w:rPr>
      </w:pPr>
      <w:r w:rsidRPr="00AA13F0">
        <w:rPr>
          <w:sz w:val="24"/>
          <w:szCs w:val="24"/>
        </w:rPr>
        <w:t>VIEŠŲJŲ PIRKIMŲ TARNYBA</w:t>
      </w:r>
    </w:p>
    <w:p w14:paraId="2F9C2C95" w14:textId="77777777" w:rsidR="00E6256E" w:rsidRPr="00E75B4A" w:rsidRDefault="00E6256E" w:rsidP="00E6256E">
      <w:pPr>
        <w:tabs>
          <w:tab w:val="left" w:pos="900"/>
        </w:tabs>
        <w:rPr>
          <w:bCs/>
          <w:sz w:val="24"/>
          <w:szCs w:val="24"/>
        </w:rPr>
      </w:pPr>
    </w:p>
    <w:tbl>
      <w:tblPr>
        <w:tblW w:w="10047" w:type="dxa"/>
        <w:tblInd w:w="18" w:type="dxa"/>
        <w:tblLayout w:type="fixed"/>
        <w:tblLook w:val="0000" w:firstRow="0" w:lastRow="0" w:firstColumn="0" w:lastColumn="0" w:noHBand="0" w:noVBand="0"/>
      </w:tblPr>
      <w:tblGrid>
        <w:gridCol w:w="5080"/>
        <w:gridCol w:w="1418"/>
        <w:gridCol w:w="567"/>
        <w:gridCol w:w="1982"/>
        <w:gridCol w:w="1000"/>
      </w:tblGrid>
      <w:tr w:rsidR="00BE2622" w:rsidRPr="007D0BB6" w14:paraId="1619521E" w14:textId="77777777" w:rsidTr="009702E0">
        <w:trPr>
          <w:gridAfter w:val="1"/>
          <w:wAfter w:w="1000" w:type="dxa"/>
          <w:cantSplit/>
          <w:trHeight w:val="80"/>
        </w:trPr>
        <w:tc>
          <w:tcPr>
            <w:tcW w:w="5080" w:type="dxa"/>
            <w:vMerge w:val="restart"/>
          </w:tcPr>
          <w:p w14:paraId="69AB7DD3" w14:textId="77777777" w:rsidR="00BE2622" w:rsidRDefault="00BE2622" w:rsidP="00BE2622">
            <w:pPr>
              <w:tabs>
                <w:tab w:val="left" w:pos="900"/>
              </w:tabs>
              <w:ind w:left="-108"/>
              <w:rPr>
                <w:sz w:val="24"/>
                <w:szCs w:val="24"/>
              </w:rPr>
            </w:pPr>
            <w:r>
              <w:rPr>
                <w:sz w:val="24"/>
                <w:szCs w:val="24"/>
              </w:rPr>
              <w:t>Lietuvos Respublikos finansų ministerijai</w:t>
            </w:r>
          </w:p>
          <w:p w14:paraId="73070501" w14:textId="77777777" w:rsidR="00BE2622" w:rsidRDefault="00BE2622" w:rsidP="00BE2622">
            <w:pPr>
              <w:tabs>
                <w:tab w:val="left" w:pos="900"/>
              </w:tabs>
              <w:ind w:left="-108"/>
              <w:rPr>
                <w:sz w:val="24"/>
                <w:szCs w:val="24"/>
              </w:rPr>
            </w:pPr>
            <w:r>
              <w:rPr>
                <w:sz w:val="24"/>
                <w:szCs w:val="24"/>
              </w:rPr>
              <w:t>Lukiškių g. 2</w:t>
            </w:r>
          </w:p>
          <w:p w14:paraId="6F57F324" w14:textId="77777777" w:rsidR="00BE2622" w:rsidRDefault="00BE2622" w:rsidP="00BE2622">
            <w:pPr>
              <w:tabs>
                <w:tab w:val="left" w:pos="900"/>
              </w:tabs>
              <w:ind w:left="-108"/>
              <w:rPr>
                <w:sz w:val="24"/>
                <w:szCs w:val="24"/>
              </w:rPr>
            </w:pPr>
            <w:r>
              <w:rPr>
                <w:sz w:val="24"/>
                <w:szCs w:val="24"/>
              </w:rPr>
              <w:t>01512 Vilnius</w:t>
            </w:r>
          </w:p>
          <w:p w14:paraId="1C17AEFB" w14:textId="77777777" w:rsidR="00BE2622" w:rsidRPr="00692F7A" w:rsidRDefault="00BE2622" w:rsidP="00BE2622">
            <w:pPr>
              <w:tabs>
                <w:tab w:val="left" w:pos="900"/>
              </w:tabs>
              <w:ind w:left="-108"/>
              <w:rPr>
                <w:sz w:val="24"/>
                <w:szCs w:val="24"/>
                <w:lang w:val="en-US"/>
              </w:rPr>
            </w:pPr>
            <w:r>
              <w:rPr>
                <w:sz w:val="24"/>
                <w:szCs w:val="24"/>
              </w:rPr>
              <w:t>El. p</w:t>
            </w:r>
            <w:r w:rsidRPr="00692F7A">
              <w:rPr>
                <w:sz w:val="24"/>
                <w:szCs w:val="24"/>
              </w:rPr>
              <w:t xml:space="preserve">. </w:t>
            </w:r>
            <w:hyperlink r:id="rId10" w:history="1">
              <w:r w:rsidRPr="00692F7A">
                <w:rPr>
                  <w:rStyle w:val="Hipersaitas"/>
                  <w:sz w:val="24"/>
                  <w:szCs w:val="24"/>
                </w:rPr>
                <w:t>finmin</w:t>
              </w:r>
              <w:r w:rsidRPr="00692F7A">
                <w:rPr>
                  <w:rStyle w:val="Hipersaitas"/>
                  <w:sz w:val="24"/>
                  <w:szCs w:val="24"/>
                  <w:lang w:val="en-US"/>
                </w:rPr>
                <w:t>@finmin.lt</w:t>
              </w:r>
            </w:hyperlink>
          </w:p>
          <w:p w14:paraId="4627D0B0" w14:textId="77777777" w:rsidR="00BE2622" w:rsidRPr="00BE2622" w:rsidRDefault="00BE2622" w:rsidP="00C66C64">
            <w:pPr>
              <w:rPr>
                <w:sz w:val="24"/>
                <w:szCs w:val="24"/>
                <w:lang w:val="en-US"/>
              </w:rPr>
            </w:pPr>
          </w:p>
        </w:tc>
        <w:tc>
          <w:tcPr>
            <w:tcW w:w="1418" w:type="dxa"/>
          </w:tcPr>
          <w:p w14:paraId="75A41E19" w14:textId="4EC42908" w:rsidR="00BE2622" w:rsidRPr="007D0BB6" w:rsidRDefault="00BE2622" w:rsidP="00C66C64">
            <w:pPr>
              <w:ind w:left="-105"/>
              <w:rPr>
                <w:sz w:val="24"/>
                <w:szCs w:val="24"/>
              </w:rPr>
            </w:pPr>
            <w:r>
              <w:rPr>
                <w:sz w:val="24"/>
                <w:szCs w:val="24"/>
              </w:rPr>
              <w:t>2020</w:t>
            </w:r>
            <w:r w:rsidRPr="007D0BB6">
              <w:rPr>
                <w:sz w:val="24"/>
                <w:szCs w:val="24"/>
              </w:rPr>
              <w:t>-</w:t>
            </w:r>
            <w:r>
              <w:rPr>
                <w:sz w:val="24"/>
                <w:szCs w:val="24"/>
              </w:rPr>
              <w:t>1</w:t>
            </w:r>
            <w:r w:rsidR="00050953">
              <w:rPr>
                <w:sz w:val="24"/>
                <w:szCs w:val="24"/>
              </w:rPr>
              <w:t>1</w:t>
            </w:r>
            <w:r w:rsidRPr="007D0BB6">
              <w:rPr>
                <w:sz w:val="24"/>
                <w:szCs w:val="24"/>
              </w:rPr>
              <w:t>-</w:t>
            </w:r>
            <w:r>
              <w:rPr>
                <w:sz w:val="24"/>
                <w:szCs w:val="24"/>
              </w:rPr>
              <w:t xml:space="preserve">    </w:t>
            </w:r>
          </w:p>
        </w:tc>
        <w:tc>
          <w:tcPr>
            <w:tcW w:w="567" w:type="dxa"/>
          </w:tcPr>
          <w:p w14:paraId="3423A3F0" w14:textId="77777777" w:rsidR="00BE2622" w:rsidRPr="007D0BB6" w:rsidRDefault="00BE2622" w:rsidP="00C66C64">
            <w:pPr>
              <w:tabs>
                <w:tab w:val="left" w:pos="900"/>
              </w:tabs>
              <w:rPr>
                <w:sz w:val="24"/>
                <w:szCs w:val="24"/>
              </w:rPr>
            </w:pPr>
            <w:r w:rsidRPr="007D0BB6">
              <w:rPr>
                <w:sz w:val="24"/>
                <w:szCs w:val="24"/>
              </w:rPr>
              <w:t>Nr</w:t>
            </w:r>
            <w:r>
              <w:rPr>
                <w:sz w:val="24"/>
                <w:szCs w:val="24"/>
              </w:rPr>
              <w:t>.</w:t>
            </w:r>
          </w:p>
        </w:tc>
        <w:tc>
          <w:tcPr>
            <w:tcW w:w="1982" w:type="dxa"/>
          </w:tcPr>
          <w:p w14:paraId="56550122" w14:textId="42488FC0" w:rsidR="00BE2622" w:rsidRPr="007D0BB6" w:rsidRDefault="00BE2622" w:rsidP="00C66C64">
            <w:pPr>
              <w:tabs>
                <w:tab w:val="left" w:pos="900"/>
              </w:tabs>
              <w:rPr>
                <w:sz w:val="24"/>
                <w:szCs w:val="24"/>
              </w:rPr>
            </w:pPr>
            <w:r>
              <w:rPr>
                <w:sz w:val="24"/>
                <w:szCs w:val="24"/>
              </w:rPr>
              <w:t>4S-           (7.28E)</w:t>
            </w:r>
          </w:p>
        </w:tc>
      </w:tr>
      <w:tr w:rsidR="00BE2622" w:rsidRPr="007D0BB6" w14:paraId="5541DA21" w14:textId="77777777" w:rsidTr="009702E0">
        <w:trPr>
          <w:cantSplit/>
          <w:trHeight w:val="380"/>
        </w:trPr>
        <w:tc>
          <w:tcPr>
            <w:tcW w:w="5080" w:type="dxa"/>
            <w:vMerge/>
          </w:tcPr>
          <w:p w14:paraId="646FF76D" w14:textId="77777777" w:rsidR="00BE2622" w:rsidRDefault="00BE2622" w:rsidP="00C66C64">
            <w:pPr>
              <w:tabs>
                <w:tab w:val="left" w:pos="900"/>
              </w:tabs>
              <w:rPr>
                <w:sz w:val="24"/>
                <w:szCs w:val="24"/>
              </w:rPr>
            </w:pPr>
          </w:p>
        </w:tc>
        <w:tc>
          <w:tcPr>
            <w:tcW w:w="1418" w:type="dxa"/>
          </w:tcPr>
          <w:p w14:paraId="686BF35C" w14:textId="77777777" w:rsidR="00BE2622" w:rsidRDefault="00BE2622" w:rsidP="00C66C64">
            <w:pPr>
              <w:tabs>
                <w:tab w:val="left" w:pos="900"/>
              </w:tabs>
              <w:ind w:left="-78"/>
              <w:rPr>
                <w:sz w:val="24"/>
                <w:szCs w:val="24"/>
              </w:rPr>
            </w:pPr>
            <w:r>
              <w:rPr>
                <w:sz w:val="24"/>
                <w:szCs w:val="24"/>
              </w:rPr>
              <w:t>Į</w:t>
            </w:r>
            <w:r w:rsidR="00371A2E">
              <w:rPr>
                <w:sz w:val="24"/>
                <w:szCs w:val="24"/>
              </w:rPr>
              <w:t xml:space="preserve"> 2020-09-17</w:t>
            </w:r>
          </w:p>
          <w:p w14:paraId="67C513FB" w14:textId="77777777" w:rsidR="009702E0" w:rsidRDefault="009702E0" w:rsidP="00C66C64">
            <w:pPr>
              <w:tabs>
                <w:tab w:val="left" w:pos="900"/>
              </w:tabs>
              <w:ind w:left="-78"/>
              <w:rPr>
                <w:sz w:val="24"/>
                <w:szCs w:val="24"/>
              </w:rPr>
            </w:pPr>
          </w:p>
          <w:p w14:paraId="1C8D4778" w14:textId="5B1B9F97" w:rsidR="009702E0" w:rsidRDefault="009702E0" w:rsidP="00C66C64">
            <w:pPr>
              <w:tabs>
                <w:tab w:val="left" w:pos="900"/>
              </w:tabs>
              <w:ind w:left="-78"/>
              <w:rPr>
                <w:sz w:val="24"/>
                <w:szCs w:val="24"/>
              </w:rPr>
            </w:pPr>
            <w:r>
              <w:rPr>
                <w:sz w:val="24"/>
                <w:szCs w:val="24"/>
              </w:rPr>
              <w:t>2020-10-14</w:t>
            </w:r>
          </w:p>
        </w:tc>
        <w:tc>
          <w:tcPr>
            <w:tcW w:w="567" w:type="dxa"/>
          </w:tcPr>
          <w:p w14:paraId="4B6A2E1E" w14:textId="77777777" w:rsidR="00BE2622" w:rsidRDefault="00BE2622" w:rsidP="00C66C64">
            <w:pPr>
              <w:tabs>
                <w:tab w:val="left" w:pos="900"/>
              </w:tabs>
              <w:rPr>
                <w:sz w:val="24"/>
                <w:szCs w:val="24"/>
              </w:rPr>
            </w:pPr>
            <w:r>
              <w:rPr>
                <w:sz w:val="24"/>
                <w:szCs w:val="24"/>
              </w:rPr>
              <w:t>Nr.</w:t>
            </w:r>
          </w:p>
          <w:p w14:paraId="7016979D" w14:textId="77777777" w:rsidR="009702E0" w:rsidRDefault="009702E0" w:rsidP="00C66C64">
            <w:pPr>
              <w:tabs>
                <w:tab w:val="left" w:pos="900"/>
              </w:tabs>
              <w:rPr>
                <w:sz w:val="24"/>
                <w:szCs w:val="24"/>
              </w:rPr>
            </w:pPr>
          </w:p>
          <w:p w14:paraId="72FB7C17" w14:textId="32036C6E" w:rsidR="009702E0" w:rsidRPr="007D0BB6" w:rsidRDefault="009702E0" w:rsidP="00C66C64">
            <w:pPr>
              <w:tabs>
                <w:tab w:val="left" w:pos="900"/>
              </w:tabs>
              <w:rPr>
                <w:sz w:val="24"/>
                <w:szCs w:val="24"/>
              </w:rPr>
            </w:pPr>
            <w:r>
              <w:rPr>
                <w:sz w:val="24"/>
                <w:szCs w:val="24"/>
              </w:rPr>
              <w:t>Nr.</w:t>
            </w:r>
          </w:p>
        </w:tc>
        <w:tc>
          <w:tcPr>
            <w:tcW w:w="2982" w:type="dxa"/>
            <w:gridSpan w:val="2"/>
          </w:tcPr>
          <w:p w14:paraId="2A624ABF" w14:textId="77777777" w:rsidR="00BE2622" w:rsidRDefault="009702E0" w:rsidP="00C66C64">
            <w:pPr>
              <w:tabs>
                <w:tab w:val="left" w:pos="900"/>
              </w:tabs>
              <w:rPr>
                <w:sz w:val="24"/>
                <w:szCs w:val="24"/>
              </w:rPr>
            </w:pPr>
            <w:r>
              <w:rPr>
                <w:sz w:val="24"/>
                <w:szCs w:val="24"/>
              </w:rPr>
              <w:t>((5.55E-02)-5K-2015434)-6K-2005264</w:t>
            </w:r>
          </w:p>
          <w:p w14:paraId="34D472B8" w14:textId="4F922BFC" w:rsidR="009702E0" w:rsidRPr="007D0BB6" w:rsidRDefault="009702E0" w:rsidP="00C66C64">
            <w:pPr>
              <w:tabs>
                <w:tab w:val="left" w:pos="900"/>
              </w:tabs>
              <w:rPr>
                <w:sz w:val="24"/>
                <w:szCs w:val="24"/>
              </w:rPr>
            </w:pPr>
            <w:r>
              <w:rPr>
                <w:sz w:val="24"/>
                <w:szCs w:val="24"/>
              </w:rPr>
              <w:t>(5.55E-02)-6K-2005785</w:t>
            </w:r>
          </w:p>
        </w:tc>
      </w:tr>
    </w:tbl>
    <w:p w14:paraId="3EE7BC91" w14:textId="77777777" w:rsidR="00BE2622" w:rsidRPr="001C2870" w:rsidRDefault="00BE2622" w:rsidP="00BB34B1">
      <w:pPr>
        <w:rPr>
          <w:sz w:val="24"/>
          <w:szCs w:val="24"/>
        </w:rPr>
      </w:pPr>
      <w:r>
        <w:rPr>
          <w:sz w:val="24"/>
          <w:szCs w:val="24"/>
        </w:rPr>
        <w:t>VšĮ Centrinei projektų valdymo agentūrai</w:t>
      </w:r>
    </w:p>
    <w:p w14:paraId="5B39EFA6" w14:textId="77777777" w:rsidR="00BE2622" w:rsidRDefault="00BE2622" w:rsidP="00BB34B1">
      <w:pPr>
        <w:rPr>
          <w:sz w:val="24"/>
          <w:szCs w:val="24"/>
        </w:rPr>
      </w:pPr>
      <w:r>
        <w:rPr>
          <w:sz w:val="24"/>
          <w:szCs w:val="24"/>
        </w:rPr>
        <w:t>S. Konarskio g. 13</w:t>
      </w:r>
    </w:p>
    <w:p w14:paraId="58AB9F80" w14:textId="77777777" w:rsidR="00BE2622" w:rsidRDefault="00BE2622" w:rsidP="00BB34B1">
      <w:pPr>
        <w:rPr>
          <w:sz w:val="24"/>
          <w:szCs w:val="24"/>
        </w:rPr>
      </w:pPr>
      <w:r>
        <w:rPr>
          <w:sz w:val="24"/>
          <w:szCs w:val="24"/>
        </w:rPr>
        <w:t>03109 Vilnius</w:t>
      </w:r>
    </w:p>
    <w:p w14:paraId="4B12D66E" w14:textId="77777777" w:rsidR="00BE2622" w:rsidRDefault="00BE2622" w:rsidP="00BB34B1">
      <w:pPr>
        <w:rPr>
          <w:sz w:val="24"/>
          <w:szCs w:val="24"/>
        </w:rPr>
      </w:pPr>
      <w:r>
        <w:rPr>
          <w:sz w:val="24"/>
          <w:szCs w:val="24"/>
        </w:rPr>
        <w:t>El. p. </w:t>
      </w:r>
      <w:hyperlink r:id="rId11" w:history="1">
        <w:r w:rsidRPr="004A6B68">
          <w:rPr>
            <w:rStyle w:val="Hipersaitas"/>
            <w:sz w:val="24"/>
            <w:szCs w:val="24"/>
          </w:rPr>
          <w:t>info@cpva.lt</w:t>
        </w:r>
      </w:hyperlink>
    </w:p>
    <w:p w14:paraId="46A4B510" w14:textId="77777777" w:rsidR="00BE2622" w:rsidRDefault="00BE2622" w:rsidP="00BE2622">
      <w:pPr>
        <w:jc w:val="center"/>
        <w:rPr>
          <w:b/>
          <w:bCs/>
          <w:sz w:val="24"/>
          <w:szCs w:val="24"/>
        </w:rPr>
      </w:pPr>
      <w:r w:rsidRPr="00090733">
        <w:rPr>
          <w:b/>
          <w:bCs/>
          <w:sz w:val="24"/>
          <w:szCs w:val="24"/>
        </w:rPr>
        <w:t>VERTINIMO IŠVADA</w:t>
      </w:r>
    </w:p>
    <w:p w14:paraId="37C30FCA" w14:textId="77777777" w:rsidR="00BE2622" w:rsidRPr="00034432" w:rsidRDefault="00BE2622" w:rsidP="00BE2622">
      <w:pPr>
        <w:jc w:val="center"/>
        <w:rPr>
          <w:sz w:val="24"/>
          <w:szCs w:val="24"/>
        </w:rPr>
      </w:pPr>
    </w:p>
    <w:p w14:paraId="51417E37" w14:textId="559F04EB" w:rsidR="00BE2622" w:rsidRDefault="00BE2622" w:rsidP="00BE2622">
      <w:pPr>
        <w:ind w:firstLine="720"/>
        <w:jc w:val="both"/>
        <w:rPr>
          <w:bCs/>
          <w:sz w:val="24"/>
          <w:szCs w:val="24"/>
        </w:rPr>
      </w:pPr>
      <w:r w:rsidRPr="00307F8F">
        <w:rPr>
          <w:sz w:val="24"/>
          <w:szCs w:val="24"/>
        </w:rPr>
        <w:t xml:space="preserve">Viešųjų pirkimų tarnyba (toliau – </w:t>
      </w:r>
      <w:r w:rsidRPr="00A2787B">
        <w:rPr>
          <w:sz w:val="24"/>
          <w:szCs w:val="24"/>
        </w:rPr>
        <w:t>Tarnyba</w:t>
      </w:r>
      <w:r w:rsidRPr="00307F8F">
        <w:rPr>
          <w:sz w:val="24"/>
          <w:szCs w:val="24"/>
        </w:rPr>
        <w:t xml:space="preserve">), </w:t>
      </w:r>
      <w:r w:rsidRPr="00D521F6">
        <w:rPr>
          <w:sz w:val="24"/>
          <w:szCs w:val="24"/>
        </w:rPr>
        <w:t xml:space="preserve">vadovaudamasi Lietuvos Respublikos viešųjų pirkimų įstatymo </w:t>
      </w:r>
      <w:r w:rsidRPr="00D521F6">
        <w:rPr>
          <w:bCs/>
          <w:sz w:val="24"/>
          <w:szCs w:val="24"/>
        </w:rPr>
        <w:t>95 straipsnio 1 dalies 2 punktu</w:t>
      </w:r>
      <w:r w:rsidRPr="00D521F6">
        <w:rPr>
          <w:sz w:val="24"/>
          <w:szCs w:val="24"/>
        </w:rPr>
        <w:t xml:space="preserve">, </w:t>
      </w:r>
      <w:r w:rsidRPr="00D521F6">
        <w:rPr>
          <w:bCs/>
          <w:sz w:val="24"/>
          <w:szCs w:val="24"/>
        </w:rPr>
        <w:t>atliko</w:t>
      </w:r>
      <w:r w:rsidRPr="00D521F6">
        <w:rPr>
          <w:sz w:val="24"/>
          <w:szCs w:val="24"/>
        </w:rPr>
        <w:t xml:space="preserve"> </w:t>
      </w:r>
      <w:r w:rsidR="00BB34B1">
        <w:rPr>
          <w:sz w:val="24"/>
          <w:szCs w:val="24"/>
        </w:rPr>
        <w:t>Lietuvos Respublikos finansų ministerijos</w:t>
      </w:r>
      <w:r>
        <w:rPr>
          <w:sz w:val="24"/>
          <w:szCs w:val="24"/>
        </w:rPr>
        <w:t xml:space="preserve"> </w:t>
      </w:r>
      <w:r w:rsidRPr="00D521F6">
        <w:rPr>
          <w:sz w:val="24"/>
          <w:szCs w:val="24"/>
        </w:rPr>
        <w:t xml:space="preserve">(toliau – </w:t>
      </w:r>
      <w:r w:rsidRPr="00A2787B">
        <w:rPr>
          <w:sz w:val="24"/>
          <w:szCs w:val="24"/>
        </w:rPr>
        <w:t>Perkančioji organizacija</w:t>
      </w:r>
      <w:r w:rsidRPr="00D521F6">
        <w:rPr>
          <w:sz w:val="24"/>
          <w:szCs w:val="24"/>
        </w:rPr>
        <w:t>) vykd</w:t>
      </w:r>
      <w:r>
        <w:rPr>
          <w:sz w:val="24"/>
          <w:szCs w:val="24"/>
        </w:rPr>
        <w:t>omo</w:t>
      </w:r>
      <w:r w:rsidRPr="00D521F6">
        <w:rPr>
          <w:sz w:val="24"/>
          <w:szCs w:val="24"/>
        </w:rPr>
        <w:t xml:space="preserve"> viešojo pirkimo </w:t>
      </w:r>
      <w:r>
        <w:rPr>
          <w:sz w:val="24"/>
          <w:szCs w:val="24"/>
        </w:rPr>
        <w:t>vertinimą</w:t>
      </w:r>
      <w:r w:rsidRPr="00D521F6">
        <w:rPr>
          <w:bCs/>
          <w:sz w:val="24"/>
          <w:szCs w:val="24"/>
        </w:rPr>
        <w:t>.</w:t>
      </w:r>
    </w:p>
    <w:p w14:paraId="20EF2D7B" w14:textId="77777777" w:rsidR="00BB34B1" w:rsidRPr="00034432" w:rsidRDefault="00BB34B1" w:rsidP="00BE2622">
      <w:pPr>
        <w:ind w:right="49"/>
        <w:jc w:val="center"/>
        <w:rPr>
          <w:bCs/>
          <w:sz w:val="24"/>
          <w:szCs w:val="24"/>
        </w:rPr>
      </w:pPr>
    </w:p>
    <w:p w14:paraId="3D5AFFD2" w14:textId="0A8B66B0" w:rsidR="00BE2622" w:rsidRDefault="00BE2622" w:rsidP="00BE2622">
      <w:pPr>
        <w:ind w:right="49"/>
        <w:jc w:val="center"/>
        <w:rPr>
          <w:b/>
          <w:sz w:val="24"/>
          <w:szCs w:val="24"/>
        </w:rPr>
      </w:pPr>
      <w:r w:rsidRPr="001E7E84">
        <w:rPr>
          <w:b/>
          <w:sz w:val="24"/>
          <w:szCs w:val="24"/>
        </w:rPr>
        <w:t>I dalis. Bendra informacija</w:t>
      </w:r>
    </w:p>
    <w:p w14:paraId="6714F893" w14:textId="77777777" w:rsidR="00BE2622" w:rsidRPr="001E7E84" w:rsidRDefault="00BE2622" w:rsidP="00BE2622">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BE2622" w:rsidRPr="001E7E84" w14:paraId="67013692" w14:textId="77777777" w:rsidTr="00C66C64">
        <w:tc>
          <w:tcPr>
            <w:tcW w:w="4672" w:type="dxa"/>
            <w:tcBorders>
              <w:top w:val="single" w:sz="4" w:space="0" w:color="auto"/>
              <w:left w:val="single" w:sz="4" w:space="0" w:color="auto"/>
              <w:bottom w:val="single" w:sz="4" w:space="0" w:color="auto"/>
              <w:right w:val="single" w:sz="4" w:space="0" w:color="auto"/>
            </w:tcBorders>
            <w:hideMark/>
          </w:tcPr>
          <w:p w14:paraId="2A90FEB6" w14:textId="77777777" w:rsidR="00BE2622" w:rsidRPr="001E7E84" w:rsidRDefault="00BE2622" w:rsidP="00C66C64">
            <w:pPr>
              <w:jc w:val="both"/>
              <w:rPr>
                <w:sz w:val="24"/>
                <w:szCs w:val="24"/>
              </w:rPr>
            </w:pPr>
            <w:r w:rsidRPr="001E7E84">
              <w:rPr>
                <w:rFonts w:eastAsia="Calibri"/>
                <w:sz w:val="24"/>
                <w:szCs w:val="24"/>
              </w:rPr>
              <w:t>Pirkim</w:t>
            </w:r>
            <w:r>
              <w:rPr>
                <w:rFonts w:eastAsia="Calibri"/>
                <w:sz w:val="24"/>
                <w:szCs w:val="24"/>
              </w:rPr>
              <w:t>ų</w:t>
            </w:r>
            <w:r w:rsidRPr="001E7E84">
              <w:rPr>
                <w:sz w:val="24"/>
                <w:szCs w:val="24"/>
              </w:rPr>
              <w:t>*</w:t>
            </w:r>
            <w:r w:rsidRPr="001E7E84">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hideMark/>
          </w:tcPr>
          <w:p w14:paraId="178867C2" w14:textId="5BC75EC4" w:rsidR="00BE2622" w:rsidRPr="001E7E84" w:rsidRDefault="00BE2622" w:rsidP="00C66C64">
            <w:pPr>
              <w:ind w:firstLine="35"/>
              <w:jc w:val="both"/>
              <w:rPr>
                <w:sz w:val="24"/>
                <w:szCs w:val="24"/>
              </w:rPr>
            </w:pPr>
            <w:r>
              <w:rPr>
                <w:rFonts w:eastAsia="Calibri"/>
                <w:sz w:val="24"/>
                <w:szCs w:val="24"/>
              </w:rPr>
              <w:t>„</w:t>
            </w:r>
            <w:r w:rsidR="00BB34B1">
              <w:rPr>
                <w:sz w:val="24"/>
                <w:szCs w:val="24"/>
              </w:rPr>
              <w:t>ES fondų ir kitų investicijų į švietimo ir mokslo infrastruktūrą masto ir poveikio vertinimas</w:t>
            </w:r>
            <w:r>
              <w:rPr>
                <w:rFonts w:eastAsia="Calibri"/>
                <w:sz w:val="24"/>
                <w:szCs w:val="24"/>
              </w:rPr>
              <w:t>“</w:t>
            </w:r>
            <w:r w:rsidRPr="00CD4F7A">
              <w:rPr>
                <w:sz w:val="24"/>
                <w:szCs w:val="24"/>
              </w:rPr>
              <w:t xml:space="preserve"> (Centrinėje viešųjų pirkimų informacinėje sistemoje skelbtas 20</w:t>
            </w:r>
            <w:r>
              <w:rPr>
                <w:sz w:val="24"/>
                <w:szCs w:val="24"/>
              </w:rPr>
              <w:t>20</w:t>
            </w:r>
            <w:r w:rsidRPr="00CD4F7A">
              <w:rPr>
                <w:sz w:val="24"/>
                <w:szCs w:val="24"/>
              </w:rPr>
              <w:t>-</w:t>
            </w:r>
            <w:r w:rsidR="00BB34B1">
              <w:rPr>
                <w:sz w:val="24"/>
                <w:szCs w:val="24"/>
              </w:rPr>
              <w:t>07-05</w:t>
            </w:r>
            <w:r>
              <w:rPr>
                <w:sz w:val="24"/>
                <w:szCs w:val="24"/>
              </w:rPr>
              <w:t xml:space="preserve">, pirkimo Nr. </w:t>
            </w:r>
            <w:r w:rsidR="00BB34B1">
              <w:rPr>
                <w:sz w:val="24"/>
                <w:szCs w:val="24"/>
              </w:rPr>
              <w:t>495632</w:t>
            </w:r>
            <w:r w:rsidRPr="00CD4F7A">
              <w:rPr>
                <w:sz w:val="24"/>
                <w:szCs w:val="24"/>
              </w:rPr>
              <w:t xml:space="preserve">; toliau – </w:t>
            </w:r>
            <w:r w:rsidRPr="00A2787B">
              <w:rPr>
                <w:sz w:val="24"/>
                <w:szCs w:val="24"/>
              </w:rPr>
              <w:t>Pirkimas</w:t>
            </w:r>
            <w:r>
              <w:rPr>
                <w:sz w:val="24"/>
                <w:szCs w:val="24"/>
              </w:rPr>
              <w:t>)</w:t>
            </w:r>
          </w:p>
        </w:tc>
      </w:tr>
      <w:tr w:rsidR="00BE2622" w14:paraId="07E94F94" w14:textId="77777777" w:rsidTr="00C66C64">
        <w:tc>
          <w:tcPr>
            <w:tcW w:w="4672" w:type="dxa"/>
            <w:tcBorders>
              <w:top w:val="single" w:sz="4" w:space="0" w:color="auto"/>
              <w:left w:val="single" w:sz="4" w:space="0" w:color="auto"/>
              <w:bottom w:val="single" w:sz="4" w:space="0" w:color="auto"/>
              <w:right w:val="single" w:sz="4" w:space="0" w:color="auto"/>
            </w:tcBorders>
            <w:hideMark/>
          </w:tcPr>
          <w:p w14:paraId="3497689D" w14:textId="77777777" w:rsidR="00BE2622" w:rsidRPr="001E7E84" w:rsidRDefault="00BE2622" w:rsidP="00C66C64">
            <w:pPr>
              <w:jc w:val="both"/>
              <w:rPr>
                <w:sz w:val="24"/>
                <w:szCs w:val="24"/>
              </w:rPr>
            </w:pPr>
            <w:r w:rsidRPr="001E7E84">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hideMark/>
          </w:tcPr>
          <w:p w14:paraId="2F952641" w14:textId="0AC9305B" w:rsidR="00BE2622" w:rsidRDefault="00BE2622" w:rsidP="00C66C64">
            <w:pPr>
              <w:jc w:val="both"/>
              <w:rPr>
                <w:sz w:val="24"/>
                <w:szCs w:val="24"/>
              </w:rPr>
            </w:pPr>
            <w:r w:rsidRPr="00B977F7">
              <w:rPr>
                <w:sz w:val="24"/>
                <w:szCs w:val="24"/>
              </w:rPr>
              <w:t>Lietuvos Respublikos viešųjų pirkimų įstatymas</w:t>
            </w:r>
            <w:r w:rsidRPr="00B977F7">
              <w:rPr>
                <w:bCs/>
                <w:sz w:val="24"/>
                <w:szCs w:val="24"/>
              </w:rPr>
              <w:t xml:space="preserve"> (redakcija nuo 20</w:t>
            </w:r>
            <w:r w:rsidR="00BB34B1">
              <w:rPr>
                <w:bCs/>
                <w:sz w:val="24"/>
                <w:szCs w:val="24"/>
              </w:rPr>
              <w:t>20</w:t>
            </w:r>
            <w:r w:rsidRPr="00B977F7">
              <w:rPr>
                <w:bCs/>
                <w:sz w:val="24"/>
                <w:szCs w:val="24"/>
              </w:rPr>
              <w:t>-</w:t>
            </w:r>
            <w:r w:rsidR="00BB34B1">
              <w:rPr>
                <w:bCs/>
                <w:sz w:val="24"/>
                <w:szCs w:val="24"/>
              </w:rPr>
              <w:t>07</w:t>
            </w:r>
            <w:r w:rsidRPr="00B977F7">
              <w:rPr>
                <w:bCs/>
                <w:sz w:val="24"/>
                <w:szCs w:val="24"/>
              </w:rPr>
              <w:t>-</w:t>
            </w:r>
            <w:r w:rsidR="00BB34B1">
              <w:rPr>
                <w:bCs/>
                <w:sz w:val="24"/>
                <w:szCs w:val="24"/>
              </w:rPr>
              <w:t>01</w:t>
            </w:r>
            <w:r w:rsidRPr="00B977F7">
              <w:rPr>
                <w:bCs/>
                <w:sz w:val="24"/>
                <w:szCs w:val="24"/>
              </w:rPr>
              <w:t xml:space="preserve">) </w:t>
            </w:r>
            <w:r w:rsidRPr="00B977F7">
              <w:rPr>
                <w:sz w:val="24"/>
                <w:szCs w:val="24"/>
              </w:rPr>
              <w:t>(toliau</w:t>
            </w:r>
            <w:r w:rsidRPr="001E7E84">
              <w:rPr>
                <w:sz w:val="24"/>
                <w:szCs w:val="24"/>
              </w:rPr>
              <w:t xml:space="preserve"> – </w:t>
            </w:r>
            <w:r w:rsidRPr="00A2787B">
              <w:rPr>
                <w:sz w:val="24"/>
                <w:szCs w:val="24"/>
              </w:rPr>
              <w:t>Įstatymas</w:t>
            </w:r>
            <w:r w:rsidRPr="001E7E84">
              <w:rPr>
                <w:sz w:val="24"/>
                <w:szCs w:val="24"/>
              </w:rPr>
              <w:t>)</w:t>
            </w:r>
            <w:r>
              <w:rPr>
                <w:bCs/>
                <w:sz w:val="24"/>
                <w:szCs w:val="24"/>
              </w:rPr>
              <w:t xml:space="preserve"> </w:t>
            </w:r>
          </w:p>
        </w:tc>
      </w:tr>
      <w:tr w:rsidR="00BE2622" w14:paraId="208F5BA9" w14:textId="77777777" w:rsidTr="00C66C64">
        <w:tc>
          <w:tcPr>
            <w:tcW w:w="4672" w:type="dxa"/>
            <w:tcBorders>
              <w:top w:val="single" w:sz="4" w:space="0" w:color="auto"/>
              <w:left w:val="single" w:sz="4" w:space="0" w:color="auto"/>
              <w:bottom w:val="single" w:sz="4" w:space="0" w:color="auto"/>
              <w:right w:val="single" w:sz="4" w:space="0" w:color="auto"/>
            </w:tcBorders>
            <w:hideMark/>
          </w:tcPr>
          <w:p w14:paraId="1C9E8A94" w14:textId="77777777" w:rsidR="00BE2622" w:rsidRDefault="00BE2622" w:rsidP="00C66C64">
            <w:pPr>
              <w:jc w:val="both"/>
              <w:rPr>
                <w:rFonts w:eastAsia="Calibri"/>
                <w:sz w:val="24"/>
                <w:szCs w:val="24"/>
              </w:rPr>
            </w:pPr>
            <w:r>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hideMark/>
          </w:tcPr>
          <w:p w14:paraId="093710E2" w14:textId="6847159B" w:rsidR="00BE2622" w:rsidRPr="006B7245" w:rsidRDefault="00FB303B" w:rsidP="00C66C64">
            <w:pPr>
              <w:jc w:val="both"/>
              <w:rPr>
                <w:sz w:val="24"/>
                <w:szCs w:val="24"/>
              </w:rPr>
            </w:pPr>
            <w:r>
              <w:rPr>
                <w:bCs/>
                <w:sz w:val="24"/>
                <w:szCs w:val="24"/>
              </w:rPr>
              <w:t>A</w:t>
            </w:r>
            <w:r w:rsidR="00BE2622">
              <w:rPr>
                <w:bCs/>
                <w:sz w:val="24"/>
                <w:szCs w:val="24"/>
              </w:rPr>
              <w:t>tviras konkursas</w:t>
            </w:r>
          </w:p>
        </w:tc>
      </w:tr>
      <w:tr w:rsidR="00BE2622" w14:paraId="55A50379" w14:textId="77777777" w:rsidTr="00C66C64">
        <w:tc>
          <w:tcPr>
            <w:tcW w:w="4672" w:type="dxa"/>
            <w:tcBorders>
              <w:top w:val="single" w:sz="4" w:space="0" w:color="auto"/>
              <w:left w:val="single" w:sz="4" w:space="0" w:color="auto"/>
              <w:bottom w:val="single" w:sz="4" w:space="0" w:color="auto"/>
              <w:right w:val="single" w:sz="4" w:space="0" w:color="auto"/>
            </w:tcBorders>
            <w:hideMark/>
          </w:tcPr>
          <w:p w14:paraId="36BC26A8" w14:textId="77777777" w:rsidR="00BE2622" w:rsidRDefault="00BE2622" w:rsidP="00C66C64">
            <w:pPr>
              <w:jc w:val="both"/>
              <w:rPr>
                <w:rFonts w:eastAsia="Calibri"/>
                <w:sz w:val="24"/>
                <w:szCs w:val="24"/>
              </w:rPr>
            </w:pPr>
            <w:r>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6B23C0B6" w14:textId="6156FF04" w:rsidR="00BE2622" w:rsidRPr="00A66AA4" w:rsidRDefault="002E04DF" w:rsidP="00C66C64">
            <w:pPr>
              <w:jc w:val="both"/>
              <w:rPr>
                <w:sz w:val="24"/>
                <w:szCs w:val="24"/>
              </w:rPr>
            </w:pPr>
            <w:r>
              <w:rPr>
                <w:sz w:val="24"/>
                <w:szCs w:val="24"/>
              </w:rPr>
              <w:t>86 776,86</w:t>
            </w:r>
            <w:r w:rsidR="00BE2622">
              <w:rPr>
                <w:sz w:val="24"/>
                <w:szCs w:val="24"/>
              </w:rPr>
              <w:t xml:space="preserve"> Eur be PVM</w:t>
            </w:r>
          </w:p>
        </w:tc>
      </w:tr>
      <w:tr w:rsidR="00BE2622" w14:paraId="6DDEED63" w14:textId="77777777" w:rsidTr="00C66C64">
        <w:tc>
          <w:tcPr>
            <w:tcW w:w="4672" w:type="dxa"/>
            <w:tcBorders>
              <w:top w:val="single" w:sz="4" w:space="0" w:color="auto"/>
              <w:left w:val="single" w:sz="4" w:space="0" w:color="auto"/>
              <w:bottom w:val="single" w:sz="4" w:space="0" w:color="auto"/>
              <w:right w:val="single" w:sz="4" w:space="0" w:color="auto"/>
            </w:tcBorders>
            <w:hideMark/>
          </w:tcPr>
          <w:p w14:paraId="36830E73" w14:textId="77777777" w:rsidR="00BE2622" w:rsidRDefault="00BE2622" w:rsidP="00C66C64">
            <w:pPr>
              <w:jc w:val="both"/>
              <w:rPr>
                <w:sz w:val="24"/>
                <w:szCs w:val="24"/>
              </w:rPr>
            </w:pPr>
            <w:r>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tcPr>
          <w:p w14:paraId="5CCE3548" w14:textId="77777777" w:rsidR="00BE2622" w:rsidRDefault="00BE2622" w:rsidP="00C66C64">
            <w:pPr>
              <w:jc w:val="both"/>
              <w:rPr>
                <w:sz w:val="24"/>
                <w:szCs w:val="24"/>
              </w:rPr>
            </w:pPr>
            <w:r w:rsidRPr="001E7E84">
              <w:rPr>
                <w:sz w:val="24"/>
                <w:szCs w:val="24"/>
              </w:rPr>
              <w:t>–</w:t>
            </w:r>
          </w:p>
        </w:tc>
      </w:tr>
      <w:tr w:rsidR="00BE2622" w14:paraId="4204C308" w14:textId="77777777" w:rsidTr="00C66C64">
        <w:tc>
          <w:tcPr>
            <w:tcW w:w="4672" w:type="dxa"/>
            <w:tcBorders>
              <w:top w:val="single" w:sz="4" w:space="0" w:color="auto"/>
              <w:left w:val="single" w:sz="4" w:space="0" w:color="auto"/>
              <w:bottom w:val="single" w:sz="4" w:space="0" w:color="auto"/>
              <w:right w:val="single" w:sz="4" w:space="0" w:color="auto"/>
            </w:tcBorders>
            <w:hideMark/>
          </w:tcPr>
          <w:p w14:paraId="1C45CDD4" w14:textId="77777777" w:rsidR="00BE2622" w:rsidRDefault="00BE2622" w:rsidP="00C66C64">
            <w:pPr>
              <w:jc w:val="both"/>
              <w:rPr>
                <w:rFonts w:eastAsia="Calibri"/>
                <w:sz w:val="24"/>
                <w:szCs w:val="24"/>
              </w:rPr>
            </w:pPr>
            <w:r>
              <w:rPr>
                <w:rFonts w:eastAsia="Calibri"/>
                <w:sz w:val="24"/>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hideMark/>
          </w:tcPr>
          <w:p w14:paraId="3CF5EFFE" w14:textId="24C134B5" w:rsidR="00BE2622" w:rsidRDefault="00BE2622" w:rsidP="00FB303B">
            <w:pPr>
              <w:jc w:val="both"/>
              <w:rPr>
                <w:sz w:val="24"/>
                <w:szCs w:val="24"/>
              </w:rPr>
            </w:pPr>
            <w:r w:rsidRPr="00CD4F7A">
              <w:rPr>
                <w:sz w:val="24"/>
                <w:szCs w:val="24"/>
              </w:rPr>
              <w:t xml:space="preserve">Dalinis Pirkimo </w:t>
            </w:r>
            <w:r>
              <w:rPr>
                <w:sz w:val="24"/>
                <w:szCs w:val="24"/>
              </w:rPr>
              <w:t xml:space="preserve">procedūrų </w:t>
            </w:r>
            <w:r w:rsidRPr="00CD4F7A">
              <w:rPr>
                <w:sz w:val="24"/>
                <w:szCs w:val="24"/>
              </w:rPr>
              <w:t>vertinim</w:t>
            </w:r>
            <w:r>
              <w:rPr>
                <w:sz w:val="24"/>
                <w:szCs w:val="24"/>
              </w:rPr>
              <w:t>as</w:t>
            </w:r>
            <w:r w:rsidRPr="00CD4F7A">
              <w:rPr>
                <w:sz w:val="24"/>
                <w:szCs w:val="24"/>
              </w:rPr>
              <w:t xml:space="preserve"> dėl </w:t>
            </w:r>
            <w:r w:rsidR="00FB303B">
              <w:rPr>
                <w:sz w:val="24"/>
                <w:szCs w:val="24"/>
              </w:rPr>
              <w:t>ekonominio naudingumo vertinimo kriterijų</w:t>
            </w:r>
            <w:r>
              <w:rPr>
                <w:sz w:val="24"/>
                <w:szCs w:val="24"/>
              </w:rPr>
              <w:t>/po pasiūlymų pateikimo, iki sutarties sudarymo</w:t>
            </w:r>
          </w:p>
        </w:tc>
      </w:tr>
      <w:tr w:rsidR="00BE2622" w14:paraId="4F695C47" w14:textId="77777777" w:rsidTr="00C66C64">
        <w:tc>
          <w:tcPr>
            <w:tcW w:w="4672" w:type="dxa"/>
            <w:tcBorders>
              <w:top w:val="single" w:sz="4" w:space="0" w:color="auto"/>
              <w:left w:val="single" w:sz="4" w:space="0" w:color="auto"/>
              <w:bottom w:val="single" w:sz="4" w:space="0" w:color="auto"/>
              <w:right w:val="single" w:sz="4" w:space="0" w:color="auto"/>
            </w:tcBorders>
            <w:hideMark/>
          </w:tcPr>
          <w:p w14:paraId="4BBAE8FD" w14:textId="77777777" w:rsidR="00BE2622" w:rsidRDefault="00BE2622" w:rsidP="00C66C64">
            <w:pPr>
              <w:jc w:val="both"/>
              <w:rPr>
                <w:b/>
                <w:sz w:val="24"/>
                <w:szCs w:val="24"/>
              </w:rPr>
            </w:pPr>
            <w:r>
              <w:rPr>
                <w:sz w:val="24"/>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14:paraId="13775530" w14:textId="7B3E10A8" w:rsidR="00BE2622" w:rsidRDefault="00BE2622" w:rsidP="00C66C64">
            <w:pPr>
              <w:jc w:val="both"/>
              <w:rPr>
                <w:bCs/>
                <w:sz w:val="24"/>
                <w:szCs w:val="24"/>
              </w:rPr>
            </w:pPr>
            <w:r>
              <w:rPr>
                <w:sz w:val="24"/>
                <w:szCs w:val="24"/>
              </w:rPr>
              <w:t xml:space="preserve">Projektas – </w:t>
            </w:r>
            <w:r w:rsidRPr="00B33339">
              <w:rPr>
                <w:sz w:val="24"/>
                <w:szCs w:val="24"/>
              </w:rPr>
              <w:t>„</w:t>
            </w:r>
            <w:r w:rsidR="00B33339" w:rsidRPr="009C58AD">
              <w:rPr>
                <w:spacing w:val="2"/>
                <w:sz w:val="24"/>
                <w:szCs w:val="24"/>
                <w:shd w:val="clear" w:color="auto" w:fill="FFFFFF"/>
              </w:rPr>
              <w:t>Finansų ministerijos ES fondų investicijų vertinimas</w:t>
            </w:r>
            <w:r w:rsidRPr="00B33339">
              <w:rPr>
                <w:sz w:val="24"/>
                <w:szCs w:val="24"/>
              </w:rPr>
              <w:t>“ (Projekto</w:t>
            </w:r>
            <w:r>
              <w:rPr>
                <w:sz w:val="24"/>
                <w:szCs w:val="24"/>
              </w:rPr>
              <w:t xml:space="preserve"> Nr. </w:t>
            </w:r>
            <w:r w:rsidR="00B33339">
              <w:rPr>
                <w:sz w:val="24"/>
                <w:szCs w:val="24"/>
              </w:rPr>
              <w:t>12.0.2</w:t>
            </w:r>
            <w:r>
              <w:rPr>
                <w:sz w:val="24"/>
                <w:szCs w:val="24"/>
              </w:rPr>
              <w:t>-CPVA-V-</w:t>
            </w:r>
            <w:r w:rsidR="00B33339">
              <w:rPr>
                <w:sz w:val="24"/>
                <w:szCs w:val="24"/>
              </w:rPr>
              <w:t>203</w:t>
            </w:r>
            <w:r>
              <w:rPr>
                <w:sz w:val="24"/>
                <w:szCs w:val="24"/>
              </w:rPr>
              <w:t>-0</w:t>
            </w:r>
            <w:r w:rsidR="00B33339">
              <w:rPr>
                <w:sz w:val="24"/>
                <w:szCs w:val="24"/>
              </w:rPr>
              <w:t>1</w:t>
            </w:r>
            <w:r>
              <w:rPr>
                <w:sz w:val="24"/>
                <w:szCs w:val="24"/>
              </w:rPr>
              <w:t>-</w:t>
            </w:r>
            <w:r w:rsidR="00B33339">
              <w:rPr>
                <w:sz w:val="24"/>
                <w:szCs w:val="24"/>
              </w:rPr>
              <w:t>008</w:t>
            </w:r>
            <w:r>
              <w:rPr>
                <w:sz w:val="24"/>
                <w:szCs w:val="24"/>
              </w:rPr>
              <w:t>)</w:t>
            </w:r>
            <w:r w:rsidR="00043792">
              <w:rPr>
                <w:sz w:val="24"/>
                <w:szCs w:val="24"/>
              </w:rPr>
              <w:t>,</w:t>
            </w:r>
          </w:p>
          <w:p w14:paraId="34E4FA76" w14:textId="05A6C25D" w:rsidR="00BE2622" w:rsidRDefault="00BE2622" w:rsidP="00034432">
            <w:pPr>
              <w:ind w:left="-108" w:firstLine="143"/>
              <w:rPr>
                <w:sz w:val="24"/>
                <w:szCs w:val="24"/>
              </w:rPr>
            </w:pPr>
            <w:r>
              <w:rPr>
                <w:sz w:val="24"/>
                <w:szCs w:val="24"/>
              </w:rPr>
              <w:t>VšĮ Centrinė projektų valdymo agentūra</w:t>
            </w:r>
          </w:p>
        </w:tc>
      </w:tr>
      <w:tr w:rsidR="00BE2622" w14:paraId="368AFD65" w14:textId="77777777" w:rsidTr="00C66C64">
        <w:tc>
          <w:tcPr>
            <w:tcW w:w="9776" w:type="dxa"/>
            <w:gridSpan w:val="2"/>
            <w:tcBorders>
              <w:top w:val="single" w:sz="4" w:space="0" w:color="auto"/>
              <w:left w:val="single" w:sz="4" w:space="0" w:color="auto"/>
              <w:bottom w:val="single" w:sz="4" w:space="0" w:color="auto"/>
              <w:right w:val="single" w:sz="4" w:space="0" w:color="auto"/>
            </w:tcBorders>
          </w:tcPr>
          <w:p w14:paraId="180600B6" w14:textId="77777777" w:rsidR="00BE2622" w:rsidRDefault="00BE2622" w:rsidP="00371A2E">
            <w:pPr>
              <w:tabs>
                <w:tab w:val="left" w:pos="851"/>
              </w:tabs>
              <w:ind w:left="29"/>
              <w:jc w:val="both"/>
              <w:rPr>
                <w:sz w:val="24"/>
                <w:szCs w:val="24"/>
              </w:rPr>
            </w:pPr>
            <w:r>
              <w:rPr>
                <w:sz w:val="24"/>
                <w:szCs w:val="24"/>
              </w:rPr>
              <w:t>Jei dėl pirkimo/sutarties vyksta teismo procesas, nurodyti ieškinio (skundo) dalykus, bylos šalių  pavadinimus, ar taikomos laikinosios apsaugos priemonės, teisminio nagrinėjimo stadija, pvz., apygardos, apeliacinis teismas.</w:t>
            </w:r>
          </w:p>
          <w:p w14:paraId="395615B1" w14:textId="77777777" w:rsidR="00BE2622" w:rsidRDefault="00BE2622" w:rsidP="00371A2E">
            <w:pPr>
              <w:tabs>
                <w:tab w:val="left" w:pos="851"/>
              </w:tabs>
              <w:ind w:left="-113" w:firstLine="142"/>
              <w:jc w:val="both"/>
              <w:rPr>
                <w:bCs/>
                <w:sz w:val="24"/>
                <w:szCs w:val="24"/>
              </w:rPr>
            </w:pPr>
            <w:r w:rsidRPr="00514FED">
              <w:rPr>
                <w:bCs/>
                <w:sz w:val="24"/>
                <w:szCs w:val="24"/>
              </w:rPr>
              <w:t>–</w:t>
            </w:r>
          </w:p>
        </w:tc>
      </w:tr>
    </w:tbl>
    <w:p w14:paraId="0D27DA38" w14:textId="77777777" w:rsidR="00BE2622" w:rsidRDefault="00BE2622" w:rsidP="00BE2622">
      <w:pPr>
        <w:tabs>
          <w:tab w:val="left" w:pos="8364"/>
          <w:tab w:val="left" w:pos="8647"/>
        </w:tabs>
        <w:ind w:right="-22"/>
        <w:jc w:val="both"/>
      </w:pPr>
      <w:r w:rsidRPr="001E7E84">
        <w:rPr>
          <w:sz w:val="24"/>
          <w:szCs w:val="24"/>
        </w:rPr>
        <w:t>*</w:t>
      </w:r>
      <w:r w:rsidRPr="001E7E84">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w:t>
      </w:r>
      <w:r>
        <w:t xml:space="preserve"> </w:t>
      </w:r>
      <w:r w:rsidRPr="001E7E84">
        <w:t>gaminti, pirkimas/koncesija.</w:t>
      </w:r>
    </w:p>
    <w:p w14:paraId="4CEB579B" w14:textId="77777777" w:rsidR="00BE2622" w:rsidRDefault="00BE2622" w:rsidP="00BE2622">
      <w:pPr>
        <w:ind w:firstLine="851"/>
        <w:jc w:val="both"/>
        <w:rPr>
          <w:bCs/>
          <w:sz w:val="24"/>
          <w:szCs w:val="24"/>
        </w:rPr>
      </w:pPr>
    </w:p>
    <w:p w14:paraId="7B8CB729" w14:textId="77777777" w:rsidR="00BE2622" w:rsidRDefault="00BE2622" w:rsidP="00BE2622">
      <w:pPr>
        <w:jc w:val="center"/>
        <w:rPr>
          <w:b/>
          <w:sz w:val="24"/>
          <w:szCs w:val="24"/>
        </w:rPr>
      </w:pPr>
      <w:r>
        <w:rPr>
          <w:b/>
          <w:sz w:val="24"/>
          <w:szCs w:val="24"/>
        </w:rPr>
        <w:t>II dalis. Vertinimo apimtyje nustatyti pažeidimai</w:t>
      </w:r>
    </w:p>
    <w:p w14:paraId="605BA8A3" w14:textId="77777777" w:rsidR="00BE2622" w:rsidRPr="00A4348F" w:rsidRDefault="00BE2622" w:rsidP="00BE2622">
      <w:pPr>
        <w:ind w:firstLine="567"/>
        <w:jc w:val="center"/>
        <w:rPr>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3A0EA8" w:rsidRPr="00C26FE3" w14:paraId="7171DE01" w14:textId="77777777" w:rsidTr="003A0EA8">
        <w:tc>
          <w:tcPr>
            <w:tcW w:w="9776" w:type="dxa"/>
            <w:tcBorders>
              <w:top w:val="single" w:sz="4" w:space="0" w:color="auto"/>
              <w:left w:val="single" w:sz="4" w:space="0" w:color="auto"/>
              <w:bottom w:val="single" w:sz="4" w:space="0" w:color="auto"/>
              <w:right w:val="single" w:sz="4" w:space="0" w:color="auto"/>
            </w:tcBorders>
            <w:vAlign w:val="center"/>
          </w:tcPr>
          <w:p w14:paraId="11DD4A23" w14:textId="017A3472" w:rsidR="003A0EA8" w:rsidRPr="0077676F" w:rsidRDefault="00EA516F" w:rsidP="003A0EA8">
            <w:pPr>
              <w:ind w:firstLine="883"/>
              <w:jc w:val="both"/>
              <w:rPr>
                <w:rFonts w:eastAsia="Calibri"/>
                <w:sz w:val="24"/>
                <w:szCs w:val="24"/>
              </w:rPr>
            </w:pPr>
            <w:r>
              <w:rPr>
                <w:sz w:val="24"/>
                <w:szCs w:val="24"/>
              </w:rPr>
              <w:t>–</w:t>
            </w:r>
          </w:p>
        </w:tc>
      </w:tr>
    </w:tbl>
    <w:p w14:paraId="53E80518" w14:textId="77777777" w:rsidR="00BE2622" w:rsidRPr="001F0EB2" w:rsidRDefault="00BE2622" w:rsidP="00BE2622">
      <w:pPr>
        <w:ind w:left="-113"/>
        <w:jc w:val="center"/>
        <w:rPr>
          <w:bCs/>
          <w:sz w:val="24"/>
          <w:szCs w:val="24"/>
        </w:rPr>
      </w:pPr>
    </w:p>
    <w:p w14:paraId="07184A61" w14:textId="77777777" w:rsidR="00BE2622" w:rsidRPr="001F0EB2" w:rsidRDefault="00BE2622" w:rsidP="00BE2622">
      <w:pPr>
        <w:ind w:left="-113"/>
        <w:jc w:val="center"/>
        <w:rPr>
          <w:b/>
          <w:sz w:val="24"/>
          <w:szCs w:val="24"/>
          <w:lang w:eastAsia="lt-LT"/>
        </w:rPr>
      </w:pPr>
      <w:r w:rsidRPr="001F0EB2">
        <w:rPr>
          <w:b/>
          <w:sz w:val="24"/>
          <w:szCs w:val="24"/>
        </w:rPr>
        <w:t xml:space="preserve">III dalis. </w:t>
      </w:r>
      <w:r w:rsidRPr="001F0EB2">
        <w:rPr>
          <w:b/>
          <w:sz w:val="24"/>
          <w:szCs w:val="24"/>
          <w:lang w:eastAsia="lt-LT"/>
        </w:rPr>
        <w:t>Kiti nustatyti pažeidimai</w:t>
      </w:r>
    </w:p>
    <w:p w14:paraId="49EA2ADA" w14:textId="77777777" w:rsidR="00BE2622" w:rsidRPr="001F0EB2" w:rsidRDefault="00BE2622" w:rsidP="00BE2622">
      <w:pPr>
        <w:ind w:left="-113"/>
        <w:jc w:val="center"/>
        <w:rPr>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E2622" w:rsidRPr="001F0EB2" w14:paraId="7D6BC7D7" w14:textId="77777777" w:rsidTr="00C66C64">
        <w:tc>
          <w:tcPr>
            <w:tcW w:w="9776" w:type="dxa"/>
            <w:tcBorders>
              <w:top w:val="single" w:sz="4" w:space="0" w:color="auto"/>
              <w:left w:val="single" w:sz="4" w:space="0" w:color="auto"/>
              <w:bottom w:val="single" w:sz="4" w:space="0" w:color="auto"/>
              <w:right w:val="single" w:sz="4" w:space="0" w:color="auto"/>
            </w:tcBorders>
            <w:vAlign w:val="center"/>
            <w:hideMark/>
          </w:tcPr>
          <w:p w14:paraId="377ACF34" w14:textId="77777777" w:rsidR="00BE2622" w:rsidRPr="001F0EB2" w:rsidRDefault="00BE2622" w:rsidP="00C66C64">
            <w:pPr>
              <w:ind w:firstLine="741"/>
              <w:jc w:val="both"/>
              <w:rPr>
                <w:rFonts w:eastAsia="Calibri"/>
                <w:sz w:val="24"/>
                <w:szCs w:val="24"/>
              </w:rPr>
            </w:pPr>
            <w:r>
              <w:rPr>
                <w:sz w:val="24"/>
                <w:szCs w:val="24"/>
              </w:rPr>
              <w:t>–</w:t>
            </w:r>
          </w:p>
        </w:tc>
      </w:tr>
    </w:tbl>
    <w:p w14:paraId="2ADE8E06" w14:textId="77777777" w:rsidR="00BE2622" w:rsidRPr="001F0EB2" w:rsidRDefault="00BE2622" w:rsidP="00BE2622">
      <w:pPr>
        <w:rPr>
          <w:rFonts w:eastAsia="Calibri"/>
          <w:sz w:val="24"/>
          <w:szCs w:val="24"/>
        </w:rPr>
      </w:pPr>
    </w:p>
    <w:p w14:paraId="36FB4D07" w14:textId="77777777" w:rsidR="00BE2622" w:rsidRDefault="00BE2622" w:rsidP="00BE2622">
      <w:pPr>
        <w:jc w:val="center"/>
        <w:rPr>
          <w:b/>
          <w:sz w:val="24"/>
          <w:szCs w:val="24"/>
        </w:rPr>
      </w:pPr>
      <w:r w:rsidRPr="001F0EB2">
        <w:rPr>
          <w:b/>
          <w:sz w:val="24"/>
          <w:szCs w:val="24"/>
        </w:rPr>
        <w:t>IV dalis. Sprendimas</w:t>
      </w:r>
    </w:p>
    <w:p w14:paraId="61C6DF01" w14:textId="77777777" w:rsidR="00BE2622" w:rsidRPr="007526D2" w:rsidRDefault="00BE2622" w:rsidP="00BE2622">
      <w:pPr>
        <w:jc w:val="center"/>
        <w:rPr>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E2622" w:rsidRPr="001F0EB2" w14:paraId="42DC9780" w14:textId="77777777" w:rsidTr="00C66C64">
        <w:tc>
          <w:tcPr>
            <w:tcW w:w="9776" w:type="dxa"/>
            <w:tcBorders>
              <w:top w:val="single" w:sz="4" w:space="0" w:color="auto"/>
              <w:left w:val="single" w:sz="4" w:space="0" w:color="auto"/>
              <w:bottom w:val="single" w:sz="4" w:space="0" w:color="auto"/>
              <w:right w:val="single" w:sz="4" w:space="0" w:color="auto"/>
            </w:tcBorders>
          </w:tcPr>
          <w:p w14:paraId="5AA3395D" w14:textId="6F857E97" w:rsidR="00BE2622" w:rsidRPr="0088170B" w:rsidRDefault="00EA516F" w:rsidP="0035580D">
            <w:pPr>
              <w:ind w:firstLine="883"/>
              <w:jc w:val="both"/>
              <w:rPr>
                <w:rFonts w:eastAsia="Calibri"/>
                <w:sz w:val="24"/>
                <w:szCs w:val="24"/>
              </w:rPr>
            </w:pPr>
            <w:r w:rsidRPr="00F15C2B">
              <w:rPr>
                <w:rFonts w:eastAsia="Calibri"/>
                <w:bCs/>
                <w:sz w:val="24"/>
                <w:szCs w:val="24"/>
              </w:rPr>
              <w:t>Vertinimo apimtyje Įstatymo pažeidim</w:t>
            </w:r>
            <w:r>
              <w:rPr>
                <w:rFonts w:eastAsia="Calibri"/>
                <w:bCs/>
                <w:sz w:val="24"/>
                <w:szCs w:val="24"/>
              </w:rPr>
              <w:t xml:space="preserve">ai nenustatyti, todėl Tarnyba </w:t>
            </w:r>
            <w:r w:rsidRPr="00F15C2B">
              <w:rPr>
                <w:rFonts w:eastAsia="Calibri"/>
                <w:bCs/>
                <w:sz w:val="24"/>
                <w:szCs w:val="24"/>
              </w:rPr>
              <w:t xml:space="preserve">neprieštarauja, kad </w:t>
            </w:r>
            <w:r>
              <w:rPr>
                <w:rFonts w:eastAsia="Calibri"/>
                <w:bCs/>
                <w:sz w:val="24"/>
                <w:szCs w:val="24"/>
              </w:rPr>
              <w:t>Perkančioji organizacija tę</w:t>
            </w:r>
            <w:r w:rsidRPr="00F15C2B">
              <w:rPr>
                <w:rFonts w:eastAsia="Calibri"/>
                <w:bCs/>
                <w:sz w:val="24"/>
                <w:szCs w:val="24"/>
              </w:rPr>
              <w:t>stų Pirkimo p</w:t>
            </w:r>
            <w:r>
              <w:rPr>
                <w:rFonts w:eastAsia="Calibri"/>
                <w:bCs/>
                <w:sz w:val="24"/>
                <w:szCs w:val="24"/>
              </w:rPr>
              <w:t>rocedūras.</w:t>
            </w:r>
          </w:p>
        </w:tc>
      </w:tr>
    </w:tbl>
    <w:p w14:paraId="23ACE6DD" w14:textId="77777777" w:rsidR="00BE2622" w:rsidRPr="001F0EB2" w:rsidRDefault="00BE2622" w:rsidP="00BE2622">
      <w:r w:rsidRPr="001F0EB2">
        <w:rPr>
          <w:b/>
        </w:rPr>
        <w:t>**</w:t>
      </w:r>
      <w:r w:rsidRPr="001F0EB2">
        <w:t>kiekvieno pirkimo/sutarties vertinimas aprašomas atskirai</w:t>
      </w:r>
    </w:p>
    <w:p w14:paraId="3B216C33" w14:textId="77777777" w:rsidR="00BE2622" w:rsidRPr="001F0EB2" w:rsidRDefault="00BE2622" w:rsidP="00BE2622">
      <w:pPr>
        <w:rPr>
          <w:sz w:val="24"/>
          <w:szCs w:val="24"/>
        </w:rPr>
      </w:pPr>
    </w:p>
    <w:p w14:paraId="0C40B80C" w14:textId="77777777" w:rsidR="00BE2622" w:rsidRPr="001F0EB2" w:rsidRDefault="00BE2622" w:rsidP="00BE2622">
      <w:pPr>
        <w:jc w:val="center"/>
        <w:rPr>
          <w:b/>
          <w:sz w:val="24"/>
          <w:szCs w:val="24"/>
        </w:rPr>
      </w:pPr>
      <w:r w:rsidRPr="001F0EB2">
        <w:rPr>
          <w:b/>
          <w:sz w:val="24"/>
          <w:szCs w:val="24"/>
        </w:rPr>
        <w:t>Pastabos</w:t>
      </w:r>
    </w:p>
    <w:p w14:paraId="29E15DD5" w14:textId="77777777" w:rsidR="00BE2622" w:rsidRPr="001F0EB2" w:rsidRDefault="00BE2622" w:rsidP="00BE2622">
      <w:pPr>
        <w:jc w:val="center"/>
        <w:rPr>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8495"/>
      </w:tblGrid>
      <w:tr w:rsidR="00DE50F8" w:rsidRPr="001F0EB2" w14:paraId="378554E3" w14:textId="77777777" w:rsidTr="00DE50F8">
        <w:tc>
          <w:tcPr>
            <w:tcW w:w="1281" w:type="dxa"/>
            <w:tcBorders>
              <w:top w:val="single" w:sz="4" w:space="0" w:color="auto"/>
              <w:left w:val="single" w:sz="4" w:space="0" w:color="auto"/>
              <w:bottom w:val="single" w:sz="4" w:space="0" w:color="auto"/>
              <w:right w:val="single" w:sz="4" w:space="0" w:color="auto"/>
            </w:tcBorders>
            <w:vAlign w:val="center"/>
          </w:tcPr>
          <w:p w14:paraId="502D981F" w14:textId="16BD9276" w:rsidR="00DE50F8" w:rsidRPr="00DE50F8" w:rsidRDefault="00DE50F8" w:rsidP="00371A2E">
            <w:pPr>
              <w:pStyle w:val="Sraopastraipa"/>
              <w:tabs>
                <w:tab w:val="left" w:pos="1166"/>
              </w:tabs>
              <w:spacing w:after="0" w:line="240" w:lineRule="auto"/>
              <w:ind w:left="32" w:firstLine="851"/>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1.</w:t>
            </w:r>
          </w:p>
        </w:tc>
        <w:tc>
          <w:tcPr>
            <w:tcW w:w="8495" w:type="dxa"/>
            <w:tcBorders>
              <w:top w:val="single" w:sz="4" w:space="0" w:color="auto"/>
              <w:left w:val="single" w:sz="4" w:space="0" w:color="auto"/>
              <w:bottom w:val="single" w:sz="4" w:space="0" w:color="auto"/>
              <w:right w:val="single" w:sz="4" w:space="0" w:color="auto"/>
            </w:tcBorders>
            <w:vAlign w:val="center"/>
          </w:tcPr>
          <w:p w14:paraId="72AB7A72" w14:textId="20CC1425" w:rsidR="00DE50F8" w:rsidRPr="00DE50F8" w:rsidRDefault="00DE50F8" w:rsidP="00371A2E">
            <w:pPr>
              <w:pStyle w:val="Sraopastraipa"/>
              <w:tabs>
                <w:tab w:val="left" w:pos="1166"/>
              </w:tabs>
              <w:spacing w:after="0" w:line="240" w:lineRule="auto"/>
              <w:ind w:left="32" w:firstLine="851"/>
              <w:jc w:val="both"/>
              <w:rPr>
                <w:rFonts w:ascii="Times New Roman" w:eastAsia="Calibri" w:hAnsi="Times New Roman" w:cs="Times New Roman"/>
                <w:bCs/>
                <w:sz w:val="24"/>
                <w:szCs w:val="24"/>
                <w:lang w:val="lt-LT"/>
              </w:rPr>
            </w:pPr>
          </w:p>
        </w:tc>
      </w:tr>
      <w:tr w:rsidR="00DE50F8" w:rsidRPr="001F0EB2" w14:paraId="59FBB771" w14:textId="77777777" w:rsidTr="00C66C64">
        <w:tc>
          <w:tcPr>
            <w:tcW w:w="9776" w:type="dxa"/>
            <w:gridSpan w:val="2"/>
            <w:tcBorders>
              <w:top w:val="single" w:sz="4" w:space="0" w:color="auto"/>
              <w:left w:val="single" w:sz="4" w:space="0" w:color="auto"/>
              <w:bottom w:val="single" w:sz="4" w:space="0" w:color="auto"/>
              <w:right w:val="single" w:sz="4" w:space="0" w:color="auto"/>
            </w:tcBorders>
            <w:vAlign w:val="center"/>
          </w:tcPr>
          <w:p w14:paraId="46BD10A2" w14:textId="77777777" w:rsidR="00DE50F8" w:rsidRDefault="00DE50F8" w:rsidP="00DE50F8">
            <w:pPr>
              <w:autoSpaceDE w:val="0"/>
              <w:snapToGrid w:val="0"/>
              <w:ind w:firstLine="885"/>
              <w:jc w:val="both"/>
              <w:rPr>
                <w:sz w:val="24"/>
                <w:szCs w:val="24"/>
              </w:rPr>
            </w:pPr>
            <w:r w:rsidRPr="008345F8">
              <w:rPr>
                <w:sz w:val="24"/>
                <w:szCs w:val="24"/>
              </w:rPr>
              <w:t xml:space="preserve">Pirkimo </w:t>
            </w:r>
            <w:r>
              <w:rPr>
                <w:sz w:val="24"/>
                <w:szCs w:val="24"/>
              </w:rPr>
              <w:t xml:space="preserve">dokumentuose </w:t>
            </w:r>
            <w:r w:rsidRPr="008345F8">
              <w:rPr>
                <w:sz w:val="24"/>
                <w:szCs w:val="24"/>
              </w:rPr>
              <w:t xml:space="preserve">nustatyta, kad ekonomiškai naudingiausias pasiūlymas išrenkamas pagal kainos (C), </w:t>
            </w:r>
            <w:r>
              <w:rPr>
                <w:sz w:val="24"/>
                <w:szCs w:val="24"/>
              </w:rPr>
              <w:t>l</w:t>
            </w:r>
            <w:r w:rsidRPr="008345F8">
              <w:rPr>
                <w:sz w:val="24"/>
                <w:szCs w:val="24"/>
                <w:lang w:eastAsia="ar-SA"/>
              </w:rPr>
              <w:t>yginamasis svoris ekonominio naudingumo įvertinime</w:t>
            </w:r>
            <w:r>
              <w:rPr>
                <w:sz w:val="24"/>
                <w:szCs w:val="24"/>
                <w:lang w:eastAsia="ar-SA"/>
              </w:rPr>
              <w:t xml:space="preserve"> – 30 iš 100 balų, </w:t>
            </w:r>
            <w:r w:rsidRPr="008345F8">
              <w:rPr>
                <w:sz w:val="24"/>
                <w:szCs w:val="24"/>
              </w:rPr>
              <w:t>ir kokybės</w:t>
            </w:r>
            <w:r>
              <w:rPr>
                <w:sz w:val="24"/>
                <w:szCs w:val="24"/>
              </w:rPr>
              <w:t xml:space="preserve"> (T</w:t>
            </w:r>
            <w:r>
              <w:rPr>
                <w:sz w:val="24"/>
                <w:szCs w:val="24"/>
                <w:vertAlign w:val="subscript"/>
              </w:rPr>
              <w:t>1</w:t>
            </w:r>
            <w:r>
              <w:rPr>
                <w:sz w:val="24"/>
                <w:szCs w:val="24"/>
              </w:rPr>
              <w:t>) „</w:t>
            </w:r>
            <w:r w:rsidRPr="00EB1720">
              <w:rPr>
                <w:sz w:val="24"/>
                <w:szCs w:val="24"/>
              </w:rPr>
              <w:t>Ekspertų komandos profesinė patirtis ir kvalifikacija“</w:t>
            </w:r>
            <w:r>
              <w:rPr>
                <w:sz w:val="24"/>
                <w:szCs w:val="24"/>
              </w:rPr>
              <w:t>, l</w:t>
            </w:r>
            <w:r w:rsidRPr="008345F8">
              <w:rPr>
                <w:sz w:val="24"/>
                <w:szCs w:val="24"/>
                <w:lang w:eastAsia="ar-SA"/>
              </w:rPr>
              <w:t>yginamasis svoris ekonominio naudingumo įvertinime</w:t>
            </w:r>
            <w:r>
              <w:rPr>
                <w:sz w:val="24"/>
                <w:szCs w:val="24"/>
                <w:lang w:eastAsia="ar-SA"/>
              </w:rPr>
              <w:t xml:space="preserve"> – 70 iš 100 balų,</w:t>
            </w:r>
            <w:r w:rsidRPr="008345F8">
              <w:rPr>
                <w:sz w:val="24"/>
                <w:szCs w:val="24"/>
              </w:rPr>
              <w:t xml:space="preserve"> santykį.</w:t>
            </w:r>
          </w:p>
          <w:p w14:paraId="5E340226" w14:textId="15E22ED9" w:rsidR="00DE50F8" w:rsidRDefault="00DE50F8" w:rsidP="00DE50F8">
            <w:pPr>
              <w:autoSpaceDE w:val="0"/>
              <w:snapToGrid w:val="0"/>
              <w:ind w:firstLine="885"/>
              <w:jc w:val="both"/>
              <w:rPr>
                <w:sz w:val="24"/>
                <w:szCs w:val="24"/>
              </w:rPr>
            </w:pPr>
            <w:r>
              <w:rPr>
                <w:sz w:val="24"/>
                <w:szCs w:val="24"/>
              </w:rPr>
              <w:t>Pirkimo dokumentuose</w:t>
            </w:r>
            <w:r>
              <w:rPr>
                <w:rStyle w:val="Puslapioinaosnuoroda"/>
                <w:sz w:val="24"/>
                <w:szCs w:val="24"/>
              </w:rPr>
              <w:footnoteReference w:id="1"/>
            </w:r>
            <w:r>
              <w:rPr>
                <w:sz w:val="24"/>
                <w:szCs w:val="24"/>
              </w:rPr>
              <w:t xml:space="preserve"> nurodyta, kad </w:t>
            </w:r>
            <w:r w:rsidRPr="00E06A5C">
              <w:rPr>
                <w:sz w:val="24"/>
                <w:szCs w:val="24"/>
              </w:rPr>
              <w:t>vertinant pasiūlymų atitiktį kriterijui T</w:t>
            </w:r>
            <w:r w:rsidRPr="00E51D95">
              <w:rPr>
                <w:sz w:val="24"/>
                <w:szCs w:val="24"/>
                <w:vertAlign w:val="subscript"/>
              </w:rPr>
              <w:t>1</w:t>
            </w:r>
            <w:r w:rsidRPr="00E06A5C">
              <w:rPr>
                <w:sz w:val="24"/>
                <w:szCs w:val="24"/>
              </w:rPr>
              <w:t>, bus vertinama</w:t>
            </w:r>
            <w:r>
              <w:rPr>
                <w:sz w:val="24"/>
                <w:szCs w:val="24"/>
              </w:rPr>
              <w:t xml:space="preserve">: </w:t>
            </w:r>
            <w:r w:rsidRPr="00EB1720">
              <w:rPr>
                <w:rFonts w:eastAsia="Calibri"/>
                <w:bCs/>
                <w:i/>
                <w:iCs/>
                <w:sz w:val="24"/>
                <w:szCs w:val="24"/>
              </w:rPr>
              <w:t xml:space="preserve">Teorija grįsto vertinimo taikymo </w:t>
            </w:r>
            <w:r w:rsidRPr="00E51D95">
              <w:rPr>
                <w:rFonts w:eastAsia="Calibri"/>
                <w:bCs/>
                <w:i/>
                <w:iCs/>
                <w:sz w:val="24"/>
                <w:szCs w:val="24"/>
              </w:rPr>
              <w:t>patirtis</w:t>
            </w:r>
            <w:r>
              <w:rPr>
                <w:rFonts w:eastAsia="Calibri"/>
                <w:bCs/>
                <w:sz w:val="24"/>
                <w:szCs w:val="24"/>
              </w:rPr>
              <w:t xml:space="preserve"> (</w:t>
            </w:r>
            <w:r w:rsidRPr="00E51D95">
              <w:rPr>
                <w:rFonts w:eastAsia="Calibri"/>
                <w:bCs/>
                <w:sz w:val="24"/>
                <w:szCs w:val="24"/>
              </w:rPr>
              <w:t>parametras</w:t>
            </w:r>
            <w:r w:rsidRPr="00EB1720">
              <w:rPr>
                <w:rFonts w:eastAsia="Calibri"/>
                <w:bCs/>
                <w:sz w:val="24"/>
                <w:szCs w:val="24"/>
              </w:rPr>
              <w:t xml:space="preserve"> P</w:t>
            </w:r>
            <w:r w:rsidRPr="00EB1720">
              <w:rPr>
                <w:rFonts w:eastAsia="Calibri"/>
                <w:bCs/>
                <w:sz w:val="24"/>
                <w:szCs w:val="24"/>
                <w:vertAlign w:val="subscript"/>
              </w:rPr>
              <w:t>1</w:t>
            </w:r>
            <w:r>
              <w:rPr>
                <w:rFonts w:eastAsia="Calibri"/>
                <w:bCs/>
                <w:sz w:val="24"/>
                <w:szCs w:val="24"/>
              </w:rPr>
              <w:t xml:space="preserve">, </w:t>
            </w:r>
            <w:r w:rsidRPr="00EB1720">
              <w:rPr>
                <w:rFonts w:eastAsia="Calibri"/>
                <w:bCs/>
                <w:sz w:val="24"/>
                <w:szCs w:val="24"/>
              </w:rPr>
              <w:t>lyginamasis svoris 0,25</w:t>
            </w:r>
            <w:r>
              <w:rPr>
                <w:rFonts w:eastAsia="Calibri"/>
                <w:bCs/>
                <w:sz w:val="24"/>
                <w:szCs w:val="24"/>
              </w:rPr>
              <w:t xml:space="preserve">), </w:t>
            </w:r>
            <w:r w:rsidRPr="00EB1720">
              <w:rPr>
                <w:rFonts w:eastAsia="Calibri"/>
                <w:bCs/>
                <w:i/>
                <w:iCs/>
                <w:sz w:val="24"/>
                <w:szCs w:val="24"/>
              </w:rPr>
              <w:t>Kaštų naudos analizės taikymo patirtis</w:t>
            </w:r>
            <w:r w:rsidRPr="00EB1720">
              <w:rPr>
                <w:rFonts w:eastAsia="Calibri"/>
                <w:bCs/>
                <w:sz w:val="24"/>
                <w:szCs w:val="24"/>
              </w:rPr>
              <w:t xml:space="preserve"> </w:t>
            </w:r>
            <w:r>
              <w:rPr>
                <w:rFonts w:eastAsia="Calibri"/>
                <w:bCs/>
                <w:sz w:val="24"/>
                <w:szCs w:val="24"/>
              </w:rPr>
              <w:t>(</w:t>
            </w:r>
            <w:r w:rsidRPr="00EB1720">
              <w:rPr>
                <w:rFonts w:eastAsia="Calibri"/>
                <w:bCs/>
                <w:sz w:val="24"/>
                <w:szCs w:val="24"/>
              </w:rPr>
              <w:t>parametras P</w:t>
            </w:r>
            <w:r w:rsidRPr="00EB1720">
              <w:rPr>
                <w:rFonts w:eastAsia="Calibri"/>
                <w:bCs/>
                <w:sz w:val="24"/>
                <w:szCs w:val="24"/>
                <w:vertAlign w:val="subscript"/>
              </w:rPr>
              <w:t>2</w:t>
            </w:r>
            <w:r>
              <w:rPr>
                <w:rFonts w:eastAsia="Calibri"/>
                <w:bCs/>
                <w:sz w:val="24"/>
                <w:szCs w:val="24"/>
              </w:rPr>
              <w:t xml:space="preserve">, </w:t>
            </w:r>
            <w:r w:rsidRPr="00EB1720">
              <w:rPr>
                <w:rFonts w:eastAsia="Calibri"/>
                <w:bCs/>
                <w:sz w:val="24"/>
                <w:szCs w:val="24"/>
              </w:rPr>
              <w:t>lyginamasis svoris 0,20</w:t>
            </w:r>
            <w:r>
              <w:rPr>
                <w:rFonts w:eastAsia="Calibri"/>
                <w:bCs/>
                <w:sz w:val="24"/>
                <w:szCs w:val="24"/>
              </w:rPr>
              <w:t xml:space="preserve">), </w:t>
            </w:r>
            <w:r w:rsidRPr="00EB1720">
              <w:rPr>
                <w:rFonts w:eastAsia="Calibri"/>
                <w:bCs/>
                <w:i/>
                <w:iCs/>
                <w:sz w:val="24"/>
                <w:szCs w:val="24"/>
              </w:rPr>
              <w:t>Švietimo ir mokslo srities vertinimo patirtis</w:t>
            </w:r>
            <w:r w:rsidRPr="00EB1720">
              <w:rPr>
                <w:rFonts w:eastAsia="Calibri"/>
                <w:bCs/>
                <w:sz w:val="24"/>
                <w:szCs w:val="24"/>
              </w:rPr>
              <w:t xml:space="preserve"> </w:t>
            </w:r>
            <w:r>
              <w:rPr>
                <w:rFonts w:eastAsia="Calibri"/>
                <w:bCs/>
                <w:sz w:val="24"/>
                <w:szCs w:val="24"/>
              </w:rPr>
              <w:t>(</w:t>
            </w:r>
            <w:r w:rsidRPr="00EB1720">
              <w:rPr>
                <w:rFonts w:eastAsia="Calibri"/>
                <w:bCs/>
                <w:sz w:val="24"/>
                <w:szCs w:val="24"/>
              </w:rPr>
              <w:t>parametras P</w:t>
            </w:r>
            <w:r w:rsidRPr="00EB1720">
              <w:rPr>
                <w:rFonts w:eastAsia="Calibri"/>
                <w:bCs/>
                <w:sz w:val="24"/>
                <w:szCs w:val="24"/>
                <w:vertAlign w:val="subscript"/>
              </w:rPr>
              <w:t>3</w:t>
            </w:r>
            <w:r>
              <w:rPr>
                <w:rFonts w:eastAsia="Calibri"/>
                <w:bCs/>
                <w:sz w:val="24"/>
                <w:szCs w:val="24"/>
              </w:rPr>
              <w:t xml:space="preserve">, </w:t>
            </w:r>
            <w:r w:rsidRPr="00EB1720">
              <w:rPr>
                <w:rFonts w:eastAsia="Calibri"/>
                <w:bCs/>
                <w:sz w:val="24"/>
                <w:szCs w:val="24"/>
              </w:rPr>
              <w:t>lyginamasis svoris 0,25</w:t>
            </w:r>
            <w:r>
              <w:rPr>
                <w:rFonts w:eastAsia="Calibri"/>
                <w:bCs/>
                <w:sz w:val="24"/>
                <w:szCs w:val="24"/>
              </w:rPr>
              <w:t xml:space="preserve">), </w:t>
            </w:r>
            <w:r w:rsidRPr="00EB1720">
              <w:rPr>
                <w:rFonts w:eastAsia="Calibri"/>
                <w:bCs/>
                <w:i/>
                <w:iCs/>
                <w:sz w:val="24"/>
                <w:szCs w:val="24"/>
              </w:rPr>
              <w:t>Mokslinių tyrimų, eksperimentinės plėtros ir inovacijų srities vertinimo patirtis</w:t>
            </w:r>
            <w:r w:rsidRPr="00EB1720">
              <w:rPr>
                <w:rFonts w:eastAsia="Calibri"/>
                <w:bCs/>
                <w:sz w:val="24"/>
                <w:szCs w:val="24"/>
              </w:rPr>
              <w:t xml:space="preserve"> </w:t>
            </w:r>
            <w:r>
              <w:rPr>
                <w:rFonts w:eastAsia="Calibri"/>
                <w:bCs/>
                <w:sz w:val="24"/>
                <w:szCs w:val="24"/>
              </w:rPr>
              <w:t>(</w:t>
            </w:r>
            <w:r w:rsidRPr="00EB1720">
              <w:rPr>
                <w:rFonts w:eastAsia="Calibri"/>
                <w:bCs/>
                <w:sz w:val="24"/>
                <w:szCs w:val="24"/>
              </w:rPr>
              <w:t>parametras P</w:t>
            </w:r>
            <w:r w:rsidRPr="00EB1720">
              <w:rPr>
                <w:rFonts w:eastAsia="Calibri"/>
                <w:bCs/>
                <w:sz w:val="24"/>
                <w:szCs w:val="24"/>
                <w:vertAlign w:val="subscript"/>
              </w:rPr>
              <w:t>4</w:t>
            </w:r>
            <w:r>
              <w:rPr>
                <w:rFonts w:eastAsia="Calibri"/>
                <w:bCs/>
                <w:sz w:val="24"/>
                <w:szCs w:val="24"/>
              </w:rPr>
              <w:t>,</w:t>
            </w:r>
            <w:r w:rsidRPr="00EB1720">
              <w:rPr>
                <w:rFonts w:eastAsia="Calibri"/>
                <w:bCs/>
                <w:sz w:val="24"/>
                <w:szCs w:val="24"/>
              </w:rPr>
              <w:t xml:space="preserve"> lyginamasis svoris 0,30</w:t>
            </w:r>
            <w:r>
              <w:rPr>
                <w:rFonts w:eastAsia="Calibri"/>
                <w:bCs/>
                <w:sz w:val="24"/>
                <w:szCs w:val="24"/>
              </w:rPr>
              <w:t>).</w:t>
            </w:r>
          </w:p>
          <w:p w14:paraId="0C4349D8" w14:textId="4BAC240F" w:rsidR="00DE50F8" w:rsidRDefault="00DE50F8" w:rsidP="00DE50F8">
            <w:pPr>
              <w:autoSpaceDE w:val="0"/>
              <w:snapToGrid w:val="0"/>
              <w:ind w:firstLine="885"/>
              <w:jc w:val="both"/>
              <w:rPr>
                <w:sz w:val="24"/>
                <w:szCs w:val="24"/>
              </w:rPr>
            </w:pPr>
            <w:r w:rsidRPr="00EB1720">
              <w:rPr>
                <w:sz w:val="24"/>
                <w:szCs w:val="24"/>
              </w:rPr>
              <w:t>Perkančioji organizacija Ekonominio naudingumo kriterijaus parametrų vertinimo skalėje ir aprašyme</w:t>
            </w:r>
            <w:r>
              <w:rPr>
                <w:sz w:val="24"/>
                <w:szCs w:val="24"/>
              </w:rPr>
              <w:t xml:space="preserve"> (Pirkimo </w:t>
            </w:r>
            <w:r w:rsidR="001858C8">
              <w:rPr>
                <w:sz w:val="24"/>
                <w:szCs w:val="24"/>
              </w:rPr>
              <w:t>dokumentų</w:t>
            </w:r>
            <w:r>
              <w:rPr>
                <w:sz w:val="24"/>
                <w:szCs w:val="24"/>
              </w:rPr>
              <w:t xml:space="preserve"> 8 priedas)</w:t>
            </w:r>
            <w:r w:rsidRPr="00EB1720">
              <w:rPr>
                <w:sz w:val="24"/>
                <w:szCs w:val="24"/>
              </w:rPr>
              <w:t xml:space="preserve"> nurodė, kad už kiekvieną parametr</w:t>
            </w:r>
            <w:r>
              <w:rPr>
                <w:sz w:val="24"/>
                <w:szCs w:val="24"/>
              </w:rPr>
              <w:t>ą</w:t>
            </w:r>
            <w:r w:rsidRPr="00EB1720">
              <w:rPr>
                <w:sz w:val="24"/>
                <w:szCs w:val="24"/>
              </w:rPr>
              <w:t xml:space="preserve"> </w:t>
            </w:r>
            <w:r w:rsidRPr="00EB1720">
              <w:rPr>
                <w:rFonts w:eastAsia="Calibri"/>
                <w:bCs/>
                <w:sz w:val="24"/>
                <w:szCs w:val="24"/>
              </w:rPr>
              <w:t>P</w:t>
            </w:r>
            <w:r w:rsidRPr="00EB1720">
              <w:rPr>
                <w:rFonts w:eastAsia="Calibri"/>
                <w:bCs/>
                <w:sz w:val="24"/>
                <w:szCs w:val="24"/>
                <w:vertAlign w:val="subscript"/>
              </w:rPr>
              <w:t>1</w:t>
            </w:r>
            <w:r w:rsidRPr="00755575">
              <w:rPr>
                <w:rFonts w:eastAsia="Calibri"/>
                <w:bCs/>
                <w:sz w:val="24"/>
                <w:szCs w:val="24"/>
              </w:rPr>
              <w:t>,</w:t>
            </w:r>
            <w:r>
              <w:rPr>
                <w:rFonts w:eastAsia="Calibri"/>
                <w:bCs/>
                <w:sz w:val="24"/>
                <w:szCs w:val="24"/>
              </w:rPr>
              <w:t xml:space="preserve"> P</w:t>
            </w:r>
            <w:r w:rsidRPr="00755575">
              <w:rPr>
                <w:rFonts w:eastAsia="Calibri"/>
                <w:bCs/>
                <w:sz w:val="24"/>
                <w:szCs w:val="24"/>
                <w:vertAlign w:val="subscript"/>
              </w:rPr>
              <w:t>2</w:t>
            </w:r>
            <w:r>
              <w:rPr>
                <w:sz w:val="24"/>
                <w:szCs w:val="24"/>
              </w:rPr>
              <w:t>, P</w:t>
            </w:r>
            <w:r>
              <w:rPr>
                <w:sz w:val="24"/>
                <w:szCs w:val="24"/>
                <w:vertAlign w:val="subscript"/>
              </w:rPr>
              <w:t>3</w:t>
            </w:r>
            <w:r>
              <w:rPr>
                <w:sz w:val="24"/>
                <w:szCs w:val="24"/>
              </w:rPr>
              <w:t xml:space="preserve"> ir P</w:t>
            </w:r>
            <w:r>
              <w:rPr>
                <w:sz w:val="24"/>
                <w:szCs w:val="24"/>
                <w:vertAlign w:val="subscript"/>
              </w:rPr>
              <w:t>4</w:t>
            </w:r>
            <w:r w:rsidRPr="00755575">
              <w:rPr>
                <w:sz w:val="24"/>
                <w:szCs w:val="24"/>
              </w:rPr>
              <w:t xml:space="preserve"> </w:t>
            </w:r>
            <w:r w:rsidRPr="00EB1720">
              <w:rPr>
                <w:sz w:val="24"/>
                <w:szCs w:val="24"/>
              </w:rPr>
              <w:t>bus skiriami balai nuo 1 iki 3:</w:t>
            </w:r>
            <w:r>
              <w:rPr>
                <w:sz w:val="24"/>
                <w:szCs w:val="24"/>
              </w:rPr>
              <w:t xml:space="preserve"> </w:t>
            </w:r>
            <w:r w:rsidRPr="00EB1720">
              <w:rPr>
                <w:sz w:val="24"/>
                <w:szCs w:val="24"/>
              </w:rPr>
              <w:t>1 balas bus skiriamas už tai, kad tiekėjo ekspertas bus vadovavęs</w:t>
            </w:r>
            <w:r>
              <w:rPr>
                <w:sz w:val="24"/>
                <w:szCs w:val="24"/>
              </w:rPr>
              <w:t xml:space="preserve"> ar </w:t>
            </w:r>
            <w:r w:rsidRPr="00EB1720">
              <w:rPr>
                <w:sz w:val="24"/>
                <w:szCs w:val="24"/>
              </w:rPr>
              <w:t>atlikęs 2 investicijų poveikio vertinimus (toliau – Vertinimas)</w:t>
            </w:r>
            <w:r>
              <w:rPr>
                <w:sz w:val="24"/>
                <w:szCs w:val="24"/>
              </w:rPr>
              <w:t xml:space="preserve">; 2 balai bus skiriami už tai, kad tiekėjo ekspertas bus vadovavęs ar atlikęs 3 Vertinimus; </w:t>
            </w:r>
            <w:r w:rsidRPr="00EB1720">
              <w:rPr>
                <w:sz w:val="24"/>
                <w:szCs w:val="24"/>
              </w:rPr>
              <w:t>3 balai bus skiriami už tai, kad tiekėjo ekspertas bus vadovavęs 4 Vertinimams ar atlikęs 4 ir daugiau Vertinimų.</w:t>
            </w:r>
          </w:p>
          <w:p w14:paraId="0C749560" w14:textId="77777777" w:rsidR="00DE50F8" w:rsidRDefault="00DE50F8" w:rsidP="00DE50F8">
            <w:pPr>
              <w:tabs>
                <w:tab w:val="left" w:pos="284"/>
                <w:tab w:val="left" w:pos="6096"/>
              </w:tabs>
              <w:ind w:firstLine="883"/>
              <w:jc w:val="both"/>
              <w:rPr>
                <w:sz w:val="24"/>
                <w:szCs w:val="24"/>
              </w:rPr>
            </w:pPr>
            <w:r>
              <w:rPr>
                <w:sz w:val="24"/>
                <w:szCs w:val="24"/>
              </w:rPr>
              <w:t>Pirkimo dokumentų 4.1.3.2 punkte</w:t>
            </w:r>
            <w:r>
              <w:rPr>
                <w:rStyle w:val="Puslapioinaosnuoroda"/>
                <w:sz w:val="24"/>
                <w:szCs w:val="24"/>
              </w:rPr>
              <w:footnoteReference w:id="2"/>
            </w:r>
            <w:r>
              <w:rPr>
                <w:sz w:val="24"/>
                <w:szCs w:val="24"/>
              </w:rPr>
              <w:t xml:space="preserve"> Perkančioji organizacija nustatė minimalius tiekėjo ekspertams keliamus kvalifikacijos reikalavimus, o papildomus balus numatė suteikti, jei šie reikalavimai bus viršijami.</w:t>
            </w:r>
          </w:p>
          <w:p w14:paraId="6F93364D" w14:textId="5C65390B" w:rsidR="00DE50F8" w:rsidRPr="00F646EF" w:rsidRDefault="00DE50F8" w:rsidP="00DE50F8">
            <w:pPr>
              <w:autoSpaceDE w:val="0"/>
              <w:snapToGrid w:val="0"/>
              <w:ind w:firstLine="885"/>
              <w:jc w:val="both"/>
              <w:rPr>
                <w:bCs/>
                <w:sz w:val="24"/>
                <w:szCs w:val="24"/>
              </w:rPr>
            </w:pPr>
            <w:r>
              <w:rPr>
                <w:sz w:val="24"/>
                <w:szCs w:val="24"/>
              </w:rPr>
              <w:t>Įvertinus ES fondų ir kitų investicijų į švietimo ir mokslo infrastruktūrą masto ir poveikio vertinimo paslaugų sutarties projekte</w:t>
            </w:r>
            <w:r>
              <w:rPr>
                <w:rStyle w:val="Puslapioinaosnuoroda"/>
                <w:sz w:val="24"/>
                <w:szCs w:val="24"/>
              </w:rPr>
              <w:footnoteReference w:id="3"/>
            </w:r>
            <w:r>
              <w:rPr>
                <w:sz w:val="24"/>
                <w:szCs w:val="24"/>
              </w:rPr>
              <w:t xml:space="preserve"> (toliau – Sutarties projektas arba Sutartis) nustatytą ekspertų keitimo tvarką</w:t>
            </w:r>
            <w:r>
              <w:rPr>
                <w:rStyle w:val="Puslapioinaosnuoroda"/>
                <w:sz w:val="24"/>
                <w:szCs w:val="24"/>
              </w:rPr>
              <w:footnoteReference w:id="4"/>
            </w:r>
            <w:r>
              <w:rPr>
                <w:sz w:val="24"/>
                <w:szCs w:val="24"/>
              </w:rPr>
              <w:t xml:space="preserve">, matyti, kad, esant būtinumui, naujai pasitelkiamiems ekspertams yra keliami tik minimalūs </w:t>
            </w:r>
            <w:r w:rsidR="00C03174">
              <w:rPr>
                <w:sz w:val="24"/>
                <w:szCs w:val="24"/>
              </w:rPr>
              <w:t>P</w:t>
            </w:r>
            <w:r>
              <w:rPr>
                <w:sz w:val="24"/>
                <w:szCs w:val="24"/>
              </w:rPr>
              <w:t xml:space="preserve">irkimo dokumentuose nustatyti kvalifikacijos reikalavimai, t. y. šioje tvarkoje nenurodyta, kad tiekėjo naujai pasitelkiamas ekspertas turi atitikti tokius pačius kokybinius </w:t>
            </w:r>
            <w:r>
              <w:rPr>
                <w:sz w:val="24"/>
                <w:szCs w:val="24"/>
              </w:rPr>
              <w:lastRenderedPageBreak/>
              <w:t>reikalavimus, kurie buvo vertinami ir už kuriuos buvo suteikiami papildomi balai, o tai reiškia, kad Sutarties projekto nuostatos</w:t>
            </w:r>
            <w:r w:rsidR="00C03174">
              <w:rPr>
                <w:sz w:val="24"/>
                <w:szCs w:val="24"/>
              </w:rPr>
              <w:t>, susiklosčius tam tikroms aplinkybėms,</w:t>
            </w:r>
            <w:r>
              <w:rPr>
                <w:sz w:val="24"/>
                <w:szCs w:val="24"/>
              </w:rPr>
              <w:t xml:space="preserve"> </w:t>
            </w:r>
            <w:r w:rsidR="00C03174">
              <w:rPr>
                <w:sz w:val="24"/>
                <w:szCs w:val="24"/>
              </w:rPr>
              <w:t>sudaro galimybę Perkančiajai organizacijai negauti</w:t>
            </w:r>
            <w:r>
              <w:rPr>
                <w:sz w:val="24"/>
                <w:szCs w:val="24"/>
              </w:rPr>
              <w:t xml:space="preserve"> potencialios naudos, kuri buvo apskaičiuota vertinant tiekėjų pasiūlymų ekonominį naudingumą, Sutarties vykdymo metu.</w:t>
            </w:r>
          </w:p>
          <w:p w14:paraId="2FFEB893" w14:textId="217B9157" w:rsidR="00DE50F8" w:rsidRPr="00DE50F8" w:rsidRDefault="00DE50F8" w:rsidP="00DE50F8">
            <w:pPr>
              <w:autoSpaceDE w:val="0"/>
              <w:snapToGrid w:val="0"/>
              <w:ind w:firstLine="885"/>
              <w:jc w:val="both"/>
              <w:rPr>
                <w:sz w:val="24"/>
                <w:szCs w:val="24"/>
              </w:rPr>
            </w:pPr>
            <w:r>
              <w:rPr>
                <w:sz w:val="24"/>
                <w:szCs w:val="24"/>
              </w:rPr>
              <w:t>Atsižvelgdama į išdėstytas nuostatas, Tarnyba rekomenduoja Perkančiajai organizacijai, jei vykdant Sutartį susiklostytų situacija, reikalaujanti eksperto keitimo, užtikrinti</w:t>
            </w:r>
            <w:r w:rsidR="00EA516F">
              <w:rPr>
                <w:sz w:val="24"/>
                <w:szCs w:val="24"/>
              </w:rPr>
              <w:t>, kad naujai pasitelkiamas ekspertas atitiktų ne tik minimalius kvalifikacinius reikalavimus, bet tokius pačius kokybinius reikalavimus, kokius turėjo keičiamas ekspertas.</w:t>
            </w:r>
          </w:p>
        </w:tc>
      </w:tr>
      <w:tr w:rsidR="00DE50F8" w:rsidRPr="001F0EB2" w14:paraId="172E7B99" w14:textId="77777777" w:rsidTr="00DE50F8">
        <w:tc>
          <w:tcPr>
            <w:tcW w:w="1281" w:type="dxa"/>
            <w:tcBorders>
              <w:top w:val="single" w:sz="4" w:space="0" w:color="auto"/>
              <w:left w:val="single" w:sz="4" w:space="0" w:color="auto"/>
              <w:bottom w:val="single" w:sz="4" w:space="0" w:color="auto"/>
              <w:right w:val="single" w:sz="4" w:space="0" w:color="auto"/>
            </w:tcBorders>
            <w:vAlign w:val="center"/>
          </w:tcPr>
          <w:p w14:paraId="6FCD2377" w14:textId="35C71857" w:rsidR="00DE50F8" w:rsidRPr="00DE50F8" w:rsidRDefault="00DE50F8" w:rsidP="00DE50F8">
            <w:pPr>
              <w:autoSpaceDE w:val="0"/>
              <w:snapToGrid w:val="0"/>
              <w:ind w:firstLine="885"/>
              <w:jc w:val="both"/>
              <w:rPr>
                <w:sz w:val="24"/>
                <w:szCs w:val="24"/>
              </w:rPr>
            </w:pPr>
            <w:r>
              <w:rPr>
                <w:sz w:val="24"/>
                <w:szCs w:val="24"/>
              </w:rPr>
              <w:lastRenderedPageBreak/>
              <w:t>2.</w:t>
            </w:r>
          </w:p>
        </w:tc>
        <w:tc>
          <w:tcPr>
            <w:tcW w:w="8495" w:type="dxa"/>
            <w:tcBorders>
              <w:top w:val="single" w:sz="4" w:space="0" w:color="auto"/>
              <w:left w:val="single" w:sz="4" w:space="0" w:color="auto"/>
              <w:bottom w:val="single" w:sz="4" w:space="0" w:color="auto"/>
              <w:right w:val="single" w:sz="4" w:space="0" w:color="auto"/>
            </w:tcBorders>
            <w:vAlign w:val="center"/>
          </w:tcPr>
          <w:p w14:paraId="63FDB5A6" w14:textId="742FFB6B" w:rsidR="00DE50F8" w:rsidRPr="00DE50F8" w:rsidRDefault="00DE50F8" w:rsidP="00DE50F8">
            <w:pPr>
              <w:autoSpaceDE w:val="0"/>
              <w:snapToGrid w:val="0"/>
              <w:ind w:firstLine="885"/>
              <w:jc w:val="both"/>
              <w:rPr>
                <w:sz w:val="24"/>
                <w:szCs w:val="24"/>
              </w:rPr>
            </w:pPr>
          </w:p>
        </w:tc>
      </w:tr>
      <w:tr w:rsidR="00DE50F8" w:rsidRPr="001F0EB2" w14:paraId="07C2C4F3" w14:textId="77777777" w:rsidTr="00C66C64">
        <w:tc>
          <w:tcPr>
            <w:tcW w:w="9776" w:type="dxa"/>
            <w:gridSpan w:val="2"/>
            <w:tcBorders>
              <w:top w:val="single" w:sz="4" w:space="0" w:color="auto"/>
              <w:left w:val="single" w:sz="4" w:space="0" w:color="auto"/>
              <w:bottom w:val="single" w:sz="4" w:space="0" w:color="auto"/>
              <w:right w:val="single" w:sz="4" w:space="0" w:color="auto"/>
            </w:tcBorders>
            <w:vAlign w:val="center"/>
          </w:tcPr>
          <w:p w14:paraId="6C47814C" w14:textId="77777777" w:rsidR="00DE50F8" w:rsidRDefault="00DE50F8" w:rsidP="00DE50F8">
            <w:pPr>
              <w:autoSpaceDE w:val="0"/>
              <w:snapToGrid w:val="0"/>
              <w:ind w:firstLine="885"/>
              <w:jc w:val="both"/>
              <w:rPr>
                <w:rFonts w:eastAsia="Calibri"/>
                <w:bCs/>
                <w:sz w:val="24"/>
                <w:szCs w:val="24"/>
              </w:rPr>
            </w:pPr>
            <w:r>
              <w:rPr>
                <w:sz w:val="24"/>
                <w:szCs w:val="24"/>
              </w:rPr>
              <w:t xml:space="preserve">Norime atkreipti dėmesį, kad </w:t>
            </w:r>
            <w:r>
              <w:rPr>
                <w:rFonts w:eastAsia="Calibri"/>
                <w:bCs/>
                <w:sz w:val="24"/>
                <w:szCs w:val="24"/>
              </w:rPr>
              <w:t xml:space="preserve">pasiūlymų vertinimo kriterijų lyginamųjų svorių nustatymo ir balų suteikimo tvarkos derinys lemia, kiek svarbus yra kiekvienas pasiūlymų vertinimo kriterijus užtikrinant geriausią perkančiosios organizacijos mokamos kainos ir pagal pasiūlymus gaunamos kokybės santykį. Šis derinys taip pat parodo, kiek daugiau perkančioji organizacija yra linkusi mokėti už kokybiškesnius pasiūlymus, todėl siekiant racionaliai naudoti pirkimams skirtas lėšas </w:t>
            </w:r>
            <w:r w:rsidRPr="00E521DE">
              <w:rPr>
                <w:rFonts w:eastAsia="Calibri"/>
                <w:bCs/>
                <w:sz w:val="24"/>
                <w:szCs w:val="24"/>
              </w:rPr>
              <w:t>pasiūlymų vertinimo kriterijų lyginamųjų svorių nustatym</w:t>
            </w:r>
            <w:r>
              <w:rPr>
                <w:rFonts w:eastAsia="Calibri"/>
                <w:bCs/>
                <w:sz w:val="24"/>
                <w:szCs w:val="24"/>
              </w:rPr>
              <w:t>ą</w:t>
            </w:r>
            <w:r w:rsidRPr="00E521DE">
              <w:rPr>
                <w:rFonts w:eastAsia="Calibri"/>
                <w:bCs/>
                <w:sz w:val="24"/>
                <w:szCs w:val="24"/>
              </w:rPr>
              <w:t xml:space="preserve"> ir balų suteikimo tvark</w:t>
            </w:r>
            <w:r>
              <w:rPr>
                <w:rFonts w:eastAsia="Calibri"/>
                <w:bCs/>
                <w:sz w:val="24"/>
                <w:szCs w:val="24"/>
              </w:rPr>
              <w:t>ą turėtų lemti ne perkančiosios organizacijos intuicija, o tink</w:t>
            </w:r>
            <w:r w:rsidRPr="00E521DE">
              <w:rPr>
                <w:rFonts w:eastAsia="Calibri"/>
                <w:bCs/>
                <w:sz w:val="24"/>
                <w:szCs w:val="24"/>
              </w:rPr>
              <w:t>a</w:t>
            </w:r>
            <w:r>
              <w:rPr>
                <w:rFonts w:eastAsia="Calibri"/>
                <w:bCs/>
                <w:sz w:val="24"/>
                <w:szCs w:val="24"/>
              </w:rPr>
              <w:t xml:space="preserve">ma analizė </w:t>
            </w:r>
            <w:r w:rsidRPr="00523BAF">
              <w:rPr>
                <w:rFonts w:eastAsia="Calibri"/>
                <w:bCs/>
                <w:sz w:val="24"/>
                <w:szCs w:val="24"/>
              </w:rPr>
              <w:t>bei simuliacijos, atliekamos prieš paskelbiant apie pirkimą, rezultatai.</w:t>
            </w:r>
          </w:p>
          <w:p w14:paraId="0E382B89" w14:textId="77777777" w:rsidR="00DE50F8" w:rsidRPr="00523BAF" w:rsidRDefault="00DE50F8" w:rsidP="00DE50F8">
            <w:pPr>
              <w:ind w:firstLine="883"/>
              <w:jc w:val="both"/>
              <w:rPr>
                <w:rFonts w:eastAsia="Calibri"/>
                <w:bCs/>
                <w:sz w:val="24"/>
                <w:szCs w:val="24"/>
              </w:rPr>
            </w:pPr>
            <w:r>
              <w:rPr>
                <w:rFonts w:eastAsia="Calibri"/>
                <w:bCs/>
                <w:sz w:val="24"/>
                <w:szCs w:val="24"/>
              </w:rPr>
              <w:t>Tarnybai atlikus simuliacijas</w:t>
            </w:r>
            <w:r w:rsidRPr="00523BAF">
              <w:rPr>
                <w:rFonts w:eastAsia="Calibri"/>
                <w:bCs/>
                <w:sz w:val="24"/>
                <w:szCs w:val="24"/>
              </w:rPr>
              <w:t>, matyti, kad:</w:t>
            </w:r>
          </w:p>
          <w:p w14:paraId="1BEAE20A" w14:textId="77777777" w:rsidR="00DE50F8" w:rsidRPr="005E678B" w:rsidRDefault="00DE50F8" w:rsidP="00DE50F8">
            <w:pPr>
              <w:pStyle w:val="Sraopastraipa"/>
              <w:numPr>
                <w:ilvl w:val="0"/>
                <w:numId w:val="5"/>
              </w:numPr>
              <w:tabs>
                <w:tab w:val="left" w:pos="1166"/>
              </w:tabs>
              <w:spacing w:after="0" w:line="240" w:lineRule="auto"/>
              <w:ind w:left="0" w:firstLine="883"/>
              <w:jc w:val="both"/>
              <w:rPr>
                <w:rFonts w:ascii="Times New Roman" w:eastAsia="Calibri" w:hAnsi="Times New Roman" w:cs="Times New Roman"/>
                <w:bCs/>
                <w:sz w:val="24"/>
                <w:szCs w:val="24"/>
                <w:lang w:val="lt-LT"/>
              </w:rPr>
            </w:pPr>
            <w:r w:rsidRPr="005E678B">
              <w:rPr>
                <w:rFonts w:ascii="Times New Roman" w:eastAsia="Calibri" w:hAnsi="Times New Roman" w:cs="Times New Roman"/>
                <w:bCs/>
                <w:sz w:val="24"/>
                <w:szCs w:val="24"/>
                <w:lang w:val="lt-LT"/>
              </w:rPr>
              <w:t>kokybės kriterijaus parametro P</w:t>
            </w:r>
            <w:r w:rsidRPr="005E678B">
              <w:rPr>
                <w:rFonts w:ascii="Times New Roman" w:eastAsia="Calibri" w:hAnsi="Times New Roman" w:cs="Times New Roman"/>
                <w:bCs/>
                <w:sz w:val="24"/>
                <w:szCs w:val="24"/>
                <w:vertAlign w:val="subscript"/>
                <w:lang w:val="lt-LT"/>
              </w:rPr>
              <w:t>1</w:t>
            </w:r>
            <w:r w:rsidRPr="005E678B">
              <w:rPr>
                <w:rFonts w:ascii="Times New Roman" w:eastAsia="Calibri" w:hAnsi="Times New Roman" w:cs="Times New Roman"/>
                <w:bCs/>
                <w:sz w:val="24"/>
                <w:szCs w:val="24"/>
                <w:lang w:val="lt-LT"/>
              </w:rPr>
              <w:t xml:space="preserve"> vieno Vertinimo kaina yra 17 000 Eur be PVM, parametro P</w:t>
            </w:r>
            <w:r w:rsidRPr="005E678B">
              <w:rPr>
                <w:rFonts w:ascii="Times New Roman" w:eastAsia="Calibri" w:hAnsi="Times New Roman" w:cs="Times New Roman"/>
                <w:bCs/>
                <w:sz w:val="24"/>
                <w:szCs w:val="24"/>
                <w:vertAlign w:val="subscript"/>
                <w:lang w:val="lt-LT"/>
              </w:rPr>
              <w:t>2</w:t>
            </w:r>
            <w:r w:rsidRPr="005E678B">
              <w:rPr>
                <w:rFonts w:ascii="Times New Roman" w:eastAsia="Calibri" w:hAnsi="Times New Roman" w:cs="Times New Roman"/>
                <w:bCs/>
                <w:sz w:val="24"/>
                <w:szCs w:val="24"/>
                <w:lang w:val="lt-LT"/>
              </w:rPr>
              <w:t xml:space="preserve"> – 14 000 Eur be PVM, parametro P</w:t>
            </w:r>
            <w:r w:rsidRPr="005E678B">
              <w:rPr>
                <w:rFonts w:ascii="Times New Roman" w:eastAsia="Calibri" w:hAnsi="Times New Roman" w:cs="Times New Roman"/>
                <w:bCs/>
                <w:sz w:val="24"/>
                <w:szCs w:val="24"/>
                <w:vertAlign w:val="subscript"/>
                <w:lang w:val="lt-LT"/>
              </w:rPr>
              <w:t>3</w:t>
            </w:r>
            <w:r w:rsidRPr="005E678B">
              <w:rPr>
                <w:rFonts w:ascii="Times New Roman" w:eastAsia="Calibri" w:hAnsi="Times New Roman" w:cs="Times New Roman"/>
                <w:bCs/>
                <w:sz w:val="24"/>
                <w:szCs w:val="24"/>
                <w:lang w:val="lt-LT"/>
              </w:rPr>
              <w:t xml:space="preserve"> – 17 000 Eur be PVM, parametro P</w:t>
            </w:r>
            <w:r w:rsidRPr="005E678B">
              <w:rPr>
                <w:rFonts w:ascii="Times New Roman" w:eastAsia="Calibri" w:hAnsi="Times New Roman" w:cs="Times New Roman"/>
                <w:bCs/>
                <w:sz w:val="24"/>
                <w:szCs w:val="24"/>
                <w:vertAlign w:val="subscript"/>
                <w:lang w:val="lt-LT"/>
              </w:rPr>
              <w:t xml:space="preserve">4 </w:t>
            </w:r>
            <w:r w:rsidRPr="005E678B">
              <w:rPr>
                <w:rFonts w:ascii="Times New Roman" w:eastAsia="Calibri" w:hAnsi="Times New Roman" w:cs="Times New Roman"/>
                <w:bCs/>
                <w:sz w:val="24"/>
                <w:szCs w:val="24"/>
                <w:lang w:val="lt-LT"/>
              </w:rPr>
              <w:t>– 20 000 Eur be PVM (vieno Vertinimo kaina yra apytikslė/suapvalinta);</w:t>
            </w:r>
          </w:p>
          <w:p w14:paraId="1CEE671C" w14:textId="77777777" w:rsidR="00DE50F8" w:rsidRDefault="00DE50F8" w:rsidP="00DE50F8">
            <w:pPr>
              <w:pStyle w:val="Sraopastraipa"/>
              <w:numPr>
                <w:ilvl w:val="0"/>
                <w:numId w:val="5"/>
              </w:numPr>
              <w:tabs>
                <w:tab w:val="left" w:pos="1166"/>
              </w:tabs>
              <w:spacing w:after="0" w:line="240" w:lineRule="auto"/>
              <w:ind w:left="0" w:firstLine="883"/>
              <w:jc w:val="both"/>
              <w:rPr>
                <w:rFonts w:ascii="Times New Roman" w:eastAsia="Calibri" w:hAnsi="Times New Roman" w:cs="Times New Roman"/>
                <w:bCs/>
                <w:sz w:val="24"/>
                <w:szCs w:val="24"/>
                <w:lang w:val="lt-LT"/>
              </w:rPr>
            </w:pPr>
            <w:r w:rsidRPr="005E678B">
              <w:rPr>
                <w:rFonts w:ascii="Times New Roman" w:eastAsia="Calibri" w:hAnsi="Times New Roman" w:cs="Times New Roman"/>
                <w:bCs/>
                <w:sz w:val="24"/>
                <w:szCs w:val="24"/>
                <w:lang w:val="lt-LT"/>
              </w:rPr>
              <w:t>kokybės kriterijaus parametro P</w:t>
            </w:r>
            <w:r w:rsidRPr="005E678B">
              <w:rPr>
                <w:rFonts w:ascii="Times New Roman" w:eastAsia="Calibri" w:hAnsi="Times New Roman" w:cs="Times New Roman"/>
                <w:bCs/>
                <w:sz w:val="24"/>
                <w:szCs w:val="24"/>
                <w:vertAlign w:val="subscript"/>
                <w:lang w:val="lt-LT"/>
              </w:rPr>
              <w:t xml:space="preserve">1 </w:t>
            </w:r>
            <w:r w:rsidRPr="005E678B">
              <w:rPr>
                <w:rFonts w:ascii="Times New Roman" w:eastAsia="Calibri" w:hAnsi="Times New Roman" w:cs="Times New Roman"/>
                <w:bCs/>
                <w:sz w:val="24"/>
                <w:szCs w:val="24"/>
                <w:lang w:val="lt-LT"/>
              </w:rPr>
              <w:t>vieno Vertinimo kaina sudaro 19,59 proc., parametro P</w:t>
            </w:r>
            <w:r w:rsidRPr="005E678B">
              <w:rPr>
                <w:rFonts w:ascii="Times New Roman" w:eastAsia="Calibri" w:hAnsi="Times New Roman" w:cs="Times New Roman"/>
                <w:bCs/>
                <w:sz w:val="24"/>
                <w:szCs w:val="24"/>
                <w:vertAlign w:val="subscript"/>
                <w:lang w:val="lt-LT"/>
              </w:rPr>
              <w:t>2</w:t>
            </w:r>
            <w:r w:rsidRPr="005E678B">
              <w:rPr>
                <w:rFonts w:ascii="Times New Roman" w:eastAsia="Calibri" w:hAnsi="Times New Roman" w:cs="Times New Roman"/>
                <w:bCs/>
                <w:sz w:val="24"/>
                <w:szCs w:val="24"/>
                <w:lang w:val="lt-LT"/>
              </w:rPr>
              <w:t xml:space="preserve"> – 16,13 proc., parametro P</w:t>
            </w:r>
            <w:r w:rsidRPr="005E678B">
              <w:rPr>
                <w:rFonts w:ascii="Times New Roman" w:eastAsia="Calibri" w:hAnsi="Times New Roman" w:cs="Times New Roman"/>
                <w:bCs/>
                <w:sz w:val="24"/>
                <w:szCs w:val="24"/>
                <w:vertAlign w:val="subscript"/>
                <w:lang w:val="lt-LT"/>
              </w:rPr>
              <w:t>3</w:t>
            </w:r>
            <w:r w:rsidRPr="005E678B">
              <w:rPr>
                <w:rFonts w:ascii="Times New Roman" w:eastAsia="Calibri" w:hAnsi="Times New Roman" w:cs="Times New Roman"/>
                <w:bCs/>
                <w:sz w:val="24"/>
                <w:szCs w:val="24"/>
                <w:lang w:val="lt-LT"/>
              </w:rPr>
              <w:t xml:space="preserve"> – 19,59 proc., parametro P</w:t>
            </w:r>
            <w:r w:rsidRPr="005E678B">
              <w:rPr>
                <w:rFonts w:ascii="Times New Roman" w:eastAsia="Calibri" w:hAnsi="Times New Roman" w:cs="Times New Roman"/>
                <w:bCs/>
                <w:sz w:val="24"/>
                <w:szCs w:val="24"/>
                <w:vertAlign w:val="subscript"/>
                <w:lang w:val="lt-LT"/>
              </w:rPr>
              <w:t>4</w:t>
            </w:r>
            <w:r w:rsidRPr="005E678B">
              <w:rPr>
                <w:rFonts w:ascii="Times New Roman" w:eastAsia="Calibri" w:hAnsi="Times New Roman" w:cs="Times New Roman"/>
                <w:bCs/>
                <w:sz w:val="24"/>
                <w:szCs w:val="24"/>
                <w:lang w:val="lt-LT"/>
              </w:rPr>
              <w:t xml:space="preserve"> – 23,05 proc. visos Pirkimo vertės (Pirkimo vertė yra 86 776,86 Eur be PVM);</w:t>
            </w:r>
          </w:p>
          <w:p w14:paraId="00F66FF9" w14:textId="01E6658B" w:rsidR="00DE50F8" w:rsidRPr="0020255E" w:rsidRDefault="00DE50F8" w:rsidP="00F05F3C">
            <w:pPr>
              <w:pStyle w:val="Sraopastraipa"/>
              <w:numPr>
                <w:ilvl w:val="0"/>
                <w:numId w:val="5"/>
              </w:numPr>
              <w:tabs>
                <w:tab w:val="left" w:pos="1166"/>
              </w:tabs>
              <w:spacing w:before="240" w:after="0" w:line="240" w:lineRule="auto"/>
              <w:ind w:left="0" w:firstLine="883"/>
              <w:jc w:val="both"/>
              <w:rPr>
                <w:rFonts w:eastAsia="Calibri"/>
                <w:bCs/>
                <w:sz w:val="24"/>
                <w:szCs w:val="24"/>
                <w:lang w:val="lt-LT"/>
              </w:rPr>
            </w:pPr>
            <w:bookmarkStart w:id="2" w:name="_Hlk55298833"/>
            <w:r w:rsidRPr="005E678B">
              <w:rPr>
                <w:rFonts w:ascii="Times New Roman" w:eastAsia="Calibri" w:hAnsi="Times New Roman" w:cs="Times New Roman"/>
                <w:bCs/>
                <w:sz w:val="24"/>
                <w:szCs w:val="24"/>
                <w:lang w:val="lt-LT"/>
              </w:rPr>
              <w:t>pirmas simuliacijos pavyzdys: Pirkimui pasiūlymus pateikia du tiekėjai, kurių pirmasis surinktų maksimalų</w:t>
            </w:r>
            <w:r w:rsidRPr="0020255E">
              <w:rPr>
                <w:rFonts w:ascii="Times New Roman" w:eastAsia="Calibri" w:hAnsi="Times New Roman" w:cs="Times New Roman"/>
                <w:bCs/>
                <w:sz w:val="24"/>
                <w:szCs w:val="24"/>
                <w:lang w:val="lt-LT"/>
              </w:rPr>
              <w:t xml:space="preserve"> balų skaičių (70 balų) pagal T</w:t>
            </w:r>
            <w:r w:rsidRPr="0020255E">
              <w:rPr>
                <w:rFonts w:ascii="Times New Roman" w:eastAsia="Calibri" w:hAnsi="Times New Roman" w:cs="Times New Roman"/>
                <w:bCs/>
                <w:sz w:val="24"/>
                <w:szCs w:val="24"/>
                <w:vertAlign w:val="subscript"/>
                <w:lang w:val="lt-LT"/>
              </w:rPr>
              <w:t>1</w:t>
            </w:r>
            <w:r w:rsidRPr="0020255E">
              <w:rPr>
                <w:rFonts w:ascii="Times New Roman" w:eastAsia="Calibri" w:hAnsi="Times New Roman" w:cs="Times New Roman"/>
                <w:bCs/>
                <w:sz w:val="24"/>
                <w:szCs w:val="24"/>
                <w:lang w:val="lt-LT"/>
              </w:rPr>
              <w:t xml:space="preserve"> kriterijaus „Ekspertų komandos profesinė patirtis ir kvalifikacija“ parametrus P</w:t>
            </w:r>
            <w:r w:rsidRPr="0020255E">
              <w:rPr>
                <w:rFonts w:ascii="Times New Roman" w:eastAsia="Calibri" w:hAnsi="Times New Roman" w:cs="Times New Roman"/>
                <w:bCs/>
                <w:sz w:val="24"/>
                <w:szCs w:val="24"/>
                <w:vertAlign w:val="subscript"/>
                <w:lang w:val="lt-LT"/>
              </w:rPr>
              <w:t>1</w:t>
            </w:r>
            <w:r w:rsidRPr="0020255E">
              <w:rPr>
                <w:rFonts w:ascii="Times New Roman" w:eastAsia="Calibri" w:hAnsi="Times New Roman" w:cs="Times New Roman"/>
                <w:bCs/>
                <w:sz w:val="24"/>
                <w:szCs w:val="24"/>
                <w:lang w:val="lt-LT"/>
              </w:rPr>
              <w:t>, P</w:t>
            </w:r>
            <w:r w:rsidRPr="0020255E">
              <w:rPr>
                <w:rFonts w:ascii="Times New Roman" w:eastAsia="Calibri" w:hAnsi="Times New Roman" w:cs="Times New Roman"/>
                <w:bCs/>
                <w:sz w:val="24"/>
                <w:szCs w:val="24"/>
                <w:vertAlign w:val="subscript"/>
                <w:lang w:val="lt-LT"/>
              </w:rPr>
              <w:t>2</w:t>
            </w:r>
            <w:r w:rsidRPr="0020255E">
              <w:rPr>
                <w:rFonts w:ascii="Times New Roman" w:eastAsia="Calibri" w:hAnsi="Times New Roman" w:cs="Times New Roman"/>
                <w:bCs/>
                <w:sz w:val="24"/>
                <w:szCs w:val="24"/>
                <w:lang w:val="lt-LT"/>
              </w:rPr>
              <w:t>, P</w:t>
            </w:r>
            <w:r w:rsidRPr="0020255E">
              <w:rPr>
                <w:rFonts w:ascii="Times New Roman" w:eastAsia="Calibri" w:hAnsi="Times New Roman" w:cs="Times New Roman"/>
                <w:bCs/>
                <w:sz w:val="24"/>
                <w:szCs w:val="24"/>
                <w:vertAlign w:val="subscript"/>
                <w:lang w:val="lt-LT"/>
              </w:rPr>
              <w:t>3</w:t>
            </w:r>
            <w:r w:rsidRPr="0020255E">
              <w:rPr>
                <w:rFonts w:ascii="Times New Roman" w:eastAsia="Calibri" w:hAnsi="Times New Roman" w:cs="Times New Roman"/>
                <w:bCs/>
                <w:sz w:val="24"/>
                <w:szCs w:val="24"/>
                <w:lang w:val="lt-LT"/>
              </w:rPr>
              <w:t xml:space="preserve"> ir P</w:t>
            </w:r>
            <w:r w:rsidRPr="0020255E">
              <w:rPr>
                <w:rFonts w:ascii="Times New Roman" w:eastAsia="Calibri" w:hAnsi="Times New Roman" w:cs="Times New Roman"/>
                <w:bCs/>
                <w:sz w:val="24"/>
                <w:szCs w:val="24"/>
                <w:vertAlign w:val="subscript"/>
                <w:lang w:val="lt-LT"/>
              </w:rPr>
              <w:t>4</w:t>
            </w:r>
            <w:r w:rsidRPr="0020255E">
              <w:rPr>
                <w:rFonts w:ascii="Times New Roman" w:eastAsia="Calibri" w:hAnsi="Times New Roman" w:cs="Times New Roman"/>
                <w:bCs/>
                <w:sz w:val="24"/>
                <w:szCs w:val="24"/>
                <w:lang w:val="lt-LT"/>
              </w:rPr>
              <w:t xml:space="preserve">, ir jo pasiūlyta kaina būtų maksimali, t. y. lygi planuojamai </w:t>
            </w:r>
            <w:r w:rsidR="00173FF1">
              <w:rPr>
                <w:rFonts w:ascii="Times New Roman" w:eastAsia="Calibri" w:hAnsi="Times New Roman" w:cs="Times New Roman"/>
                <w:bCs/>
                <w:sz w:val="24"/>
                <w:szCs w:val="24"/>
                <w:lang w:val="lt-LT"/>
              </w:rPr>
              <w:t>S</w:t>
            </w:r>
            <w:r w:rsidRPr="0020255E">
              <w:rPr>
                <w:rFonts w:ascii="Times New Roman" w:eastAsia="Calibri" w:hAnsi="Times New Roman" w:cs="Times New Roman"/>
                <w:bCs/>
                <w:sz w:val="24"/>
                <w:szCs w:val="24"/>
                <w:lang w:val="lt-LT"/>
              </w:rPr>
              <w:t>utarties vertei (86 776,86 Eur be PVM), o antrasis tiekėjas pagal visus T</w:t>
            </w:r>
            <w:r w:rsidRPr="0020255E">
              <w:rPr>
                <w:rFonts w:ascii="Times New Roman" w:eastAsia="Calibri" w:hAnsi="Times New Roman" w:cs="Times New Roman"/>
                <w:bCs/>
                <w:sz w:val="24"/>
                <w:szCs w:val="24"/>
                <w:vertAlign w:val="subscript"/>
                <w:lang w:val="lt-LT"/>
              </w:rPr>
              <w:t>1</w:t>
            </w:r>
            <w:r w:rsidRPr="0020255E">
              <w:rPr>
                <w:rFonts w:ascii="Times New Roman" w:eastAsia="Calibri" w:hAnsi="Times New Roman" w:cs="Times New Roman"/>
                <w:bCs/>
                <w:sz w:val="24"/>
                <w:szCs w:val="24"/>
                <w:lang w:val="lt-LT"/>
              </w:rPr>
              <w:t xml:space="preserve"> kriterijaus parametrus surinktų </w:t>
            </w:r>
            <w:r w:rsidRPr="00173FF1">
              <w:rPr>
                <w:rFonts w:ascii="Times New Roman" w:eastAsia="Calibri" w:hAnsi="Times New Roman" w:cs="Times New Roman"/>
                <w:bCs/>
                <w:sz w:val="24"/>
                <w:szCs w:val="24"/>
                <w:lang w:val="lt-LT"/>
              </w:rPr>
              <w:t>6</w:t>
            </w:r>
            <w:r w:rsidR="001E1222" w:rsidRPr="00E4233B">
              <w:rPr>
                <w:rFonts w:ascii="Times New Roman" w:eastAsia="Calibri" w:hAnsi="Times New Roman" w:cs="Times New Roman"/>
                <w:bCs/>
                <w:sz w:val="24"/>
                <w:szCs w:val="24"/>
                <w:lang w:val="lt-LT"/>
              </w:rPr>
              <w:t>3</w:t>
            </w:r>
            <w:r w:rsidRPr="0020255E">
              <w:rPr>
                <w:rFonts w:ascii="Times New Roman" w:eastAsia="Calibri" w:hAnsi="Times New Roman" w:cs="Times New Roman"/>
                <w:bCs/>
                <w:sz w:val="24"/>
                <w:szCs w:val="24"/>
                <w:lang w:val="lt-LT"/>
              </w:rPr>
              <w:t xml:space="preserve"> balus, nes jo ekspertų komandos patirčiai trūksta tik vieno Vertinimo pagal parametrą P</w:t>
            </w:r>
            <w:r w:rsidR="001E1222" w:rsidRPr="00E4233B">
              <w:rPr>
                <w:rFonts w:ascii="Times New Roman" w:eastAsia="Calibri" w:hAnsi="Times New Roman" w:cs="Times New Roman"/>
                <w:bCs/>
                <w:sz w:val="24"/>
                <w:szCs w:val="24"/>
                <w:vertAlign w:val="subscript"/>
                <w:lang w:val="lt-LT"/>
              </w:rPr>
              <w:t>4</w:t>
            </w:r>
            <w:r w:rsidRPr="0020255E">
              <w:rPr>
                <w:rFonts w:ascii="Times New Roman" w:eastAsia="Calibri" w:hAnsi="Times New Roman" w:cs="Times New Roman"/>
                <w:bCs/>
                <w:sz w:val="24"/>
                <w:szCs w:val="24"/>
                <w:lang w:val="lt-LT"/>
              </w:rPr>
              <w:t xml:space="preserve"> (pavyzdžiui, ekspertas yra vadovavęs 3 Vertinimuose, todėl jam skiriami 2 balai; ekspertui trūksta tik 1 Vertinimo, kad surinktų maksimaliai 3 balus), tačiau jo pasiūlyta kaina būtų </w:t>
            </w:r>
            <w:r w:rsidRPr="00E4233B">
              <w:rPr>
                <w:rFonts w:ascii="Times New Roman" w:eastAsia="Calibri" w:hAnsi="Times New Roman" w:cs="Times New Roman"/>
                <w:bCs/>
                <w:sz w:val="24"/>
                <w:szCs w:val="24"/>
                <w:lang w:val="lt-LT"/>
              </w:rPr>
              <w:t>6</w:t>
            </w:r>
            <w:r w:rsidR="001E1222" w:rsidRPr="00E4233B">
              <w:rPr>
                <w:rFonts w:ascii="Times New Roman" w:eastAsia="Calibri" w:hAnsi="Times New Roman" w:cs="Times New Roman"/>
                <w:bCs/>
                <w:sz w:val="24"/>
                <w:szCs w:val="24"/>
                <w:lang w:val="lt-LT"/>
              </w:rPr>
              <w:t>6</w:t>
            </w:r>
            <w:r w:rsidRPr="00E4233B">
              <w:rPr>
                <w:rFonts w:ascii="Times New Roman" w:eastAsia="Calibri" w:hAnsi="Times New Roman" w:cs="Times New Roman"/>
                <w:bCs/>
                <w:sz w:val="24"/>
                <w:szCs w:val="24"/>
                <w:lang w:val="lt-LT"/>
              </w:rPr>
              <w:t xml:space="preserve"> </w:t>
            </w:r>
            <w:r w:rsidR="001E1222" w:rsidRPr="00E4233B">
              <w:rPr>
                <w:rFonts w:ascii="Times New Roman" w:eastAsia="Calibri" w:hAnsi="Times New Roman" w:cs="Times New Roman"/>
                <w:bCs/>
                <w:sz w:val="24"/>
                <w:szCs w:val="24"/>
                <w:lang w:val="lt-LT"/>
              </w:rPr>
              <w:t>7</w:t>
            </w:r>
            <w:r w:rsidR="00F70FE6" w:rsidRPr="00E4233B">
              <w:rPr>
                <w:rFonts w:ascii="Times New Roman" w:eastAsia="Calibri" w:hAnsi="Times New Roman" w:cs="Times New Roman"/>
                <w:bCs/>
                <w:sz w:val="24"/>
                <w:szCs w:val="24"/>
                <w:lang w:val="lt-LT"/>
              </w:rPr>
              <w:t>76</w:t>
            </w:r>
            <w:r w:rsidRPr="00E4233B">
              <w:rPr>
                <w:rFonts w:ascii="Times New Roman" w:eastAsia="Calibri" w:hAnsi="Times New Roman" w:cs="Times New Roman"/>
                <w:bCs/>
                <w:sz w:val="24"/>
                <w:szCs w:val="24"/>
                <w:lang w:val="lt-LT"/>
              </w:rPr>
              <w:t>,00</w:t>
            </w:r>
            <w:r w:rsidRPr="0020255E">
              <w:rPr>
                <w:rFonts w:ascii="Times New Roman" w:eastAsia="Calibri" w:hAnsi="Times New Roman" w:cs="Times New Roman"/>
                <w:bCs/>
                <w:sz w:val="24"/>
                <w:szCs w:val="24"/>
                <w:lang w:val="lt-LT"/>
              </w:rPr>
              <w:t xml:space="preserve"> Eur be PVM. Taigi, susiklostytų situacija, jog laimėtų pirmasis tiekėjas, surinkęs maksimalius balus už kokybės kriterijų T</w:t>
            </w:r>
            <w:r w:rsidRPr="0020255E">
              <w:rPr>
                <w:rFonts w:ascii="Times New Roman" w:eastAsia="Calibri" w:hAnsi="Times New Roman" w:cs="Times New Roman"/>
                <w:bCs/>
                <w:sz w:val="24"/>
                <w:szCs w:val="24"/>
                <w:vertAlign w:val="subscript"/>
                <w:lang w:val="lt-LT"/>
              </w:rPr>
              <w:t>1</w:t>
            </w:r>
            <w:r w:rsidRPr="0020255E">
              <w:rPr>
                <w:rFonts w:ascii="Times New Roman" w:eastAsia="Calibri" w:hAnsi="Times New Roman" w:cs="Times New Roman"/>
                <w:bCs/>
                <w:sz w:val="24"/>
                <w:szCs w:val="24"/>
                <w:lang w:val="lt-LT"/>
              </w:rPr>
              <w:t>, t. y. pasiūlęs ekspertus, kurie būtų vadovavę ir atlikę maksimalų Perkančiosios organizacijos nustatytą Vertinimų skaičių, tačiau pasiūlęs maksimalią – 86 776,86 Eur be PVM kainą</w:t>
            </w:r>
            <w:r w:rsidR="00F05F3C">
              <w:rPr>
                <w:rFonts w:ascii="Times New Roman" w:eastAsia="Calibri" w:hAnsi="Times New Roman" w:cs="Times New Roman"/>
                <w:bCs/>
                <w:sz w:val="24"/>
                <w:szCs w:val="24"/>
                <w:lang w:val="lt-LT"/>
              </w:rPr>
              <w:t xml:space="preserve"> (</w:t>
            </w:r>
            <w:r w:rsidR="00F05F3C" w:rsidRPr="00E4233B">
              <w:rPr>
                <w:rFonts w:ascii="Times New Roman" w:eastAsia="Calibri" w:hAnsi="Times New Roman" w:cs="Times New Roman"/>
                <w:bCs/>
                <w:sz w:val="24"/>
                <w:szCs w:val="24"/>
                <w:lang w:val="lt-LT"/>
              </w:rPr>
              <w:t>bendras balas 9</w:t>
            </w:r>
            <w:r w:rsidR="001E1222" w:rsidRPr="00E4233B">
              <w:rPr>
                <w:rFonts w:ascii="Times New Roman" w:eastAsia="Calibri" w:hAnsi="Times New Roman" w:cs="Times New Roman"/>
                <w:bCs/>
                <w:sz w:val="24"/>
                <w:szCs w:val="24"/>
                <w:lang w:val="lt-LT"/>
              </w:rPr>
              <w:t>3</w:t>
            </w:r>
            <w:r w:rsidR="00F05F3C" w:rsidRPr="00E4233B">
              <w:rPr>
                <w:rFonts w:ascii="Times New Roman" w:eastAsia="Calibri" w:hAnsi="Times New Roman" w:cs="Times New Roman"/>
                <w:bCs/>
                <w:sz w:val="24"/>
                <w:szCs w:val="24"/>
                <w:lang w:val="lt-LT"/>
              </w:rPr>
              <w:t>,0</w:t>
            </w:r>
            <w:r w:rsidR="00F70FE6" w:rsidRPr="00E4233B">
              <w:rPr>
                <w:rFonts w:ascii="Times New Roman" w:eastAsia="Calibri" w:hAnsi="Times New Roman" w:cs="Times New Roman"/>
                <w:bCs/>
                <w:sz w:val="24"/>
                <w:szCs w:val="24"/>
                <w:lang w:val="lt-LT"/>
              </w:rPr>
              <w:t>9</w:t>
            </w:r>
            <w:r w:rsidR="00F05F3C">
              <w:rPr>
                <w:rFonts w:ascii="Times New Roman" w:eastAsia="Calibri" w:hAnsi="Times New Roman" w:cs="Times New Roman"/>
                <w:bCs/>
                <w:sz w:val="24"/>
                <w:szCs w:val="24"/>
                <w:lang w:val="lt-LT"/>
              </w:rPr>
              <w:t>)</w:t>
            </w:r>
            <w:r w:rsidRPr="0020255E">
              <w:rPr>
                <w:rFonts w:ascii="Times New Roman" w:eastAsia="Calibri" w:hAnsi="Times New Roman" w:cs="Times New Roman"/>
                <w:bCs/>
                <w:sz w:val="24"/>
                <w:szCs w:val="24"/>
                <w:lang w:val="lt-LT"/>
              </w:rPr>
              <w:t>, o antrasis tiekėjas, kurio ekspertų komandai trūksta tik vieno Vertinimo pagal parametrą P</w:t>
            </w:r>
            <w:r w:rsidR="00F70FE6" w:rsidRPr="00E4233B">
              <w:rPr>
                <w:rFonts w:ascii="Times New Roman" w:eastAsia="Calibri" w:hAnsi="Times New Roman" w:cs="Times New Roman"/>
                <w:bCs/>
                <w:sz w:val="24"/>
                <w:szCs w:val="24"/>
                <w:vertAlign w:val="subscript"/>
                <w:lang w:val="lt-LT"/>
              </w:rPr>
              <w:t>4</w:t>
            </w:r>
            <w:r w:rsidRPr="00E4233B">
              <w:rPr>
                <w:rFonts w:ascii="Times New Roman" w:eastAsia="Calibri" w:hAnsi="Times New Roman" w:cs="Times New Roman"/>
                <w:bCs/>
                <w:sz w:val="24"/>
                <w:szCs w:val="24"/>
                <w:lang w:val="lt-LT"/>
              </w:rPr>
              <w:t>,</w:t>
            </w:r>
            <w:r w:rsidRPr="0020255E">
              <w:rPr>
                <w:rFonts w:ascii="Times New Roman" w:eastAsia="Calibri" w:hAnsi="Times New Roman" w:cs="Times New Roman"/>
                <w:bCs/>
                <w:sz w:val="24"/>
                <w:szCs w:val="24"/>
                <w:lang w:val="lt-LT"/>
              </w:rPr>
              <w:t xml:space="preserve"> kad pasiektų maksimalų Perkančiosios organizacijos nustatytą Vertinimų skaičių, tačiau kurio kaina daugiau nei </w:t>
            </w:r>
            <w:r w:rsidR="001E1222">
              <w:rPr>
                <w:rFonts w:ascii="Times New Roman" w:eastAsia="Calibri" w:hAnsi="Times New Roman" w:cs="Times New Roman"/>
                <w:bCs/>
                <w:sz w:val="24"/>
                <w:szCs w:val="24"/>
                <w:lang w:val="lt-LT"/>
              </w:rPr>
              <w:t>20</w:t>
            </w:r>
            <w:r w:rsidRPr="0020255E">
              <w:rPr>
                <w:rFonts w:ascii="Times New Roman" w:eastAsia="Calibri" w:hAnsi="Times New Roman" w:cs="Times New Roman"/>
                <w:bCs/>
                <w:sz w:val="24"/>
                <w:szCs w:val="24"/>
                <w:lang w:val="lt-LT"/>
              </w:rPr>
              <w:t xml:space="preserve"> 000 Eur be PVM mažesnė lyginant su pirmojo tiekėjo kaina, liktų antroje vietoje</w:t>
            </w:r>
            <w:r w:rsidR="00F05F3C">
              <w:rPr>
                <w:rFonts w:ascii="Times New Roman" w:eastAsia="Calibri" w:hAnsi="Times New Roman" w:cs="Times New Roman"/>
                <w:bCs/>
                <w:sz w:val="24"/>
                <w:szCs w:val="24"/>
                <w:lang w:val="lt-LT"/>
              </w:rPr>
              <w:t xml:space="preserve"> (</w:t>
            </w:r>
            <w:r w:rsidR="00F05F3C" w:rsidRPr="00E4233B">
              <w:rPr>
                <w:rFonts w:ascii="Times New Roman" w:eastAsia="Calibri" w:hAnsi="Times New Roman" w:cs="Times New Roman"/>
                <w:bCs/>
                <w:sz w:val="24"/>
                <w:szCs w:val="24"/>
                <w:lang w:val="lt-LT"/>
              </w:rPr>
              <w:t>bendras balas 9</w:t>
            </w:r>
            <w:r w:rsidR="00F70FE6" w:rsidRPr="00E4233B">
              <w:rPr>
                <w:rFonts w:ascii="Times New Roman" w:eastAsia="Calibri" w:hAnsi="Times New Roman" w:cs="Times New Roman"/>
                <w:bCs/>
                <w:sz w:val="24"/>
                <w:szCs w:val="24"/>
                <w:lang w:val="lt-LT"/>
              </w:rPr>
              <w:t>3</w:t>
            </w:r>
            <w:r w:rsidR="00F05F3C">
              <w:rPr>
                <w:rFonts w:ascii="Times New Roman" w:eastAsia="Calibri" w:hAnsi="Times New Roman" w:cs="Times New Roman"/>
                <w:bCs/>
                <w:sz w:val="24"/>
                <w:szCs w:val="24"/>
                <w:lang w:val="lt-LT"/>
              </w:rPr>
              <w:t>)</w:t>
            </w:r>
            <w:r w:rsidRPr="0020255E">
              <w:rPr>
                <w:rFonts w:ascii="Times New Roman" w:eastAsia="Calibri" w:hAnsi="Times New Roman" w:cs="Times New Roman"/>
                <w:bCs/>
                <w:sz w:val="24"/>
                <w:szCs w:val="24"/>
                <w:lang w:val="lt-LT"/>
              </w:rPr>
              <w:t>;</w:t>
            </w:r>
          </w:p>
          <w:p w14:paraId="09324BEC" w14:textId="52AECD18" w:rsidR="00DE50F8" w:rsidRPr="00855119" w:rsidRDefault="00DE50F8" w:rsidP="00DE50F8">
            <w:pPr>
              <w:pStyle w:val="Sraopastraipa"/>
              <w:numPr>
                <w:ilvl w:val="0"/>
                <w:numId w:val="5"/>
              </w:numPr>
              <w:tabs>
                <w:tab w:val="left" w:pos="1166"/>
              </w:tabs>
              <w:spacing w:after="0" w:line="240" w:lineRule="auto"/>
              <w:ind w:left="0" w:firstLine="883"/>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antras</w:t>
            </w:r>
            <w:r w:rsidRPr="00855119">
              <w:rPr>
                <w:rFonts w:ascii="Times New Roman" w:eastAsia="Calibri" w:hAnsi="Times New Roman" w:cs="Times New Roman"/>
                <w:bCs/>
                <w:sz w:val="24"/>
                <w:szCs w:val="24"/>
                <w:lang w:val="lt-LT"/>
              </w:rPr>
              <w:t xml:space="preserve"> simuliacijos pavyzdys: Pirkimui pasiūlymus pateikia du tiekėjai, kurių pirmasis, analogiškai, kaip ir pirmajame pavyzdyje, surinktų maksimalų balų skaičių (70 balų) pagal T</w:t>
            </w:r>
            <w:r w:rsidRPr="00855119">
              <w:rPr>
                <w:rFonts w:ascii="Times New Roman" w:eastAsia="Calibri" w:hAnsi="Times New Roman" w:cs="Times New Roman"/>
                <w:bCs/>
                <w:sz w:val="24"/>
                <w:szCs w:val="24"/>
                <w:vertAlign w:val="subscript"/>
                <w:lang w:val="lt-LT"/>
              </w:rPr>
              <w:t>1</w:t>
            </w:r>
            <w:r w:rsidRPr="00855119">
              <w:rPr>
                <w:rFonts w:ascii="Times New Roman" w:eastAsia="Calibri" w:hAnsi="Times New Roman" w:cs="Times New Roman"/>
                <w:bCs/>
                <w:sz w:val="24"/>
                <w:szCs w:val="24"/>
                <w:lang w:val="lt-LT"/>
              </w:rPr>
              <w:t xml:space="preserve"> kriterijaus „Ekspertų komandos profesinė patirtis ir kvalifikacija“ parametrus P</w:t>
            </w:r>
            <w:r w:rsidRPr="00855119">
              <w:rPr>
                <w:rFonts w:ascii="Times New Roman" w:eastAsia="Calibri" w:hAnsi="Times New Roman" w:cs="Times New Roman"/>
                <w:bCs/>
                <w:sz w:val="24"/>
                <w:szCs w:val="24"/>
                <w:vertAlign w:val="subscript"/>
                <w:lang w:val="lt-LT"/>
              </w:rPr>
              <w:t>1</w:t>
            </w:r>
            <w:r w:rsidRPr="00855119">
              <w:rPr>
                <w:rFonts w:ascii="Times New Roman" w:eastAsia="Calibri" w:hAnsi="Times New Roman" w:cs="Times New Roman"/>
                <w:bCs/>
                <w:sz w:val="24"/>
                <w:szCs w:val="24"/>
                <w:lang w:val="lt-LT"/>
              </w:rPr>
              <w:t>, P</w:t>
            </w:r>
            <w:r w:rsidRPr="00855119">
              <w:rPr>
                <w:rFonts w:ascii="Times New Roman" w:eastAsia="Calibri" w:hAnsi="Times New Roman" w:cs="Times New Roman"/>
                <w:bCs/>
                <w:sz w:val="24"/>
                <w:szCs w:val="24"/>
                <w:vertAlign w:val="subscript"/>
                <w:lang w:val="lt-LT"/>
              </w:rPr>
              <w:t>2</w:t>
            </w:r>
            <w:r w:rsidRPr="00855119">
              <w:rPr>
                <w:rFonts w:ascii="Times New Roman" w:eastAsia="Calibri" w:hAnsi="Times New Roman" w:cs="Times New Roman"/>
                <w:bCs/>
                <w:sz w:val="24"/>
                <w:szCs w:val="24"/>
                <w:lang w:val="lt-LT"/>
              </w:rPr>
              <w:t>, P</w:t>
            </w:r>
            <w:r w:rsidRPr="00855119">
              <w:rPr>
                <w:rFonts w:ascii="Times New Roman" w:eastAsia="Calibri" w:hAnsi="Times New Roman" w:cs="Times New Roman"/>
                <w:bCs/>
                <w:sz w:val="24"/>
                <w:szCs w:val="24"/>
                <w:vertAlign w:val="subscript"/>
                <w:lang w:val="lt-LT"/>
              </w:rPr>
              <w:t>3</w:t>
            </w:r>
            <w:r w:rsidRPr="00855119">
              <w:rPr>
                <w:rFonts w:ascii="Times New Roman" w:eastAsia="Calibri" w:hAnsi="Times New Roman" w:cs="Times New Roman"/>
                <w:bCs/>
                <w:sz w:val="24"/>
                <w:szCs w:val="24"/>
                <w:lang w:val="lt-LT"/>
              </w:rPr>
              <w:t xml:space="preserve"> ir P</w:t>
            </w:r>
            <w:r w:rsidRPr="00855119">
              <w:rPr>
                <w:rFonts w:ascii="Times New Roman" w:eastAsia="Calibri" w:hAnsi="Times New Roman" w:cs="Times New Roman"/>
                <w:bCs/>
                <w:sz w:val="24"/>
                <w:szCs w:val="24"/>
                <w:vertAlign w:val="subscript"/>
                <w:lang w:val="lt-LT"/>
              </w:rPr>
              <w:t>4</w:t>
            </w:r>
            <w:r w:rsidRPr="00855119">
              <w:rPr>
                <w:rFonts w:ascii="Times New Roman" w:eastAsia="Calibri" w:hAnsi="Times New Roman" w:cs="Times New Roman"/>
                <w:bCs/>
                <w:sz w:val="24"/>
                <w:szCs w:val="24"/>
                <w:lang w:val="lt-LT"/>
              </w:rPr>
              <w:t>, ir jo pasiūlyta kaina būtų maksimali, t. y. lygi planuojamai sutarties vertei (86 776,86 Eur be PVM), o antrasis tiekėjas pagal visus T</w:t>
            </w:r>
            <w:r w:rsidRPr="00855119">
              <w:rPr>
                <w:rFonts w:ascii="Times New Roman" w:eastAsia="Calibri" w:hAnsi="Times New Roman" w:cs="Times New Roman"/>
                <w:bCs/>
                <w:sz w:val="24"/>
                <w:szCs w:val="24"/>
                <w:vertAlign w:val="subscript"/>
                <w:lang w:val="lt-LT"/>
              </w:rPr>
              <w:t>1</w:t>
            </w:r>
            <w:r w:rsidRPr="00855119">
              <w:rPr>
                <w:rFonts w:ascii="Times New Roman" w:eastAsia="Calibri" w:hAnsi="Times New Roman" w:cs="Times New Roman"/>
                <w:bCs/>
                <w:sz w:val="24"/>
                <w:szCs w:val="24"/>
                <w:lang w:val="lt-LT"/>
              </w:rPr>
              <w:t xml:space="preserve"> kriterijaus parametrus surinktų minimalų balų skaičių (pagal Pirkimo dokumentų 11.8 punktą</w:t>
            </w:r>
            <w:r>
              <w:rPr>
                <w:rStyle w:val="Puslapioinaosnuoroda"/>
                <w:rFonts w:ascii="Times New Roman" w:eastAsia="Calibri" w:hAnsi="Times New Roman" w:cs="Times New Roman"/>
                <w:bCs/>
                <w:sz w:val="24"/>
                <w:szCs w:val="24"/>
                <w:lang w:val="lt-LT"/>
              </w:rPr>
              <w:footnoteReference w:id="5"/>
            </w:r>
            <w:r w:rsidRPr="00855119">
              <w:rPr>
                <w:rFonts w:ascii="Times New Roman" w:eastAsia="Calibri" w:hAnsi="Times New Roman" w:cs="Times New Roman"/>
                <w:bCs/>
                <w:sz w:val="24"/>
                <w:szCs w:val="24"/>
                <w:lang w:val="lt-LT"/>
              </w:rPr>
              <w:t xml:space="preserve"> 35 balus). Šiuo atveju susiklost</w:t>
            </w:r>
            <w:r>
              <w:rPr>
                <w:rFonts w:ascii="Times New Roman" w:eastAsia="Calibri" w:hAnsi="Times New Roman" w:cs="Times New Roman"/>
                <w:bCs/>
                <w:sz w:val="24"/>
                <w:szCs w:val="24"/>
                <w:lang w:val="lt-LT"/>
              </w:rPr>
              <w:t xml:space="preserve">ytų </w:t>
            </w:r>
            <w:r w:rsidRPr="00855119">
              <w:rPr>
                <w:rFonts w:ascii="Times New Roman" w:eastAsia="Calibri" w:hAnsi="Times New Roman" w:cs="Times New Roman"/>
                <w:bCs/>
                <w:sz w:val="24"/>
                <w:szCs w:val="24"/>
                <w:lang w:val="lt-LT"/>
              </w:rPr>
              <w:t xml:space="preserve">tokia situacija, jog antrasis tiekėjas, jeigu norėtų laimėti Pirkimą, turėtų pasiūlyti kainą su neigiama reikšme, t. y. turėtų sumokėti Perkančiajai organizacijai apytiksliai </w:t>
            </w:r>
            <w:r w:rsidRPr="003A0EA8">
              <w:rPr>
                <w:rFonts w:ascii="Times New Roman" w:eastAsia="Calibri" w:hAnsi="Times New Roman" w:cs="Times New Roman"/>
                <w:bCs/>
                <w:sz w:val="24"/>
                <w:szCs w:val="24"/>
                <w:lang w:val="lt-LT"/>
              </w:rPr>
              <w:t>14 500</w:t>
            </w:r>
            <w:r w:rsidRPr="00855119">
              <w:rPr>
                <w:rFonts w:ascii="Times New Roman" w:eastAsia="Calibri" w:hAnsi="Times New Roman" w:cs="Times New Roman"/>
                <w:bCs/>
                <w:sz w:val="24"/>
                <w:szCs w:val="24"/>
                <w:lang w:val="lt-LT"/>
              </w:rPr>
              <w:t xml:space="preserve"> Eur be PVM</w:t>
            </w:r>
            <w:r w:rsidR="00F70FE6">
              <w:rPr>
                <w:rFonts w:ascii="Times New Roman" w:eastAsia="Calibri" w:hAnsi="Times New Roman" w:cs="Times New Roman"/>
                <w:bCs/>
                <w:sz w:val="24"/>
                <w:szCs w:val="24"/>
                <w:lang w:val="lt-LT"/>
              </w:rPr>
              <w:t xml:space="preserve"> (bendras balas 65), tokiu atveju pirmasis tiekėjas liktų antroje vietoje (bendras balas 64,99)</w:t>
            </w:r>
            <w:r>
              <w:rPr>
                <w:rFonts w:ascii="Times New Roman" w:eastAsia="Calibri" w:hAnsi="Times New Roman" w:cs="Times New Roman"/>
                <w:bCs/>
                <w:sz w:val="24"/>
                <w:szCs w:val="24"/>
                <w:lang w:val="lt-LT"/>
              </w:rPr>
              <w:t>.</w:t>
            </w:r>
          </w:p>
          <w:bookmarkEnd w:id="2"/>
          <w:p w14:paraId="68E3D72D" w14:textId="69975382" w:rsidR="00DE50F8" w:rsidRDefault="00DE50F8" w:rsidP="00DE50F8">
            <w:pPr>
              <w:autoSpaceDE w:val="0"/>
              <w:snapToGrid w:val="0"/>
              <w:ind w:firstLine="885"/>
              <w:jc w:val="both"/>
              <w:rPr>
                <w:sz w:val="24"/>
                <w:szCs w:val="24"/>
              </w:rPr>
            </w:pPr>
            <w:r w:rsidRPr="00371A2E">
              <w:rPr>
                <w:rFonts w:eastAsia="Calibri"/>
                <w:bCs/>
                <w:sz w:val="24"/>
                <w:szCs w:val="24"/>
              </w:rPr>
              <w:t>Apibendrinant tai, k</w:t>
            </w:r>
            <w:r>
              <w:rPr>
                <w:rFonts w:eastAsia="Calibri"/>
                <w:bCs/>
                <w:sz w:val="24"/>
                <w:szCs w:val="24"/>
              </w:rPr>
              <w:t>a</w:t>
            </w:r>
            <w:r w:rsidRPr="00371A2E">
              <w:rPr>
                <w:rFonts w:eastAsia="Calibri"/>
                <w:bCs/>
                <w:sz w:val="24"/>
                <w:szCs w:val="24"/>
              </w:rPr>
              <w:t>s išdėstyta, r</w:t>
            </w:r>
            <w:r w:rsidRPr="00371A2E">
              <w:rPr>
                <w:sz w:val="24"/>
                <w:szCs w:val="24"/>
              </w:rPr>
              <w:t>ekomenduojame ateityje prieš paskelbiant apie pirkimus atlikti situacijos modeliavimus</w:t>
            </w:r>
            <w:r>
              <w:rPr>
                <w:sz w:val="24"/>
                <w:szCs w:val="24"/>
              </w:rPr>
              <w:t xml:space="preserve">, tikslu pasitikrinti ar pagrįstai nustatyti pasiūlymų ekonominio </w:t>
            </w:r>
            <w:r>
              <w:rPr>
                <w:sz w:val="24"/>
                <w:szCs w:val="24"/>
              </w:rPr>
              <w:lastRenderedPageBreak/>
              <w:t>naudingumo kriterijų lyginamieji svoriai bei taikomos ekonominio naudingumo skaičiavimo formulės.</w:t>
            </w:r>
            <w:r w:rsidRPr="00371A2E">
              <w:rPr>
                <w:sz w:val="24"/>
                <w:szCs w:val="24"/>
              </w:rPr>
              <w:t xml:space="preserve"> </w:t>
            </w:r>
          </w:p>
        </w:tc>
      </w:tr>
    </w:tbl>
    <w:p w14:paraId="1F340523" w14:textId="697B2234" w:rsidR="00BE2622" w:rsidRDefault="00BE2622" w:rsidP="00BE2622">
      <w:pPr>
        <w:rPr>
          <w:rFonts w:eastAsia="Calibri"/>
          <w:sz w:val="24"/>
          <w:szCs w:val="24"/>
        </w:rPr>
      </w:pPr>
    </w:p>
    <w:p w14:paraId="33DC1C7A" w14:textId="77777777" w:rsidR="00034432" w:rsidRDefault="00034432" w:rsidP="00BE2622">
      <w:pPr>
        <w:rPr>
          <w:rFonts w:eastAsia="Calibri"/>
          <w:sz w:val="24"/>
          <w:szCs w:val="24"/>
        </w:rPr>
      </w:pPr>
    </w:p>
    <w:p w14:paraId="29B5C8E3" w14:textId="2D87F73B" w:rsidR="00BE2622" w:rsidRDefault="00BE2622" w:rsidP="00BE2622">
      <w:pPr>
        <w:ind w:right="-22"/>
        <w:jc w:val="both"/>
        <w:rPr>
          <w:rFonts w:eastAsia="Calibri"/>
          <w:sz w:val="24"/>
          <w:szCs w:val="24"/>
        </w:rPr>
      </w:pPr>
      <w:r>
        <w:rPr>
          <w:rFonts w:eastAsia="Calibri"/>
          <w:sz w:val="24"/>
          <w:szCs w:val="24"/>
        </w:rPr>
        <w:t>Direktoriaus pavaduotoja,</w:t>
      </w:r>
      <w:r>
        <w:rPr>
          <w:rFonts w:eastAsia="Calibri"/>
          <w:sz w:val="24"/>
          <w:szCs w:val="24"/>
        </w:rPr>
        <w:tab/>
      </w:r>
      <w:r>
        <w:rPr>
          <w:rFonts w:eastAsia="Calibri"/>
          <w:sz w:val="24"/>
          <w:szCs w:val="24"/>
        </w:rPr>
        <w:tab/>
      </w:r>
      <w:r>
        <w:rPr>
          <w:rFonts w:eastAsia="Calibri"/>
          <w:sz w:val="24"/>
          <w:szCs w:val="24"/>
        </w:rPr>
        <w:tab/>
      </w:r>
      <w:r w:rsidR="00E55630">
        <w:rPr>
          <w:rFonts w:eastAsia="Calibri"/>
          <w:sz w:val="24"/>
          <w:szCs w:val="24"/>
        </w:rPr>
        <w:t xml:space="preserve">          </w:t>
      </w:r>
      <w:r>
        <w:rPr>
          <w:rFonts w:eastAsia="Calibri"/>
          <w:sz w:val="24"/>
          <w:szCs w:val="24"/>
        </w:rPr>
        <w:t xml:space="preserve">                                                  Jovita Petkuvienė</w:t>
      </w:r>
    </w:p>
    <w:p w14:paraId="3DE876A5" w14:textId="1E3D4A44" w:rsidR="00BE2622" w:rsidRDefault="00BE2622" w:rsidP="00BE2622">
      <w:pPr>
        <w:ind w:right="-140"/>
        <w:jc w:val="both"/>
        <w:rPr>
          <w:rFonts w:eastAsia="Calibri"/>
          <w:sz w:val="24"/>
          <w:szCs w:val="24"/>
        </w:rPr>
      </w:pPr>
      <w:r>
        <w:rPr>
          <w:rFonts w:eastAsia="Calibri"/>
          <w:sz w:val="24"/>
          <w:szCs w:val="24"/>
        </w:rPr>
        <w:t>laikinai atliekanti direktoriaus funkcijas</w:t>
      </w:r>
    </w:p>
    <w:p w14:paraId="3056D34B" w14:textId="0DF4ADC1" w:rsidR="00034432" w:rsidRDefault="00034432" w:rsidP="00BE2622">
      <w:pPr>
        <w:ind w:right="-140"/>
        <w:jc w:val="both"/>
        <w:rPr>
          <w:rFonts w:eastAsia="Calibri"/>
          <w:sz w:val="24"/>
          <w:szCs w:val="24"/>
        </w:rPr>
      </w:pPr>
    </w:p>
    <w:p w14:paraId="7EBA7FDB" w14:textId="53C7DDFB" w:rsidR="00034432" w:rsidRDefault="00034432" w:rsidP="00BE2622">
      <w:pPr>
        <w:ind w:right="-140"/>
        <w:jc w:val="both"/>
        <w:rPr>
          <w:rFonts w:eastAsia="Calibri"/>
          <w:sz w:val="24"/>
          <w:szCs w:val="24"/>
        </w:rPr>
      </w:pPr>
    </w:p>
    <w:p w14:paraId="359BD5E7" w14:textId="0CE5C021" w:rsidR="00034432" w:rsidRDefault="00034432" w:rsidP="00BE2622">
      <w:pPr>
        <w:ind w:right="-140"/>
        <w:jc w:val="both"/>
        <w:rPr>
          <w:rFonts w:eastAsia="Calibri"/>
          <w:sz w:val="24"/>
          <w:szCs w:val="24"/>
        </w:rPr>
      </w:pPr>
    </w:p>
    <w:p w14:paraId="650879EB" w14:textId="113A1499" w:rsidR="0035580D" w:rsidRDefault="0035580D" w:rsidP="00BE2622">
      <w:pPr>
        <w:ind w:right="-140"/>
        <w:jc w:val="both"/>
        <w:rPr>
          <w:rFonts w:eastAsia="Calibri"/>
          <w:sz w:val="24"/>
          <w:szCs w:val="24"/>
        </w:rPr>
      </w:pPr>
    </w:p>
    <w:p w14:paraId="7C34FE75" w14:textId="1812B648" w:rsidR="0035580D" w:rsidRDefault="0035580D" w:rsidP="00BE2622">
      <w:pPr>
        <w:ind w:right="-140"/>
        <w:jc w:val="both"/>
        <w:rPr>
          <w:rFonts w:eastAsia="Calibri"/>
          <w:sz w:val="24"/>
          <w:szCs w:val="24"/>
        </w:rPr>
      </w:pPr>
    </w:p>
    <w:p w14:paraId="20E7B1AA" w14:textId="73978180" w:rsidR="0035580D" w:rsidRDefault="0035580D" w:rsidP="00BE2622">
      <w:pPr>
        <w:ind w:right="-140"/>
        <w:jc w:val="both"/>
        <w:rPr>
          <w:rFonts w:eastAsia="Calibri"/>
          <w:sz w:val="24"/>
          <w:szCs w:val="24"/>
        </w:rPr>
      </w:pPr>
    </w:p>
    <w:p w14:paraId="164FF4ED" w14:textId="1473F175" w:rsidR="0035580D" w:rsidRDefault="0035580D" w:rsidP="00BE2622">
      <w:pPr>
        <w:ind w:right="-140"/>
        <w:jc w:val="both"/>
        <w:rPr>
          <w:rFonts w:eastAsia="Calibri"/>
          <w:sz w:val="24"/>
          <w:szCs w:val="24"/>
        </w:rPr>
      </w:pPr>
    </w:p>
    <w:p w14:paraId="3F02C250" w14:textId="67E5425D" w:rsidR="0035580D" w:rsidRDefault="0035580D" w:rsidP="00BE2622">
      <w:pPr>
        <w:ind w:right="-140"/>
        <w:jc w:val="both"/>
        <w:rPr>
          <w:rFonts w:eastAsia="Calibri"/>
          <w:sz w:val="24"/>
          <w:szCs w:val="24"/>
        </w:rPr>
      </w:pPr>
    </w:p>
    <w:p w14:paraId="612FD8AD" w14:textId="03985E76" w:rsidR="0035580D" w:rsidRDefault="0035580D" w:rsidP="00BE2622">
      <w:pPr>
        <w:ind w:right="-140"/>
        <w:jc w:val="both"/>
        <w:rPr>
          <w:rFonts w:eastAsia="Calibri"/>
          <w:sz w:val="24"/>
          <w:szCs w:val="24"/>
        </w:rPr>
      </w:pPr>
    </w:p>
    <w:p w14:paraId="076C80C7" w14:textId="689516B3" w:rsidR="0035580D" w:rsidRDefault="0035580D" w:rsidP="00BE2622">
      <w:pPr>
        <w:ind w:right="-140"/>
        <w:jc w:val="both"/>
        <w:rPr>
          <w:rFonts w:eastAsia="Calibri"/>
          <w:sz w:val="24"/>
          <w:szCs w:val="24"/>
        </w:rPr>
      </w:pPr>
    </w:p>
    <w:p w14:paraId="3A94CB03" w14:textId="793D00D6" w:rsidR="0035580D" w:rsidRDefault="0035580D" w:rsidP="00BE2622">
      <w:pPr>
        <w:ind w:right="-140"/>
        <w:jc w:val="both"/>
        <w:rPr>
          <w:rFonts w:eastAsia="Calibri"/>
          <w:sz w:val="24"/>
          <w:szCs w:val="24"/>
        </w:rPr>
      </w:pPr>
    </w:p>
    <w:p w14:paraId="34560E46" w14:textId="646E6912" w:rsidR="0035580D" w:rsidRDefault="0035580D" w:rsidP="00BE2622">
      <w:pPr>
        <w:ind w:right="-140"/>
        <w:jc w:val="both"/>
        <w:rPr>
          <w:rFonts w:eastAsia="Calibri"/>
          <w:sz w:val="24"/>
          <w:szCs w:val="24"/>
        </w:rPr>
      </w:pPr>
    </w:p>
    <w:p w14:paraId="7AC1C8FA" w14:textId="77481F2B" w:rsidR="0035580D" w:rsidRDefault="0035580D" w:rsidP="00BE2622">
      <w:pPr>
        <w:ind w:right="-140"/>
        <w:jc w:val="both"/>
        <w:rPr>
          <w:rFonts w:eastAsia="Calibri"/>
          <w:sz w:val="24"/>
          <w:szCs w:val="24"/>
        </w:rPr>
      </w:pPr>
    </w:p>
    <w:p w14:paraId="24E0BAAB" w14:textId="5C660A4F" w:rsidR="0035580D" w:rsidRDefault="0035580D" w:rsidP="00BE2622">
      <w:pPr>
        <w:ind w:right="-140"/>
        <w:jc w:val="both"/>
        <w:rPr>
          <w:rFonts w:eastAsia="Calibri"/>
          <w:sz w:val="24"/>
          <w:szCs w:val="24"/>
        </w:rPr>
      </w:pPr>
    </w:p>
    <w:p w14:paraId="51A670E2" w14:textId="1C8371E0" w:rsidR="0035580D" w:rsidRDefault="0035580D" w:rsidP="00BE2622">
      <w:pPr>
        <w:ind w:right="-140"/>
        <w:jc w:val="both"/>
        <w:rPr>
          <w:rFonts w:eastAsia="Calibri"/>
          <w:sz w:val="24"/>
          <w:szCs w:val="24"/>
        </w:rPr>
      </w:pPr>
    </w:p>
    <w:p w14:paraId="79B46BD9" w14:textId="199A5CFE" w:rsidR="00EA516F" w:rsidRDefault="00EA516F" w:rsidP="00BE2622">
      <w:pPr>
        <w:ind w:right="-140"/>
        <w:jc w:val="both"/>
        <w:rPr>
          <w:rFonts w:eastAsia="Calibri"/>
          <w:sz w:val="24"/>
          <w:szCs w:val="24"/>
        </w:rPr>
      </w:pPr>
    </w:p>
    <w:p w14:paraId="51EE4B2C" w14:textId="3DC6BB17" w:rsidR="00EA516F" w:rsidRDefault="00EA516F" w:rsidP="00BE2622">
      <w:pPr>
        <w:ind w:right="-140"/>
        <w:jc w:val="both"/>
        <w:rPr>
          <w:rFonts w:eastAsia="Calibri"/>
          <w:sz w:val="24"/>
          <w:szCs w:val="24"/>
        </w:rPr>
      </w:pPr>
    </w:p>
    <w:p w14:paraId="0C042E9C" w14:textId="177CD491" w:rsidR="00EA516F" w:rsidRDefault="00EA516F" w:rsidP="00BE2622">
      <w:pPr>
        <w:ind w:right="-140"/>
        <w:jc w:val="both"/>
        <w:rPr>
          <w:rFonts w:eastAsia="Calibri"/>
          <w:sz w:val="24"/>
          <w:szCs w:val="24"/>
        </w:rPr>
      </w:pPr>
    </w:p>
    <w:p w14:paraId="2AF37380" w14:textId="58A2D183" w:rsidR="00EA516F" w:rsidRDefault="00EA516F" w:rsidP="00BE2622">
      <w:pPr>
        <w:ind w:right="-140"/>
        <w:jc w:val="both"/>
        <w:rPr>
          <w:rFonts w:eastAsia="Calibri"/>
          <w:sz w:val="24"/>
          <w:szCs w:val="24"/>
        </w:rPr>
      </w:pPr>
    </w:p>
    <w:p w14:paraId="794C6A86" w14:textId="039F9204" w:rsidR="00EA516F" w:rsidRDefault="00EA516F" w:rsidP="00BE2622">
      <w:pPr>
        <w:ind w:right="-140"/>
        <w:jc w:val="both"/>
        <w:rPr>
          <w:rFonts w:eastAsia="Calibri"/>
          <w:sz w:val="24"/>
          <w:szCs w:val="24"/>
        </w:rPr>
      </w:pPr>
    </w:p>
    <w:p w14:paraId="1BB15655" w14:textId="7D49BB2A" w:rsidR="00EA516F" w:rsidRDefault="00EA516F" w:rsidP="00BE2622">
      <w:pPr>
        <w:ind w:right="-140"/>
        <w:jc w:val="both"/>
        <w:rPr>
          <w:rFonts w:eastAsia="Calibri"/>
          <w:sz w:val="24"/>
          <w:szCs w:val="24"/>
        </w:rPr>
      </w:pPr>
    </w:p>
    <w:p w14:paraId="109E349E" w14:textId="20555CB4" w:rsidR="00EA516F" w:rsidRDefault="00EA516F" w:rsidP="00BE2622">
      <w:pPr>
        <w:ind w:right="-140"/>
        <w:jc w:val="both"/>
        <w:rPr>
          <w:rFonts w:eastAsia="Calibri"/>
          <w:sz w:val="24"/>
          <w:szCs w:val="24"/>
        </w:rPr>
      </w:pPr>
    </w:p>
    <w:p w14:paraId="05D22DED" w14:textId="6B3889FA" w:rsidR="00EA516F" w:rsidRDefault="00EA516F" w:rsidP="00BE2622">
      <w:pPr>
        <w:ind w:right="-140"/>
        <w:jc w:val="both"/>
        <w:rPr>
          <w:rFonts w:eastAsia="Calibri"/>
          <w:sz w:val="24"/>
          <w:szCs w:val="24"/>
        </w:rPr>
      </w:pPr>
    </w:p>
    <w:p w14:paraId="73123474" w14:textId="1C733111" w:rsidR="00EA516F" w:rsidRDefault="00EA516F" w:rsidP="00BE2622">
      <w:pPr>
        <w:ind w:right="-140"/>
        <w:jc w:val="both"/>
        <w:rPr>
          <w:rFonts w:eastAsia="Calibri"/>
          <w:sz w:val="24"/>
          <w:szCs w:val="24"/>
        </w:rPr>
      </w:pPr>
    </w:p>
    <w:p w14:paraId="0A2E1473" w14:textId="24D326E4" w:rsidR="00EA516F" w:rsidRDefault="00EA516F" w:rsidP="00BE2622">
      <w:pPr>
        <w:ind w:right="-140"/>
        <w:jc w:val="both"/>
        <w:rPr>
          <w:rFonts w:eastAsia="Calibri"/>
          <w:sz w:val="24"/>
          <w:szCs w:val="24"/>
        </w:rPr>
      </w:pPr>
    </w:p>
    <w:p w14:paraId="5387CB9F" w14:textId="1B9B87F4" w:rsidR="00EA516F" w:rsidRDefault="00EA516F" w:rsidP="00BE2622">
      <w:pPr>
        <w:ind w:right="-140"/>
        <w:jc w:val="both"/>
        <w:rPr>
          <w:rFonts w:eastAsia="Calibri"/>
          <w:sz w:val="24"/>
          <w:szCs w:val="24"/>
        </w:rPr>
      </w:pPr>
    </w:p>
    <w:p w14:paraId="38BB526A" w14:textId="05557DE2" w:rsidR="00EA516F" w:rsidRDefault="00EA516F" w:rsidP="00BE2622">
      <w:pPr>
        <w:ind w:right="-140"/>
        <w:jc w:val="both"/>
        <w:rPr>
          <w:rFonts w:eastAsia="Calibri"/>
          <w:sz w:val="24"/>
          <w:szCs w:val="24"/>
        </w:rPr>
      </w:pPr>
    </w:p>
    <w:p w14:paraId="3BCB049E" w14:textId="394CECDD" w:rsidR="00EA516F" w:rsidRDefault="00EA516F" w:rsidP="00BE2622">
      <w:pPr>
        <w:ind w:right="-140"/>
        <w:jc w:val="both"/>
        <w:rPr>
          <w:rFonts w:eastAsia="Calibri"/>
          <w:sz w:val="24"/>
          <w:szCs w:val="24"/>
        </w:rPr>
      </w:pPr>
    </w:p>
    <w:p w14:paraId="57279EB2" w14:textId="25FFE649" w:rsidR="00F05F3C" w:rsidRDefault="00F05F3C" w:rsidP="00BE2622">
      <w:pPr>
        <w:ind w:right="-140"/>
        <w:jc w:val="both"/>
        <w:rPr>
          <w:rFonts w:eastAsia="Calibri"/>
          <w:sz w:val="24"/>
          <w:szCs w:val="24"/>
        </w:rPr>
      </w:pPr>
    </w:p>
    <w:p w14:paraId="65324D44" w14:textId="55CB263C" w:rsidR="00F05F3C" w:rsidRDefault="00F05F3C" w:rsidP="00BE2622">
      <w:pPr>
        <w:ind w:right="-140"/>
        <w:jc w:val="both"/>
        <w:rPr>
          <w:rFonts w:eastAsia="Calibri"/>
          <w:sz w:val="24"/>
          <w:szCs w:val="24"/>
        </w:rPr>
      </w:pPr>
    </w:p>
    <w:p w14:paraId="6D86A14A" w14:textId="60E67763" w:rsidR="00F05F3C" w:rsidRDefault="00F05F3C" w:rsidP="00BE2622">
      <w:pPr>
        <w:ind w:right="-140"/>
        <w:jc w:val="both"/>
        <w:rPr>
          <w:rFonts w:eastAsia="Calibri"/>
          <w:sz w:val="24"/>
          <w:szCs w:val="24"/>
        </w:rPr>
      </w:pPr>
    </w:p>
    <w:p w14:paraId="047EF333" w14:textId="1544A407" w:rsidR="00F05F3C" w:rsidRDefault="00F05F3C" w:rsidP="00BE2622">
      <w:pPr>
        <w:ind w:right="-140"/>
        <w:jc w:val="both"/>
        <w:rPr>
          <w:rFonts w:eastAsia="Calibri"/>
          <w:sz w:val="24"/>
          <w:szCs w:val="24"/>
        </w:rPr>
      </w:pPr>
    </w:p>
    <w:p w14:paraId="05555260" w14:textId="3545D856" w:rsidR="00F05F3C" w:rsidRDefault="00F05F3C" w:rsidP="00BE2622">
      <w:pPr>
        <w:ind w:right="-140"/>
        <w:jc w:val="both"/>
        <w:rPr>
          <w:rFonts w:eastAsia="Calibri"/>
          <w:sz w:val="24"/>
          <w:szCs w:val="24"/>
        </w:rPr>
      </w:pPr>
    </w:p>
    <w:p w14:paraId="53891C34" w14:textId="4E0BE33D" w:rsidR="00F05F3C" w:rsidRDefault="00F05F3C" w:rsidP="00BE2622">
      <w:pPr>
        <w:ind w:right="-140"/>
        <w:jc w:val="both"/>
        <w:rPr>
          <w:rFonts w:eastAsia="Calibri"/>
          <w:sz w:val="24"/>
          <w:szCs w:val="24"/>
        </w:rPr>
      </w:pPr>
    </w:p>
    <w:p w14:paraId="391967AA" w14:textId="1EAAA9B2" w:rsidR="00F05F3C" w:rsidRDefault="00F05F3C" w:rsidP="00BE2622">
      <w:pPr>
        <w:ind w:right="-140"/>
        <w:jc w:val="both"/>
        <w:rPr>
          <w:rFonts w:eastAsia="Calibri"/>
          <w:sz w:val="24"/>
          <w:szCs w:val="24"/>
        </w:rPr>
      </w:pPr>
    </w:p>
    <w:p w14:paraId="143CC957" w14:textId="7B04C081" w:rsidR="00F05F3C" w:rsidRDefault="00F05F3C" w:rsidP="00BE2622">
      <w:pPr>
        <w:ind w:right="-140"/>
        <w:jc w:val="both"/>
        <w:rPr>
          <w:rFonts w:eastAsia="Calibri"/>
          <w:sz w:val="24"/>
          <w:szCs w:val="24"/>
        </w:rPr>
      </w:pPr>
    </w:p>
    <w:p w14:paraId="005A1405" w14:textId="1ABEC0BC" w:rsidR="00F05F3C" w:rsidRDefault="00F05F3C" w:rsidP="00BE2622">
      <w:pPr>
        <w:ind w:right="-140"/>
        <w:jc w:val="both"/>
        <w:rPr>
          <w:rFonts w:eastAsia="Calibri"/>
          <w:sz w:val="24"/>
          <w:szCs w:val="24"/>
        </w:rPr>
      </w:pPr>
    </w:p>
    <w:p w14:paraId="22F4B9A0" w14:textId="2182025F" w:rsidR="00F05F3C" w:rsidRDefault="00F05F3C" w:rsidP="00BE2622">
      <w:pPr>
        <w:ind w:right="-140"/>
        <w:jc w:val="both"/>
        <w:rPr>
          <w:rFonts w:eastAsia="Calibri"/>
          <w:sz w:val="24"/>
          <w:szCs w:val="24"/>
        </w:rPr>
      </w:pPr>
    </w:p>
    <w:p w14:paraId="13A1C8C9" w14:textId="40A08B6E" w:rsidR="00F05F3C" w:rsidRDefault="00F05F3C" w:rsidP="00BE2622">
      <w:pPr>
        <w:ind w:right="-140"/>
        <w:jc w:val="both"/>
        <w:rPr>
          <w:rFonts w:eastAsia="Calibri"/>
          <w:sz w:val="24"/>
          <w:szCs w:val="24"/>
        </w:rPr>
      </w:pPr>
    </w:p>
    <w:p w14:paraId="6A11CE94" w14:textId="482EF8E1" w:rsidR="00F05F3C" w:rsidRDefault="00F05F3C" w:rsidP="00BE2622">
      <w:pPr>
        <w:ind w:right="-140"/>
        <w:jc w:val="both"/>
        <w:rPr>
          <w:rFonts w:eastAsia="Calibri"/>
          <w:sz w:val="24"/>
          <w:szCs w:val="24"/>
        </w:rPr>
      </w:pPr>
    </w:p>
    <w:p w14:paraId="777BB16E" w14:textId="77777777" w:rsidR="00F05F3C" w:rsidRDefault="00F05F3C" w:rsidP="00BE2622">
      <w:pPr>
        <w:ind w:right="-140"/>
        <w:jc w:val="both"/>
        <w:rPr>
          <w:rFonts w:eastAsia="Calibri"/>
          <w:sz w:val="24"/>
          <w:szCs w:val="24"/>
        </w:rPr>
      </w:pPr>
    </w:p>
    <w:p w14:paraId="3479FC6D" w14:textId="46D5BBBC" w:rsidR="00EA516F" w:rsidRDefault="00EA516F" w:rsidP="00BE2622">
      <w:pPr>
        <w:ind w:right="-140"/>
        <w:jc w:val="both"/>
        <w:rPr>
          <w:rFonts w:eastAsia="Calibri"/>
          <w:sz w:val="24"/>
          <w:szCs w:val="24"/>
        </w:rPr>
      </w:pPr>
    </w:p>
    <w:p w14:paraId="109008D8" w14:textId="00B00F61" w:rsidR="00EA516F" w:rsidRDefault="00EA516F" w:rsidP="00BE2622">
      <w:pPr>
        <w:ind w:right="-140"/>
        <w:jc w:val="both"/>
        <w:rPr>
          <w:rFonts w:eastAsia="Calibri"/>
          <w:sz w:val="24"/>
          <w:szCs w:val="24"/>
        </w:rPr>
      </w:pPr>
    </w:p>
    <w:p w14:paraId="7D4AA598" w14:textId="77777777" w:rsidR="00EA516F" w:rsidRDefault="00EA516F" w:rsidP="00BE2622">
      <w:pPr>
        <w:ind w:right="-140"/>
        <w:jc w:val="both"/>
        <w:rPr>
          <w:rFonts w:eastAsia="Calibri"/>
          <w:sz w:val="24"/>
          <w:szCs w:val="24"/>
        </w:rPr>
      </w:pPr>
    </w:p>
    <w:p w14:paraId="78B6C2F1" w14:textId="77777777" w:rsidR="0035580D" w:rsidRDefault="0035580D" w:rsidP="00BE2622">
      <w:pPr>
        <w:ind w:right="-140"/>
        <w:jc w:val="both"/>
        <w:rPr>
          <w:rFonts w:eastAsia="Calibri"/>
          <w:sz w:val="24"/>
          <w:szCs w:val="24"/>
        </w:rPr>
      </w:pPr>
    </w:p>
    <w:p w14:paraId="45CAD3E6" w14:textId="3669D217" w:rsidR="00E5612A" w:rsidRDefault="00371A2E">
      <w:r w:rsidRPr="00034432">
        <w:rPr>
          <w:sz w:val="24"/>
          <w:szCs w:val="24"/>
        </w:rPr>
        <w:t>E</w:t>
      </w:r>
      <w:r w:rsidR="00BE2622" w:rsidRPr="00034432">
        <w:rPr>
          <w:sz w:val="24"/>
          <w:szCs w:val="24"/>
        </w:rPr>
        <w:t xml:space="preserve">. Spudulytė, tel. (8 5) 219 7005, faks. (8 5) 213 6213, el. p. </w:t>
      </w:r>
      <w:hyperlink r:id="rId12" w:history="1">
        <w:r w:rsidR="00BE2622" w:rsidRPr="00034432">
          <w:rPr>
            <w:rStyle w:val="Hipersaitas"/>
            <w:sz w:val="24"/>
            <w:szCs w:val="24"/>
          </w:rPr>
          <w:t>Egle.Spudulyte@vpt.lt</w:t>
        </w:r>
      </w:hyperlink>
    </w:p>
    <w:sectPr w:rsidR="00E5612A" w:rsidSect="00371A2E">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851"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9CAB1" w14:textId="77777777" w:rsidR="00A1758E" w:rsidRDefault="00A1758E" w:rsidP="00BE2622">
      <w:r>
        <w:separator/>
      </w:r>
    </w:p>
  </w:endnote>
  <w:endnote w:type="continuationSeparator" w:id="0">
    <w:p w14:paraId="232DCDB9" w14:textId="77777777" w:rsidR="00A1758E" w:rsidRDefault="00A1758E" w:rsidP="00B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D36A1" w14:textId="77777777" w:rsidR="00F300F5" w:rsidRDefault="00F300F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C2D7D" w14:textId="77777777" w:rsidR="00EF7000" w:rsidRDefault="00A1758E">
    <w:pPr>
      <w:pStyle w:val="Porat"/>
    </w:pPr>
  </w:p>
  <w:p w14:paraId="1A59FFDC" w14:textId="77777777" w:rsidR="00EF7000" w:rsidRDefault="00A1758E">
    <w:pPr>
      <w:pStyle w:val="Porat"/>
    </w:pPr>
  </w:p>
  <w:p w14:paraId="09B96089" w14:textId="77777777" w:rsidR="00EF7000" w:rsidRDefault="00A175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E8281" w14:textId="1D67FD14" w:rsidR="00EF7000" w:rsidRPr="00C96169" w:rsidRDefault="00E746EB" w:rsidP="00345795">
    <w:pPr>
      <w:pBdr>
        <w:top w:val="single" w:sz="4" w:space="1" w:color="auto"/>
      </w:pBdr>
    </w:pPr>
    <w:r>
      <w:rPr>
        <w:noProof/>
        <w:lang w:eastAsia="lt-LT"/>
      </w:rPr>
      <w:drawing>
        <wp:anchor distT="0" distB="0" distL="114300" distR="114300" simplePos="0" relativeHeight="251659264" behindDoc="0" locked="0" layoutInCell="1" allowOverlap="1" wp14:anchorId="119A6979" wp14:editId="6BCCF5C9">
          <wp:simplePos x="0" y="0"/>
          <wp:positionH relativeFrom="margin">
            <wp:posOffset>5130165</wp:posOffset>
          </wp:positionH>
          <wp:positionV relativeFrom="paragraph">
            <wp:posOffset>50165</wp:posOffset>
          </wp:positionV>
          <wp:extent cx="990600" cy="742950"/>
          <wp:effectExtent l="0" t="0" r="0" b="0"/>
          <wp:wrapNone/>
          <wp:docPr id="2" name="Paveikslėlis 2"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C96169">
      <w:t>Biudžetinė įstaiga</w:t>
    </w:r>
    <w:r>
      <w:tab/>
      <w:t xml:space="preserve">        </w:t>
    </w:r>
    <w:r w:rsidR="00F300F5">
      <w:t xml:space="preserve">                       </w:t>
    </w:r>
    <w:r>
      <w:t xml:space="preserve"> </w:t>
    </w:r>
    <w:r w:rsidRPr="00C96169">
      <w:t>Tel. (8 5) 219 7001</w:t>
    </w:r>
    <w:r>
      <w:t xml:space="preserve">               </w:t>
    </w:r>
    <w:r w:rsidRPr="00C96169">
      <w:t>Duomenys kaupiami ir saugomi</w:t>
    </w:r>
  </w:p>
  <w:p w14:paraId="504144A9" w14:textId="77777777" w:rsidR="00EF7000" w:rsidRPr="00C96169" w:rsidRDefault="00E746EB" w:rsidP="00345795">
    <w:pPr>
      <w:pBdr>
        <w:top w:val="single" w:sz="4" w:space="1" w:color="auto"/>
      </w:pBdr>
      <w:jc w:val="both"/>
    </w:pPr>
    <w:r w:rsidRPr="00C96169">
      <w:t>Kareivių g. 1, LT-</w:t>
    </w:r>
    <w:r>
      <w:t>08351</w:t>
    </w:r>
    <w:r w:rsidRPr="00C96169">
      <w:t xml:space="preserve"> Vilnius</w:t>
    </w:r>
    <w:r>
      <w:t xml:space="preserve">         </w:t>
    </w:r>
    <w:r w:rsidRPr="00C96169">
      <w:t>Faks. (8 5) 213 6213</w:t>
    </w:r>
    <w:r>
      <w:t xml:space="preserve">             </w:t>
    </w:r>
    <w:r w:rsidRPr="00C96169">
      <w:t>Juridinių asmenų registre</w:t>
    </w:r>
    <w:r>
      <w:t xml:space="preserve"> </w:t>
    </w:r>
  </w:p>
  <w:p w14:paraId="137BC7CD" w14:textId="226C8444" w:rsidR="00EF7000" w:rsidRPr="004D1BAD" w:rsidRDefault="00A1758E" w:rsidP="00F300F5">
    <w:pPr>
      <w:pBdr>
        <w:top w:val="single" w:sz="4" w:space="1" w:color="auto"/>
      </w:pBdr>
      <w:jc w:val="both"/>
    </w:pPr>
    <w:hyperlink r:id="rId3" w:history="1">
      <w:r w:rsidR="00E746EB" w:rsidRPr="00C96169">
        <w:rPr>
          <w:rStyle w:val="Hipersaitas"/>
        </w:rPr>
        <w:t>http://www.vpt.lrv.lt</w:t>
      </w:r>
    </w:hyperlink>
    <w:r w:rsidR="00E746EB" w:rsidRPr="00C96169">
      <w:tab/>
    </w:r>
    <w:r w:rsidR="00E746EB">
      <w:t xml:space="preserve">      </w:t>
    </w:r>
    <w:r w:rsidR="00F300F5">
      <w:t xml:space="preserve">         </w:t>
    </w:r>
    <w:r w:rsidR="00E746EB">
      <w:t xml:space="preserve">   </w:t>
    </w:r>
    <w:r w:rsidR="00E746EB" w:rsidRPr="00C96169">
      <w:t xml:space="preserve">El. p. </w:t>
    </w:r>
    <w:hyperlink r:id="rId4" w:history="1">
      <w:r w:rsidR="00E746EB" w:rsidRPr="00C96169">
        <w:rPr>
          <w:rStyle w:val="Hipersaitas"/>
        </w:rPr>
        <w:t>info@vpt.lt</w:t>
      </w:r>
    </w:hyperlink>
    <w:r w:rsidR="00E746EB">
      <w:t xml:space="preserve">                  </w:t>
    </w:r>
    <w:r w:rsidR="00E746EB" w:rsidRPr="00C96169">
      <w:t>Kodas 188656261</w:t>
    </w:r>
    <w:r w:rsidR="00E746EB">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58EF" w14:textId="77777777" w:rsidR="00A1758E" w:rsidRDefault="00A1758E" w:rsidP="00BE2622">
      <w:r>
        <w:separator/>
      </w:r>
    </w:p>
  </w:footnote>
  <w:footnote w:type="continuationSeparator" w:id="0">
    <w:p w14:paraId="4CCBC2EA" w14:textId="77777777" w:rsidR="00A1758E" w:rsidRDefault="00A1758E" w:rsidP="00BE2622">
      <w:r>
        <w:continuationSeparator/>
      </w:r>
    </w:p>
  </w:footnote>
  <w:footnote w:id="1">
    <w:p w14:paraId="2694AA12" w14:textId="77777777" w:rsidR="00DE50F8" w:rsidRPr="00456B76" w:rsidRDefault="00DE50F8" w:rsidP="00456B76">
      <w:pPr>
        <w:pStyle w:val="Puslapioinaostekstas"/>
        <w:jc w:val="both"/>
        <w:rPr>
          <w:rFonts w:ascii="Times New Roman" w:hAnsi="Times New Roman" w:cs="Times New Roman"/>
        </w:rPr>
      </w:pPr>
      <w:r w:rsidRPr="00456B76">
        <w:rPr>
          <w:rStyle w:val="Puslapioinaosnuoroda"/>
          <w:rFonts w:ascii="Times New Roman" w:hAnsi="Times New Roman" w:cs="Times New Roman"/>
        </w:rPr>
        <w:footnoteRef/>
      </w:r>
      <w:r w:rsidRPr="00456B76">
        <w:rPr>
          <w:rFonts w:ascii="Times New Roman" w:hAnsi="Times New Roman" w:cs="Times New Roman"/>
        </w:rPr>
        <w:t xml:space="preserve"> Pirkimo dokumentų 8 priedo „Ekonominio naudingumo kriterijaus parametrų vertinimo skalė ir aprašymas“ lentelė;</w:t>
      </w:r>
    </w:p>
  </w:footnote>
  <w:footnote w:id="2">
    <w:p w14:paraId="304D3D98" w14:textId="498E11C6" w:rsidR="00DE50F8" w:rsidRDefault="00DE50F8" w:rsidP="00B15288">
      <w:pPr>
        <w:tabs>
          <w:tab w:val="left" w:pos="510"/>
        </w:tabs>
        <w:jc w:val="both"/>
      </w:pPr>
      <w:r w:rsidRPr="00456B76">
        <w:rPr>
          <w:rStyle w:val="Puslapioinaosnuoroda"/>
        </w:rPr>
        <w:footnoteRef/>
      </w:r>
      <w:r w:rsidRPr="00456B76">
        <w:t xml:space="preserve"> Pirkimo dokumentų 4.1.3.2 punktas: </w:t>
      </w:r>
      <w:r>
        <w:t>„</w:t>
      </w:r>
      <w:r w:rsidRPr="00456B76">
        <w:t xml:space="preserve">Tiekėjo siūloma pagrindinių ekspertų grupė turi bendrai atitikti šiuos reikalavimus (kiekvienas pasiūlytas ekspertas turi atitikti bent vieną reikalavimą): </w:t>
      </w:r>
      <w:r w:rsidRPr="00456B76">
        <w:rPr>
          <w:color w:val="000000"/>
        </w:rPr>
        <w:t xml:space="preserve">1. per pastaruosius 3 metus </w:t>
      </w:r>
      <w:r w:rsidRPr="00456B76">
        <w:rPr>
          <w:i/>
          <w:iCs/>
          <w:color w:val="000000"/>
        </w:rPr>
        <w:t>vadovavo ne mažiau kaip 1 investicijų poveikio vertinimui</w:t>
      </w:r>
      <w:r w:rsidR="001858C8">
        <w:rPr>
          <w:color w:val="000000"/>
        </w:rPr>
        <w:t xml:space="preserve"> </w:t>
      </w:r>
      <w:r w:rsidR="001858C8" w:rsidRPr="00E4233B">
        <w:rPr>
          <w:color w:val="000000"/>
        </w:rPr>
        <w:t>&lt;...&gt;</w:t>
      </w:r>
      <w:r w:rsidR="001858C8">
        <w:rPr>
          <w:color w:val="000000"/>
        </w:rPr>
        <w:t>,</w:t>
      </w:r>
      <w:r w:rsidRPr="00456B76">
        <w:rPr>
          <w:color w:val="000000"/>
        </w:rPr>
        <w:t xml:space="preserve"> kuriame buvo taikytas teorija grįsto vertinimo požiūris</w:t>
      </w:r>
      <w:r w:rsidR="00173FF1">
        <w:rPr>
          <w:color w:val="000000"/>
        </w:rPr>
        <w:t xml:space="preserve"> </w:t>
      </w:r>
      <w:r w:rsidR="00173FF1" w:rsidRPr="00E4233B">
        <w:rPr>
          <w:color w:val="000000"/>
        </w:rPr>
        <w:t>&lt;...&gt;</w:t>
      </w:r>
      <w:r w:rsidRPr="00456B76">
        <w:rPr>
          <w:color w:val="000000"/>
        </w:rPr>
        <w:t xml:space="preserve">; 2. per pastaruosius 3 metus </w:t>
      </w:r>
      <w:r w:rsidRPr="00456B76">
        <w:rPr>
          <w:i/>
          <w:iCs/>
          <w:color w:val="000000"/>
        </w:rPr>
        <w:t xml:space="preserve">atliko ne mažiau kaip 1 </w:t>
      </w:r>
      <w:r w:rsidRPr="00456B76">
        <w:rPr>
          <w:i/>
          <w:iCs/>
        </w:rPr>
        <w:t>investicijų poveikio</w:t>
      </w:r>
      <w:r w:rsidRPr="00456B76">
        <w:rPr>
          <w:i/>
          <w:iCs/>
          <w:color w:val="000000"/>
        </w:rPr>
        <w:t xml:space="preserve"> vertinimą</w:t>
      </w:r>
      <w:r w:rsidRPr="00456B76">
        <w:rPr>
          <w:color w:val="000000"/>
        </w:rPr>
        <w:t xml:space="preserve"> </w:t>
      </w:r>
      <w:r w:rsidR="001858C8" w:rsidRPr="00E4233B">
        <w:rPr>
          <w:color w:val="000000"/>
        </w:rPr>
        <w:t>&lt;...&gt;</w:t>
      </w:r>
      <w:r w:rsidRPr="00456B76">
        <w:rPr>
          <w:color w:val="000000"/>
        </w:rPr>
        <w:t>, kuriame taikė kaštų naudos analizę</w:t>
      </w:r>
      <w:r>
        <w:rPr>
          <w:color w:val="000000"/>
        </w:rPr>
        <w:t xml:space="preserve">; </w:t>
      </w:r>
      <w:r w:rsidRPr="00456B76">
        <w:rPr>
          <w:color w:val="000000"/>
        </w:rPr>
        <w:t xml:space="preserve">3. per pastaruosius 3 metus </w:t>
      </w:r>
      <w:r w:rsidRPr="00456B76">
        <w:rPr>
          <w:i/>
          <w:iCs/>
          <w:color w:val="000000"/>
        </w:rPr>
        <w:t>atliko ne mažiau kaip 1 investicijų poveikio vertinimą</w:t>
      </w:r>
      <w:r w:rsidR="001858C8">
        <w:rPr>
          <w:color w:val="000000"/>
        </w:rPr>
        <w:t xml:space="preserve"> </w:t>
      </w:r>
      <w:r w:rsidR="001858C8" w:rsidRPr="00E4233B">
        <w:rPr>
          <w:color w:val="000000"/>
        </w:rPr>
        <w:t>&lt;...&gt;</w:t>
      </w:r>
      <w:r w:rsidRPr="00456B76">
        <w:rPr>
          <w:color w:val="000000"/>
        </w:rPr>
        <w:t>.</w:t>
      </w:r>
      <w:r>
        <w:rPr>
          <w:color w:val="000000"/>
        </w:rPr>
        <w:t xml:space="preserve"> </w:t>
      </w:r>
      <w:r w:rsidRPr="00456B76">
        <w:rPr>
          <w:color w:val="000000"/>
        </w:rPr>
        <w:t xml:space="preserve">4. per pastaruosius 3 metus </w:t>
      </w:r>
      <w:r w:rsidRPr="00456B76">
        <w:rPr>
          <w:i/>
          <w:iCs/>
          <w:color w:val="000000"/>
        </w:rPr>
        <w:t>atliko ne mažiau kaip 1 investicijų poveikio vertinimą</w:t>
      </w:r>
      <w:r w:rsidRPr="00456B76">
        <w:rPr>
          <w:color w:val="000000"/>
        </w:rPr>
        <w:t xml:space="preserve"> </w:t>
      </w:r>
      <w:r w:rsidR="001858C8" w:rsidRPr="00E4233B">
        <w:rPr>
          <w:color w:val="000000"/>
        </w:rPr>
        <w:t>&lt;...&gt;</w:t>
      </w:r>
      <w:r>
        <w:rPr>
          <w:color w:val="000000"/>
        </w:rPr>
        <w:t>.</w:t>
      </w:r>
      <w:r w:rsidR="00173FF1">
        <w:rPr>
          <w:color w:val="000000"/>
        </w:rPr>
        <w:t>“</w:t>
      </w:r>
      <w:r>
        <w:rPr>
          <w:color w:val="000000"/>
        </w:rPr>
        <w:t>;</w:t>
      </w:r>
    </w:p>
  </w:footnote>
  <w:footnote w:id="3">
    <w:p w14:paraId="1E40CDE2" w14:textId="77777777" w:rsidR="00DE50F8" w:rsidRPr="00040F50" w:rsidRDefault="00DE50F8">
      <w:pPr>
        <w:pStyle w:val="Puslapioinaostekstas"/>
        <w:rPr>
          <w:rFonts w:ascii="Times New Roman" w:hAnsi="Times New Roman" w:cs="Times New Roman"/>
        </w:rPr>
      </w:pPr>
      <w:r w:rsidRPr="00040F50">
        <w:rPr>
          <w:rStyle w:val="Puslapioinaosnuoroda"/>
          <w:rFonts w:ascii="Times New Roman" w:hAnsi="Times New Roman" w:cs="Times New Roman"/>
        </w:rPr>
        <w:footnoteRef/>
      </w:r>
      <w:r w:rsidRPr="00040F50">
        <w:rPr>
          <w:rFonts w:ascii="Times New Roman" w:hAnsi="Times New Roman" w:cs="Times New Roman"/>
        </w:rPr>
        <w:t xml:space="preserve"> Pirkimo dokumentų 7 priedas;</w:t>
      </w:r>
    </w:p>
  </w:footnote>
  <w:footnote w:id="4">
    <w:p w14:paraId="37270C87" w14:textId="77777777" w:rsidR="00DE50F8" w:rsidRDefault="00DE50F8" w:rsidP="00B15288">
      <w:pPr>
        <w:contextualSpacing/>
        <w:jc w:val="both"/>
      </w:pPr>
      <w:r w:rsidRPr="00040F50">
        <w:rPr>
          <w:rStyle w:val="Puslapioinaosnuoroda"/>
        </w:rPr>
        <w:footnoteRef/>
      </w:r>
      <w:r w:rsidRPr="00040F50">
        <w:t xml:space="preserve"> Sutarties projekto 8.1</w:t>
      </w:r>
      <w:r>
        <w:t>3</w:t>
      </w:r>
      <w:r w:rsidRPr="00040F50">
        <w:t xml:space="preserve"> punkta</w:t>
      </w:r>
      <w:r>
        <w:t>s: „</w:t>
      </w:r>
      <w:r w:rsidRPr="00B15288">
        <w:t xml:space="preserve">Jei tenka keisti ekspertą, kandidatas į jo vietą privalo turėti ne žemesnę kvalifikaciją, atitinkančią paslaugų pirkimo sąlygose nustatytus kvalifikacijos reikalavimus. Paslaugų teikėjas privalo Užsakovui pateikti siūlomo eksperto profesinės patirties aprašymą ir dokumentus, kuriais patvirtinama siūlomo eksperto kvalifikacijos atitiktis paslaugų pirkimo sąlygose nustatytiems kvalifikacijos reikalavimams. </w:t>
      </w:r>
      <w:r>
        <w:t>&lt;...&gt;.“;</w:t>
      </w:r>
    </w:p>
  </w:footnote>
  <w:footnote w:id="5">
    <w:p w14:paraId="62170E7D" w14:textId="77777777" w:rsidR="00DE50F8" w:rsidRPr="005E678B" w:rsidRDefault="00DE50F8" w:rsidP="005E678B">
      <w:pPr>
        <w:pStyle w:val="Puslapioinaostekstas"/>
        <w:jc w:val="both"/>
        <w:rPr>
          <w:rFonts w:ascii="Times New Roman" w:hAnsi="Times New Roman" w:cs="Times New Roman"/>
        </w:rPr>
      </w:pPr>
      <w:r w:rsidRPr="005E678B">
        <w:rPr>
          <w:rStyle w:val="Puslapioinaosnuoroda"/>
          <w:rFonts w:ascii="Times New Roman" w:hAnsi="Times New Roman" w:cs="Times New Roman"/>
        </w:rPr>
        <w:footnoteRef/>
      </w:r>
      <w:r w:rsidRPr="005E678B">
        <w:rPr>
          <w:rFonts w:ascii="Times New Roman" w:hAnsi="Times New Roman" w:cs="Times New Roman"/>
        </w:rPr>
        <w:t xml:space="preserve"> </w:t>
      </w:r>
      <w:r w:rsidRPr="005E678B">
        <w:rPr>
          <w:rFonts w:ascii="Times New Roman" w:eastAsia="Calibri" w:hAnsi="Times New Roman" w:cs="Times New Roman"/>
          <w:bCs/>
        </w:rPr>
        <w:t>Pirkimo sąlygų 11.8 punk</w:t>
      </w:r>
      <w:r>
        <w:rPr>
          <w:rFonts w:ascii="Times New Roman" w:eastAsia="Calibri" w:hAnsi="Times New Roman" w:cs="Times New Roman"/>
          <w:bCs/>
        </w:rPr>
        <w:t>tas:</w:t>
      </w:r>
      <w:r w:rsidRPr="005E678B">
        <w:rPr>
          <w:rFonts w:ascii="Times New Roman" w:eastAsia="Calibri" w:hAnsi="Times New Roman" w:cs="Times New Roman"/>
          <w:bCs/>
        </w:rPr>
        <w:t xml:space="preserve"> „Pasiūlymas privalo surinkti kokybę apibūdinančio kriterijaus T</w:t>
      </w:r>
      <w:r w:rsidRPr="005E678B">
        <w:rPr>
          <w:rFonts w:ascii="Times New Roman" w:eastAsia="Calibri" w:hAnsi="Times New Roman" w:cs="Times New Roman"/>
          <w:bCs/>
          <w:vertAlign w:val="subscript"/>
        </w:rPr>
        <w:t>1</w:t>
      </w:r>
      <w:r w:rsidRPr="005E678B">
        <w:rPr>
          <w:rFonts w:ascii="Times New Roman" w:eastAsia="Calibri" w:hAnsi="Times New Roman" w:cs="Times New Roman"/>
          <w:bCs/>
        </w:rPr>
        <w:t>, (antras kriterijus) minimalų 35 balų skaičių. Pasiūlymas nesurinkęs nustatyto minimalaus balų skaičiaus, bus atmetamas“</w:t>
      </w:r>
      <w:r>
        <w:rPr>
          <w:rFonts w:ascii="Times New Roman" w:eastAsia="Calibri" w:hAnsi="Times New Roman" w:cs="Times New Roman"/>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FF6B2" w14:textId="77777777" w:rsidR="00EF7000" w:rsidRDefault="00E746E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E07EFAC" w14:textId="77777777" w:rsidR="00EF7000" w:rsidRDefault="00A175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4D4DE" w14:textId="77777777" w:rsidR="00EF7000" w:rsidRDefault="00E746E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4972856" w14:textId="77777777" w:rsidR="00EF7000" w:rsidRDefault="00A1758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7F92A" w14:textId="77777777" w:rsidR="00F300F5" w:rsidRDefault="00F300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6A37"/>
    <w:multiLevelType w:val="hybridMultilevel"/>
    <w:tmpl w:val="ECF2C3C6"/>
    <w:lvl w:ilvl="0" w:tplc="74E63962">
      <w:start w:val="1"/>
      <w:numFmt w:val="decimal"/>
      <w:lvlText w:val="%1)"/>
      <w:lvlJc w:val="left"/>
      <w:pPr>
        <w:ind w:left="949" w:hanging="360"/>
      </w:pPr>
      <w:rPr>
        <w:rFonts w:hint="default"/>
      </w:rPr>
    </w:lvl>
    <w:lvl w:ilvl="1" w:tplc="04270019" w:tentative="1">
      <w:start w:val="1"/>
      <w:numFmt w:val="lowerLetter"/>
      <w:lvlText w:val="%2."/>
      <w:lvlJc w:val="left"/>
      <w:pPr>
        <w:ind w:left="1669" w:hanging="360"/>
      </w:pPr>
    </w:lvl>
    <w:lvl w:ilvl="2" w:tplc="0427001B" w:tentative="1">
      <w:start w:val="1"/>
      <w:numFmt w:val="lowerRoman"/>
      <w:lvlText w:val="%3."/>
      <w:lvlJc w:val="right"/>
      <w:pPr>
        <w:ind w:left="2389" w:hanging="180"/>
      </w:pPr>
    </w:lvl>
    <w:lvl w:ilvl="3" w:tplc="0427000F" w:tentative="1">
      <w:start w:val="1"/>
      <w:numFmt w:val="decimal"/>
      <w:lvlText w:val="%4."/>
      <w:lvlJc w:val="left"/>
      <w:pPr>
        <w:ind w:left="3109" w:hanging="360"/>
      </w:pPr>
    </w:lvl>
    <w:lvl w:ilvl="4" w:tplc="04270019" w:tentative="1">
      <w:start w:val="1"/>
      <w:numFmt w:val="lowerLetter"/>
      <w:lvlText w:val="%5."/>
      <w:lvlJc w:val="left"/>
      <w:pPr>
        <w:ind w:left="3829" w:hanging="360"/>
      </w:pPr>
    </w:lvl>
    <w:lvl w:ilvl="5" w:tplc="0427001B" w:tentative="1">
      <w:start w:val="1"/>
      <w:numFmt w:val="lowerRoman"/>
      <w:lvlText w:val="%6."/>
      <w:lvlJc w:val="right"/>
      <w:pPr>
        <w:ind w:left="4549" w:hanging="180"/>
      </w:pPr>
    </w:lvl>
    <w:lvl w:ilvl="6" w:tplc="0427000F" w:tentative="1">
      <w:start w:val="1"/>
      <w:numFmt w:val="decimal"/>
      <w:lvlText w:val="%7."/>
      <w:lvlJc w:val="left"/>
      <w:pPr>
        <w:ind w:left="5269" w:hanging="360"/>
      </w:pPr>
    </w:lvl>
    <w:lvl w:ilvl="7" w:tplc="04270019" w:tentative="1">
      <w:start w:val="1"/>
      <w:numFmt w:val="lowerLetter"/>
      <w:lvlText w:val="%8."/>
      <w:lvlJc w:val="left"/>
      <w:pPr>
        <w:ind w:left="5989" w:hanging="360"/>
      </w:pPr>
    </w:lvl>
    <w:lvl w:ilvl="8" w:tplc="0427001B" w:tentative="1">
      <w:start w:val="1"/>
      <w:numFmt w:val="lowerRoman"/>
      <w:lvlText w:val="%9."/>
      <w:lvlJc w:val="right"/>
      <w:pPr>
        <w:ind w:left="6709" w:hanging="180"/>
      </w:pPr>
    </w:lvl>
  </w:abstractNum>
  <w:abstractNum w:abstractNumId="1" w15:restartNumberingAfterBreak="0">
    <w:nsid w:val="034D560E"/>
    <w:multiLevelType w:val="hybridMultilevel"/>
    <w:tmpl w:val="3260055C"/>
    <w:lvl w:ilvl="0" w:tplc="0AD01EDC">
      <w:start w:val="1"/>
      <w:numFmt w:val="decimal"/>
      <w:lvlText w:val="%1."/>
      <w:lvlJc w:val="left"/>
      <w:pPr>
        <w:ind w:left="1603" w:hanging="360"/>
      </w:pPr>
      <w:rPr>
        <w:rFonts w:hint="default"/>
      </w:rPr>
    </w:lvl>
    <w:lvl w:ilvl="1" w:tplc="04270019" w:tentative="1">
      <w:start w:val="1"/>
      <w:numFmt w:val="lowerLetter"/>
      <w:lvlText w:val="%2."/>
      <w:lvlJc w:val="left"/>
      <w:pPr>
        <w:ind w:left="2323" w:hanging="360"/>
      </w:pPr>
    </w:lvl>
    <w:lvl w:ilvl="2" w:tplc="0427001B" w:tentative="1">
      <w:start w:val="1"/>
      <w:numFmt w:val="lowerRoman"/>
      <w:lvlText w:val="%3."/>
      <w:lvlJc w:val="right"/>
      <w:pPr>
        <w:ind w:left="3043" w:hanging="180"/>
      </w:pPr>
    </w:lvl>
    <w:lvl w:ilvl="3" w:tplc="0427000F" w:tentative="1">
      <w:start w:val="1"/>
      <w:numFmt w:val="decimal"/>
      <w:lvlText w:val="%4."/>
      <w:lvlJc w:val="left"/>
      <w:pPr>
        <w:ind w:left="3763" w:hanging="360"/>
      </w:pPr>
    </w:lvl>
    <w:lvl w:ilvl="4" w:tplc="04270019" w:tentative="1">
      <w:start w:val="1"/>
      <w:numFmt w:val="lowerLetter"/>
      <w:lvlText w:val="%5."/>
      <w:lvlJc w:val="left"/>
      <w:pPr>
        <w:ind w:left="4483" w:hanging="360"/>
      </w:pPr>
    </w:lvl>
    <w:lvl w:ilvl="5" w:tplc="0427001B" w:tentative="1">
      <w:start w:val="1"/>
      <w:numFmt w:val="lowerRoman"/>
      <w:lvlText w:val="%6."/>
      <w:lvlJc w:val="right"/>
      <w:pPr>
        <w:ind w:left="5203" w:hanging="180"/>
      </w:pPr>
    </w:lvl>
    <w:lvl w:ilvl="6" w:tplc="0427000F" w:tentative="1">
      <w:start w:val="1"/>
      <w:numFmt w:val="decimal"/>
      <w:lvlText w:val="%7."/>
      <w:lvlJc w:val="left"/>
      <w:pPr>
        <w:ind w:left="5923" w:hanging="360"/>
      </w:pPr>
    </w:lvl>
    <w:lvl w:ilvl="7" w:tplc="04270019" w:tentative="1">
      <w:start w:val="1"/>
      <w:numFmt w:val="lowerLetter"/>
      <w:lvlText w:val="%8."/>
      <w:lvlJc w:val="left"/>
      <w:pPr>
        <w:ind w:left="6643" w:hanging="360"/>
      </w:pPr>
    </w:lvl>
    <w:lvl w:ilvl="8" w:tplc="0427001B" w:tentative="1">
      <w:start w:val="1"/>
      <w:numFmt w:val="lowerRoman"/>
      <w:lvlText w:val="%9."/>
      <w:lvlJc w:val="right"/>
      <w:pPr>
        <w:ind w:left="7363" w:hanging="180"/>
      </w:pPr>
    </w:lvl>
  </w:abstractNum>
  <w:abstractNum w:abstractNumId="2" w15:restartNumberingAfterBreak="0">
    <w:nsid w:val="1A8508D3"/>
    <w:multiLevelType w:val="hybridMultilevel"/>
    <w:tmpl w:val="DB4A1EF8"/>
    <w:lvl w:ilvl="0" w:tplc="D9400F92">
      <w:start w:val="1"/>
      <w:numFmt w:val="lowerLetter"/>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2B203088"/>
    <w:multiLevelType w:val="hybridMultilevel"/>
    <w:tmpl w:val="9942F5F6"/>
    <w:lvl w:ilvl="0" w:tplc="620E3848">
      <w:start w:val="1"/>
      <w:numFmt w:val="decimal"/>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4" w15:restartNumberingAfterBreak="0">
    <w:nsid w:val="2E08242C"/>
    <w:multiLevelType w:val="hybridMultilevel"/>
    <w:tmpl w:val="8F809034"/>
    <w:lvl w:ilvl="0" w:tplc="9E4EAF36">
      <w:start w:val="1"/>
      <w:numFmt w:val="decimal"/>
      <w:lvlText w:val="%1."/>
      <w:lvlJc w:val="left"/>
      <w:pPr>
        <w:ind w:left="1240" w:hanging="360"/>
      </w:pPr>
      <w:rPr>
        <w:rFonts w:ascii="Times New Roman" w:eastAsia="Times New Roman" w:hAnsi="Times New Roman" w:cs="Times New Roman"/>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5" w15:restartNumberingAfterBreak="0">
    <w:nsid w:val="481877CC"/>
    <w:multiLevelType w:val="hybridMultilevel"/>
    <w:tmpl w:val="361E7DB0"/>
    <w:lvl w:ilvl="0" w:tplc="04270001">
      <w:start w:val="1"/>
      <w:numFmt w:val="bullet"/>
      <w:lvlText w:val=""/>
      <w:lvlJc w:val="left"/>
      <w:pPr>
        <w:ind w:left="1605" w:hanging="360"/>
      </w:pPr>
      <w:rPr>
        <w:rFonts w:ascii="Symbol" w:hAnsi="Symbol" w:hint="default"/>
      </w:rPr>
    </w:lvl>
    <w:lvl w:ilvl="1" w:tplc="04270003" w:tentative="1">
      <w:start w:val="1"/>
      <w:numFmt w:val="bullet"/>
      <w:lvlText w:val="o"/>
      <w:lvlJc w:val="left"/>
      <w:pPr>
        <w:ind w:left="2325" w:hanging="360"/>
      </w:pPr>
      <w:rPr>
        <w:rFonts w:ascii="Courier New" w:hAnsi="Courier New" w:cs="Courier New" w:hint="default"/>
      </w:rPr>
    </w:lvl>
    <w:lvl w:ilvl="2" w:tplc="04270005" w:tentative="1">
      <w:start w:val="1"/>
      <w:numFmt w:val="bullet"/>
      <w:lvlText w:val=""/>
      <w:lvlJc w:val="left"/>
      <w:pPr>
        <w:ind w:left="3045" w:hanging="360"/>
      </w:pPr>
      <w:rPr>
        <w:rFonts w:ascii="Wingdings" w:hAnsi="Wingdings" w:hint="default"/>
      </w:rPr>
    </w:lvl>
    <w:lvl w:ilvl="3" w:tplc="04270001" w:tentative="1">
      <w:start w:val="1"/>
      <w:numFmt w:val="bullet"/>
      <w:lvlText w:val=""/>
      <w:lvlJc w:val="left"/>
      <w:pPr>
        <w:ind w:left="3765" w:hanging="360"/>
      </w:pPr>
      <w:rPr>
        <w:rFonts w:ascii="Symbol" w:hAnsi="Symbol" w:hint="default"/>
      </w:rPr>
    </w:lvl>
    <w:lvl w:ilvl="4" w:tplc="04270003" w:tentative="1">
      <w:start w:val="1"/>
      <w:numFmt w:val="bullet"/>
      <w:lvlText w:val="o"/>
      <w:lvlJc w:val="left"/>
      <w:pPr>
        <w:ind w:left="4485" w:hanging="360"/>
      </w:pPr>
      <w:rPr>
        <w:rFonts w:ascii="Courier New" w:hAnsi="Courier New" w:cs="Courier New" w:hint="default"/>
      </w:rPr>
    </w:lvl>
    <w:lvl w:ilvl="5" w:tplc="04270005" w:tentative="1">
      <w:start w:val="1"/>
      <w:numFmt w:val="bullet"/>
      <w:lvlText w:val=""/>
      <w:lvlJc w:val="left"/>
      <w:pPr>
        <w:ind w:left="5205" w:hanging="360"/>
      </w:pPr>
      <w:rPr>
        <w:rFonts w:ascii="Wingdings" w:hAnsi="Wingdings" w:hint="default"/>
      </w:rPr>
    </w:lvl>
    <w:lvl w:ilvl="6" w:tplc="04270001" w:tentative="1">
      <w:start w:val="1"/>
      <w:numFmt w:val="bullet"/>
      <w:lvlText w:val=""/>
      <w:lvlJc w:val="left"/>
      <w:pPr>
        <w:ind w:left="5925" w:hanging="360"/>
      </w:pPr>
      <w:rPr>
        <w:rFonts w:ascii="Symbol" w:hAnsi="Symbol" w:hint="default"/>
      </w:rPr>
    </w:lvl>
    <w:lvl w:ilvl="7" w:tplc="04270003" w:tentative="1">
      <w:start w:val="1"/>
      <w:numFmt w:val="bullet"/>
      <w:lvlText w:val="o"/>
      <w:lvlJc w:val="left"/>
      <w:pPr>
        <w:ind w:left="6645" w:hanging="360"/>
      </w:pPr>
      <w:rPr>
        <w:rFonts w:ascii="Courier New" w:hAnsi="Courier New" w:cs="Courier New" w:hint="default"/>
      </w:rPr>
    </w:lvl>
    <w:lvl w:ilvl="8" w:tplc="04270005" w:tentative="1">
      <w:start w:val="1"/>
      <w:numFmt w:val="bullet"/>
      <w:lvlText w:val=""/>
      <w:lvlJc w:val="left"/>
      <w:pPr>
        <w:ind w:left="7365" w:hanging="360"/>
      </w:pPr>
      <w:rPr>
        <w:rFonts w:ascii="Wingdings" w:hAnsi="Wingdings" w:hint="default"/>
      </w:rPr>
    </w:lvl>
  </w:abstractNum>
  <w:abstractNum w:abstractNumId="6" w15:restartNumberingAfterBreak="0">
    <w:nsid w:val="5AF94324"/>
    <w:multiLevelType w:val="hybridMultilevel"/>
    <w:tmpl w:val="DD14FABA"/>
    <w:lvl w:ilvl="0" w:tplc="6DC2466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994C9F"/>
    <w:multiLevelType w:val="hybridMultilevel"/>
    <w:tmpl w:val="4DF061BC"/>
    <w:lvl w:ilvl="0" w:tplc="F2C8A00E">
      <w:start w:val="1"/>
      <w:numFmt w:val="decimal"/>
      <w:lvlText w:val="%1)"/>
      <w:lvlJc w:val="left"/>
      <w:pPr>
        <w:ind w:left="1245" w:hanging="360"/>
      </w:pPr>
      <w:rPr>
        <w:rFonts w:ascii="Times New Roman" w:hAnsi="Times New Roman" w:cs="Times New Roman"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8" w15:restartNumberingAfterBreak="0">
    <w:nsid w:val="67945F1A"/>
    <w:multiLevelType w:val="hybridMultilevel"/>
    <w:tmpl w:val="E44E2F9C"/>
    <w:lvl w:ilvl="0" w:tplc="03A8A930">
      <w:start w:val="1"/>
      <w:numFmt w:val="decimal"/>
      <w:lvlText w:val="%1."/>
      <w:lvlJc w:val="left"/>
      <w:pPr>
        <w:ind w:left="1243" w:hanging="360"/>
      </w:pPr>
      <w:rPr>
        <w:rFonts w:ascii="Times New Roman" w:hAnsi="Times New Roman" w:cs="Times New Roman"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num w:numId="1">
    <w:abstractNumId w:val="3"/>
  </w:num>
  <w:num w:numId="2">
    <w:abstractNumId w:val="2"/>
  </w:num>
  <w:num w:numId="3">
    <w:abstractNumId w:val="1"/>
  </w:num>
  <w:num w:numId="4">
    <w:abstractNumId w:val="0"/>
  </w:num>
  <w:num w:numId="5">
    <w:abstractNumId w:val="8"/>
  </w:num>
  <w:num w:numId="6">
    <w:abstractNumId w:val="5"/>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6E"/>
    <w:rsid w:val="00021267"/>
    <w:rsid w:val="00023B6E"/>
    <w:rsid w:val="00034432"/>
    <w:rsid w:val="00040F50"/>
    <w:rsid w:val="00043792"/>
    <w:rsid w:val="00050953"/>
    <w:rsid w:val="00067C98"/>
    <w:rsid w:val="00071AA8"/>
    <w:rsid w:val="000A68BB"/>
    <w:rsid w:val="000E0F9F"/>
    <w:rsid w:val="00115415"/>
    <w:rsid w:val="001175C0"/>
    <w:rsid w:val="00173FF1"/>
    <w:rsid w:val="001858C8"/>
    <w:rsid w:val="001E1222"/>
    <w:rsid w:val="001F291C"/>
    <w:rsid w:val="0020255E"/>
    <w:rsid w:val="0028799B"/>
    <w:rsid w:val="002A37A2"/>
    <w:rsid w:val="002D5F91"/>
    <w:rsid w:val="002E04DF"/>
    <w:rsid w:val="00301511"/>
    <w:rsid w:val="003553A3"/>
    <w:rsid w:val="0035580D"/>
    <w:rsid w:val="003672D5"/>
    <w:rsid w:val="00371A2E"/>
    <w:rsid w:val="003A0EA8"/>
    <w:rsid w:val="003C20A0"/>
    <w:rsid w:val="004439E4"/>
    <w:rsid w:val="00456B76"/>
    <w:rsid w:val="00523BAF"/>
    <w:rsid w:val="00527256"/>
    <w:rsid w:val="005B1AC5"/>
    <w:rsid w:val="005E678B"/>
    <w:rsid w:val="005F258A"/>
    <w:rsid w:val="00601629"/>
    <w:rsid w:val="00657867"/>
    <w:rsid w:val="00667BF0"/>
    <w:rsid w:val="006C2179"/>
    <w:rsid w:val="00755575"/>
    <w:rsid w:val="007639DF"/>
    <w:rsid w:val="0077676F"/>
    <w:rsid w:val="007F0ABA"/>
    <w:rsid w:val="007F3D2F"/>
    <w:rsid w:val="008345F8"/>
    <w:rsid w:val="008429C5"/>
    <w:rsid w:val="00855119"/>
    <w:rsid w:val="008D3852"/>
    <w:rsid w:val="008E7211"/>
    <w:rsid w:val="009438BD"/>
    <w:rsid w:val="009702E0"/>
    <w:rsid w:val="00990DEC"/>
    <w:rsid w:val="009C58AD"/>
    <w:rsid w:val="009C7C8A"/>
    <w:rsid w:val="00A15506"/>
    <w:rsid w:val="00A1758E"/>
    <w:rsid w:val="00A478C3"/>
    <w:rsid w:val="00A517BA"/>
    <w:rsid w:val="00AE501F"/>
    <w:rsid w:val="00B15288"/>
    <w:rsid w:val="00B33339"/>
    <w:rsid w:val="00B369EA"/>
    <w:rsid w:val="00BB34B1"/>
    <w:rsid w:val="00BE2622"/>
    <w:rsid w:val="00BE7704"/>
    <w:rsid w:val="00C03174"/>
    <w:rsid w:val="00C65194"/>
    <w:rsid w:val="00C661DA"/>
    <w:rsid w:val="00C82AB5"/>
    <w:rsid w:val="00C94FC8"/>
    <w:rsid w:val="00CF47C3"/>
    <w:rsid w:val="00D12306"/>
    <w:rsid w:val="00D31896"/>
    <w:rsid w:val="00D666D9"/>
    <w:rsid w:val="00DA2CDA"/>
    <w:rsid w:val="00DD6D80"/>
    <w:rsid w:val="00DE50F8"/>
    <w:rsid w:val="00E05F83"/>
    <w:rsid w:val="00E17FB6"/>
    <w:rsid w:val="00E2478C"/>
    <w:rsid w:val="00E4233B"/>
    <w:rsid w:val="00E51D95"/>
    <w:rsid w:val="00E55630"/>
    <w:rsid w:val="00E5612A"/>
    <w:rsid w:val="00E6256E"/>
    <w:rsid w:val="00E746EB"/>
    <w:rsid w:val="00E827D6"/>
    <w:rsid w:val="00EA14A2"/>
    <w:rsid w:val="00EA1D2F"/>
    <w:rsid w:val="00EA516F"/>
    <w:rsid w:val="00EB1720"/>
    <w:rsid w:val="00EF333B"/>
    <w:rsid w:val="00F05F3C"/>
    <w:rsid w:val="00F300F5"/>
    <w:rsid w:val="00F455AD"/>
    <w:rsid w:val="00F70FE6"/>
    <w:rsid w:val="00FB303B"/>
    <w:rsid w:val="00FC1786"/>
    <w:rsid w:val="00FD5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00FB"/>
  <w15:chartTrackingRefBased/>
  <w15:docId w15:val="{991197FC-4FDD-464A-9F89-821B90BF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56E"/>
    <w:pPr>
      <w:spacing w:after="0" w:line="240" w:lineRule="auto"/>
    </w:pPr>
    <w:rPr>
      <w:rFonts w:ascii="Times New Roman" w:eastAsia="Times New Roman" w:hAnsi="Times New Roman" w:cs="Times New Roman"/>
      <w:sz w:val="20"/>
      <w:szCs w:val="20"/>
      <w:lang w:val="lt-LT"/>
    </w:rPr>
  </w:style>
  <w:style w:type="paragraph" w:styleId="Antrat1">
    <w:name w:val="heading 1"/>
    <w:basedOn w:val="prastasis"/>
    <w:next w:val="prastasis"/>
    <w:link w:val="Antrat1Diagrama"/>
    <w:qFormat/>
    <w:rsid w:val="00E6256E"/>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6256E"/>
    <w:rPr>
      <w:rFonts w:ascii="Times New Roman" w:eastAsia="Times New Roman" w:hAnsi="Times New Roman" w:cs="Times New Roman"/>
      <w:b/>
      <w:bCs/>
      <w:sz w:val="32"/>
      <w:szCs w:val="32"/>
      <w:lang w:val="lt-LT"/>
    </w:rPr>
  </w:style>
  <w:style w:type="paragraph" w:styleId="Antrats">
    <w:name w:val="header"/>
    <w:basedOn w:val="prastasis"/>
    <w:link w:val="AntratsDiagrama"/>
    <w:rsid w:val="00E6256E"/>
    <w:pPr>
      <w:tabs>
        <w:tab w:val="center" w:pos="4320"/>
        <w:tab w:val="right" w:pos="8640"/>
      </w:tabs>
    </w:pPr>
  </w:style>
  <w:style w:type="character" w:customStyle="1" w:styleId="AntratsDiagrama">
    <w:name w:val="Antraštės Diagrama"/>
    <w:basedOn w:val="Numatytasispastraiposriftas"/>
    <w:link w:val="Antrats"/>
    <w:rsid w:val="00E6256E"/>
    <w:rPr>
      <w:rFonts w:ascii="Times New Roman" w:eastAsia="Times New Roman" w:hAnsi="Times New Roman" w:cs="Times New Roman"/>
      <w:sz w:val="20"/>
      <w:szCs w:val="20"/>
      <w:lang w:val="lt-LT"/>
    </w:rPr>
  </w:style>
  <w:style w:type="paragraph" w:styleId="Porat">
    <w:name w:val="footer"/>
    <w:basedOn w:val="prastasis"/>
    <w:link w:val="PoratDiagrama"/>
    <w:uiPriority w:val="99"/>
    <w:rsid w:val="00E6256E"/>
    <w:pPr>
      <w:tabs>
        <w:tab w:val="center" w:pos="4320"/>
        <w:tab w:val="right" w:pos="8640"/>
      </w:tabs>
    </w:pPr>
  </w:style>
  <w:style w:type="character" w:customStyle="1" w:styleId="PoratDiagrama">
    <w:name w:val="Poraštė Diagrama"/>
    <w:basedOn w:val="Numatytasispastraiposriftas"/>
    <w:link w:val="Porat"/>
    <w:uiPriority w:val="99"/>
    <w:rsid w:val="00E6256E"/>
    <w:rPr>
      <w:rFonts w:ascii="Times New Roman" w:eastAsia="Times New Roman" w:hAnsi="Times New Roman" w:cs="Times New Roman"/>
      <w:sz w:val="20"/>
      <w:szCs w:val="20"/>
      <w:lang w:val="lt-LT"/>
    </w:rPr>
  </w:style>
  <w:style w:type="character" w:styleId="Puslapionumeris">
    <w:name w:val="page number"/>
    <w:basedOn w:val="Numatytasispastraiposriftas"/>
    <w:rsid w:val="00E6256E"/>
  </w:style>
  <w:style w:type="character" w:styleId="Hipersaitas">
    <w:name w:val="Hyperlink"/>
    <w:uiPriority w:val="99"/>
    <w:unhideWhenUsed/>
    <w:rsid w:val="00E6256E"/>
    <w:rPr>
      <w:strike w:val="0"/>
      <w:dstrike w:val="0"/>
      <w:color w:val="6E717F"/>
      <w:u w:val="none"/>
      <w:effect w:val="none"/>
      <w:shd w:val="clear" w:color="auto" w:fill="auto"/>
    </w:rPr>
  </w:style>
  <w:style w:type="paragraph" w:styleId="Debesliotekstas">
    <w:name w:val="Balloon Text"/>
    <w:basedOn w:val="prastasis"/>
    <w:link w:val="DebesliotekstasDiagrama"/>
    <w:uiPriority w:val="99"/>
    <w:semiHidden/>
    <w:unhideWhenUsed/>
    <w:rsid w:val="00BE26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2622"/>
    <w:rPr>
      <w:rFonts w:ascii="Segoe UI" w:eastAsia="Times New Roman" w:hAnsi="Segoe UI" w:cs="Segoe UI"/>
      <w:sz w:val="18"/>
      <w:szCs w:val="18"/>
      <w:lang w:val="lt-LT"/>
    </w:rPr>
  </w:style>
  <w:style w:type="paragraph" w:styleId="Puslapioinaostekstas">
    <w:name w:val="footnote text"/>
    <w:aliases w:val="ColumnText,Footnote,Footnote Text Char Char,Fußnotentextf,Footnote Text Char2,Footnote Text Char1 Char Char,Footnote Text Char Char Char Char,Footnote Text Char1 Char Char Char Char,Footnote Text Char Char1"/>
    <w:basedOn w:val="prastasis"/>
    <w:link w:val="PuslapioinaostekstasDiagrama"/>
    <w:unhideWhenUsed/>
    <w:qFormat/>
    <w:rsid w:val="00BE2622"/>
    <w:rPr>
      <w:rFonts w:asciiTheme="minorHAnsi" w:eastAsiaTheme="minorHAnsi" w:hAnsiTheme="minorHAnsi" w:cstheme="minorBidi"/>
    </w:rPr>
  </w:style>
  <w:style w:type="character" w:customStyle="1" w:styleId="PuslapioinaostekstasDiagrama">
    <w:name w:val="Puslapio išnašos tekstas Diagrama"/>
    <w:aliases w:val="ColumnText Diagrama,Footnote Diagrama,Footnote Text Char Char Diagrama,Fußnotentextf Diagrama,Footnote Text Char2 Diagrama,Footnote Text Char1 Char Char Diagrama,Footnote Text Char Char Char Char Diagrama"/>
    <w:basedOn w:val="Numatytasispastraiposriftas"/>
    <w:link w:val="Puslapioinaostekstas"/>
    <w:rsid w:val="00BE2622"/>
    <w:rPr>
      <w:sz w:val="20"/>
      <w:szCs w:val="20"/>
      <w:lang w:val="lt-LT"/>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34"/>
    <w:qFormat/>
    <w:locked/>
    <w:rsid w:val="00BE2622"/>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BE2622"/>
    <w:pPr>
      <w:spacing w:after="200" w:line="276" w:lineRule="auto"/>
      <w:ind w:left="720"/>
      <w:contextualSpacing/>
    </w:pPr>
    <w:rPr>
      <w:rFonts w:asciiTheme="minorHAnsi" w:eastAsiaTheme="minorHAnsi" w:hAnsiTheme="minorHAnsi" w:cstheme="minorBidi"/>
      <w:sz w:val="22"/>
      <w:szCs w:val="22"/>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nhideWhenUsed/>
    <w:rsid w:val="00BE2622"/>
    <w:rPr>
      <w:vertAlign w:val="superscript"/>
    </w:rPr>
  </w:style>
  <w:style w:type="paragraph" w:styleId="Pagrindinistekstas">
    <w:name w:val="Body Text"/>
    <w:basedOn w:val="prastasis"/>
    <w:link w:val="PagrindinistekstasDiagrama"/>
    <w:uiPriority w:val="99"/>
    <w:semiHidden/>
    <w:rsid w:val="00BE2622"/>
    <w:pPr>
      <w:spacing w:after="120" w:line="276" w:lineRule="auto"/>
    </w:pPr>
    <w:rPr>
      <w:sz w:val="24"/>
      <w:szCs w:val="22"/>
    </w:rPr>
  </w:style>
  <w:style w:type="character" w:customStyle="1" w:styleId="PagrindinistekstasDiagrama">
    <w:name w:val="Pagrindinis tekstas Diagrama"/>
    <w:basedOn w:val="Numatytasispastraiposriftas"/>
    <w:link w:val="Pagrindinistekstas"/>
    <w:uiPriority w:val="99"/>
    <w:semiHidden/>
    <w:rsid w:val="00BE2622"/>
    <w:rPr>
      <w:rFonts w:ascii="Times New Roman" w:eastAsia="Times New Roman" w:hAnsi="Times New Roman" w:cs="Times New Roman"/>
      <w:sz w:val="24"/>
      <w:lang w:val="lt-LT"/>
    </w:rPr>
  </w:style>
  <w:style w:type="character" w:styleId="Komentaronuoroda">
    <w:name w:val="annotation reference"/>
    <w:basedOn w:val="Numatytasispastraiposriftas"/>
    <w:uiPriority w:val="99"/>
    <w:semiHidden/>
    <w:unhideWhenUsed/>
    <w:rsid w:val="00043792"/>
    <w:rPr>
      <w:sz w:val="16"/>
      <w:szCs w:val="16"/>
    </w:rPr>
  </w:style>
  <w:style w:type="paragraph" w:styleId="Komentarotekstas">
    <w:name w:val="annotation text"/>
    <w:basedOn w:val="prastasis"/>
    <w:link w:val="KomentarotekstasDiagrama"/>
    <w:uiPriority w:val="99"/>
    <w:semiHidden/>
    <w:unhideWhenUsed/>
    <w:rsid w:val="00043792"/>
  </w:style>
  <w:style w:type="character" w:customStyle="1" w:styleId="KomentarotekstasDiagrama">
    <w:name w:val="Komentaro tekstas Diagrama"/>
    <w:basedOn w:val="Numatytasispastraiposriftas"/>
    <w:link w:val="Komentarotekstas"/>
    <w:uiPriority w:val="99"/>
    <w:semiHidden/>
    <w:rsid w:val="0004379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43792"/>
    <w:rPr>
      <w:b/>
      <w:bCs/>
    </w:rPr>
  </w:style>
  <w:style w:type="character" w:customStyle="1" w:styleId="KomentarotemaDiagrama">
    <w:name w:val="Komentaro tema Diagrama"/>
    <w:basedOn w:val="KomentarotekstasDiagrama"/>
    <w:link w:val="Komentarotema"/>
    <w:uiPriority w:val="99"/>
    <w:semiHidden/>
    <w:rsid w:val="00043792"/>
    <w:rPr>
      <w:rFonts w:ascii="Times New Roman" w:eastAsia="Times New Roman" w:hAnsi="Times New Roman" w:cs="Times New Roman"/>
      <w:b/>
      <w:bCs/>
      <w:sz w:val="20"/>
      <w:szCs w:val="20"/>
      <w:lang w:val="lt-LT"/>
    </w:rPr>
  </w:style>
  <w:style w:type="paragraph" w:styleId="Pataisymai">
    <w:name w:val="Revision"/>
    <w:hidden/>
    <w:uiPriority w:val="99"/>
    <w:semiHidden/>
    <w:rsid w:val="00EA516F"/>
    <w:pPr>
      <w:spacing w:after="0" w:line="240" w:lineRule="auto"/>
    </w:pPr>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gle.Spudulyte@vpt.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pv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inmin@finmin.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2E88A-1C21-4A53-B4D0-9C751C3D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6068</Words>
  <Characters>3459</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4</cp:revision>
  <dcterms:created xsi:type="dcterms:W3CDTF">2020-11-03T10:29:00Z</dcterms:created>
  <dcterms:modified xsi:type="dcterms:W3CDTF">2020-11-03T11:18:00Z</dcterms:modified>
</cp:coreProperties>
</file>