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Default="00D802D2" w:rsidP="00B30B47">
      <w:pPr>
        <w:suppressAutoHyphens/>
        <w:textAlignment w:val="center"/>
        <w:rPr>
          <w:rFonts w:eastAsia="Calibri"/>
          <w:b/>
          <w:szCs w:val="24"/>
        </w:rPr>
      </w:pPr>
    </w:p>
    <w:p w14:paraId="7AF28F81" w14:textId="77777777" w:rsidR="002A07F4" w:rsidRDefault="002A07F4" w:rsidP="00B30B47">
      <w:pPr>
        <w:spacing w:line="254" w:lineRule="auto"/>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B30B47">
      <w:pPr>
        <w:spacing w:line="254" w:lineRule="auto"/>
        <w:jc w:val="center"/>
        <w:rPr>
          <w:b/>
          <w:szCs w:val="24"/>
        </w:rPr>
      </w:pPr>
    </w:p>
    <w:p w14:paraId="18EEEE4E" w14:textId="158F41E6" w:rsidR="002A07F4" w:rsidRPr="009E79C6" w:rsidRDefault="00002C5B" w:rsidP="009E79C6">
      <w:pPr>
        <w:tabs>
          <w:tab w:val="left" w:pos="709"/>
        </w:tabs>
        <w:spacing w:line="259" w:lineRule="auto"/>
        <w:ind w:firstLine="426"/>
        <w:jc w:val="center"/>
        <w:rPr>
          <w:szCs w:val="24"/>
        </w:rPr>
      </w:pPr>
      <w:r w:rsidRPr="00F64AD0">
        <w:rPr>
          <w:b/>
          <w:szCs w:val="24"/>
        </w:rPr>
        <w:t>VIEŠŲJŲ PIRKIMŲ TARNYBA</w:t>
      </w:r>
    </w:p>
    <w:tbl>
      <w:tblPr>
        <w:tblW w:w="11624" w:type="dxa"/>
        <w:tblInd w:w="-142" w:type="dxa"/>
        <w:tblLayout w:type="fixed"/>
        <w:tblLook w:val="0000" w:firstRow="0" w:lastRow="0" w:firstColumn="0" w:lastColumn="0" w:noHBand="0" w:noVBand="0"/>
      </w:tblPr>
      <w:tblGrid>
        <w:gridCol w:w="5529"/>
        <w:gridCol w:w="1559"/>
        <w:gridCol w:w="567"/>
        <w:gridCol w:w="3969"/>
      </w:tblGrid>
      <w:tr w:rsidR="00683FCE" w:rsidRPr="00F86BCF" w14:paraId="09435A67" w14:textId="77777777" w:rsidTr="0076674D">
        <w:trPr>
          <w:cantSplit/>
          <w:trHeight w:val="2459"/>
        </w:trPr>
        <w:tc>
          <w:tcPr>
            <w:tcW w:w="5529" w:type="dxa"/>
          </w:tcPr>
          <w:p w14:paraId="2D73B0C6" w14:textId="77777777" w:rsidR="009E79C6" w:rsidRPr="00A17551" w:rsidRDefault="009E79C6" w:rsidP="00B30B47">
            <w:pPr>
              <w:shd w:val="clear" w:color="auto" w:fill="FFFFFF"/>
              <w:spacing w:line="300" w:lineRule="atLeast"/>
              <w:rPr>
                <w:rFonts w:ascii="Calibri" w:hAnsi="Calibri" w:cs="Calibri"/>
                <w:sz w:val="23"/>
                <w:szCs w:val="23"/>
                <w:lang w:eastAsia="lt-LT"/>
              </w:rPr>
            </w:pPr>
          </w:p>
          <w:p w14:paraId="1AD1F428" w14:textId="77777777" w:rsidR="0076674D" w:rsidRDefault="0076674D" w:rsidP="0076674D">
            <w:pPr>
              <w:rPr>
                <w:rFonts w:eastAsia="Calibri"/>
                <w:szCs w:val="24"/>
              </w:rPr>
            </w:pPr>
            <w:r>
              <w:rPr>
                <w:rFonts w:eastAsia="Calibri"/>
                <w:szCs w:val="24"/>
              </w:rPr>
              <w:t>VšĮ Alytaus medicininės reabilitacijos</w:t>
            </w:r>
          </w:p>
          <w:p w14:paraId="03906380" w14:textId="77777777" w:rsidR="0076674D" w:rsidRPr="00E90AF7" w:rsidRDefault="0076674D" w:rsidP="0076674D">
            <w:pPr>
              <w:rPr>
                <w:rFonts w:eastAsia="Calibri"/>
                <w:szCs w:val="24"/>
              </w:rPr>
            </w:pPr>
            <w:r>
              <w:rPr>
                <w:rFonts w:eastAsia="Calibri"/>
                <w:szCs w:val="24"/>
              </w:rPr>
              <w:t xml:space="preserve"> ir sporto centrui</w:t>
            </w:r>
          </w:p>
          <w:p w14:paraId="5545C51E" w14:textId="77777777" w:rsidR="0076674D" w:rsidRDefault="0076674D" w:rsidP="0076674D">
            <w:pPr>
              <w:rPr>
                <w:rFonts w:eastAsia="Calibri"/>
                <w:szCs w:val="24"/>
              </w:rPr>
            </w:pPr>
            <w:r>
              <w:rPr>
                <w:rFonts w:eastAsia="Calibri"/>
                <w:szCs w:val="24"/>
              </w:rPr>
              <w:t>Pramonės g. 9</w:t>
            </w:r>
          </w:p>
          <w:p w14:paraId="787EDE22" w14:textId="66F23D83" w:rsidR="0076674D" w:rsidRDefault="0076674D" w:rsidP="0076674D">
            <w:pPr>
              <w:rPr>
                <w:rFonts w:eastAsia="Calibri"/>
                <w:szCs w:val="24"/>
              </w:rPr>
            </w:pPr>
            <w:r>
              <w:rPr>
                <w:rFonts w:eastAsia="Calibri"/>
                <w:szCs w:val="24"/>
              </w:rPr>
              <w:t>LT-62175 Alytus</w:t>
            </w:r>
          </w:p>
          <w:p w14:paraId="361CC2C0" w14:textId="77777777" w:rsidR="0076674D" w:rsidRDefault="0076674D" w:rsidP="0076674D">
            <w:pPr>
              <w:rPr>
                <w:rFonts w:eastAsia="Calibri"/>
                <w:szCs w:val="24"/>
              </w:rPr>
            </w:pPr>
            <w:r w:rsidRPr="00E90AF7">
              <w:rPr>
                <w:rFonts w:eastAsia="Calibri"/>
                <w:szCs w:val="24"/>
              </w:rPr>
              <w:t>El. p.</w:t>
            </w:r>
            <w:r>
              <w:rPr>
                <w:rFonts w:eastAsia="Calibri"/>
                <w:szCs w:val="24"/>
              </w:rPr>
              <w:t>:</w:t>
            </w:r>
            <w:r w:rsidRPr="00E90AF7">
              <w:rPr>
                <w:rFonts w:eastAsia="Calibri"/>
                <w:szCs w:val="24"/>
              </w:rPr>
              <w:t xml:space="preserve"> </w:t>
            </w:r>
            <w:hyperlink r:id="rId9" w:history="1">
              <w:r w:rsidRPr="00841DBD">
                <w:rPr>
                  <w:rStyle w:val="Hyperlink"/>
                  <w:rFonts w:eastAsia="Calibri"/>
                  <w:szCs w:val="24"/>
                </w:rPr>
                <w:t>info</w:t>
              </w:r>
              <w:r w:rsidRPr="00841DBD">
                <w:rPr>
                  <w:rStyle w:val="Hyperlink"/>
                  <w:rFonts w:eastAsia="Calibri"/>
                  <w:szCs w:val="24"/>
                  <w:lang w:val="en-US"/>
                </w:rPr>
                <w:t>@amrc.lt</w:t>
              </w:r>
            </w:hyperlink>
            <w:r>
              <w:rPr>
                <w:rFonts w:eastAsia="Calibri"/>
                <w:szCs w:val="24"/>
                <w:lang w:val="en-US"/>
              </w:rPr>
              <w:t xml:space="preserve"> </w:t>
            </w:r>
            <w:r w:rsidRPr="00E90AF7">
              <w:rPr>
                <w:rFonts w:eastAsia="Calibri"/>
                <w:szCs w:val="24"/>
              </w:rPr>
              <w:t xml:space="preserve"> </w:t>
            </w:r>
          </w:p>
          <w:p w14:paraId="08681818" w14:textId="13C8E8E6" w:rsidR="0076674D" w:rsidRPr="008379EA" w:rsidRDefault="0076674D" w:rsidP="0076674D">
            <w:pPr>
              <w:rPr>
                <w:rFonts w:eastAsia="Calibri"/>
                <w:szCs w:val="24"/>
              </w:rPr>
            </w:pPr>
            <w:r w:rsidRPr="008379EA">
              <w:rPr>
                <w:szCs w:val="24"/>
              </w:rPr>
              <w:t>Papildomai el. p.</w:t>
            </w:r>
            <w:r>
              <w:rPr>
                <w:szCs w:val="24"/>
              </w:rPr>
              <w:t>:</w:t>
            </w:r>
            <w:r w:rsidRPr="008379EA">
              <w:rPr>
                <w:szCs w:val="24"/>
              </w:rPr>
              <w:t xml:space="preserve"> </w:t>
            </w:r>
            <w:hyperlink r:id="rId10" w:history="1">
              <w:r w:rsidRPr="00564A1C">
                <w:rPr>
                  <w:rStyle w:val="Hyperlink"/>
                  <w:szCs w:val="24"/>
                  <w:shd w:val="clear" w:color="auto" w:fill="FFFFFF"/>
                </w:rPr>
                <w:t>rasa.zymontiene@amrc.lt</w:t>
              </w:r>
            </w:hyperlink>
          </w:p>
          <w:p w14:paraId="5ADD4109" w14:textId="1DEC7245" w:rsidR="00811376" w:rsidRDefault="00811376" w:rsidP="00811376">
            <w:pPr>
              <w:rPr>
                <w:rFonts w:eastAsia="Calibri"/>
                <w:szCs w:val="24"/>
              </w:rPr>
            </w:pPr>
          </w:p>
          <w:p w14:paraId="12E888B4" w14:textId="1C984EDF" w:rsidR="0076674D" w:rsidRPr="0076674D" w:rsidRDefault="0076674D" w:rsidP="00811376">
            <w:pPr>
              <w:rPr>
                <w:lang w:eastAsia="lt-LT"/>
              </w:rPr>
            </w:pPr>
            <w:r>
              <w:rPr>
                <w:rStyle w:val="Hyperlink"/>
                <w:color w:val="auto"/>
                <w:u w:val="none"/>
                <w:lang w:eastAsia="lt-LT"/>
              </w:rPr>
              <w:t>Žiniai</w:t>
            </w:r>
          </w:p>
          <w:p w14:paraId="252090CA" w14:textId="20BE9065" w:rsidR="0043026B" w:rsidRDefault="0076674D" w:rsidP="00B30B47">
            <w:pPr>
              <w:rPr>
                <w:rStyle w:val="Hyperlink"/>
                <w:color w:val="auto"/>
                <w:u w:val="none"/>
                <w:lang w:eastAsia="lt-LT"/>
              </w:rPr>
            </w:pPr>
            <w:r>
              <w:rPr>
                <w:rStyle w:val="Hyperlink"/>
                <w:color w:val="auto"/>
                <w:u w:val="none"/>
                <w:lang w:eastAsia="lt-LT"/>
              </w:rPr>
              <w:t xml:space="preserve">Lietuvos Respublikos valstybės kontrolei </w:t>
            </w:r>
          </w:p>
          <w:p w14:paraId="49B637DA" w14:textId="23C8EB64" w:rsidR="0076674D" w:rsidRDefault="0076674D" w:rsidP="00B30B47">
            <w:pPr>
              <w:rPr>
                <w:rStyle w:val="Hyperlink"/>
                <w:color w:val="auto"/>
                <w:u w:val="none"/>
                <w:lang w:eastAsia="lt-LT"/>
              </w:rPr>
            </w:pPr>
            <w:r>
              <w:rPr>
                <w:rStyle w:val="Hyperlink"/>
                <w:color w:val="auto"/>
                <w:u w:val="none"/>
                <w:lang w:eastAsia="lt-LT"/>
              </w:rPr>
              <w:t>Pamėnkalnio g. 27</w:t>
            </w:r>
          </w:p>
          <w:p w14:paraId="6DFB2534" w14:textId="1006D10B" w:rsidR="0076674D" w:rsidRDefault="0076674D" w:rsidP="00B30B47">
            <w:pPr>
              <w:rPr>
                <w:rStyle w:val="Hyperlink"/>
                <w:color w:val="auto"/>
                <w:u w:val="none"/>
                <w:lang w:eastAsia="lt-LT"/>
              </w:rPr>
            </w:pPr>
            <w:r>
              <w:rPr>
                <w:rStyle w:val="Hyperlink"/>
                <w:color w:val="auto"/>
                <w:u w:val="none"/>
                <w:lang w:eastAsia="lt-LT"/>
              </w:rPr>
              <w:t>01113 Vilnius</w:t>
            </w:r>
          </w:p>
          <w:p w14:paraId="708E3F80" w14:textId="698C877D" w:rsidR="0076674D" w:rsidRPr="0076674D" w:rsidRDefault="0076674D" w:rsidP="00B30B47">
            <w:pPr>
              <w:rPr>
                <w:rStyle w:val="Hyperlink"/>
                <w:color w:val="auto"/>
                <w:u w:val="none"/>
                <w:lang w:val="en-US" w:eastAsia="lt-LT"/>
              </w:rPr>
            </w:pPr>
            <w:r>
              <w:rPr>
                <w:rStyle w:val="Hyperlink"/>
                <w:color w:val="auto"/>
                <w:u w:val="none"/>
                <w:lang w:eastAsia="lt-LT"/>
              </w:rPr>
              <w:t xml:space="preserve">El. p.: </w:t>
            </w:r>
            <w:hyperlink r:id="rId11" w:history="1">
              <w:r w:rsidRPr="00564A1C">
                <w:rPr>
                  <w:rStyle w:val="Hyperlink"/>
                  <w:lang w:eastAsia="lt-LT"/>
                </w:rPr>
                <w:t>info</w:t>
              </w:r>
              <w:r w:rsidRPr="00564A1C">
                <w:rPr>
                  <w:rStyle w:val="Hyperlink"/>
                  <w:lang w:val="en-US" w:eastAsia="lt-LT"/>
                </w:rPr>
                <w:t>@valstybeskontrole.lt</w:t>
              </w:r>
            </w:hyperlink>
            <w:r>
              <w:rPr>
                <w:rStyle w:val="Hyperlink"/>
                <w:color w:val="auto"/>
                <w:u w:val="none"/>
                <w:lang w:val="en-US" w:eastAsia="lt-LT"/>
              </w:rPr>
              <w:t xml:space="preserve"> </w:t>
            </w:r>
          </w:p>
          <w:p w14:paraId="0307855E" w14:textId="77777777" w:rsidR="0076674D" w:rsidRDefault="0076674D" w:rsidP="00D91FA1">
            <w:pPr>
              <w:rPr>
                <w:rStyle w:val="Hyperlink"/>
                <w:color w:val="auto"/>
                <w:u w:val="none"/>
                <w:lang w:eastAsia="lt-LT"/>
              </w:rPr>
            </w:pPr>
          </w:p>
          <w:p w14:paraId="428A8E60" w14:textId="382C2622" w:rsidR="00AB57C7" w:rsidRDefault="0076674D" w:rsidP="00626620">
            <w:pPr>
              <w:tabs>
                <w:tab w:val="left" w:pos="1395"/>
              </w:tabs>
              <w:rPr>
                <w:szCs w:val="24"/>
              </w:rPr>
            </w:pPr>
            <w:r>
              <w:rPr>
                <w:szCs w:val="24"/>
              </w:rPr>
              <w:t>Alytaus miesto savivaldyb</w:t>
            </w:r>
            <w:r w:rsidR="00FD4ED8">
              <w:rPr>
                <w:szCs w:val="24"/>
              </w:rPr>
              <w:t>ės administracijai</w:t>
            </w:r>
          </w:p>
          <w:p w14:paraId="0F7040D1" w14:textId="77777777" w:rsidR="0076674D" w:rsidRDefault="0076674D" w:rsidP="00626620">
            <w:pPr>
              <w:tabs>
                <w:tab w:val="left" w:pos="1395"/>
              </w:tabs>
              <w:rPr>
                <w:szCs w:val="24"/>
              </w:rPr>
            </w:pPr>
            <w:r>
              <w:rPr>
                <w:szCs w:val="24"/>
              </w:rPr>
              <w:t>Rotušės a. 4</w:t>
            </w:r>
          </w:p>
          <w:p w14:paraId="73C52ABD" w14:textId="77777777" w:rsidR="0076674D" w:rsidRDefault="0076674D" w:rsidP="00626620">
            <w:pPr>
              <w:tabs>
                <w:tab w:val="left" w:pos="1395"/>
              </w:tabs>
              <w:rPr>
                <w:szCs w:val="24"/>
              </w:rPr>
            </w:pPr>
            <w:r>
              <w:rPr>
                <w:szCs w:val="24"/>
              </w:rPr>
              <w:t>LT-62504Alytus</w:t>
            </w:r>
          </w:p>
          <w:p w14:paraId="42D25508" w14:textId="0B61737B" w:rsidR="0076674D" w:rsidRPr="0076674D" w:rsidRDefault="0076674D" w:rsidP="00626620">
            <w:pPr>
              <w:tabs>
                <w:tab w:val="left" w:pos="1395"/>
              </w:tabs>
              <w:rPr>
                <w:szCs w:val="24"/>
              </w:rPr>
            </w:pPr>
            <w:r>
              <w:rPr>
                <w:szCs w:val="24"/>
              </w:rPr>
              <w:t xml:space="preserve">El. p.: </w:t>
            </w:r>
            <w:hyperlink r:id="rId12" w:history="1">
              <w:r w:rsidRPr="00564A1C">
                <w:rPr>
                  <w:rStyle w:val="Hyperlink"/>
                  <w:szCs w:val="24"/>
                </w:rPr>
                <w:t>info</w:t>
              </w:r>
              <w:r w:rsidRPr="00564A1C">
                <w:rPr>
                  <w:rStyle w:val="Hyperlink"/>
                  <w:szCs w:val="24"/>
                  <w:lang w:val="en-US"/>
                </w:rPr>
                <w:t>@alytus.lt</w:t>
              </w:r>
            </w:hyperlink>
            <w:r>
              <w:rPr>
                <w:szCs w:val="24"/>
                <w:lang w:val="en-US"/>
              </w:rPr>
              <w:t xml:space="preserve"> </w:t>
            </w:r>
          </w:p>
        </w:tc>
        <w:tc>
          <w:tcPr>
            <w:tcW w:w="1559" w:type="dxa"/>
          </w:tcPr>
          <w:p w14:paraId="3181BF5A" w14:textId="77777777" w:rsidR="009E79C6" w:rsidRPr="00A17551" w:rsidRDefault="009E79C6" w:rsidP="00941F44">
            <w:pPr>
              <w:rPr>
                <w:szCs w:val="24"/>
              </w:rPr>
            </w:pPr>
          </w:p>
          <w:p w14:paraId="317E3836" w14:textId="31DEC376" w:rsidR="00683FCE" w:rsidRPr="00A17551" w:rsidRDefault="00683FCE" w:rsidP="00B30B47">
            <w:pPr>
              <w:ind w:left="-1330" w:firstLine="1330"/>
              <w:rPr>
                <w:szCs w:val="24"/>
              </w:rPr>
            </w:pPr>
            <w:r w:rsidRPr="00A17551">
              <w:rPr>
                <w:szCs w:val="24"/>
              </w:rPr>
              <w:t>202</w:t>
            </w:r>
            <w:r w:rsidR="009159E0">
              <w:rPr>
                <w:szCs w:val="24"/>
              </w:rPr>
              <w:t>2</w:t>
            </w:r>
            <w:r w:rsidRPr="00A17551">
              <w:rPr>
                <w:szCs w:val="24"/>
              </w:rPr>
              <w:t>-</w:t>
            </w:r>
            <w:r w:rsidR="009159E0">
              <w:rPr>
                <w:szCs w:val="24"/>
              </w:rPr>
              <w:t>0</w:t>
            </w:r>
            <w:r w:rsidR="0076674D">
              <w:rPr>
                <w:szCs w:val="24"/>
              </w:rPr>
              <w:t>3</w:t>
            </w:r>
            <w:r w:rsidR="00BC41E3" w:rsidRPr="00A17551">
              <w:rPr>
                <w:szCs w:val="24"/>
              </w:rPr>
              <w:t>-</w:t>
            </w:r>
            <w:r w:rsidR="002A62C5" w:rsidRPr="00A17551">
              <w:rPr>
                <w:szCs w:val="24"/>
              </w:rPr>
              <w:t xml:space="preserve"> </w:t>
            </w:r>
          </w:p>
          <w:p w14:paraId="5DC2B63E" w14:textId="6279112B" w:rsidR="00405ED0" w:rsidRDefault="0028328C" w:rsidP="00B30B47">
            <w:pPr>
              <w:rPr>
                <w:szCs w:val="24"/>
              </w:rPr>
            </w:pPr>
            <w:r w:rsidRPr="00A17551">
              <w:rPr>
                <w:szCs w:val="24"/>
              </w:rPr>
              <w:t xml:space="preserve">Į </w:t>
            </w:r>
            <w:r w:rsidR="00405ED0">
              <w:rPr>
                <w:szCs w:val="24"/>
              </w:rPr>
              <w:t>2022-0</w:t>
            </w:r>
            <w:r w:rsidR="0076674D">
              <w:rPr>
                <w:szCs w:val="24"/>
              </w:rPr>
              <w:t>2</w:t>
            </w:r>
            <w:r w:rsidR="00405ED0">
              <w:rPr>
                <w:szCs w:val="24"/>
              </w:rPr>
              <w:t>-2</w:t>
            </w:r>
            <w:r w:rsidR="0076674D">
              <w:rPr>
                <w:szCs w:val="24"/>
              </w:rPr>
              <w:t>1</w:t>
            </w:r>
          </w:p>
          <w:p w14:paraId="59948E6A" w14:textId="332852A6" w:rsidR="0076674D" w:rsidRDefault="0076674D" w:rsidP="00B30B47">
            <w:pPr>
              <w:rPr>
                <w:szCs w:val="24"/>
              </w:rPr>
            </w:pPr>
          </w:p>
          <w:p w14:paraId="2CF7717D" w14:textId="2BC99151" w:rsidR="0076674D" w:rsidRDefault="0076674D" w:rsidP="00B30B47">
            <w:pPr>
              <w:rPr>
                <w:szCs w:val="24"/>
              </w:rPr>
            </w:pPr>
          </w:p>
          <w:p w14:paraId="6ED8A026" w14:textId="0784B5D6" w:rsidR="0076674D" w:rsidRDefault="0076674D" w:rsidP="00B30B47">
            <w:pPr>
              <w:rPr>
                <w:szCs w:val="24"/>
              </w:rPr>
            </w:pPr>
          </w:p>
          <w:p w14:paraId="0940991B" w14:textId="0E3E436E" w:rsidR="0076674D" w:rsidRDefault="0076674D" w:rsidP="00B30B47">
            <w:pPr>
              <w:rPr>
                <w:szCs w:val="24"/>
              </w:rPr>
            </w:pPr>
          </w:p>
          <w:p w14:paraId="05AD834B" w14:textId="7DD112E1" w:rsidR="0076674D" w:rsidRDefault="0076674D" w:rsidP="00B30B47">
            <w:pPr>
              <w:rPr>
                <w:szCs w:val="24"/>
              </w:rPr>
            </w:pPr>
          </w:p>
          <w:p w14:paraId="58CE2DBF" w14:textId="77777777" w:rsidR="0076674D" w:rsidRDefault="0076674D" w:rsidP="00B30B47">
            <w:pPr>
              <w:rPr>
                <w:szCs w:val="24"/>
              </w:rPr>
            </w:pPr>
          </w:p>
          <w:p w14:paraId="6926598D" w14:textId="02A50BD0" w:rsidR="00683FCE" w:rsidRPr="00A17551" w:rsidRDefault="0076674D" w:rsidP="0076674D">
            <w:pPr>
              <w:rPr>
                <w:szCs w:val="24"/>
              </w:rPr>
            </w:pPr>
            <w:r>
              <w:rPr>
                <w:szCs w:val="24"/>
              </w:rPr>
              <w:t>2022-01-27</w:t>
            </w:r>
          </w:p>
        </w:tc>
        <w:tc>
          <w:tcPr>
            <w:tcW w:w="567" w:type="dxa"/>
          </w:tcPr>
          <w:p w14:paraId="05C0354D" w14:textId="77777777" w:rsidR="009E79C6" w:rsidRPr="00A17551" w:rsidRDefault="009E79C6" w:rsidP="00B30B47">
            <w:pPr>
              <w:rPr>
                <w:szCs w:val="24"/>
              </w:rPr>
            </w:pPr>
          </w:p>
          <w:p w14:paraId="3AE5455D" w14:textId="77777777" w:rsidR="00683FCE" w:rsidRDefault="00683FCE" w:rsidP="0076674D">
            <w:pPr>
              <w:ind w:left="-108"/>
              <w:rPr>
                <w:szCs w:val="24"/>
              </w:rPr>
            </w:pPr>
            <w:proofErr w:type="spellStart"/>
            <w:r w:rsidRPr="00A17551">
              <w:rPr>
                <w:szCs w:val="24"/>
              </w:rPr>
              <w:t>Nr.</w:t>
            </w:r>
            <w:r w:rsidR="0076674D">
              <w:rPr>
                <w:szCs w:val="24"/>
              </w:rPr>
              <w:t>Nr</w:t>
            </w:r>
            <w:proofErr w:type="spellEnd"/>
            <w:r w:rsidR="0076674D">
              <w:rPr>
                <w:szCs w:val="24"/>
              </w:rPr>
              <w:t>.</w:t>
            </w:r>
          </w:p>
          <w:p w14:paraId="6C2E0C56" w14:textId="77777777" w:rsidR="0076674D" w:rsidRDefault="0076674D" w:rsidP="0076674D">
            <w:pPr>
              <w:ind w:left="-108"/>
              <w:rPr>
                <w:szCs w:val="24"/>
              </w:rPr>
            </w:pPr>
          </w:p>
          <w:p w14:paraId="2B46CC1A" w14:textId="77777777" w:rsidR="0076674D" w:rsidRDefault="0076674D" w:rsidP="0076674D">
            <w:pPr>
              <w:ind w:left="-108"/>
              <w:rPr>
                <w:szCs w:val="24"/>
              </w:rPr>
            </w:pPr>
          </w:p>
          <w:p w14:paraId="5B5B237F" w14:textId="77777777" w:rsidR="0076674D" w:rsidRDefault="0076674D" w:rsidP="0076674D">
            <w:pPr>
              <w:ind w:left="-108"/>
              <w:rPr>
                <w:szCs w:val="24"/>
              </w:rPr>
            </w:pPr>
          </w:p>
          <w:p w14:paraId="7D3AE8FA" w14:textId="77777777" w:rsidR="0076674D" w:rsidRDefault="0076674D" w:rsidP="0076674D">
            <w:pPr>
              <w:rPr>
                <w:szCs w:val="24"/>
              </w:rPr>
            </w:pPr>
          </w:p>
          <w:p w14:paraId="63AECE40" w14:textId="78BDDF1C" w:rsidR="0076674D" w:rsidRDefault="0076674D" w:rsidP="0076674D">
            <w:pPr>
              <w:ind w:left="-108"/>
              <w:rPr>
                <w:szCs w:val="24"/>
              </w:rPr>
            </w:pPr>
          </w:p>
          <w:p w14:paraId="27253680" w14:textId="77777777" w:rsidR="0076674D" w:rsidRDefault="0076674D" w:rsidP="0076674D">
            <w:pPr>
              <w:ind w:left="-108"/>
              <w:rPr>
                <w:szCs w:val="24"/>
              </w:rPr>
            </w:pPr>
          </w:p>
          <w:p w14:paraId="684B3184" w14:textId="04F26EF7" w:rsidR="0076674D" w:rsidRPr="00A17551" w:rsidRDefault="0076674D" w:rsidP="0076674D">
            <w:pPr>
              <w:ind w:left="-108"/>
              <w:rPr>
                <w:szCs w:val="24"/>
              </w:rPr>
            </w:pPr>
            <w:r>
              <w:rPr>
                <w:szCs w:val="24"/>
              </w:rPr>
              <w:t>Nr.</w:t>
            </w:r>
          </w:p>
        </w:tc>
        <w:tc>
          <w:tcPr>
            <w:tcW w:w="3969" w:type="dxa"/>
          </w:tcPr>
          <w:p w14:paraId="00304889" w14:textId="77777777" w:rsidR="009E79C6" w:rsidRPr="00B8208C" w:rsidRDefault="009E79C6" w:rsidP="00B30B47">
            <w:pPr>
              <w:rPr>
                <w:szCs w:val="24"/>
              </w:rPr>
            </w:pPr>
          </w:p>
          <w:p w14:paraId="4447663A" w14:textId="280A36DA" w:rsidR="00683FCE" w:rsidRPr="00B8208C" w:rsidRDefault="00683FCE" w:rsidP="00B30B47">
            <w:pPr>
              <w:rPr>
                <w:szCs w:val="24"/>
              </w:rPr>
            </w:pPr>
            <w:r w:rsidRPr="00B8208C">
              <w:rPr>
                <w:szCs w:val="24"/>
              </w:rPr>
              <w:t>4S-</w:t>
            </w:r>
            <w:r w:rsidR="002A62C5" w:rsidRPr="00B8208C">
              <w:rPr>
                <w:szCs w:val="24"/>
              </w:rPr>
              <w:t xml:space="preserve">      </w:t>
            </w:r>
            <w:r w:rsidRPr="00B8208C">
              <w:rPr>
                <w:szCs w:val="24"/>
              </w:rPr>
              <w:t>(7.4Mr)</w:t>
            </w:r>
          </w:p>
          <w:p w14:paraId="4C5861E0" w14:textId="77777777" w:rsidR="00B30B47" w:rsidRDefault="0076674D" w:rsidP="00B30B47">
            <w:pPr>
              <w:rPr>
                <w:color w:val="000000"/>
                <w:szCs w:val="24"/>
                <w:shd w:val="clear" w:color="auto" w:fill="FFFFFF"/>
              </w:rPr>
            </w:pPr>
            <w:r>
              <w:rPr>
                <w:color w:val="000000"/>
                <w:szCs w:val="24"/>
                <w:shd w:val="clear" w:color="auto" w:fill="FFFFFF"/>
              </w:rPr>
              <w:t>SD-62</w:t>
            </w:r>
          </w:p>
          <w:p w14:paraId="6E6D9C4E" w14:textId="77777777" w:rsidR="0076674D" w:rsidRDefault="0076674D" w:rsidP="00B30B47">
            <w:pPr>
              <w:rPr>
                <w:color w:val="000000"/>
                <w:szCs w:val="24"/>
                <w:shd w:val="clear" w:color="auto" w:fill="FFFFFF"/>
              </w:rPr>
            </w:pPr>
          </w:p>
          <w:p w14:paraId="20A5F531" w14:textId="77777777" w:rsidR="0076674D" w:rsidRDefault="0076674D" w:rsidP="00B30B47">
            <w:pPr>
              <w:rPr>
                <w:color w:val="000000"/>
                <w:szCs w:val="24"/>
                <w:shd w:val="clear" w:color="auto" w:fill="FFFFFF"/>
              </w:rPr>
            </w:pPr>
          </w:p>
          <w:p w14:paraId="63659575" w14:textId="77777777" w:rsidR="0076674D" w:rsidRDefault="0076674D" w:rsidP="00B30B47">
            <w:pPr>
              <w:rPr>
                <w:color w:val="000000"/>
                <w:szCs w:val="24"/>
                <w:shd w:val="clear" w:color="auto" w:fill="FFFFFF"/>
              </w:rPr>
            </w:pPr>
          </w:p>
          <w:p w14:paraId="2D474F12" w14:textId="77777777" w:rsidR="0076674D" w:rsidRDefault="0076674D" w:rsidP="00B30B47">
            <w:pPr>
              <w:rPr>
                <w:color w:val="000000"/>
                <w:szCs w:val="24"/>
                <w:shd w:val="clear" w:color="auto" w:fill="FFFFFF"/>
              </w:rPr>
            </w:pPr>
          </w:p>
          <w:p w14:paraId="6212BB52" w14:textId="59A893C1" w:rsidR="0076674D" w:rsidRDefault="0076674D" w:rsidP="00B30B47">
            <w:pPr>
              <w:rPr>
                <w:color w:val="000000"/>
                <w:szCs w:val="24"/>
                <w:shd w:val="clear" w:color="auto" w:fill="FFFFFF"/>
              </w:rPr>
            </w:pPr>
          </w:p>
          <w:p w14:paraId="3339495A" w14:textId="77777777" w:rsidR="0076674D" w:rsidRDefault="0076674D" w:rsidP="00B30B47">
            <w:pPr>
              <w:rPr>
                <w:color w:val="000000"/>
                <w:szCs w:val="24"/>
                <w:shd w:val="clear" w:color="auto" w:fill="FFFFFF"/>
              </w:rPr>
            </w:pPr>
          </w:p>
          <w:p w14:paraId="459F3F11" w14:textId="156F938B" w:rsidR="0076674D" w:rsidRPr="0076674D" w:rsidRDefault="0076674D" w:rsidP="00B30B47">
            <w:pPr>
              <w:rPr>
                <w:color w:val="000000"/>
                <w:szCs w:val="24"/>
                <w:shd w:val="clear" w:color="auto" w:fill="FFFFFF"/>
              </w:rPr>
            </w:pPr>
            <w:r w:rsidRPr="0076674D">
              <w:rPr>
                <w:color w:val="000000"/>
                <w:szCs w:val="24"/>
                <w:shd w:val="clear" w:color="auto" w:fill="FFFFFF"/>
              </w:rPr>
              <w:t xml:space="preserve">SD-(70-1.9 </w:t>
            </w:r>
            <w:proofErr w:type="spellStart"/>
            <w:r w:rsidRPr="0076674D">
              <w:rPr>
                <w:color w:val="000000"/>
                <w:szCs w:val="24"/>
                <w:shd w:val="clear" w:color="auto" w:fill="FFFFFF"/>
              </w:rPr>
              <w:t>Mr</w:t>
            </w:r>
            <w:proofErr w:type="spellEnd"/>
            <w:r w:rsidRPr="0076674D">
              <w:rPr>
                <w:color w:val="000000"/>
                <w:szCs w:val="24"/>
                <w:shd w:val="clear" w:color="auto" w:fill="FFFFFF"/>
              </w:rPr>
              <w:t>)-66</w:t>
            </w:r>
          </w:p>
        </w:tc>
      </w:tr>
    </w:tbl>
    <w:p w14:paraId="0D5B3723" w14:textId="1CF97AA4" w:rsidR="00DB1DAF" w:rsidRPr="006E5750" w:rsidRDefault="002A07F4" w:rsidP="00B30B47">
      <w:pPr>
        <w:spacing w:line="360" w:lineRule="auto"/>
        <w:jc w:val="center"/>
        <w:rPr>
          <w:b/>
          <w:color w:val="000000"/>
          <w:szCs w:val="24"/>
          <w:lang w:eastAsia="lt-LT"/>
        </w:rPr>
      </w:pPr>
      <w:r>
        <w:rPr>
          <w:b/>
          <w:color w:val="000000"/>
          <w:szCs w:val="24"/>
          <w:lang w:eastAsia="lt-LT"/>
        </w:rPr>
        <w:t>VERTINIMO IŠVADA</w:t>
      </w:r>
    </w:p>
    <w:p w14:paraId="1C809EB8" w14:textId="0DC77986" w:rsidR="00761D39" w:rsidRPr="00761D39" w:rsidRDefault="003B4C75" w:rsidP="00761D39">
      <w:pPr>
        <w:ind w:firstLine="851"/>
        <w:jc w:val="both"/>
        <w:rPr>
          <w:bCs/>
          <w:szCs w:val="24"/>
        </w:rPr>
      </w:pPr>
      <w:r w:rsidRPr="00736B20">
        <w:rPr>
          <w:bCs/>
          <w:szCs w:val="24"/>
        </w:rPr>
        <w:t>Viešųjų pirkimų tarnyba (toliau – Tarnyba), vadovaudamasi Lietuvos Respublikos viešųjų pirkimų įstatymo</w:t>
      </w:r>
      <w:r>
        <w:rPr>
          <w:bCs/>
          <w:szCs w:val="24"/>
        </w:rPr>
        <w:t xml:space="preserve"> </w:t>
      </w:r>
      <w:r w:rsidRPr="0062406E">
        <w:rPr>
          <w:bCs/>
          <w:szCs w:val="24"/>
        </w:rPr>
        <w:t>(toliau – Įstatymas)</w:t>
      </w:r>
      <w:r w:rsidRPr="00736B20">
        <w:rPr>
          <w:bCs/>
          <w:szCs w:val="24"/>
        </w:rPr>
        <w:t xml:space="preserve"> 95 straipsnio 1 dalies 2 punktu, </w:t>
      </w:r>
      <w:r w:rsidRPr="002877AC">
        <w:rPr>
          <w:bCs/>
          <w:szCs w:val="24"/>
        </w:rPr>
        <w:t>atliko</w:t>
      </w:r>
      <w:r w:rsidR="00761D39">
        <w:rPr>
          <w:bCs/>
          <w:szCs w:val="24"/>
        </w:rPr>
        <w:t xml:space="preserve"> </w:t>
      </w:r>
      <w:r w:rsidR="0000501D">
        <w:rPr>
          <w:rFonts w:eastAsia="Calibri"/>
          <w:szCs w:val="24"/>
        </w:rPr>
        <w:t>VšĮ Alytaus medicininės reabilitacijos ir sporto centro</w:t>
      </w:r>
      <w:r w:rsidR="00345C07">
        <w:rPr>
          <w:rFonts w:eastAsia="Calibri"/>
          <w:szCs w:val="24"/>
        </w:rPr>
        <w:t xml:space="preserve"> </w:t>
      </w:r>
      <w:r w:rsidR="00345C07" w:rsidRPr="00A43350">
        <w:rPr>
          <w:rFonts w:eastAsia="Calibri"/>
          <w:szCs w:val="24"/>
        </w:rPr>
        <w:t>(toliau – Perkančioji organizacija)</w:t>
      </w:r>
      <w:r w:rsidR="0000501D">
        <w:rPr>
          <w:rFonts w:eastAsia="Calibri"/>
          <w:szCs w:val="24"/>
        </w:rPr>
        <w:t xml:space="preserve"> vykdytų viešųjų pirkimų </w:t>
      </w:r>
      <w:r w:rsidR="00761D39">
        <w:rPr>
          <w:szCs w:val="24"/>
        </w:rPr>
        <w:t>vertinimą.</w:t>
      </w:r>
    </w:p>
    <w:p w14:paraId="2ACA210F" w14:textId="77777777" w:rsidR="00626620" w:rsidRDefault="00626620" w:rsidP="00626620">
      <w:pPr>
        <w:jc w:val="center"/>
        <w:rPr>
          <w:b/>
          <w:szCs w:val="24"/>
          <w:lang w:eastAsia="lt-LT"/>
        </w:rPr>
      </w:pPr>
    </w:p>
    <w:p w14:paraId="12FFA9C2" w14:textId="680534DE" w:rsidR="00626620" w:rsidRDefault="00626620" w:rsidP="00626620">
      <w:pPr>
        <w:jc w:val="center"/>
        <w:rPr>
          <w:szCs w:val="24"/>
          <w:lang w:eastAsia="lt-LT"/>
        </w:rPr>
      </w:pPr>
      <w:r>
        <w:rPr>
          <w:b/>
          <w:szCs w:val="24"/>
          <w:lang w:eastAsia="lt-LT"/>
        </w:rPr>
        <w:t>I dalis. Bendra informacija</w:t>
      </w:r>
    </w:p>
    <w:p w14:paraId="752032F7" w14:textId="77777777" w:rsidR="00626620" w:rsidRDefault="00626620" w:rsidP="00626620">
      <w:pPr>
        <w:ind w:firstLine="720"/>
        <w:rPr>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26620" w14:paraId="79611801" w14:textId="77777777" w:rsidTr="003E644D">
        <w:tc>
          <w:tcPr>
            <w:tcW w:w="4672" w:type="dxa"/>
            <w:tcBorders>
              <w:top w:val="single" w:sz="4" w:space="0" w:color="auto"/>
              <w:left w:val="single" w:sz="4" w:space="0" w:color="auto"/>
              <w:bottom w:val="single" w:sz="4" w:space="0" w:color="auto"/>
              <w:right w:val="single" w:sz="4" w:space="0" w:color="auto"/>
            </w:tcBorders>
            <w:shd w:val="clear" w:color="auto" w:fill="auto"/>
          </w:tcPr>
          <w:p w14:paraId="6F503679" w14:textId="77777777" w:rsidR="00626620" w:rsidRDefault="00626620" w:rsidP="003E644D">
            <w:pPr>
              <w:jc w:val="both"/>
              <w:rPr>
                <w:szCs w:val="24"/>
                <w:lang w:eastAsia="lt-LT"/>
              </w:rPr>
            </w:pPr>
            <w:r>
              <w:rPr>
                <w:rFonts w:eastAsia="Calibri"/>
                <w:szCs w:val="24"/>
                <w:lang w:eastAsia="lt-LT"/>
              </w:rPr>
              <w:t>Pirkimo</w:t>
            </w:r>
            <w:r>
              <w:rPr>
                <w:szCs w:val="24"/>
                <w:lang w:eastAsia="lt-LT"/>
              </w:rPr>
              <w:t>*</w:t>
            </w:r>
            <w:r>
              <w:rPr>
                <w:rFonts w:eastAsia="Calibri"/>
                <w:szCs w:val="24"/>
                <w:lang w:eastAsia="lt-LT"/>
              </w:rPr>
              <w:t xml:space="preserve">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346ACD3" w14:textId="5B905E53" w:rsidR="00626620" w:rsidRDefault="00ED205C" w:rsidP="003E644D">
            <w:pPr>
              <w:jc w:val="both"/>
              <w:rPr>
                <w:szCs w:val="24"/>
                <w:lang w:eastAsia="lt-LT"/>
              </w:rPr>
            </w:pPr>
            <w:r>
              <w:rPr>
                <w:rFonts w:eastAsia="Calibri"/>
                <w:szCs w:val="24"/>
              </w:rPr>
              <w:t xml:space="preserve">„Maitinimo paslaugos“ </w:t>
            </w:r>
            <w:r w:rsidRPr="00A43350">
              <w:rPr>
                <w:rFonts w:eastAsia="Calibri"/>
                <w:bCs/>
                <w:szCs w:val="24"/>
              </w:rPr>
              <w:t xml:space="preserve">(Centrinėje viešųjų pirkimų informacinėje sistemoje (toliau – CVP IS) </w:t>
            </w:r>
            <w:r>
              <w:rPr>
                <w:rFonts w:eastAsia="Calibri"/>
                <w:bCs/>
                <w:szCs w:val="24"/>
              </w:rPr>
              <w:t>skelbtas 2021-11-19, Pirkimo Nr. 574158 (toliau – Pirkimas Nr. 1)</w:t>
            </w:r>
          </w:p>
        </w:tc>
      </w:tr>
      <w:tr w:rsidR="00626620" w14:paraId="69843BEE" w14:textId="77777777" w:rsidTr="003E644D">
        <w:tc>
          <w:tcPr>
            <w:tcW w:w="4672" w:type="dxa"/>
            <w:tcBorders>
              <w:top w:val="single" w:sz="4" w:space="0" w:color="auto"/>
              <w:left w:val="single" w:sz="4" w:space="0" w:color="auto"/>
              <w:bottom w:val="single" w:sz="4" w:space="0" w:color="auto"/>
              <w:right w:val="single" w:sz="4" w:space="0" w:color="auto"/>
            </w:tcBorders>
            <w:shd w:val="clear" w:color="auto" w:fill="auto"/>
          </w:tcPr>
          <w:p w14:paraId="1CE2DA39" w14:textId="77777777" w:rsidR="00626620" w:rsidRDefault="00626620" w:rsidP="003E644D">
            <w:pPr>
              <w:jc w:val="both"/>
              <w:rPr>
                <w:szCs w:val="24"/>
                <w:lang w:eastAsia="lt-LT"/>
              </w:rPr>
            </w:pPr>
            <w:r>
              <w:rPr>
                <w:rFonts w:eastAsia="Calibri"/>
                <w:szCs w:val="24"/>
                <w:lang w:eastAsia="lt-LT"/>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9D1DAFF" w14:textId="08EB7EAF" w:rsidR="00626620" w:rsidRPr="00077064" w:rsidRDefault="00ED205C" w:rsidP="003E644D">
            <w:pPr>
              <w:jc w:val="both"/>
              <w:rPr>
                <w:bCs/>
                <w:szCs w:val="24"/>
                <w:shd w:val="clear" w:color="auto" w:fill="FFFFFF"/>
              </w:rPr>
            </w:pPr>
            <w:r w:rsidRPr="00404B69">
              <w:rPr>
                <w:bCs/>
                <w:szCs w:val="24"/>
              </w:rPr>
              <w:t>Įstatymas (</w:t>
            </w:r>
            <w:r w:rsidRPr="00077064">
              <w:rPr>
                <w:bCs/>
                <w:szCs w:val="24"/>
              </w:rPr>
              <w:t>redakcija nuo</w:t>
            </w:r>
            <w:r w:rsidR="00077064" w:rsidRPr="00077064">
              <w:rPr>
                <w:bCs/>
                <w:szCs w:val="24"/>
              </w:rPr>
              <w:t xml:space="preserve"> </w:t>
            </w:r>
            <w:r w:rsidR="00077064" w:rsidRPr="00077064">
              <w:rPr>
                <w:bCs/>
                <w:color w:val="000000"/>
              </w:rPr>
              <w:t>2020-08-01 iki 2021-</w:t>
            </w:r>
            <w:r w:rsidR="00077064">
              <w:rPr>
                <w:bCs/>
                <w:color w:val="000000"/>
              </w:rPr>
              <w:t> </w:t>
            </w:r>
            <w:r w:rsidR="00077064" w:rsidRPr="00077064">
              <w:rPr>
                <w:bCs/>
                <w:color w:val="000000"/>
              </w:rPr>
              <w:t>11-</w:t>
            </w:r>
            <w:r w:rsidR="00077064">
              <w:rPr>
                <w:bCs/>
                <w:color w:val="000000"/>
              </w:rPr>
              <w:t xml:space="preserve">  </w:t>
            </w:r>
            <w:r w:rsidR="00077064" w:rsidRPr="00077064">
              <w:rPr>
                <w:bCs/>
                <w:color w:val="000000"/>
              </w:rPr>
              <w:t>30</w:t>
            </w:r>
            <w:r w:rsidRPr="00077064">
              <w:rPr>
                <w:bCs/>
                <w:szCs w:val="24"/>
                <w:shd w:val="clear" w:color="auto" w:fill="FFFFFF"/>
              </w:rPr>
              <w:t>).</w:t>
            </w:r>
          </w:p>
          <w:p w14:paraId="45DA79EC" w14:textId="244F85EF" w:rsidR="00ED205C" w:rsidRDefault="00ED205C" w:rsidP="003E644D">
            <w:pPr>
              <w:jc w:val="both"/>
              <w:rPr>
                <w:szCs w:val="24"/>
                <w:lang w:eastAsia="lt-LT"/>
              </w:rPr>
            </w:pPr>
          </w:p>
        </w:tc>
      </w:tr>
      <w:tr w:rsidR="00626620" w14:paraId="6DDA2C09" w14:textId="77777777" w:rsidTr="003E644D">
        <w:tc>
          <w:tcPr>
            <w:tcW w:w="4672" w:type="dxa"/>
            <w:tcBorders>
              <w:top w:val="single" w:sz="4" w:space="0" w:color="auto"/>
              <w:left w:val="single" w:sz="4" w:space="0" w:color="auto"/>
              <w:bottom w:val="single" w:sz="4" w:space="0" w:color="auto"/>
              <w:right w:val="single" w:sz="4" w:space="0" w:color="auto"/>
            </w:tcBorders>
            <w:shd w:val="clear" w:color="auto" w:fill="auto"/>
          </w:tcPr>
          <w:p w14:paraId="10FC1A91" w14:textId="77777777" w:rsidR="00626620" w:rsidRDefault="00626620" w:rsidP="003E644D">
            <w:pPr>
              <w:jc w:val="both"/>
              <w:rPr>
                <w:rFonts w:eastAsia="Calibri"/>
                <w:szCs w:val="24"/>
                <w:lang w:eastAsia="lt-LT"/>
              </w:rPr>
            </w:pPr>
            <w:r>
              <w:rPr>
                <w:rFonts w:eastAsia="Calibri"/>
                <w:szCs w:val="24"/>
                <w:lang w:eastAsia="lt-LT"/>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293DEE1" w14:textId="6D3CAD49" w:rsidR="00626620" w:rsidRDefault="003717FC" w:rsidP="003E644D">
            <w:pPr>
              <w:jc w:val="both"/>
              <w:rPr>
                <w:szCs w:val="24"/>
                <w:lang w:eastAsia="lt-LT"/>
              </w:rPr>
            </w:pPr>
            <w:r>
              <w:rPr>
                <w:szCs w:val="24"/>
                <w:lang w:eastAsia="lt-LT"/>
              </w:rPr>
              <w:t>A</w:t>
            </w:r>
            <w:r w:rsidR="00ED205C">
              <w:rPr>
                <w:szCs w:val="24"/>
                <w:lang w:eastAsia="lt-LT"/>
              </w:rPr>
              <w:t>tviras konkursas</w:t>
            </w:r>
            <w:r>
              <w:rPr>
                <w:szCs w:val="24"/>
                <w:lang w:eastAsia="lt-LT"/>
              </w:rPr>
              <w:t xml:space="preserve"> (supaprastintas pirkimas)</w:t>
            </w:r>
          </w:p>
        </w:tc>
      </w:tr>
      <w:tr w:rsidR="00626620" w14:paraId="39EFB244" w14:textId="77777777" w:rsidTr="003E644D">
        <w:tc>
          <w:tcPr>
            <w:tcW w:w="4672" w:type="dxa"/>
            <w:tcBorders>
              <w:top w:val="single" w:sz="4" w:space="0" w:color="auto"/>
              <w:left w:val="single" w:sz="4" w:space="0" w:color="auto"/>
              <w:bottom w:val="single" w:sz="4" w:space="0" w:color="auto"/>
              <w:right w:val="single" w:sz="4" w:space="0" w:color="auto"/>
            </w:tcBorders>
            <w:shd w:val="clear" w:color="auto" w:fill="auto"/>
          </w:tcPr>
          <w:p w14:paraId="65D84E5A" w14:textId="77777777" w:rsidR="00626620" w:rsidRDefault="00626620" w:rsidP="003E644D">
            <w:pPr>
              <w:jc w:val="both"/>
              <w:rPr>
                <w:rFonts w:eastAsia="Calibri"/>
                <w:szCs w:val="24"/>
                <w:lang w:eastAsia="lt-LT"/>
              </w:rPr>
            </w:pPr>
            <w:r>
              <w:rPr>
                <w:rFonts w:eastAsia="Calibri"/>
                <w:szCs w:val="24"/>
                <w:lang w:eastAsia="lt-LT"/>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642C0EA" w14:textId="6DB3CC1C" w:rsidR="00626620" w:rsidRDefault="00ED205C" w:rsidP="003E644D">
            <w:pPr>
              <w:jc w:val="both"/>
              <w:rPr>
                <w:szCs w:val="24"/>
                <w:lang w:eastAsia="lt-LT"/>
              </w:rPr>
            </w:pPr>
            <w:r w:rsidRPr="001E3500">
              <w:t>Planuo</w:t>
            </w:r>
            <w:r w:rsidR="00077064">
              <w:t>ta</w:t>
            </w:r>
            <w:r w:rsidRPr="001E3500">
              <w:t xml:space="preserve"> Pirkimo</w:t>
            </w:r>
            <w:r w:rsidR="00BC6172">
              <w:t xml:space="preserve"> Nr. 1</w:t>
            </w:r>
            <w:r w:rsidRPr="001E3500">
              <w:t xml:space="preserve"> vertė</w:t>
            </w:r>
            <w:r>
              <w:t xml:space="preserve"> 750.000,00 Eur be PVM</w:t>
            </w:r>
          </w:p>
        </w:tc>
      </w:tr>
      <w:tr w:rsidR="00626620" w14:paraId="78B31DE9" w14:textId="77777777" w:rsidTr="003E644D">
        <w:tc>
          <w:tcPr>
            <w:tcW w:w="4672" w:type="dxa"/>
            <w:tcBorders>
              <w:top w:val="single" w:sz="4" w:space="0" w:color="auto"/>
              <w:left w:val="single" w:sz="4" w:space="0" w:color="auto"/>
              <w:bottom w:val="single" w:sz="4" w:space="0" w:color="auto"/>
              <w:right w:val="single" w:sz="4" w:space="0" w:color="auto"/>
            </w:tcBorders>
            <w:shd w:val="clear" w:color="auto" w:fill="auto"/>
          </w:tcPr>
          <w:p w14:paraId="3B96ABB4" w14:textId="77777777" w:rsidR="00626620" w:rsidRDefault="00626620" w:rsidP="003E644D">
            <w:pPr>
              <w:jc w:val="both"/>
              <w:rPr>
                <w:szCs w:val="24"/>
                <w:lang w:eastAsia="lt-LT"/>
              </w:rPr>
            </w:pPr>
            <w:r>
              <w:rPr>
                <w:rFonts w:eastAsia="Calibri"/>
                <w:szCs w:val="24"/>
                <w:lang w:eastAsia="lt-LT"/>
              </w:rPr>
              <w:t xml:space="preserve">Tiekėjas/koncesijos dalyvis/koncesininkas, juridinio asmens (su kuriuo sudaryta sutartis)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E45D96E" w14:textId="69495E18" w:rsidR="00626620" w:rsidRDefault="00077064" w:rsidP="003E644D">
            <w:pPr>
              <w:jc w:val="both"/>
              <w:rPr>
                <w:szCs w:val="24"/>
                <w:lang w:eastAsia="lt-LT"/>
              </w:rPr>
            </w:pPr>
            <w:r>
              <w:rPr>
                <w:color w:val="333333"/>
                <w:szCs w:val="24"/>
                <w:lang w:eastAsia="lt-LT"/>
              </w:rPr>
              <w:t xml:space="preserve"> </w:t>
            </w:r>
            <w:r w:rsidR="00ED205C">
              <w:rPr>
                <w:color w:val="333333"/>
                <w:szCs w:val="24"/>
                <w:lang w:eastAsia="lt-LT"/>
              </w:rPr>
              <w:t>–</w:t>
            </w:r>
          </w:p>
        </w:tc>
      </w:tr>
      <w:tr w:rsidR="00626620" w14:paraId="216EDB61" w14:textId="77777777" w:rsidTr="003E644D">
        <w:tc>
          <w:tcPr>
            <w:tcW w:w="4672" w:type="dxa"/>
            <w:tcBorders>
              <w:top w:val="single" w:sz="4" w:space="0" w:color="auto"/>
              <w:left w:val="single" w:sz="4" w:space="0" w:color="auto"/>
              <w:bottom w:val="single" w:sz="4" w:space="0" w:color="auto"/>
              <w:right w:val="single" w:sz="4" w:space="0" w:color="auto"/>
            </w:tcBorders>
            <w:shd w:val="clear" w:color="auto" w:fill="auto"/>
          </w:tcPr>
          <w:p w14:paraId="0A8F6264" w14:textId="77777777" w:rsidR="00626620" w:rsidRDefault="00626620" w:rsidP="003E644D">
            <w:pPr>
              <w:jc w:val="both"/>
              <w:rPr>
                <w:rFonts w:eastAsia="Calibri"/>
                <w:szCs w:val="24"/>
                <w:lang w:eastAsia="lt-LT"/>
              </w:rPr>
            </w:pPr>
            <w:r>
              <w:rPr>
                <w:rFonts w:eastAsia="Calibri"/>
                <w:szCs w:val="24"/>
                <w:lang w:eastAsia="lt-LT"/>
              </w:rPr>
              <w:t>Pirkimo/sutarties vertinimo apimtys/etapas</w:t>
            </w:r>
          </w:p>
          <w:p w14:paraId="39BE5BCA" w14:textId="77777777" w:rsidR="00626620" w:rsidRDefault="00626620" w:rsidP="003E644D">
            <w:pPr>
              <w:jc w:val="both"/>
              <w:rPr>
                <w:szCs w:val="24"/>
                <w:lang w:eastAsia="lt-LT"/>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6D41678" w14:textId="69CF437E" w:rsidR="00626620" w:rsidRDefault="00ED205C" w:rsidP="003E644D">
            <w:pPr>
              <w:jc w:val="both"/>
              <w:rPr>
                <w:szCs w:val="24"/>
                <w:lang w:eastAsia="lt-LT"/>
              </w:rPr>
            </w:pPr>
            <w:r>
              <w:rPr>
                <w:szCs w:val="24"/>
                <w:lang w:eastAsia="lt-LT"/>
              </w:rPr>
              <w:t>Išsamus vertinimas po Pirkimo Nr. 1 pabaigos</w:t>
            </w:r>
            <w:r>
              <w:rPr>
                <w:rStyle w:val="FootnoteReference"/>
                <w:szCs w:val="24"/>
                <w:lang w:eastAsia="lt-LT"/>
              </w:rPr>
              <w:footnoteReference w:id="1"/>
            </w:r>
            <w:r w:rsidR="004500F6">
              <w:rPr>
                <w:szCs w:val="24"/>
                <w:lang w:eastAsia="lt-LT"/>
              </w:rPr>
              <w:t>.</w:t>
            </w:r>
            <w:r>
              <w:rPr>
                <w:szCs w:val="24"/>
                <w:lang w:eastAsia="lt-LT"/>
              </w:rPr>
              <w:t xml:space="preserve"> </w:t>
            </w:r>
          </w:p>
        </w:tc>
      </w:tr>
      <w:tr w:rsidR="00626620" w14:paraId="689C4A42" w14:textId="77777777" w:rsidTr="003E644D">
        <w:tc>
          <w:tcPr>
            <w:tcW w:w="4672" w:type="dxa"/>
            <w:tcBorders>
              <w:top w:val="single" w:sz="4" w:space="0" w:color="auto"/>
              <w:left w:val="single" w:sz="4" w:space="0" w:color="auto"/>
              <w:bottom w:val="single" w:sz="4" w:space="0" w:color="auto"/>
              <w:right w:val="single" w:sz="4" w:space="0" w:color="auto"/>
            </w:tcBorders>
            <w:shd w:val="clear" w:color="auto" w:fill="auto"/>
          </w:tcPr>
          <w:p w14:paraId="34E2CD4A" w14:textId="4AB9ACC0" w:rsidR="00626620" w:rsidRDefault="00626620" w:rsidP="003E644D">
            <w:pPr>
              <w:jc w:val="both"/>
              <w:rPr>
                <w:b/>
                <w:szCs w:val="24"/>
                <w:lang w:eastAsia="lt-LT"/>
              </w:rPr>
            </w:pPr>
            <w:r>
              <w:rPr>
                <w:szCs w:val="24"/>
                <w:lang w:eastAsia="lt-LT"/>
              </w:rPr>
              <w:lastRenderedPageBreak/>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EA5A6F" w14:textId="692177A1" w:rsidR="00626620" w:rsidRDefault="00ED205C" w:rsidP="003E644D">
            <w:pPr>
              <w:jc w:val="both"/>
              <w:rPr>
                <w:szCs w:val="24"/>
                <w:lang w:eastAsia="lt-LT"/>
              </w:rPr>
            </w:pPr>
            <w:r>
              <w:rPr>
                <w:color w:val="333333"/>
                <w:szCs w:val="24"/>
                <w:lang w:eastAsia="lt-LT"/>
              </w:rPr>
              <w:t>–</w:t>
            </w:r>
          </w:p>
        </w:tc>
      </w:tr>
      <w:tr w:rsidR="00626620" w14:paraId="1B3F423E" w14:textId="77777777" w:rsidTr="003E644D">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9A4A7CA" w14:textId="77777777" w:rsidR="009B6A83" w:rsidRDefault="00626620" w:rsidP="003E644D">
            <w:pPr>
              <w:jc w:val="both"/>
              <w:rPr>
                <w:rFonts w:eastAsia="Calibri"/>
                <w:szCs w:val="24"/>
                <w:lang w:eastAsia="lt-LT"/>
              </w:rPr>
            </w:pPr>
            <w:r>
              <w:rPr>
                <w:rFonts w:eastAsia="Calibri"/>
                <w:szCs w:val="24"/>
                <w:lang w:eastAsia="lt-LT"/>
              </w:rPr>
              <w:t>Jei dėl pirkimo/sutarties vyksta teismo procesas, nurodyti ieškinio (skundo) dalyką, bylos šalių pavadinimus, ar taikomos laikinosios apsaugos priemonės, teisminio nagrinėjimo stadiją:</w:t>
            </w:r>
            <w:r w:rsidR="00346AB7">
              <w:rPr>
                <w:rFonts w:eastAsia="Calibri"/>
                <w:szCs w:val="24"/>
                <w:lang w:eastAsia="lt-LT"/>
              </w:rPr>
              <w:t xml:space="preserve"> </w:t>
            </w:r>
          </w:p>
          <w:p w14:paraId="4ED9C295" w14:textId="3B4ED095" w:rsidR="00626620" w:rsidRDefault="00346AB7" w:rsidP="003E644D">
            <w:pPr>
              <w:jc w:val="both"/>
              <w:rPr>
                <w:rFonts w:eastAsia="Calibri"/>
                <w:szCs w:val="24"/>
                <w:lang w:eastAsia="lt-LT"/>
              </w:rPr>
            </w:pPr>
            <w:r>
              <w:rPr>
                <w:rFonts w:eastAsia="Calibri"/>
                <w:szCs w:val="24"/>
                <w:lang w:eastAsia="lt-LT"/>
              </w:rPr>
              <w:t>-</w:t>
            </w:r>
          </w:p>
          <w:p w14:paraId="130AAA98" w14:textId="77777777" w:rsidR="00626620" w:rsidRDefault="00626620" w:rsidP="003E644D">
            <w:pPr>
              <w:jc w:val="both"/>
              <w:rPr>
                <w:szCs w:val="24"/>
                <w:lang w:eastAsia="lt-LT"/>
              </w:rPr>
            </w:pPr>
          </w:p>
        </w:tc>
      </w:tr>
    </w:tbl>
    <w:p w14:paraId="64DD00C4" w14:textId="77777777" w:rsidR="00626620" w:rsidRDefault="00626620" w:rsidP="00626620"/>
    <w:p w14:paraId="0D733A8B" w14:textId="77777777" w:rsidR="00626620" w:rsidRDefault="00626620" w:rsidP="00626620">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234688E6" w14:textId="6096A313" w:rsidR="00C209B5" w:rsidRDefault="00C209B5" w:rsidP="00941F44">
      <w:pPr>
        <w:spacing w:before="120"/>
        <w:rPr>
          <w:b/>
          <w:szCs w:val="24"/>
        </w:rPr>
      </w:pPr>
    </w:p>
    <w:p w14:paraId="3BF61BAF" w14:textId="6DE1022B" w:rsidR="002A07F4" w:rsidRPr="002A07F4" w:rsidRDefault="00A60027" w:rsidP="00805952">
      <w:pPr>
        <w:spacing w:before="240" w:after="120"/>
        <w:jc w:val="center"/>
        <w:rPr>
          <w:b/>
          <w:szCs w:val="24"/>
        </w:rPr>
      </w:pPr>
      <w:r w:rsidRPr="002A07F4">
        <w:rPr>
          <w:b/>
          <w:szCs w:val="24"/>
        </w:rPr>
        <w:t>II dalis. Vertinimo apimtyje nustatyti pažeidimai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301"/>
      </w:tblGrid>
      <w:tr w:rsidR="002A07F4" w:rsidRPr="002A07F4" w14:paraId="02208C35" w14:textId="77777777" w:rsidTr="00C36831">
        <w:tc>
          <w:tcPr>
            <w:tcW w:w="1333" w:type="dxa"/>
            <w:tcBorders>
              <w:top w:val="single" w:sz="4" w:space="0" w:color="auto"/>
              <w:left w:val="single" w:sz="4" w:space="0" w:color="auto"/>
              <w:bottom w:val="single" w:sz="4" w:space="0" w:color="auto"/>
              <w:right w:val="single" w:sz="4" w:space="0" w:color="auto"/>
            </w:tcBorders>
          </w:tcPr>
          <w:p w14:paraId="6B90E422" w14:textId="20588BE8" w:rsidR="002A07F4" w:rsidRPr="004644FF" w:rsidRDefault="002A07F4" w:rsidP="004644FF">
            <w:pPr>
              <w:pStyle w:val="ListParagraph"/>
              <w:numPr>
                <w:ilvl w:val="0"/>
                <w:numId w:val="7"/>
              </w:numPr>
              <w:jc w:val="center"/>
              <w:rPr>
                <w:szCs w:val="24"/>
              </w:rPr>
            </w:pPr>
          </w:p>
        </w:tc>
        <w:tc>
          <w:tcPr>
            <w:tcW w:w="8301" w:type="dxa"/>
            <w:tcBorders>
              <w:top w:val="single" w:sz="4" w:space="0" w:color="auto"/>
              <w:left w:val="single" w:sz="4" w:space="0" w:color="auto"/>
              <w:bottom w:val="single" w:sz="4" w:space="0" w:color="auto"/>
              <w:right w:val="single" w:sz="4" w:space="0" w:color="auto"/>
            </w:tcBorders>
          </w:tcPr>
          <w:p w14:paraId="08DFC568" w14:textId="2A27101A" w:rsidR="001304B4" w:rsidRDefault="001304B4" w:rsidP="001304B4">
            <w:pPr>
              <w:rPr>
                <w:szCs w:val="24"/>
              </w:rPr>
            </w:pPr>
            <w:r>
              <w:rPr>
                <w:szCs w:val="24"/>
              </w:rPr>
              <w:t xml:space="preserve">Įstatymo </w:t>
            </w:r>
            <w:r w:rsidRPr="006721B1">
              <w:rPr>
                <w:szCs w:val="24"/>
              </w:rPr>
              <w:t xml:space="preserve">47 straipsnio </w:t>
            </w:r>
            <w:r w:rsidR="008569BC">
              <w:rPr>
                <w:szCs w:val="24"/>
              </w:rPr>
              <w:t>7</w:t>
            </w:r>
            <w:r w:rsidRPr="006721B1">
              <w:rPr>
                <w:szCs w:val="24"/>
              </w:rPr>
              <w:t xml:space="preserve"> dal</w:t>
            </w:r>
            <w:r>
              <w:rPr>
                <w:szCs w:val="24"/>
              </w:rPr>
              <w:t>i</w:t>
            </w:r>
            <w:r w:rsidRPr="006721B1">
              <w:rPr>
                <w:szCs w:val="24"/>
              </w:rPr>
              <w:t>s</w:t>
            </w:r>
            <w:r w:rsidRPr="006721B1">
              <w:rPr>
                <w:rStyle w:val="FootnoteReference"/>
                <w:szCs w:val="24"/>
              </w:rPr>
              <w:footnoteReference w:id="2"/>
            </w:r>
            <w:r w:rsidR="007504C1">
              <w:rPr>
                <w:szCs w:val="24"/>
              </w:rPr>
              <w:t>,</w:t>
            </w:r>
          </w:p>
          <w:p w14:paraId="0BA4DF21" w14:textId="4AC0C3AD" w:rsidR="001304B4" w:rsidRDefault="001304B4" w:rsidP="001304B4">
            <w:pPr>
              <w:rPr>
                <w:szCs w:val="24"/>
              </w:rPr>
            </w:pPr>
            <w:r>
              <w:rPr>
                <w:szCs w:val="24"/>
              </w:rPr>
              <w:t>Įstatymo 51 straipsnio 7 dalies 2 punktas</w:t>
            </w:r>
            <w:r>
              <w:rPr>
                <w:rStyle w:val="FootnoteReference"/>
                <w:szCs w:val="24"/>
              </w:rPr>
              <w:footnoteReference w:id="3"/>
            </w:r>
            <w:r w:rsidR="007504C1">
              <w:rPr>
                <w:szCs w:val="24"/>
              </w:rPr>
              <w:t>,</w:t>
            </w:r>
          </w:p>
          <w:p w14:paraId="292817AA" w14:textId="17B9AD47" w:rsidR="00941B4B" w:rsidRPr="00C60B04" w:rsidRDefault="002F1E82" w:rsidP="001304B4">
            <w:pPr>
              <w:rPr>
                <w:szCs w:val="24"/>
              </w:rPr>
            </w:pPr>
            <w:r>
              <w:rPr>
                <w:szCs w:val="24"/>
              </w:rPr>
              <w:t>Tie</w:t>
            </w:r>
            <w:r>
              <w:rPr>
                <w:rFonts w:eastAsia="Calibri"/>
                <w:bCs/>
                <w:szCs w:val="24"/>
              </w:rPr>
              <w:t xml:space="preserve">kėjo kvalifikacijos reikalavimų nustatymo metodikos, patvirtintos Tarnybos direktoriaus 2017 m. birželio 29 d. įsakymu Nr. 1S-105 (toliau – </w:t>
            </w:r>
            <w:r w:rsidR="004B28BB">
              <w:rPr>
                <w:rFonts w:eastAsia="Calibri"/>
                <w:bCs/>
                <w:szCs w:val="24"/>
              </w:rPr>
              <w:t>Kvalifikacijos m</w:t>
            </w:r>
            <w:r>
              <w:rPr>
                <w:rFonts w:eastAsia="Calibri"/>
                <w:bCs/>
                <w:szCs w:val="24"/>
              </w:rPr>
              <w:t>etodika)</w:t>
            </w:r>
            <w:r w:rsidR="00F1608C">
              <w:rPr>
                <w:rFonts w:eastAsia="Calibri"/>
                <w:bCs/>
                <w:szCs w:val="24"/>
              </w:rPr>
              <w:t>,</w:t>
            </w:r>
            <w:r w:rsidR="004B28BB">
              <w:rPr>
                <w:rFonts w:eastAsia="Calibri"/>
                <w:bCs/>
                <w:szCs w:val="24"/>
              </w:rPr>
              <w:t xml:space="preserve"> </w:t>
            </w:r>
            <w:r w:rsidR="001304B4">
              <w:rPr>
                <w:bCs/>
                <w:szCs w:val="24"/>
              </w:rPr>
              <w:t>16.2 papunktis</w:t>
            </w:r>
            <w:r w:rsidR="001304B4">
              <w:rPr>
                <w:rStyle w:val="FootnoteReference"/>
                <w:bCs/>
                <w:szCs w:val="24"/>
              </w:rPr>
              <w:footnoteReference w:id="4"/>
            </w:r>
            <w:r w:rsidR="007504C1">
              <w:rPr>
                <w:bCs/>
                <w:szCs w:val="24"/>
              </w:rPr>
              <w:t>.</w:t>
            </w:r>
          </w:p>
        </w:tc>
      </w:tr>
      <w:tr w:rsidR="002A07F4" w:rsidRPr="002A07F4" w14:paraId="2B4BBC31" w14:textId="77777777" w:rsidTr="00C36831">
        <w:tc>
          <w:tcPr>
            <w:tcW w:w="9634" w:type="dxa"/>
            <w:gridSpan w:val="2"/>
            <w:tcBorders>
              <w:top w:val="single" w:sz="4" w:space="0" w:color="auto"/>
              <w:left w:val="single" w:sz="4" w:space="0" w:color="auto"/>
              <w:bottom w:val="single" w:sz="4" w:space="0" w:color="auto"/>
              <w:right w:val="single" w:sz="4" w:space="0" w:color="auto"/>
            </w:tcBorders>
          </w:tcPr>
          <w:p w14:paraId="6D936C02" w14:textId="2A73698C" w:rsidR="008F2D19" w:rsidRPr="008C3E17" w:rsidRDefault="008F2D19" w:rsidP="008F2D19">
            <w:pPr>
              <w:ind w:firstLine="883"/>
              <w:jc w:val="both"/>
              <w:rPr>
                <w:szCs w:val="24"/>
              </w:rPr>
            </w:pPr>
            <w:r w:rsidRPr="008C3E17">
              <w:rPr>
                <w:szCs w:val="24"/>
              </w:rPr>
              <w:t xml:space="preserve">Pirkimą </w:t>
            </w:r>
            <w:r w:rsidR="00347E4B">
              <w:rPr>
                <w:szCs w:val="24"/>
              </w:rPr>
              <w:t xml:space="preserve">Nr. 1 </w:t>
            </w:r>
            <w:r w:rsidRPr="008C3E17">
              <w:rPr>
                <w:szCs w:val="24"/>
              </w:rPr>
              <w:t xml:space="preserve">vykdė Perkančiosios organizacijos </w:t>
            </w:r>
            <w:r>
              <w:rPr>
                <w:szCs w:val="24"/>
              </w:rPr>
              <w:t>2020</w:t>
            </w:r>
            <w:r w:rsidRPr="008C3E17">
              <w:rPr>
                <w:szCs w:val="24"/>
              </w:rPr>
              <w:t xml:space="preserve"> m. </w:t>
            </w:r>
            <w:r>
              <w:rPr>
                <w:szCs w:val="24"/>
              </w:rPr>
              <w:t>birželio 4</w:t>
            </w:r>
            <w:r w:rsidRPr="008C3E17">
              <w:rPr>
                <w:szCs w:val="24"/>
              </w:rPr>
              <w:t xml:space="preserve"> d. </w:t>
            </w:r>
            <w:r>
              <w:rPr>
                <w:szCs w:val="24"/>
              </w:rPr>
              <w:t>direktorės</w:t>
            </w:r>
            <w:r w:rsidRPr="008C3E17">
              <w:rPr>
                <w:szCs w:val="24"/>
              </w:rPr>
              <w:t xml:space="preserve"> įsakymu Nr. </w:t>
            </w:r>
            <w:r>
              <w:rPr>
                <w:szCs w:val="24"/>
              </w:rPr>
              <w:t>PV-67</w:t>
            </w:r>
            <w:r w:rsidR="00A96430">
              <w:rPr>
                <w:rStyle w:val="FootnoteReference"/>
                <w:szCs w:val="24"/>
              </w:rPr>
              <w:footnoteReference w:id="5"/>
            </w:r>
            <w:r w:rsidRPr="008C3E17">
              <w:rPr>
                <w:szCs w:val="24"/>
              </w:rPr>
              <w:t xml:space="preserve"> sudaryta Pirkimo komisija (toliau – Komisija).</w:t>
            </w:r>
          </w:p>
          <w:p w14:paraId="4BA37094" w14:textId="26DAD94F" w:rsidR="008F2D19" w:rsidRPr="005B5EA8" w:rsidRDefault="008F2D19" w:rsidP="008F2D19">
            <w:pPr>
              <w:pStyle w:val="ListParagraph"/>
              <w:tabs>
                <w:tab w:val="left" w:pos="0"/>
                <w:tab w:val="left" w:pos="993"/>
                <w:tab w:val="left" w:pos="1276"/>
              </w:tabs>
              <w:spacing w:before="120" w:after="120"/>
              <w:ind w:left="0" w:firstLine="879"/>
              <w:jc w:val="both"/>
              <w:rPr>
                <w:szCs w:val="24"/>
              </w:rPr>
            </w:pPr>
            <w:r w:rsidRPr="005B5EA8">
              <w:rPr>
                <w:szCs w:val="24"/>
              </w:rPr>
              <w:t>Pirkimo dokumentai patvirtinti</w:t>
            </w:r>
            <w:r w:rsidRPr="00C60B04">
              <w:rPr>
                <w:szCs w:val="24"/>
              </w:rPr>
              <w:t xml:space="preserve"> 202</w:t>
            </w:r>
            <w:r w:rsidR="00A96430" w:rsidRPr="00C60B04">
              <w:rPr>
                <w:szCs w:val="24"/>
              </w:rPr>
              <w:t>1</w:t>
            </w:r>
            <w:r w:rsidRPr="00C60B04">
              <w:rPr>
                <w:szCs w:val="24"/>
              </w:rPr>
              <w:t xml:space="preserve"> m. </w:t>
            </w:r>
            <w:r w:rsidR="00A96430">
              <w:rPr>
                <w:szCs w:val="24"/>
              </w:rPr>
              <w:t>lapkričio 16</w:t>
            </w:r>
            <w:r w:rsidRPr="005B5EA8">
              <w:rPr>
                <w:szCs w:val="24"/>
              </w:rPr>
              <w:t xml:space="preserve"> d. Komisijos protokolu </w:t>
            </w:r>
            <w:r>
              <w:rPr>
                <w:szCs w:val="24"/>
              </w:rPr>
              <w:t>Nr.</w:t>
            </w:r>
            <w:r w:rsidR="008569BC">
              <w:rPr>
                <w:szCs w:val="24"/>
              </w:rPr>
              <w:t> </w:t>
            </w:r>
            <w:r w:rsidR="00A96430">
              <w:rPr>
                <w:szCs w:val="24"/>
              </w:rPr>
              <w:t>1</w:t>
            </w:r>
            <w:r>
              <w:rPr>
                <w:szCs w:val="24"/>
              </w:rPr>
              <w:t>.</w:t>
            </w:r>
          </w:p>
          <w:p w14:paraId="5BFC7A3A" w14:textId="73784425" w:rsidR="004644FF" w:rsidRDefault="004644FF" w:rsidP="004644FF">
            <w:pPr>
              <w:widowControl w:val="0"/>
              <w:ind w:firstLine="881"/>
              <w:jc w:val="both"/>
              <w:rPr>
                <w:szCs w:val="24"/>
              </w:rPr>
            </w:pPr>
            <w:r w:rsidRPr="004644FF">
              <w:rPr>
                <w:szCs w:val="24"/>
              </w:rPr>
              <w:t>Perkančioji organizacija</w:t>
            </w:r>
            <w:r>
              <w:rPr>
                <w:szCs w:val="24"/>
              </w:rPr>
              <w:t xml:space="preserve"> Pirkimo Nr. 1 dokumentų priedo Nr. 3 „Tiekėjų kvalifikacijos reikalavimai“ lentelė</w:t>
            </w:r>
            <w:r w:rsidR="008569BC">
              <w:rPr>
                <w:szCs w:val="24"/>
              </w:rPr>
              <w:t>je (</w:t>
            </w:r>
            <w:r>
              <w:rPr>
                <w:szCs w:val="24"/>
              </w:rPr>
              <w:t>eil. Nr. 2</w:t>
            </w:r>
            <w:r w:rsidR="008569BC">
              <w:rPr>
                <w:szCs w:val="24"/>
              </w:rPr>
              <w:t>)</w:t>
            </w:r>
            <w:r>
              <w:rPr>
                <w:szCs w:val="24"/>
              </w:rPr>
              <w:t xml:space="preserve"> nustatė kvalifikacijos reikalavimą </w:t>
            </w:r>
            <w:r w:rsidRPr="004644FF">
              <w:rPr>
                <w:i/>
                <w:iCs/>
                <w:szCs w:val="24"/>
              </w:rPr>
              <w:t>tiekėjui būti įvykdžius ar vykdyti bent vieną ar daugiau sutartį (-</w:t>
            </w:r>
            <w:proofErr w:type="spellStart"/>
            <w:r w:rsidRPr="004644FF">
              <w:rPr>
                <w:i/>
                <w:iCs/>
                <w:szCs w:val="24"/>
              </w:rPr>
              <w:t>ių</w:t>
            </w:r>
            <w:proofErr w:type="spellEnd"/>
            <w:r w:rsidRPr="004644FF">
              <w:rPr>
                <w:i/>
                <w:iCs/>
                <w:szCs w:val="24"/>
              </w:rPr>
              <w:t>), kurios (-</w:t>
            </w:r>
            <w:proofErr w:type="spellStart"/>
            <w:r w:rsidRPr="004644FF">
              <w:rPr>
                <w:i/>
                <w:iCs/>
                <w:szCs w:val="24"/>
              </w:rPr>
              <w:t>ių</w:t>
            </w:r>
            <w:proofErr w:type="spellEnd"/>
            <w:r w:rsidRPr="004644FF">
              <w:rPr>
                <w:i/>
                <w:iCs/>
                <w:szCs w:val="24"/>
              </w:rPr>
              <w:t>) vertė ne mažesnė kaip 70.000,00 Eur be PVM</w:t>
            </w:r>
            <w:r>
              <w:rPr>
                <w:i/>
                <w:iCs/>
                <w:szCs w:val="24"/>
              </w:rPr>
              <w:t xml:space="preserve"> </w:t>
            </w:r>
            <w:r w:rsidRPr="004644FF">
              <w:rPr>
                <w:szCs w:val="24"/>
              </w:rPr>
              <w:t>(toliau – Reikalavimas Nr. 1).</w:t>
            </w:r>
          </w:p>
          <w:p w14:paraId="7FE9DFD4" w14:textId="4AD33E3E" w:rsidR="001304B4" w:rsidRDefault="001304B4" w:rsidP="001304B4">
            <w:pPr>
              <w:tabs>
                <w:tab w:val="left" w:pos="22"/>
                <w:tab w:val="left" w:pos="1156"/>
              </w:tabs>
              <w:ind w:firstLine="873"/>
              <w:jc w:val="both"/>
              <w:rPr>
                <w:rFonts w:eastAsia="Arial Unicode MS"/>
                <w:szCs w:val="24"/>
                <w:bdr w:val="nil"/>
                <w:lang w:eastAsia="lt-LT"/>
              </w:rPr>
            </w:pPr>
            <w:r w:rsidRPr="00CA702B">
              <w:rPr>
                <w:rFonts w:eastAsia="Arial Unicode MS"/>
                <w:szCs w:val="24"/>
                <w:bdr w:val="nil"/>
                <w:lang w:eastAsia="lt-LT"/>
              </w:rPr>
              <w:t xml:space="preserve">Perkančioji organizacija siekia įsigyti </w:t>
            </w:r>
            <w:r w:rsidR="00046734" w:rsidRPr="00B658DA">
              <w:rPr>
                <w:rFonts w:eastAsia="Calibri"/>
                <w:color w:val="000000" w:themeColor="text1"/>
                <w:szCs w:val="24"/>
              </w:rPr>
              <w:t>globos skyriaus gyventojų ir palaikomojo gydymo</w:t>
            </w:r>
            <w:r w:rsidR="00046734" w:rsidRPr="00B658DA">
              <w:rPr>
                <w:color w:val="000000" w:themeColor="text1"/>
                <w:szCs w:val="24"/>
              </w:rPr>
              <w:t xml:space="preserve"> </w:t>
            </w:r>
            <w:r w:rsidR="00046734" w:rsidRPr="00B658DA">
              <w:rPr>
                <w:rFonts w:eastAsia="Calibri"/>
                <w:color w:val="000000" w:themeColor="text1"/>
                <w:szCs w:val="24"/>
              </w:rPr>
              <w:t xml:space="preserve">ir slaugos skyriaus pacientų (dietinio) maitinimo </w:t>
            </w:r>
            <w:r w:rsidRPr="00CA702B">
              <w:rPr>
                <w:rFonts w:eastAsia="Arial Unicode MS"/>
                <w:szCs w:val="24"/>
                <w:bdr w:val="nil"/>
                <w:lang w:eastAsia="lt-LT"/>
              </w:rPr>
              <w:t xml:space="preserve">paslaugas, kurių teikimo terminas – </w:t>
            </w:r>
            <w:r w:rsidR="00046734">
              <w:rPr>
                <w:rFonts w:eastAsia="Arial Unicode MS"/>
                <w:szCs w:val="24"/>
                <w:bdr w:val="nil"/>
                <w:lang w:eastAsia="lt-LT"/>
              </w:rPr>
              <w:t>24</w:t>
            </w:r>
            <w:r w:rsidRPr="00CA702B">
              <w:rPr>
                <w:rFonts w:eastAsia="Arial Unicode MS"/>
                <w:szCs w:val="24"/>
                <w:bdr w:val="nil"/>
                <w:lang w:eastAsia="lt-LT"/>
              </w:rPr>
              <w:t xml:space="preserve"> mėn. su galimybe pratęsti </w:t>
            </w:r>
            <w:r w:rsidR="00046734">
              <w:rPr>
                <w:rFonts w:eastAsia="Arial Unicode MS"/>
                <w:szCs w:val="24"/>
                <w:bdr w:val="nil"/>
                <w:lang w:eastAsia="lt-LT"/>
              </w:rPr>
              <w:t>1</w:t>
            </w:r>
            <w:r w:rsidRPr="00CA702B">
              <w:rPr>
                <w:rFonts w:eastAsia="Arial Unicode MS"/>
                <w:szCs w:val="24"/>
                <w:bdr w:val="nil"/>
                <w:lang w:eastAsia="lt-LT"/>
              </w:rPr>
              <w:t xml:space="preserve"> kart</w:t>
            </w:r>
            <w:r w:rsidR="00046734">
              <w:rPr>
                <w:rFonts w:eastAsia="Arial Unicode MS"/>
                <w:szCs w:val="24"/>
                <w:bdr w:val="nil"/>
                <w:lang w:eastAsia="lt-LT"/>
              </w:rPr>
              <w:t>ą</w:t>
            </w:r>
            <w:r>
              <w:rPr>
                <w:rFonts w:eastAsia="Arial Unicode MS"/>
                <w:szCs w:val="24"/>
                <w:bdr w:val="nil"/>
                <w:lang w:eastAsia="lt-LT"/>
              </w:rPr>
              <w:t xml:space="preserve"> </w:t>
            </w:r>
            <w:r w:rsidRPr="00CA702B">
              <w:rPr>
                <w:rFonts w:eastAsia="Arial Unicode MS"/>
                <w:szCs w:val="24"/>
                <w:bdr w:val="nil"/>
                <w:lang w:eastAsia="lt-LT"/>
              </w:rPr>
              <w:t>12 mėn</w:t>
            </w:r>
            <w:r w:rsidRPr="00E86FE0">
              <w:rPr>
                <w:rFonts w:eastAsia="Arial Unicode MS"/>
                <w:szCs w:val="24"/>
                <w:bdr w:val="nil"/>
                <w:lang w:eastAsia="lt-LT"/>
              </w:rPr>
              <w:t xml:space="preserve">. </w:t>
            </w:r>
            <w:r>
              <w:rPr>
                <w:rFonts w:eastAsia="Arial Unicode MS"/>
                <w:szCs w:val="24"/>
                <w:bdr w:val="nil"/>
                <w:lang w:eastAsia="lt-LT"/>
              </w:rPr>
              <w:t xml:space="preserve">Pagal Pirkimo </w:t>
            </w:r>
            <w:r w:rsidR="00A56911">
              <w:rPr>
                <w:rFonts w:eastAsia="Arial Unicode MS"/>
                <w:szCs w:val="24"/>
                <w:bdr w:val="nil"/>
                <w:lang w:eastAsia="lt-LT"/>
              </w:rPr>
              <w:t xml:space="preserve">Nr. 1 </w:t>
            </w:r>
            <w:r>
              <w:rPr>
                <w:rFonts w:eastAsia="Arial Unicode MS"/>
                <w:szCs w:val="24"/>
                <w:bdr w:val="nil"/>
                <w:lang w:eastAsia="lt-LT"/>
              </w:rPr>
              <w:t>dokumentų reikalavimus, nustatyta</w:t>
            </w:r>
            <w:r w:rsidRPr="00E86FE0">
              <w:rPr>
                <w:rFonts w:eastAsia="Arial Unicode MS"/>
                <w:szCs w:val="24"/>
                <w:bdr w:val="nil"/>
                <w:lang w:eastAsia="lt-LT"/>
              </w:rPr>
              <w:t>, kad Pirkimu</w:t>
            </w:r>
            <w:r w:rsidR="00A56911">
              <w:rPr>
                <w:rFonts w:eastAsia="Arial Unicode MS"/>
                <w:szCs w:val="24"/>
                <w:bdr w:val="nil"/>
                <w:lang w:eastAsia="lt-LT"/>
              </w:rPr>
              <w:t xml:space="preserve"> Nr. 1</w:t>
            </w:r>
            <w:r w:rsidRPr="00E86FE0">
              <w:rPr>
                <w:rFonts w:eastAsia="Arial Unicode MS"/>
                <w:szCs w:val="24"/>
                <w:bdr w:val="nil"/>
                <w:lang w:eastAsia="lt-LT"/>
              </w:rPr>
              <w:t xml:space="preserve"> siekiama sudaryti tęstinio pobūdžio paslaugų teikimo sutartį, kurios objektas yra sudėtinis ir dalus</w:t>
            </w:r>
            <w:r>
              <w:rPr>
                <w:rFonts w:eastAsia="Arial Unicode MS"/>
                <w:szCs w:val="24"/>
                <w:bdr w:val="nil"/>
                <w:lang w:eastAsia="lt-LT"/>
              </w:rPr>
              <w:t xml:space="preserve">. </w:t>
            </w:r>
          </w:p>
          <w:p w14:paraId="181C26A1" w14:textId="77777777" w:rsidR="001304B4" w:rsidRDefault="001304B4" w:rsidP="001304B4">
            <w:pPr>
              <w:tabs>
                <w:tab w:val="left" w:pos="22"/>
                <w:tab w:val="left" w:pos="1156"/>
              </w:tabs>
              <w:ind w:firstLine="873"/>
              <w:jc w:val="both"/>
              <w:rPr>
                <w:rFonts w:eastAsia="Arial Unicode MS"/>
                <w:szCs w:val="24"/>
                <w:bdr w:val="nil"/>
                <w:lang w:eastAsia="lt-LT"/>
              </w:rPr>
            </w:pPr>
            <w:r w:rsidRPr="00E86FE0">
              <w:rPr>
                <w:rFonts w:eastAsia="Arial Unicode MS"/>
                <w:szCs w:val="24"/>
                <w:bdr w:val="nil"/>
                <w:lang w:eastAsia="lt-LT"/>
              </w:rPr>
              <w:t xml:space="preserve">Perkančioji organizacija, vadovaudamasi Kvalifikacijos metodikos </w:t>
            </w:r>
            <w:r>
              <w:rPr>
                <w:rFonts w:eastAsia="Arial Unicode MS"/>
                <w:szCs w:val="24"/>
                <w:bdr w:val="nil"/>
                <w:lang w:eastAsia="lt-LT"/>
              </w:rPr>
              <w:t>16.2</w:t>
            </w:r>
            <w:r w:rsidRPr="00E86FE0">
              <w:rPr>
                <w:rFonts w:eastAsia="Arial Unicode MS"/>
                <w:szCs w:val="24"/>
                <w:bdr w:val="nil"/>
                <w:lang w:eastAsia="lt-LT"/>
              </w:rPr>
              <w:t xml:space="preserve"> papunkčio nuostatomis, turėjo nustatyti kvalifikacinį reikalavimą</w:t>
            </w:r>
            <w:r>
              <w:rPr>
                <w:rFonts w:eastAsia="Arial Unicode MS"/>
                <w:szCs w:val="24"/>
                <w:bdr w:val="nil"/>
                <w:lang w:eastAsia="lt-LT"/>
              </w:rPr>
              <w:t>, kad „</w:t>
            </w:r>
            <w:r w:rsidRPr="00E959B4">
              <w:rPr>
                <w:rFonts w:eastAsia="Arial Unicode MS"/>
                <w:i/>
                <w:iCs/>
                <w:szCs w:val="24"/>
                <w:bdr w:val="nil"/>
                <w:lang w:eastAsia="lt-LT"/>
              </w:rPr>
              <w:t xml:space="preserve">tiekėjas per paskutinius 3 metus iki pasiūlymo pateikimo termino pabaigos pagal vieną arba daugiau sutarčių (projektų) yra savo jėgomis </w:t>
            </w:r>
            <w:r w:rsidRPr="008569BC">
              <w:rPr>
                <w:rFonts w:eastAsia="Arial Unicode MS"/>
                <w:i/>
                <w:iCs/>
                <w:szCs w:val="24"/>
                <w:bdr w:val="nil"/>
                <w:lang w:eastAsia="lt-LT"/>
              </w:rPr>
              <w:t xml:space="preserve">suteikęs </w:t>
            </w:r>
            <w:r w:rsidRPr="00E959B4">
              <w:rPr>
                <w:rFonts w:eastAsia="Arial Unicode MS"/>
                <w:i/>
                <w:iCs/>
                <w:szCs w:val="24"/>
                <w:bdr w:val="nil"/>
                <w:lang w:eastAsia="lt-LT"/>
              </w:rPr>
              <w:t>(nurodomos panašios paslaugos (jų apimtis ar vertė ar kt.)</w:t>
            </w:r>
            <w:r>
              <w:rPr>
                <w:rFonts w:eastAsia="Arial Unicode MS"/>
                <w:szCs w:val="24"/>
                <w:bdr w:val="nil"/>
                <w:lang w:eastAsia="lt-LT"/>
              </w:rPr>
              <w:t>“.</w:t>
            </w:r>
          </w:p>
          <w:p w14:paraId="0B02ABEF" w14:textId="77777777" w:rsidR="001304B4" w:rsidRPr="005E489E" w:rsidRDefault="001304B4" w:rsidP="001304B4">
            <w:pPr>
              <w:tabs>
                <w:tab w:val="left" w:pos="22"/>
                <w:tab w:val="left" w:pos="1156"/>
              </w:tabs>
              <w:ind w:firstLine="873"/>
              <w:jc w:val="both"/>
              <w:rPr>
                <w:rFonts w:eastAsia="Arial Unicode MS"/>
                <w:szCs w:val="24"/>
                <w:bdr w:val="nil"/>
                <w:lang w:eastAsia="lt-LT"/>
              </w:rPr>
            </w:pPr>
            <w:r>
              <w:rPr>
                <w:rFonts w:eastAsia="Arial Unicode MS"/>
                <w:szCs w:val="24"/>
                <w:bdr w:val="nil"/>
                <w:lang w:eastAsia="lt-LT"/>
              </w:rPr>
              <w:t xml:space="preserve">Atkreiptinas dėmesys, kad tiek pagal Įstatymo 51 straipsnio 7 dalies 2 punktą, tiek pagal Kvalifikacijos metodikos 16 punktą reikalaujama </w:t>
            </w:r>
            <w:r w:rsidRPr="008569BC">
              <w:rPr>
                <w:rFonts w:eastAsia="Arial Unicode MS"/>
                <w:szCs w:val="24"/>
                <w:bdr w:val="nil"/>
                <w:lang w:eastAsia="lt-LT"/>
              </w:rPr>
              <w:t>suteiktų paslaugų (kartu su užsakovų pažymomis), o ne sutarčių sąrašo</w:t>
            </w:r>
            <w:r w:rsidRPr="008569BC">
              <w:rPr>
                <w:bdr w:val="nil"/>
                <w:lang w:eastAsia="lt-LT"/>
              </w:rPr>
              <w:t xml:space="preserve">. </w:t>
            </w:r>
            <w:r w:rsidRPr="005E489E">
              <w:rPr>
                <w:spacing w:val="2"/>
                <w:shd w:val="clear" w:color="auto" w:fill="FFFFFF"/>
              </w:rPr>
              <w:t>Tai reiškia, kad yra svarbu ne vykdoma/įvykdyta sutartis (t. y., ne dokumento forma), o pagal sutartį (-</w:t>
            </w:r>
            <w:proofErr w:type="spellStart"/>
            <w:r w:rsidRPr="005E489E">
              <w:rPr>
                <w:spacing w:val="2"/>
                <w:shd w:val="clear" w:color="auto" w:fill="FFFFFF"/>
              </w:rPr>
              <w:t>is</w:t>
            </w:r>
            <w:proofErr w:type="spellEnd"/>
            <w:r w:rsidRPr="005E489E">
              <w:rPr>
                <w:spacing w:val="2"/>
                <w:shd w:val="clear" w:color="auto" w:fill="FFFFFF"/>
              </w:rPr>
              <w:t>)) suteiktos paslaugos.</w:t>
            </w:r>
          </w:p>
          <w:p w14:paraId="35AF909E" w14:textId="2A5801C4" w:rsidR="001304B4" w:rsidRPr="00357F62" w:rsidRDefault="008C56C9" w:rsidP="00357F62">
            <w:pPr>
              <w:shd w:val="clear" w:color="auto" w:fill="FFFFFF"/>
              <w:ind w:firstLine="883"/>
              <w:jc w:val="both"/>
              <w:rPr>
                <w:spacing w:val="2"/>
                <w:szCs w:val="24"/>
                <w:shd w:val="clear" w:color="auto" w:fill="FFFFFF"/>
              </w:rPr>
            </w:pPr>
            <w:r>
              <w:rPr>
                <w:szCs w:val="24"/>
              </w:rPr>
              <w:t xml:space="preserve">Atsižvelgusi į išdėstytą, Tarnyba konstatuoja, kad Perkančioji organizacija, nustatydama Reikalavimą Nr. 1, </w:t>
            </w:r>
            <w:r w:rsidR="001304B4" w:rsidRPr="00357F62">
              <w:t>pažeid</w:t>
            </w:r>
            <w:r>
              <w:t>ė</w:t>
            </w:r>
            <w:r w:rsidR="001304B4" w:rsidRPr="00357F62">
              <w:t xml:space="preserve"> </w:t>
            </w:r>
            <w:r w:rsidR="001304B4" w:rsidRPr="00357F62">
              <w:rPr>
                <w:rStyle w:val="Strong"/>
                <w:b w:val="0"/>
                <w:bCs w:val="0"/>
                <w:spacing w:val="2"/>
                <w:szCs w:val="24"/>
                <w:shd w:val="clear" w:color="auto" w:fill="FFFFFF"/>
              </w:rPr>
              <w:t xml:space="preserve">Įstatymo </w:t>
            </w:r>
            <w:r w:rsidR="001304B4" w:rsidRPr="00357F62">
              <w:rPr>
                <w:szCs w:val="24"/>
              </w:rPr>
              <w:t>47 straipsnio 7 dalį,</w:t>
            </w:r>
            <w:r w:rsidR="001304B4" w:rsidRPr="00357F62">
              <w:rPr>
                <w:rStyle w:val="Strong"/>
                <w:b w:val="0"/>
                <w:bCs w:val="0"/>
                <w:spacing w:val="2"/>
                <w:szCs w:val="24"/>
                <w:shd w:val="clear" w:color="auto" w:fill="FFFFFF"/>
              </w:rPr>
              <w:t xml:space="preserve"> 51 straipsnio 7 dalies 2 punktą ir </w:t>
            </w:r>
            <w:r w:rsidR="001304B4" w:rsidRPr="00357F62">
              <w:rPr>
                <w:szCs w:val="24"/>
              </w:rPr>
              <w:t xml:space="preserve">Kvalifikacijos </w:t>
            </w:r>
            <w:r w:rsidR="001304B4" w:rsidRPr="00357F62">
              <w:rPr>
                <w:rStyle w:val="Strong"/>
                <w:b w:val="0"/>
                <w:bCs w:val="0"/>
                <w:spacing w:val="2"/>
                <w:szCs w:val="24"/>
                <w:shd w:val="clear" w:color="auto" w:fill="FFFFFF"/>
              </w:rPr>
              <w:t>metodikos 1</w:t>
            </w:r>
            <w:r w:rsidR="001304B4" w:rsidRPr="00357F62">
              <w:rPr>
                <w:rStyle w:val="Strong"/>
                <w:b w:val="0"/>
                <w:bCs w:val="0"/>
                <w:szCs w:val="24"/>
              </w:rPr>
              <w:t>6.2</w:t>
            </w:r>
            <w:r w:rsidR="001304B4" w:rsidRPr="00357F62">
              <w:rPr>
                <w:rStyle w:val="Strong"/>
                <w:b w:val="0"/>
                <w:bCs w:val="0"/>
                <w:spacing w:val="2"/>
                <w:szCs w:val="24"/>
                <w:shd w:val="clear" w:color="auto" w:fill="FFFFFF"/>
              </w:rPr>
              <w:t xml:space="preserve"> papunktį.</w:t>
            </w:r>
          </w:p>
        </w:tc>
      </w:tr>
    </w:tbl>
    <w:p w14:paraId="6F0648BF" w14:textId="77777777" w:rsidR="00805952" w:rsidRDefault="00805952" w:rsidP="00805952">
      <w:pPr>
        <w:spacing w:before="120"/>
        <w:rPr>
          <w:b/>
          <w:szCs w:val="24"/>
        </w:rPr>
      </w:pPr>
    </w:p>
    <w:p w14:paraId="45758BDC" w14:textId="55CE8662" w:rsidR="00A60027" w:rsidRPr="00A60027" w:rsidRDefault="00A60027" w:rsidP="00805952">
      <w:pPr>
        <w:spacing w:before="240" w:after="120"/>
        <w:ind w:left="-113"/>
        <w:jc w:val="center"/>
        <w:rPr>
          <w:b/>
          <w:color w:val="000000"/>
          <w:szCs w:val="24"/>
          <w:lang w:eastAsia="lt-LT"/>
        </w:rPr>
      </w:pPr>
      <w:r w:rsidRPr="002A07F4">
        <w:rPr>
          <w:b/>
          <w:szCs w:val="24"/>
        </w:rPr>
        <w:lastRenderedPageBreak/>
        <w:t xml:space="preserve">III dalis. </w:t>
      </w:r>
      <w:r w:rsidRPr="002A07F4">
        <w:rPr>
          <w:b/>
          <w:color w:val="000000"/>
          <w:szCs w:val="24"/>
          <w:lang w:eastAsia="lt-LT"/>
        </w:rPr>
        <w:t>Kiti nustatyti pažeidimai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301"/>
      </w:tblGrid>
      <w:tr w:rsidR="00A60027" w:rsidRPr="002A07F4" w14:paraId="562A7E75" w14:textId="77777777" w:rsidTr="00C36831">
        <w:tc>
          <w:tcPr>
            <w:tcW w:w="1333" w:type="dxa"/>
            <w:tcBorders>
              <w:top w:val="single" w:sz="4" w:space="0" w:color="auto"/>
              <w:left w:val="single" w:sz="4" w:space="0" w:color="auto"/>
              <w:bottom w:val="single" w:sz="4" w:space="0" w:color="auto"/>
              <w:right w:val="single" w:sz="4" w:space="0" w:color="auto"/>
            </w:tcBorders>
          </w:tcPr>
          <w:p w14:paraId="498348E5" w14:textId="724F725E" w:rsidR="00A60027" w:rsidRPr="00F420F0" w:rsidRDefault="003351A0" w:rsidP="006C5A17">
            <w:pPr>
              <w:jc w:val="center"/>
              <w:rPr>
                <w:szCs w:val="24"/>
                <w:highlight w:val="yellow"/>
              </w:rPr>
            </w:pPr>
            <w:r w:rsidRPr="003351A0">
              <w:rPr>
                <w:szCs w:val="24"/>
              </w:rPr>
              <w:t>1.</w:t>
            </w:r>
          </w:p>
        </w:tc>
        <w:tc>
          <w:tcPr>
            <w:tcW w:w="8301" w:type="dxa"/>
            <w:tcBorders>
              <w:top w:val="single" w:sz="4" w:space="0" w:color="auto"/>
              <w:left w:val="single" w:sz="4" w:space="0" w:color="auto"/>
              <w:bottom w:val="single" w:sz="4" w:space="0" w:color="auto"/>
              <w:right w:val="single" w:sz="4" w:space="0" w:color="auto"/>
            </w:tcBorders>
          </w:tcPr>
          <w:p w14:paraId="4C904817" w14:textId="4DB2A3B4" w:rsidR="00A60027" w:rsidRPr="00FE7CC9" w:rsidRDefault="00FE7CC9" w:rsidP="006C5A17">
            <w:pPr>
              <w:rPr>
                <w:szCs w:val="24"/>
                <w:highlight w:val="yellow"/>
              </w:rPr>
            </w:pPr>
            <w:r w:rsidRPr="00FE7CC9">
              <w:rPr>
                <w:szCs w:val="24"/>
              </w:rPr>
              <w:t>Įstatymo 26 straipsnio 1 dalis</w:t>
            </w:r>
            <w:r>
              <w:rPr>
                <w:rStyle w:val="FootnoteReference"/>
                <w:szCs w:val="24"/>
              </w:rPr>
              <w:footnoteReference w:id="6"/>
            </w:r>
            <w:r w:rsidRPr="00FE7CC9">
              <w:rPr>
                <w:szCs w:val="24"/>
              </w:rPr>
              <w:t>.</w:t>
            </w:r>
          </w:p>
        </w:tc>
      </w:tr>
      <w:tr w:rsidR="00F21FFB" w:rsidRPr="002A07F4" w14:paraId="139E0296" w14:textId="77777777" w:rsidTr="00AD363F">
        <w:tc>
          <w:tcPr>
            <w:tcW w:w="9634" w:type="dxa"/>
            <w:gridSpan w:val="2"/>
            <w:tcBorders>
              <w:top w:val="single" w:sz="4" w:space="0" w:color="auto"/>
              <w:left w:val="single" w:sz="4" w:space="0" w:color="auto"/>
              <w:bottom w:val="single" w:sz="4" w:space="0" w:color="auto"/>
              <w:right w:val="single" w:sz="4" w:space="0" w:color="auto"/>
            </w:tcBorders>
          </w:tcPr>
          <w:p w14:paraId="1663F440" w14:textId="4EE8880C" w:rsidR="00F21FFB" w:rsidRPr="00FE7CC9" w:rsidRDefault="00F21FFB" w:rsidP="00F21FFB">
            <w:pPr>
              <w:ind w:firstLine="738"/>
              <w:jc w:val="both"/>
              <w:rPr>
                <w:szCs w:val="24"/>
              </w:rPr>
            </w:pPr>
            <w:r>
              <w:rPr>
                <w:szCs w:val="24"/>
              </w:rPr>
              <w:t>Planuojamų atlikti pirkimų suvestinėje nurodyta Pirkimo Nr. 1 vertė: 400,000,00 Eur be PVM. Perkančioji organizacija, patikslinusi planuojamų atlikti einamaisiais kalendoriniais metais pirkimų planą, nepatikslino suvestinės duomenų ir tuo pažeidė Įstatymo 26 straipsnio 1 dalies nuostatas.</w:t>
            </w:r>
          </w:p>
        </w:tc>
      </w:tr>
      <w:tr w:rsidR="00F21FFB" w:rsidRPr="002A07F4" w14:paraId="7029D168" w14:textId="77777777" w:rsidTr="00C36831">
        <w:tc>
          <w:tcPr>
            <w:tcW w:w="1333" w:type="dxa"/>
            <w:tcBorders>
              <w:top w:val="single" w:sz="4" w:space="0" w:color="auto"/>
              <w:left w:val="single" w:sz="4" w:space="0" w:color="auto"/>
              <w:bottom w:val="single" w:sz="4" w:space="0" w:color="auto"/>
              <w:right w:val="single" w:sz="4" w:space="0" w:color="auto"/>
            </w:tcBorders>
          </w:tcPr>
          <w:p w14:paraId="00113AF8" w14:textId="42DF9D69" w:rsidR="00F21FFB" w:rsidRPr="003351A0" w:rsidRDefault="00701E67" w:rsidP="006C5A17">
            <w:pPr>
              <w:jc w:val="center"/>
              <w:rPr>
                <w:szCs w:val="24"/>
              </w:rPr>
            </w:pPr>
            <w:r>
              <w:rPr>
                <w:szCs w:val="24"/>
              </w:rPr>
              <w:t>2.</w:t>
            </w:r>
          </w:p>
        </w:tc>
        <w:tc>
          <w:tcPr>
            <w:tcW w:w="8301" w:type="dxa"/>
            <w:tcBorders>
              <w:top w:val="single" w:sz="4" w:space="0" w:color="auto"/>
              <w:left w:val="single" w:sz="4" w:space="0" w:color="auto"/>
              <w:bottom w:val="single" w:sz="4" w:space="0" w:color="auto"/>
              <w:right w:val="single" w:sz="4" w:space="0" w:color="auto"/>
            </w:tcBorders>
          </w:tcPr>
          <w:p w14:paraId="300FFB56" w14:textId="6FEBC31D" w:rsidR="00F21FFB" w:rsidRPr="00FE7CC9" w:rsidRDefault="00701E67" w:rsidP="006C5A17">
            <w:pPr>
              <w:rPr>
                <w:szCs w:val="24"/>
              </w:rPr>
            </w:pPr>
            <w:r>
              <w:rPr>
                <w:szCs w:val="24"/>
              </w:rPr>
              <w:t>Įstatymo 44 straipsnio 9 dalis</w:t>
            </w:r>
            <w:r>
              <w:rPr>
                <w:rStyle w:val="FootnoteReference"/>
                <w:szCs w:val="24"/>
              </w:rPr>
              <w:footnoteReference w:id="7"/>
            </w:r>
            <w:r>
              <w:rPr>
                <w:szCs w:val="24"/>
              </w:rPr>
              <w:t>.</w:t>
            </w:r>
          </w:p>
        </w:tc>
      </w:tr>
      <w:tr w:rsidR="00FE7CC9" w:rsidRPr="002A07F4" w14:paraId="44E495D0" w14:textId="77777777" w:rsidTr="00C36831">
        <w:tc>
          <w:tcPr>
            <w:tcW w:w="9634" w:type="dxa"/>
            <w:gridSpan w:val="2"/>
            <w:tcBorders>
              <w:top w:val="single" w:sz="4" w:space="0" w:color="auto"/>
              <w:left w:val="single" w:sz="4" w:space="0" w:color="auto"/>
              <w:bottom w:val="single" w:sz="4" w:space="0" w:color="auto"/>
              <w:right w:val="single" w:sz="4" w:space="0" w:color="auto"/>
            </w:tcBorders>
          </w:tcPr>
          <w:p w14:paraId="7FBB0610" w14:textId="3E9F9F45" w:rsidR="00FE7CC9" w:rsidRDefault="00701E67" w:rsidP="00FE7CC9">
            <w:pPr>
              <w:ind w:firstLine="740"/>
              <w:jc w:val="both"/>
              <w:rPr>
                <w:szCs w:val="24"/>
              </w:rPr>
            </w:pPr>
            <w:r>
              <w:rPr>
                <w:color w:val="000000"/>
              </w:rPr>
              <w:t xml:space="preserve">Komisija 2021 m. gruodžio 2 d. protokole Nr. 2 nurodyta, jog pradiniame susipažinime su pasiūlymais dalyvavo trys Komisijos narės, kurios pasiūlymus išsaugojo ir buvo pasiūlyta pasiūlymus vertinti tą pačią dieną, tačiau Komisija neparengė protokolo, vadovaujantis </w:t>
            </w:r>
            <w:r w:rsidRPr="00F21FFB">
              <w:rPr>
                <w:i/>
                <w:iCs/>
                <w:color w:val="000000"/>
              </w:rPr>
              <w:t>Komisijos susipažinimo su pasiūlymais ar paraiškomis procedūros protokolų privalomųjų rekvizitų apraš</w:t>
            </w:r>
            <w:r>
              <w:rPr>
                <w:i/>
                <w:iCs/>
                <w:color w:val="000000"/>
              </w:rPr>
              <w:t>u</w:t>
            </w:r>
            <w:r>
              <w:rPr>
                <w:color w:val="000000"/>
              </w:rPr>
              <w:t>, patvirtintu</w:t>
            </w:r>
            <w:r w:rsidRPr="00F21FFB">
              <w:rPr>
                <w:color w:val="000000"/>
              </w:rPr>
              <w:t xml:space="preserve"> </w:t>
            </w:r>
            <w:r>
              <w:rPr>
                <w:color w:val="000000"/>
              </w:rPr>
              <w:t>Tarnybos direktoriaus 2017 m. birželio 7 d. įsakymu Nr. 1S-85 , ir tuo pažeidė Įstatymo 44 straipsnio 9 dalies nuostatas.</w:t>
            </w:r>
          </w:p>
        </w:tc>
      </w:tr>
      <w:tr w:rsidR="00FE7CC9" w:rsidRPr="002A07F4" w14:paraId="709B09D4" w14:textId="77777777" w:rsidTr="00C36831">
        <w:tc>
          <w:tcPr>
            <w:tcW w:w="1333" w:type="dxa"/>
            <w:tcBorders>
              <w:top w:val="single" w:sz="4" w:space="0" w:color="auto"/>
              <w:left w:val="single" w:sz="4" w:space="0" w:color="auto"/>
              <w:bottom w:val="single" w:sz="4" w:space="0" w:color="auto"/>
              <w:right w:val="single" w:sz="4" w:space="0" w:color="auto"/>
            </w:tcBorders>
          </w:tcPr>
          <w:p w14:paraId="2F012E70" w14:textId="709ADF48" w:rsidR="00FE7CC9" w:rsidRPr="003351A0" w:rsidRDefault="00701E67" w:rsidP="006C5A17">
            <w:pPr>
              <w:jc w:val="center"/>
              <w:rPr>
                <w:szCs w:val="24"/>
              </w:rPr>
            </w:pPr>
            <w:r>
              <w:rPr>
                <w:szCs w:val="24"/>
              </w:rPr>
              <w:t>3</w:t>
            </w:r>
            <w:r w:rsidR="00FE7CC9">
              <w:rPr>
                <w:szCs w:val="24"/>
              </w:rPr>
              <w:t>.</w:t>
            </w:r>
          </w:p>
        </w:tc>
        <w:tc>
          <w:tcPr>
            <w:tcW w:w="8301" w:type="dxa"/>
            <w:tcBorders>
              <w:top w:val="single" w:sz="4" w:space="0" w:color="auto"/>
              <w:left w:val="single" w:sz="4" w:space="0" w:color="auto"/>
              <w:bottom w:val="single" w:sz="4" w:space="0" w:color="auto"/>
              <w:right w:val="single" w:sz="4" w:space="0" w:color="auto"/>
            </w:tcBorders>
          </w:tcPr>
          <w:p w14:paraId="5B5F4305" w14:textId="63733714" w:rsidR="00FE7CC9" w:rsidRDefault="00FE7CC9" w:rsidP="006C5A17">
            <w:pPr>
              <w:rPr>
                <w:szCs w:val="24"/>
              </w:rPr>
            </w:pPr>
            <w:r>
              <w:rPr>
                <w:szCs w:val="24"/>
              </w:rPr>
              <w:t>Įstatymo 96 straipsnio 2 dalies 1 punktas</w:t>
            </w:r>
            <w:r>
              <w:rPr>
                <w:rStyle w:val="FootnoteReference"/>
                <w:szCs w:val="24"/>
              </w:rPr>
              <w:footnoteReference w:id="8"/>
            </w:r>
            <w:r>
              <w:rPr>
                <w:szCs w:val="24"/>
              </w:rPr>
              <w:t>.</w:t>
            </w:r>
          </w:p>
        </w:tc>
      </w:tr>
      <w:tr w:rsidR="00FE7CC9" w:rsidRPr="002A07F4" w14:paraId="4824899B" w14:textId="77777777" w:rsidTr="00C36831">
        <w:tc>
          <w:tcPr>
            <w:tcW w:w="9634" w:type="dxa"/>
            <w:gridSpan w:val="2"/>
            <w:tcBorders>
              <w:top w:val="single" w:sz="4" w:space="0" w:color="auto"/>
              <w:left w:val="single" w:sz="4" w:space="0" w:color="auto"/>
              <w:bottom w:val="single" w:sz="4" w:space="0" w:color="auto"/>
              <w:right w:val="single" w:sz="4" w:space="0" w:color="auto"/>
            </w:tcBorders>
          </w:tcPr>
          <w:p w14:paraId="4095A695" w14:textId="44540BC9" w:rsidR="00FE7CC9" w:rsidRPr="00384C0C" w:rsidRDefault="00FE7CC9" w:rsidP="00FE7CC9">
            <w:pPr>
              <w:ind w:firstLine="740"/>
              <w:jc w:val="both"/>
              <w:rPr>
                <w:rFonts w:eastAsia="Calibri"/>
                <w:bCs/>
                <w:szCs w:val="24"/>
              </w:rPr>
            </w:pPr>
            <w:r>
              <w:rPr>
                <w:szCs w:val="24"/>
              </w:rPr>
              <w:t>Perkančioji organizacija Tarnybai nepateikė Pirkimo Nr. 1 procedūrų ataskaitos ir t</w:t>
            </w:r>
            <w:r w:rsidR="00AB531F">
              <w:rPr>
                <w:szCs w:val="24"/>
              </w:rPr>
              <w:t>uo</w:t>
            </w:r>
            <w:r>
              <w:rPr>
                <w:szCs w:val="24"/>
              </w:rPr>
              <w:t xml:space="preserve"> pažeidė Įstatymo 96 straipsnio 2 dalies 1 punkto nuostatas.</w:t>
            </w:r>
          </w:p>
        </w:tc>
      </w:tr>
    </w:tbl>
    <w:p w14:paraId="74DE9455" w14:textId="77777777" w:rsidR="00A60027" w:rsidRPr="00AB57C7" w:rsidRDefault="00A60027" w:rsidP="00941F44">
      <w:pPr>
        <w:spacing w:before="120"/>
        <w:rPr>
          <w:b/>
          <w:sz w:val="20"/>
        </w:rPr>
      </w:pPr>
    </w:p>
    <w:p w14:paraId="614484D5" w14:textId="6E34F435" w:rsidR="0096626F" w:rsidRPr="004D04C1" w:rsidRDefault="002A07F4" w:rsidP="00805952">
      <w:pPr>
        <w:spacing w:before="240" w:after="120"/>
        <w:jc w:val="center"/>
        <w:rPr>
          <w:b/>
          <w:szCs w:val="24"/>
        </w:rPr>
      </w:pPr>
      <w:r w:rsidRPr="004D04C1">
        <w:rPr>
          <w:b/>
          <w:szCs w:val="24"/>
        </w:rPr>
        <w:t>IV dalis. Sprendimas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6626F" w:rsidRPr="004D04C1" w14:paraId="1334C439" w14:textId="77777777" w:rsidTr="00C36831">
        <w:tc>
          <w:tcPr>
            <w:tcW w:w="9634" w:type="dxa"/>
            <w:tcBorders>
              <w:top w:val="single" w:sz="4" w:space="0" w:color="auto"/>
              <w:left w:val="single" w:sz="4" w:space="0" w:color="auto"/>
              <w:bottom w:val="single" w:sz="4" w:space="0" w:color="auto"/>
              <w:right w:val="single" w:sz="4" w:space="0" w:color="auto"/>
            </w:tcBorders>
          </w:tcPr>
          <w:p w14:paraId="1CA8CFB3" w14:textId="3F4813CF" w:rsidR="0016251B" w:rsidRPr="009B6A83" w:rsidRDefault="009D2534" w:rsidP="00E858DD">
            <w:pPr>
              <w:tabs>
                <w:tab w:val="left" w:pos="993"/>
              </w:tabs>
              <w:ind w:firstLine="880"/>
              <w:jc w:val="both"/>
              <w:rPr>
                <w:szCs w:val="24"/>
              </w:rPr>
            </w:pPr>
            <w:r w:rsidRPr="00060812">
              <w:rPr>
                <w:bCs/>
                <w:szCs w:val="24"/>
                <w:lang w:eastAsia="lt-LT"/>
              </w:rPr>
              <w:t>Tarnyba, atlikusi Pirkimo</w:t>
            </w:r>
            <w:r w:rsidR="00060812">
              <w:rPr>
                <w:bCs/>
                <w:szCs w:val="24"/>
                <w:lang w:eastAsia="lt-LT"/>
              </w:rPr>
              <w:t xml:space="preserve"> Nr. 1</w:t>
            </w:r>
            <w:r w:rsidRPr="00060812">
              <w:rPr>
                <w:bCs/>
                <w:szCs w:val="24"/>
                <w:lang w:eastAsia="lt-LT"/>
              </w:rPr>
              <w:t xml:space="preserve"> vertinimą, nustatė </w:t>
            </w:r>
            <w:r w:rsidR="00060812">
              <w:rPr>
                <w:bCs/>
                <w:szCs w:val="24"/>
                <w:lang w:eastAsia="lt-LT"/>
              </w:rPr>
              <w:t>Įstatymo</w:t>
            </w:r>
            <w:r w:rsidR="00060812" w:rsidRPr="00FE7CC9">
              <w:rPr>
                <w:szCs w:val="24"/>
              </w:rPr>
              <w:t xml:space="preserve"> 26 straipsnio 1</w:t>
            </w:r>
            <w:r w:rsidR="00060812">
              <w:rPr>
                <w:szCs w:val="24"/>
              </w:rPr>
              <w:t xml:space="preserve"> dalies, </w:t>
            </w:r>
            <w:r w:rsidR="00701E67">
              <w:rPr>
                <w:szCs w:val="24"/>
              </w:rPr>
              <w:t xml:space="preserve">44 straipsnio 9 dalies, </w:t>
            </w:r>
            <w:r w:rsidR="00060812" w:rsidRPr="006721B1">
              <w:rPr>
                <w:szCs w:val="24"/>
              </w:rPr>
              <w:t xml:space="preserve">47 straipsnio </w:t>
            </w:r>
            <w:r w:rsidR="00060812">
              <w:rPr>
                <w:szCs w:val="24"/>
              </w:rPr>
              <w:t>7</w:t>
            </w:r>
            <w:r w:rsidR="00060812" w:rsidRPr="006721B1">
              <w:rPr>
                <w:szCs w:val="24"/>
              </w:rPr>
              <w:t xml:space="preserve"> dal</w:t>
            </w:r>
            <w:r w:rsidR="00060812">
              <w:rPr>
                <w:szCs w:val="24"/>
              </w:rPr>
              <w:t xml:space="preserve">ies, 51 straipsnio 7 dalies 2 punkto, 96 straipsnio 2 dalies 1 punkto ir </w:t>
            </w:r>
            <w:r w:rsidR="00060812">
              <w:rPr>
                <w:rFonts w:eastAsia="Calibri"/>
                <w:bCs/>
                <w:szCs w:val="24"/>
              </w:rPr>
              <w:t xml:space="preserve">Kvalifikacijos metodikos </w:t>
            </w:r>
            <w:r w:rsidR="00060812">
              <w:rPr>
                <w:bCs/>
                <w:szCs w:val="24"/>
              </w:rPr>
              <w:t xml:space="preserve">16.2 papunkčio </w:t>
            </w:r>
            <w:r w:rsidRPr="00060812">
              <w:rPr>
                <w:bCs/>
                <w:szCs w:val="24"/>
                <w:lang w:eastAsia="lt-LT"/>
              </w:rPr>
              <w:t>pažeidimus. Tačiau įvertinusi vis</w:t>
            </w:r>
            <w:r w:rsidR="00675951">
              <w:rPr>
                <w:bCs/>
                <w:szCs w:val="24"/>
                <w:lang w:eastAsia="lt-LT"/>
              </w:rPr>
              <w:t>ų</w:t>
            </w:r>
            <w:r w:rsidRPr="00060812">
              <w:rPr>
                <w:bCs/>
                <w:szCs w:val="24"/>
                <w:lang w:eastAsia="lt-LT"/>
              </w:rPr>
              <w:t xml:space="preserve"> ši</w:t>
            </w:r>
            <w:r w:rsidR="003A065A">
              <w:rPr>
                <w:bCs/>
                <w:szCs w:val="24"/>
                <w:lang w:eastAsia="lt-LT"/>
              </w:rPr>
              <w:t>ų</w:t>
            </w:r>
            <w:r w:rsidRPr="00060812">
              <w:rPr>
                <w:bCs/>
                <w:szCs w:val="24"/>
                <w:lang w:eastAsia="lt-LT"/>
              </w:rPr>
              <w:t xml:space="preserve"> išvados II</w:t>
            </w:r>
            <w:r w:rsidR="00060812">
              <w:rPr>
                <w:bCs/>
                <w:szCs w:val="24"/>
                <w:lang w:eastAsia="lt-LT"/>
              </w:rPr>
              <w:t xml:space="preserve"> ir III</w:t>
            </w:r>
            <w:r w:rsidRPr="00060812">
              <w:rPr>
                <w:bCs/>
                <w:szCs w:val="24"/>
                <w:lang w:eastAsia="lt-LT"/>
              </w:rPr>
              <w:t xml:space="preserve"> daly</w:t>
            </w:r>
            <w:r w:rsidR="00060812">
              <w:rPr>
                <w:bCs/>
                <w:szCs w:val="24"/>
                <w:lang w:eastAsia="lt-LT"/>
              </w:rPr>
              <w:t>s</w:t>
            </w:r>
            <w:r w:rsidRPr="00060812">
              <w:rPr>
                <w:bCs/>
                <w:szCs w:val="24"/>
                <w:lang w:eastAsia="lt-LT"/>
              </w:rPr>
              <w:t xml:space="preserve">e nustatytų </w:t>
            </w:r>
            <w:r w:rsidR="003A056D">
              <w:rPr>
                <w:szCs w:val="24"/>
              </w:rPr>
              <w:t>pažeidimų pobūdį ir tai, kad šie pažeidima</w:t>
            </w:r>
            <w:r w:rsidR="00346AB7">
              <w:rPr>
                <w:szCs w:val="24"/>
              </w:rPr>
              <w:t>i</w:t>
            </w:r>
            <w:r w:rsidR="003A056D">
              <w:rPr>
                <w:szCs w:val="24"/>
              </w:rPr>
              <w:t xml:space="preserve"> neturėjo įtakos Pirkimo rezultatui, </w:t>
            </w:r>
            <w:r w:rsidRPr="00060812">
              <w:rPr>
                <w:bCs/>
                <w:szCs w:val="24"/>
                <w:lang w:eastAsia="lt-LT"/>
              </w:rPr>
              <w:t xml:space="preserve">taip pat tai, kad Pirkimo </w:t>
            </w:r>
            <w:r w:rsidR="00060812">
              <w:rPr>
                <w:bCs/>
                <w:szCs w:val="24"/>
                <w:lang w:eastAsia="lt-LT"/>
              </w:rPr>
              <w:t xml:space="preserve">Nr. 1 </w:t>
            </w:r>
            <w:r w:rsidRPr="00060812">
              <w:rPr>
                <w:bCs/>
                <w:szCs w:val="24"/>
                <w:lang w:eastAsia="lt-LT"/>
              </w:rPr>
              <w:t xml:space="preserve">procedūros yra </w:t>
            </w:r>
            <w:r w:rsidR="00E858DD">
              <w:rPr>
                <w:bCs/>
                <w:szCs w:val="24"/>
                <w:lang w:eastAsia="lt-LT"/>
              </w:rPr>
              <w:t>pasibaigusios, r</w:t>
            </w:r>
            <w:r>
              <w:rPr>
                <w:szCs w:val="24"/>
              </w:rPr>
              <w:t>ekomenduoja Perkančiai organizacijai, vykdant kitus viešuosius pirkimus, atsižvelgti į konstatuotus Įstatymo pažeidimus.</w:t>
            </w:r>
          </w:p>
        </w:tc>
      </w:tr>
    </w:tbl>
    <w:p w14:paraId="6A58690A" w14:textId="77777777" w:rsidR="0096626F" w:rsidRDefault="0096626F" w:rsidP="0096626F">
      <w:pPr>
        <w:tabs>
          <w:tab w:val="left" w:pos="900"/>
        </w:tabs>
        <w:jc w:val="both"/>
        <w:rPr>
          <w:color w:val="000000"/>
        </w:rPr>
      </w:pPr>
    </w:p>
    <w:p w14:paraId="24D6D53C" w14:textId="414C829C" w:rsidR="002A07F4" w:rsidRPr="004D04C1" w:rsidRDefault="002A07F4" w:rsidP="00A60027">
      <w:pPr>
        <w:spacing w:before="240" w:after="120"/>
        <w:jc w:val="center"/>
        <w:rPr>
          <w:b/>
          <w:szCs w:val="24"/>
        </w:rPr>
      </w:pPr>
      <w:r w:rsidRPr="004D04C1">
        <w:rPr>
          <w:b/>
          <w:szCs w:val="24"/>
        </w:rPr>
        <w:t>Pastabo</w:t>
      </w:r>
      <w:r w:rsidR="009E79C6">
        <w:rPr>
          <w:b/>
          <w:szCs w:val="24"/>
        </w:rPr>
        <w: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D04C1" w:rsidRPr="004D04C1" w14:paraId="3CCD12A3" w14:textId="77777777" w:rsidTr="00C36831">
        <w:tc>
          <w:tcPr>
            <w:tcW w:w="9634" w:type="dxa"/>
            <w:tcBorders>
              <w:top w:val="single" w:sz="4" w:space="0" w:color="auto"/>
              <w:left w:val="single" w:sz="4" w:space="0" w:color="auto"/>
              <w:bottom w:val="single" w:sz="4" w:space="0" w:color="auto"/>
              <w:right w:val="single" w:sz="4" w:space="0" w:color="auto"/>
            </w:tcBorders>
          </w:tcPr>
          <w:p w14:paraId="1EBC6721" w14:textId="14FDCCB1" w:rsidR="00C92DF1" w:rsidRPr="007F65A7" w:rsidRDefault="00346AB7" w:rsidP="00B30B47">
            <w:pPr>
              <w:spacing w:before="120"/>
              <w:ind w:firstLine="741"/>
              <w:jc w:val="both"/>
              <w:rPr>
                <w:szCs w:val="24"/>
              </w:rPr>
            </w:pPr>
            <w:r>
              <w:rPr>
                <w:szCs w:val="24"/>
              </w:rPr>
              <w:t>-</w:t>
            </w:r>
          </w:p>
        </w:tc>
      </w:tr>
    </w:tbl>
    <w:p w14:paraId="16E21C76" w14:textId="77777777" w:rsidR="005E31BD" w:rsidRDefault="005E31BD" w:rsidP="005E31BD">
      <w:pPr>
        <w:jc w:val="center"/>
        <w:rPr>
          <w:b/>
          <w:szCs w:val="24"/>
          <w:lang w:eastAsia="lt-LT"/>
        </w:rPr>
      </w:pPr>
    </w:p>
    <w:p w14:paraId="2CD6A90E" w14:textId="6CB27FEA" w:rsidR="005E31BD" w:rsidRDefault="005E31BD" w:rsidP="005E31BD">
      <w:pPr>
        <w:jc w:val="center"/>
        <w:rPr>
          <w:szCs w:val="24"/>
          <w:lang w:eastAsia="lt-LT"/>
        </w:rPr>
      </w:pPr>
      <w:r>
        <w:rPr>
          <w:b/>
          <w:szCs w:val="24"/>
          <w:lang w:eastAsia="lt-LT"/>
        </w:rPr>
        <w:t>I dalis. Bendra informacija</w:t>
      </w:r>
    </w:p>
    <w:p w14:paraId="42203EE6" w14:textId="77777777" w:rsidR="005E31BD" w:rsidRDefault="005E31BD" w:rsidP="005E31BD">
      <w:pPr>
        <w:ind w:firstLine="720"/>
        <w:rPr>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28"/>
      </w:tblGrid>
      <w:tr w:rsidR="005E31BD" w14:paraId="2C467782" w14:textId="77777777" w:rsidTr="003717FC">
        <w:tc>
          <w:tcPr>
            <w:tcW w:w="4606" w:type="dxa"/>
            <w:tcBorders>
              <w:top w:val="single" w:sz="4" w:space="0" w:color="auto"/>
              <w:left w:val="single" w:sz="4" w:space="0" w:color="auto"/>
              <w:bottom w:val="single" w:sz="4" w:space="0" w:color="auto"/>
              <w:right w:val="single" w:sz="4" w:space="0" w:color="auto"/>
            </w:tcBorders>
            <w:shd w:val="clear" w:color="auto" w:fill="auto"/>
          </w:tcPr>
          <w:p w14:paraId="6A19DBF6" w14:textId="77777777" w:rsidR="005E31BD" w:rsidRDefault="005E31BD" w:rsidP="005A2C56">
            <w:pPr>
              <w:jc w:val="both"/>
              <w:rPr>
                <w:szCs w:val="24"/>
                <w:lang w:eastAsia="lt-LT"/>
              </w:rPr>
            </w:pPr>
            <w:r>
              <w:rPr>
                <w:rFonts w:eastAsia="Calibri"/>
                <w:szCs w:val="24"/>
                <w:lang w:eastAsia="lt-LT"/>
              </w:rPr>
              <w:t>Pirkimo</w:t>
            </w:r>
            <w:r>
              <w:rPr>
                <w:szCs w:val="24"/>
                <w:lang w:eastAsia="lt-LT"/>
              </w:rPr>
              <w:t>*</w:t>
            </w:r>
            <w:r>
              <w:rPr>
                <w:rFonts w:eastAsia="Calibri"/>
                <w:szCs w:val="24"/>
                <w:lang w:eastAsia="lt-LT"/>
              </w:rPr>
              <w:t xml:space="preserve"> pavadinimas, numeris (jeigu skelbtas), pirkimo paskelbimo (kvietimo pateikti paraišką/pasiūlymą) data/sutarties pavadinimas, data, numeris</w:t>
            </w: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7D186779" w14:textId="37288B9D" w:rsidR="005E31BD" w:rsidRDefault="005E31BD" w:rsidP="005A2C56">
            <w:pPr>
              <w:jc w:val="both"/>
              <w:rPr>
                <w:szCs w:val="24"/>
                <w:lang w:eastAsia="lt-LT"/>
              </w:rPr>
            </w:pPr>
            <w:r>
              <w:rPr>
                <w:rFonts w:eastAsia="Calibri"/>
                <w:szCs w:val="24"/>
              </w:rPr>
              <w:t>„</w:t>
            </w:r>
            <w:bookmarkStart w:id="1" w:name="_Hlk97194399"/>
            <w:r w:rsidR="00C6325D">
              <w:rPr>
                <w:rFonts w:eastAsia="Calibri"/>
                <w:szCs w:val="24"/>
              </w:rPr>
              <w:t xml:space="preserve">Pagaminto valgio tiekimo </w:t>
            </w:r>
            <w:r>
              <w:rPr>
                <w:rFonts w:eastAsia="Calibri"/>
                <w:szCs w:val="24"/>
              </w:rPr>
              <w:t xml:space="preserve">paslaugos“ </w:t>
            </w:r>
            <w:r w:rsidRPr="00A43350">
              <w:rPr>
                <w:rFonts w:eastAsia="Calibri"/>
                <w:bCs/>
                <w:szCs w:val="24"/>
              </w:rPr>
              <w:t>(</w:t>
            </w:r>
            <w:r w:rsidR="00C6325D">
              <w:rPr>
                <w:rFonts w:eastAsia="Calibri"/>
                <w:bCs/>
                <w:szCs w:val="24"/>
              </w:rPr>
              <w:t>kvietimai tiekėjams išsiųsti 2021-12-30)</w:t>
            </w:r>
            <w:r>
              <w:rPr>
                <w:rFonts w:eastAsia="Calibri"/>
                <w:bCs/>
                <w:szCs w:val="24"/>
              </w:rPr>
              <w:t xml:space="preserve"> </w:t>
            </w:r>
            <w:bookmarkEnd w:id="1"/>
            <w:r>
              <w:rPr>
                <w:rFonts w:eastAsia="Calibri"/>
                <w:bCs/>
                <w:szCs w:val="24"/>
              </w:rPr>
              <w:t>(toliau – Pirkimas Nr.</w:t>
            </w:r>
            <w:r w:rsidR="003717FC">
              <w:rPr>
                <w:rFonts w:eastAsia="Calibri"/>
                <w:bCs/>
                <w:szCs w:val="24"/>
              </w:rPr>
              <w:t> </w:t>
            </w:r>
            <w:r>
              <w:rPr>
                <w:rFonts w:eastAsia="Calibri"/>
                <w:bCs/>
                <w:szCs w:val="24"/>
              </w:rPr>
              <w:t xml:space="preserve"> </w:t>
            </w:r>
            <w:r w:rsidR="00C6325D">
              <w:rPr>
                <w:rFonts w:eastAsia="Calibri"/>
                <w:bCs/>
                <w:szCs w:val="24"/>
              </w:rPr>
              <w:t>2</w:t>
            </w:r>
            <w:r>
              <w:rPr>
                <w:rFonts w:eastAsia="Calibri"/>
                <w:bCs/>
                <w:szCs w:val="24"/>
              </w:rPr>
              <w:t>)</w:t>
            </w:r>
          </w:p>
        </w:tc>
      </w:tr>
      <w:tr w:rsidR="005E31BD" w14:paraId="455E8AF0" w14:textId="77777777" w:rsidTr="003717FC">
        <w:tc>
          <w:tcPr>
            <w:tcW w:w="4606" w:type="dxa"/>
            <w:tcBorders>
              <w:top w:val="single" w:sz="4" w:space="0" w:color="auto"/>
              <w:left w:val="single" w:sz="4" w:space="0" w:color="auto"/>
              <w:bottom w:val="single" w:sz="4" w:space="0" w:color="auto"/>
              <w:right w:val="single" w:sz="4" w:space="0" w:color="auto"/>
            </w:tcBorders>
            <w:shd w:val="clear" w:color="auto" w:fill="auto"/>
          </w:tcPr>
          <w:p w14:paraId="26637518" w14:textId="77777777" w:rsidR="005E31BD" w:rsidRDefault="005E31BD" w:rsidP="005A2C56">
            <w:pPr>
              <w:jc w:val="both"/>
              <w:rPr>
                <w:szCs w:val="24"/>
                <w:lang w:eastAsia="lt-LT"/>
              </w:rPr>
            </w:pPr>
            <w:r>
              <w:rPr>
                <w:rFonts w:eastAsia="Calibri"/>
                <w:szCs w:val="24"/>
                <w:lang w:eastAsia="lt-LT"/>
              </w:rPr>
              <w:t>Pirkimo vykdymo/sutarties sudarymo teisinis pagrindas</w:t>
            </w: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508FDC67" w14:textId="3D9F72CF" w:rsidR="005E31BD" w:rsidRPr="00C6325D" w:rsidRDefault="005E31BD" w:rsidP="005A2C56">
            <w:pPr>
              <w:jc w:val="both"/>
              <w:rPr>
                <w:bCs/>
                <w:szCs w:val="24"/>
                <w:shd w:val="clear" w:color="auto" w:fill="FFFFFF"/>
              </w:rPr>
            </w:pPr>
            <w:r w:rsidRPr="00404B69">
              <w:rPr>
                <w:bCs/>
                <w:szCs w:val="24"/>
              </w:rPr>
              <w:t xml:space="preserve">Įstatymas </w:t>
            </w:r>
            <w:r w:rsidRPr="00C6325D">
              <w:rPr>
                <w:bCs/>
                <w:szCs w:val="24"/>
              </w:rPr>
              <w:t xml:space="preserve">(redakcija nuo </w:t>
            </w:r>
            <w:r w:rsidR="00C6325D" w:rsidRPr="00C6325D">
              <w:rPr>
                <w:bCs/>
                <w:color w:val="000000"/>
              </w:rPr>
              <w:t>2021-12-04 iki 2021-</w:t>
            </w:r>
            <w:r w:rsidR="00C6325D">
              <w:rPr>
                <w:bCs/>
                <w:color w:val="000000"/>
              </w:rPr>
              <w:t> </w:t>
            </w:r>
            <w:r w:rsidR="00C6325D" w:rsidRPr="00C6325D">
              <w:rPr>
                <w:bCs/>
                <w:color w:val="000000"/>
              </w:rPr>
              <w:t>12-</w:t>
            </w:r>
            <w:r w:rsidR="00C6325D">
              <w:rPr>
                <w:bCs/>
                <w:color w:val="000000"/>
              </w:rPr>
              <w:t> </w:t>
            </w:r>
            <w:r w:rsidR="00C6325D" w:rsidRPr="00C6325D">
              <w:rPr>
                <w:bCs/>
                <w:color w:val="000000"/>
              </w:rPr>
              <w:t>31</w:t>
            </w:r>
            <w:r w:rsidRPr="00C6325D">
              <w:rPr>
                <w:bCs/>
                <w:szCs w:val="24"/>
                <w:shd w:val="clear" w:color="auto" w:fill="FFFFFF"/>
              </w:rPr>
              <w:t>).</w:t>
            </w:r>
          </w:p>
          <w:p w14:paraId="3A074E95" w14:textId="27C1CDBC" w:rsidR="005E31BD" w:rsidRDefault="00CC24FC" w:rsidP="005A2C56">
            <w:pPr>
              <w:jc w:val="both"/>
              <w:rPr>
                <w:szCs w:val="24"/>
                <w:lang w:eastAsia="lt-LT"/>
              </w:rPr>
            </w:pPr>
            <w:r>
              <w:rPr>
                <w:bCs/>
                <w:szCs w:val="24"/>
              </w:rPr>
              <w:lastRenderedPageBreak/>
              <w:t xml:space="preserve">Mažos vertės pirkimų tvarkos aprašas, patvirtintas </w:t>
            </w:r>
            <w:r w:rsidR="003717FC">
              <w:rPr>
                <w:bCs/>
                <w:szCs w:val="24"/>
              </w:rPr>
              <w:t>Tarnybos direktoriaus 2017</w:t>
            </w:r>
            <w:r>
              <w:rPr>
                <w:bCs/>
                <w:szCs w:val="24"/>
              </w:rPr>
              <w:t xml:space="preserve"> m. birželio 28 d.</w:t>
            </w:r>
            <w:r w:rsidR="003717FC">
              <w:rPr>
                <w:bCs/>
                <w:szCs w:val="24"/>
              </w:rPr>
              <w:t xml:space="preserve"> įsakymu Nr.1S- 97</w:t>
            </w:r>
            <w:r>
              <w:rPr>
                <w:bCs/>
                <w:szCs w:val="24"/>
              </w:rPr>
              <w:t xml:space="preserve"> </w:t>
            </w:r>
            <w:r w:rsidR="003717FC">
              <w:rPr>
                <w:bCs/>
                <w:szCs w:val="24"/>
              </w:rPr>
              <w:t>(toliau – Aprašas)</w:t>
            </w:r>
          </w:p>
        </w:tc>
      </w:tr>
      <w:tr w:rsidR="005E31BD" w14:paraId="2040B24E" w14:textId="77777777" w:rsidTr="003717FC">
        <w:tc>
          <w:tcPr>
            <w:tcW w:w="4606" w:type="dxa"/>
            <w:tcBorders>
              <w:top w:val="single" w:sz="4" w:space="0" w:color="auto"/>
              <w:left w:val="single" w:sz="4" w:space="0" w:color="auto"/>
              <w:bottom w:val="single" w:sz="4" w:space="0" w:color="auto"/>
              <w:right w:val="single" w:sz="4" w:space="0" w:color="auto"/>
            </w:tcBorders>
            <w:shd w:val="clear" w:color="auto" w:fill="auto"/>
          </w:tcPr>
          <w:p w14:paraId="5704E6BD" w14:textId="77777777" w:rsidR="005E31BD" w:rsidRDefault="005E31BD" w:rsidP="005A2C56">
            <w:pPr>
              <w:jc w:val="both"/>
              <w:rPr>
                <w:rFonts w:eastAsia="Calibri"/>
                <w:szCs w:val="24"/>
                <w:lang w:eastAsia="lt-LT"/>
              </w:rPr>
            </w:pPr>
            <w:r>
              <w:rPr>
                <w:rFonts w:eastAsia="Calibri"/>
                <w:szCs w:val="24"/>
                <w:lang w:eastAsia="lt-LT"/>
              </w:rPr>
              <w:lastRenderedPageBreak/>
              <w:t>Pirkimo rūšis pagal vertės ribas ir pirkimo būdas</w:t>
            </w: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7214BA6C" w14:textId="0EB5CFDE" w:rsidR="005E31BD" w:rsidRDefault="003717FC" w:rsidP="005A2C56">
            <w:pPr>
              <w:jc w:val="both"/>
              <w:rPr>
                <w:szCs w:val="24"/>
                <w:lang w:eastAsia="lt-LT"/>
              </w:rPr>
            </w:pPr>
            <w:r>
              <w:rPr>
                <w:szCs w:val="24"/>
              </w:rPr>
              <w:t>Neskelbiama apklausa</w:t>
            </w:r>
            <w:r w:rsidR="005856D6">
              <w:rPr>
                <w:szCs w:val="24"/>
              </w:rPr>
              <w:t xml:space="preserve"> (mažos vertės pirkimas)</w:t>
            </w:r>
          </w:p>
        </w:tc>
      </w:tr>
      <w:tr w:rsidR="005E31BD" w14:paraId="11EFA3B9" w14:textId="77777777" w:rsidTr="003717FC">
        <w:tc>
          <w:tcPr>
            <w:tcW w:w="4606" w:type="dxa"/>
            <w:tcBorders>
              <w:top w:val="single" w:sz="4" w:space="0" w:color="auto"/>
              <w:left w:val="single" w:sz="4" w:space="0" w:color="auto"/>
              <w:bottom w:val="single" w:sz="4" w:space="0" w:color="auto"/>
              <w:right w:val="single" w:sz="4" w:space="0" w:color="auto"/>
            </w:tcBorders>
            <w:shd w:val="clear" w:color="auto" w:fill="auto"/>
          </w:tcPr>
          <w:p w14:paraId="6D05118E" w14:textId="77777777" w:rsidR="005E31BD" w:rsidRDefault="005E31BD" w:rsidP="005A2C56">
            <w:pPr>
              <w:jc w:val="both"/>
              <w:rPr>
                <w:rFonts w:eastAsia="Calibri"/>
                <w:szCs w:val="24"/>
                <w:lang w:eastAsia="lt-LT"/>
              </w:rPr>
            </w:pPr>
            <w:r>
              <w:rPr>
                <w:rFonts w:eastAsia="Calibri"/>
                <w:szCs w:val="24"/>
                <w:lang w:eastAsia="lt-LT"/>
              </w:rPr>
              <w:t>Planuota (nenurodoma, jeigu pirkimas vertinamas iki vokų su pasiūlymais atplėšimo procedūros) ir faktinė pirkimo/sutarties vertė Eur be PVM</w:t>
            </w: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61EF79A0" w14:textId="2FFD0967" w:rsidR="005E31BD" w:rsidRDefault="005E31BD" w:rsidP="005A2C56">
            <w:pPr>
              <w:jc w:val="both"/>
            </w:pPr>
            <w:r w:rsidRPr="001E3500">
              <w:t>Planuo</w:t>
            </w:r>
            <w:r>
              <w:t>ta</w:t>
            </w:r>
            <w:r w:rsidRPr="001E3500">
              <w:t xml:space="preserve"> Pirkimo</w:t>
            </w:r>
            <w:r w:rsidR="00BC6172">
              <w:t xml:space="preserve"> Nr. 2</w:t>
            </w:r>
            <w:r w:rsidRPr="001E3500">
              <w:t xml:space="preserve"> vertė</w:t>
            </w:r>
            <w:r w:rsidR="003717FC">
              <w:t>:</w:t>
            </w:r>
            <w:r>
              <w:t xml:space="preserve"> </w:t>
            </w:r>
            <w:r w:rsidR="003717FC">
              <w:t>9999,00</w:t>
            </w:r>
            <w:r>
              <w:t xml:space="preserve"> Eur be PVM</w:t>
            </w:r>
          </w:p>
          <w:p w14:paraId="767F6FC4" w14:textId="22F0862B" w:rsidR="003717FC" w:rsidRDefault="003717FC" w:rsidP="005A2C56">
            <w:pPr>
              <w:jc w:val="both"/>
              <w:rPr>
                <w:szCs w:val="24"/>
                <w:lang w:eastAsia="lt-LT"/>
              </w:rPr>
            </w:pPr>
            <w:r>
              <w:t>Pirkimo Nr. 2 sutarties vertė: 9999,00 Eur be PVM</w:t>
            </w:r>
          </w:p>
        </w:tc>
      </w:tr>
      <w:tr w:rsidR="005E31BD" w14:paraId="46CDF9C8" w14:textId="77777777" w:rsidTr="003717FC">
        <w:tc>
          <w:tcPr>
            <w:tcW w:w="4606" w:type="dxa"/>
            <w:tcBorders>
              <w:top w:val="single" w:sz="4" w:space="0" w:color="auto"/>
              <w:left w:val="single" w:sz="4" w:space="0" w:color="auto"/>
              <w:bottom w:val="single" w:sz="4" w:space="0" w:color="auto"/>
              <w:right w:val="single" w:sz="4" w:space="0" w:color="auto"/>
            </w:tcBorders>
            <w:shd w:val="clear" w:color="auto" w:fill="auto"/>
          </w:tcPr>
          <w:p w14:paraId="3168AAE1" w14:textId="77777777" w:rsidR="005E31BD" w:rsidRDefault="005E31BD" w:rsidP="005A2C56">
            <w:pPr>
              <w:jc w:val="both"/>
              <w:rPr>
                <w:szCs w:val="24"/>
                <w:lang w:eastAsia="lt-LT"/>
              </w:rPr>
            </w:pPr>
            <w:r>
              <w:rPr>
                <w:rFonts w:eastAsia="Calibri"/>
                <w:szCs w:val="24"/>
                <w:lang w:eastAsia="lt-LT"/>
              </w:rPr>
              <w:t xml:space="preserve">Tiekėjas/koncesijos dalyvis/koncesininkas, juridinio asmens (su kuriuo sudaryta sutartis) kodas </w:t>
            </w: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177035D5" w14:textId="37BCF11D" w:rsidR="003717FC" w:rsidRDefault="003717FC" w:rsidP="005A2C56">
            <w:pPr>
              <w:jc w:val="both"/>
              <w:rPr>
                <w:szCs w:val="24"/>
                <w:lang w:eastAsia="lt-LT"/>
              </w:rPr>
            </w:pPr>
            <w:r>
              <w:rPr>
                <w:color w:val="333333"/>
                <w:szCs w:val="24"/>
                <w:lang w:eastAsia="lt-LT"/>
              </w:rPr>
              <w:t xml:space="preserve"> </w:t>
            </w:r>
            <w:r w:rsidRPr="003717FC">
              <w:rPr>
                <w:szCs w:val="24"/>
                <w:lang w:eastAsia="lt-LT"/>
              </w:rPr>
              <w:t>UAB „Skonio era“</w:t>
            </w:r>
            <w:r w:rsidR="00CC24FC">
              <w:rPr>
                <w:szCs w:val="24"/>
              </w:rPr>
              <w:t>, juridinio asmens kodas</w:t>
            </w:r>
            <w:r>
              <w:rPr>
                <w:szCs w:val="24"/>
              </w:rPr>
              <w:t xml:space="preserve"> 305222424</w:t>
            </w:r>
          </w:p>
        </w:tc>
      </w:tr>
      <w:tr w:rsidR="005E31BD" w14:paraId="29BC432A" w14:textId="77777777" w:rsidTr="003717FC">
        <w:tc>
          <w:tcPr>
            <w:tcW w:w="4606" w:type="dxa"/>
            <w:tcBorders>
              <w:top w:val="single" w:sz="4" w:space="0" w:color="auto"/>
              <w:left w:val="single" w:sz="4" w:space="0" w:color="auto"/>
              <w:bottom w:val="single" w:sz="4" w:space="0" w:color="auto"/>
              <w:right w:val="single" w:sz="4" w:space="0" w:color="auto"/>
            </w:tcBorders>
            <w:shd w:val="clear" w:color="auto" w:fill="auto"/>
          </w:tcPr>
          <w:p w14:paraId="66F4397B" w14:textId="77777777" w:rsidR="005E31BD" w:rsidRDefault="005E31BD" w:rsidP="005A2C56">
            <w:pPr>
              <w:jc w:val="both"/>
              <w:rPr>
                <w:rFonts w:eastAsia="Calibri"/>
                <w:szCs w:val="24"/>
                <w:lang w:eastAsia="lt-LT"/>
              </w:rPr>
            </w:pPr>
            <w:r>
              <w:rPr>
                <w:rFonts w:eastAsia="Calibri"/>
                <w:szCs w:val="24"/>
                <w:lang w:eastAsia="lt-LT"/>
              </w:rPr>
              <w:t>Pirkimo/sutarties vertinimo apimtys/etapas</w:t>
            </w:r>
          </w:p>
          <w:p w14:paraId="424E1CFE" w14:textId="77777777" w:rsidR="005E31BD" w:rsidRDefault="005E31BD" w:rsidP="005A2C56">
            <w:pPr>
              <w:jc w:val="both"/>
              <w:rPr>
                <w:szCs w:val="24"/>
                <w:lang w:eastAsia="lt-LT"/>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49BB1909" w14:textId="54F50B24" w:rsidR="003717FC" w:rsidRDefault="005E31BD" w:rsidP="003717FC">
            <w:pPr>
              <w:jc w:val="both"/>
              <w:rPr>
                <w:szCs w:val="24"/>
                <w:lang w:eastAsia="lt-LT"/>
              </w:rPr>
            </w:pPr>
            <w:r>
              <w:rPr>
                <w:szCs w:val="24"/>
                <w:lang w:eastAsia="lt-LT"/>
              </w:rPr>
              <w:t xml:space="preserve">Išsamus Pirkimo Nr. </w:t>
            </w:r>
            <w:r w:rsidR="003717FC">
              <w:rPr>
                <w:szCs w:val="24"/>
                <w:lang w:eastAsia="lt-LT"/>
              </w:rPr>
              <w:t>2</w:t>
            </w:r>
            <w:r>
              <w:rPr>
                <w:szCs w:val="24"/>
                <w:lang w:eastAsia="lt-LT"/>
              </w:rPr>
              <w:t xml:space="preserve"> </w:t>
            </w:r>
            <w:r w:rsidR="003717FC">
              <w:rPr>
                <w:szCs w:val="24"/>
                <w:lang w:eastAsia="lt-LT"/>
              </w:rPr>
              <w:t xml:space="preserve">vertinimas </w:t>
            </w:r>
            <w:r w:rsidR="003717FC">
              <w:rPr>
                <w:szCs w:val="24"/>
              </w:rPr>
              <w:t xml:space="preserve">po sutarties sudarymo </w:t>
            </w:r>
          </w:p>
        </w:tc>
      </w:tr>
      <w:tr w:rsidR="005E31BD" w14:paraId="2497D6C4" w14:textId="77777777" w:rsidTr="003717FC">
        <w:tc>
          <w:tcPr>
            <w:tcW w:w="4606" w:type="dxa"/>
            <w:tcBorders>
              <w:top w:val="single" w:sz="4" w:space="0" w:color="auto"/>
              <w:left w:val="single" w:sz="4" w:space="0" w:color="auto"/>
              <w:bottom w:val="single" w:sz="4" w:space="0" w:color="auto"/>
              <w:right w:val="single" w:sz="4" w:space="0" w:color="auto"/>
            </w:tcBorders>
            <w:shd w:val="clear" w:color="auto" w:fill="auto"/>
          </w:tcPr>
          <w:p w14:paraId="36697461" w14:textId="77777777" w:rsidR="005E31BD" w:rsidRDefault="005E31BD" w:rsidP="005A2C56">
            <w:pPr>
              <w:jc w:val="both"/>
              <w:rPr>
                <w:b/>
                <w:szCs w:val="24"/>
                <w:lang w:eastAsia="lt-LT"/>
              </w:rPr>
            </w:pPr>
            <w:r>
              <w:rPr>
                <w:szCs w:val="24"/>
                <w:lang w:eastAsia="lt-LT"/>
              </w:rPr>
              <w:t>Jei pirkimas finansuojamas Europos Sąjungos lėšomis – projekto pavadinimas, projektą administruojanti institucija</w:t>
            </w: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06A28A14" w14:textId="77777777" w:rsidR="005E31BD" w:rsidRDefault="005E31BD" w:rsidP="005A2C56">
            <w:pPr>
              <w:jc w:val="both"/>
              <w:rPr>
                <w:szCs w:val="24"/>
                <w:lang w:eastAsia="lt-LT"/>
              </w:rPr>
            </w:pPr>
            <w:r>
              <w:rPr>
                <w:color w:val="333333"/>
                <w:szCs w:val="24"/>
                <w:lang w:eastAsia="lt-LT"/>
              </w:rPr>
              <w:t>–</w:t>
            </w:r>
          </w:p>
        </w:tc>
      </w:tr>
      <w:tr w:rsidR="005E31BD" w14:paraId="44FF48C9" w14:textId="77777777" w:rsidTr="003717FC">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14:paraId="46933C11" w14:textId="77777777" w:rsidR="009B6A83" w:rsidRDefault="005E31BD" w:rsidP="005A2C56">
            <w:pPr>
              <w:jc w:val="both"/>
              <w:rPr>
                <w:rFonts w:eastAsia="Calibri"/>
                <w:szCs w:val="24"/>
                <w:lang w:eastAsia="lt-LT"/>
              </w:rPr>
            </w:pPr>
            <w:r>
              <w:rPr>
                <w:rFonts w:eastAsia="Calibri"/>
                <w:szCs w:val="24"/>
                <w:lang w:eastAsia="lt-LT"/>
              </w:rPr>
              <w:t>Jei dėl pirkimo/sutarties vyksta teismo procesas, nurodyti ieškinio (skundo) dalyką, bylos šalių pavadinimus, ar taikomos laikinosios apsaugos priemonės, teisminio nagrinėjimo stadiją:</w:t>
            </w:r>
            <w:r w:rsidR="00346AB7">
              <w:rPr>
                <w:rFonts w:eastAsia="Calibri"/>
                <w:szCs w:val="24"/>
                <w:lang w:eastAsia="lt-LT"/>
              </w:rPr>
              <w:t xml:space="preserve"> </w:t>
            </w:r>
          </w:p>
          <w:p w14:paraId="7016EB33" w14:textId="1BEF4E15" w:rsidR="005E31BD" w:rsidRDefault="00346AB7" w:rsidP="005A2C56">
            <w:pPr>
              <w:jc w:val="both"/>
              <w:rPr>
                <w:rFonts w:eastAsia="Calibri"/>
                <w:szCs w:val="24"/>
                <w:lang w:eastAsia="lt-LT"/>
              </w:rPr>
            </w:pPr>
            <w:r>
              <w:rPr>
                <w:rFonts w:eastAsia="Calibri"/>
                <w:szCs w:val="24"/>
                <w:lang w:eastAsia="lt-LT"/>
              </w:rPr>
              <w:t>-</w:t>
            </w:r>
          </w:p>
          <w:p w14:paraId="3A4A071A" w14:textId="77777777" w:rsidR="005E31BD" w:rsidRDefault="005E31BD" w:rsidP="005A2C56">
            <w:pPr>
              <w:jc w:val="both"/>
              <w:rPr>
                <w:szCs w:val="24"/>
                <w:lang w:eastAsia="lt-LT"/>
              </w:rPr>
            </w:pPr>
          </w:p>
        </w:tc>
      </w:tr>
    </w:tbl>
    <w:p w14:paraId="109826C8" w14:textId="77777777" w:rsidR="005E31BD" w:rsidRDefault="005E31BD" w:rsidP="005E31BD"/>
    <w:p w14:paraId="38147F61" w14:textId="77777777" w:rsidR="005E31BD" w:rsidRDefault="005E31BD" w:rsidP="005E31BD">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5700320B" w14:textId="24DA1EC4" w:rsidR="002C2A4E" w:rsidRDefault="002C2A4E" w:rsidP="00B30B47">
      <w:pPr>
        <w:tabs>
          <w:tab w:val="left" w:pos="900"/>
        </w:tabs>
        <w:jc w:val="both"/>
        <w:rPr>
          <w:color w:val="000000"/>
        </w:rPr>
      </w:pPr>
    </w:p>
    <w:p w14:paraId="11A029BA" w14:textId="77777777" w:rsidR="005E31BD" w:rsidRPr="002A07F4" w:rsidRDefault="005E31BD" w:rsidP="00805952">
      <w:pPr>
        <w:spacing w:before="240" w:after="120"/>
        <w:jc w:val="center"/>
        <w:rPr>
          <w:b/>
          <w:szCs w:val="24"/>
        </w:rPr>
      </w:pPr>
      <w:r w:rsidRPr="002A07F4">
        <w:rPr>
          <w:b/>
          <w:szCs w:val="24"/>
        </w:rPr>
        <w:t>II dalis. Vertinimo apimtyje nustatyti pažeidimai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301"/>
      </w:tblGrid>
      <w:tr w:rsidR="005E31BD" w:rsidRPr="002A07F4" w14:paraId="3B0C8B2F" w14:textId="77777777" w:rsidTr="00C36831">
        <w:tc>
          <w:tcPr>
            <w:tcW w:w="1333" w:type="dxa"/>
            <w:tcBorders>
              <w:top w:val="single" w:sz="4" w:space="0" w:color="auto"/>
              <w:left w:val="single" w:sz="4" w:space="0" w:color="auto"/>
              <w:bottom w:val="single" w:sz="4" w:space="0" w:color="auto"/>
              <w:right w:val="single" w:sz="4" w:space="0" w:color="auto"/>
            </w:tcBorders>
          </w:tcPr>
          <w:p w14:paraId="486D8D1A" w14:textId="77777777" w:rsidR="005E31BD" w:rsidRPr="004644FF" w:rsidRDefault="005E31BD" w:rsidP="008070ED">
            <w:pPr>
              <w:pStyle w:val="ListParagraph"/>
              <w:rPr>
                <w:szCs w:val="24"/>
              </w:rPr>
            </w:pPr>
          </w:p>
        </w:tc>
        <w:tc>
          <w:tcPr>
            <w:tcW w:w="8301" w:type="dxa"/>
            <w:tcBorders>
              <w:top w:val="single" w:sz="4" w:space="0" w:color="auto"/>
              <w:left w:val="single" w:sz="4" w:space="0" w:color="auto"/>
              <w:bottom w:val="single" w:sz="4" w:space="0" w:color="auto"/>
              <w:right w:val="single" w:sz="4" w:space="0" w:color="auto"/>
            </w:tcBorders>
          </w:tcPr>
          <w:p w14:paraId="66C1FCCF" w14:textId="6BF9313E" w:rsidR="005E31BD" w:rsidRPr="00252884" w:rsidRDefault="005E31BD" w:rsidP="005A2C56">
            <w:pPr>
              <w:rPr>
                <w:szCs w:val="24"/>
                <w:lang w:val="en-US"/>
              </w:rPr>
            </w:pPr>
          </w:p>
        </w:tc>
      </w:tr>
      <w:tr w:rsidR="005E31BD" w:rsidRPr="002A07F4" w14:paraId="5C1E22CB" w14:textId="77777777" w:rsidTr="00C36831">
        <w:tc>
          <w:tcPr>
            <w:tcW w:w="9634" w:type="dxa"/>
            <w:gridSpan w:val="2"/>
            <w:tcBorders>
              <w:top w:val="single" w:sz="4" w:space="0" w:color="auto"/>
              <w:left w:val="single" w:sz="4" w:space="0" w:color="auto"/>
              <w:bottom w:val="single" w:sz="4" w:space="0" w:color="auto"/>
              <w:right w:val="single" w:sz="4" w:space="0" w:color="auto"/>
            </w:tcBorders>
          </w:tcPr>
          <w:p w14:paraId="7C8381F9" w14:textId="75DAF516" w:rsidR="005E31BD" w:rsidRPr="00357F62" w:rsidRDefault="005E31BD" w:rsidP="005A2C56">
            <w:pPr>
              <w:shd w:val="clear" w:color="auto" w:fill="FFFFFF"/>
              <w:ind w:firstLine="883"/>
              <w:jc w:val="both"/>
              <w:rPr>
                <w:spacing w:val="2"/>
                <w:szCs w:val="24"/>
                <w:shd w:val="clear" w:color="auto" w:fill="FFFFFF"/>
              </w:rPr>
            </w:pPr>
          </w:p>
        </w:tc>
      </w:tr>
    </w:tbl>
    <w:p w14:paraId="0B29B0F9" w14:textId="77777777" w:rsidR="005E31BD" w:rsidRPr="00AB57C7" w:rsidRDefault="005E31BD" w:rsidP="005E31BD">
      <w:pPr>
        <w:rPr>
          <w:b/>
          <w:sz w:val="18"/>
          <w:szCs w:val="18"/>
        </w:rPr>
      </w:pPr>
    </w:p>
    <w:p w14:paraId="5976F129" w14:textId="77777777" w:rsidR="005E31BD" w:rsidRPr="00A60027" w:rsidRDefault="005E31BD" w:rsidP="00805952">
      <w:pPr>
        <w:spacing w:before="240" w:after="120"/>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301"/>
      </w:tblGrid>
      <w:tr w:rsidR="005E31BD" w:rsidRPr="002A07F4" w14:paraId="4C081FC4" w14:textId="77777777" w:rsidTr="00C36831">
        <w:tc>
          <w:tcPr>
            <w:tcW w:w="1333" w:type="dxa"/>
            <w:tcBorders>
              <w:top w:val="single" w:sz="4" w:space="0" w:color="auto"/>
              <w:left w:val="single" w:sz="4" w:space="0" w:color="auto"/>
              <w:bottom w:val="single" w:sz="4" w:space="0" w:color="auto"/>
              <w:right w:val="single" w:sz="4" w:space="0" w:color="auto"/>
            </w:tcBorders>
          </w:tcPr>
          <w:p w14:paraId="430E8E48" w14:textId="30BF239F" w:rsidR="005E31BD" w:rsidRPr="002A07F4" w:rsidRDefault="005E31BD" w:rsidP="005A2C56">
            <w:pPr>
              <w:jc w:val="center"/>
              <w:rPr>
                <w:szCs w:val="24"/>
              </w:rPr>
            </w:pPr>
          </w:p>
        </w:tc>
        <w:tc>
          <w:tcPr>
            <w:tcW w:w="8301" w:type="dxa"/>
            <w:tcBorders>
              <w:top w:val="single" w:sz="4" w:space="0" w:color="auto"/>
              <w:left w:val="single" w:sz="4" w:space="0" w:color="auto"/>
              <w:bottom w:val="single" w:sz="4" w:space="0" w:color="auto"/>
              <w:right w:val="single" w:sz="4" w:space="0" w:color="auto"/>
            </w:tcBorders>
          </w:tcPr>
          <w:p w14:paraId="20753893" w14:textId="0313FC35" w:rsidR="005E31BD" w:rsidRPr="00330F32" w:rsidRDefault="005E31BD" w:rsidP="005A2C56">
            <w:pPr>
              <w:rPr>
                <w:szCs w:val="24"/>
                <w:lang w:val="en-US"/>
              </w:rPr>
            </w:pPr>
          </w:p>
        </w:tc>
      </w:tr>
      <w:tr w:rsidR="005E31BD" w:rsidRPr="002A07F4" w14:paraId="1049A1BB" w14:textId="77777777" w:rsidTr="00C36831">
        <w:tc>
          <w:tcPr>
            <w:tcW w:w="9634" w:type="dxa"/>
            <w:gridSpan w:val="2"/>
            <w:tcBorders>
              <w:top w:val="single" w:sz="4" w:space="0" w:color="auto"/>
              <w:left w:val="single" w:sz="4" w:space="0" w:color="auto"/>
              <w:bottom w:val="single" w:sz="4" w:space="0" w:color="auto"/>
              <w:right w:val="single" w:sz="4" w:space="0" w:color="auto"/>
            </w:tcBorders>
          </w:tcPr>
          <w:p w14:paraId="6EB77D2A" w14:textId="77777777" w:rsidR="005E31BD" w:rsidRPr="008070ED" w:rsidRDefault="005E31BD" w:rsidP="005A2C56">
            <w:pPr>
              <w:ind w:firstLine="709"/>
              <w:jc w:val="both"/>
              <w:rPr>
                <w:rFonts w:eastAsia="Calibri"/>
                <w:bCs/>
                <w:szCs w:val="24"/>
              </w:rPr>
            </w:pPr>
          </w:p>
        </w:tc>
      </w:tr>
    </w:tbl>
    <w:p w14:paraId="6F453983" w14:textId="77777777" w:rsidR="005E31BD" w:rsidRPr="00AB57C7" w:rsidRDefault="005E31BD" w:rsidP="00805952">
      <w:pPr>
        <w:spacing w:before="240" w:after="120"/>
        <w:rPr>
          <w:b/>
          <w:sz w:val="20"/>
        </w:rPr>
      </w:pPr>
    </w:p>
    <w:p w14:paraId="4D9C9898" w14:textId="7E9BF016" w:rsidR="005E31BD" w:rsidRPr="004D04C1" w:rsidRDefault="005E31BD" w:rsidP="00805952">
      <w:pPr>
        <w:spacing w:before="240" w:after="120"/>
        <w:jc w:val="center"/>
        <w:rPr>
          <w:b/>
          <w:szCs w:val="24"/>
        </w:rPr>
      </w:pPr>
      <w:r w:rsidRPr="007504C1">
        <w:rPr>
          <w:b/>
          <w:szCs w:val="24"/>
        </w:rPr>
        <w:t>IV dalis. Sprendimas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E31BD" w:rsidRPr="004D04C1" w14:paraId="34628E03" w14:textId="77777777" w:rsidTr="00C36831">
        <w:tc>
          <w:tcPr>
            <w:tcW w:w="9634" w:type="dxa"/>
            <w:tcBorders>
              <w:top w:val="single" w:sz="4" w:space="0" w:color="auto"/>
              <w:left w:val="single" w:sz="4" w:space="0" w:color="auto"/>
              <w:bottom w:val="single" w:sz="4" w:space="0" w:color="auto"/>
              <w:right w:val="single" w:sz="4" w:space="0" w:color="auto"/>
            </w:tcBorders>
          </w:tcPr>
          <w:p w14:paraId="0B96D47E" w14:textId="7B90D244" w:rsidR="007504C1" w:rsidRPr="00942C87" w:rsidRDefault="007504C1" w:rsidP="00942C87">
            <w:pPr>
              <w:ind w:firstLine="880"/>
              <w:jc w:val="both"/>
              <w:rPr>
                <w:bCs/>
                <w:szCs w:val="24"/>
                <w:lang w:eastAsia="lt-LT"/>
              </w:rPr>
            </w:pPr>
            <w:r w:rsidRPr="007504C1">
              <w:rPr>
                <w:bCs/>
                <w:szCs w:val="24"/>
                <w:lang w:eastAsia="lt-LT"/>
              </w:rPr>
              <w:t xml:space="preserve">Tarnyba, atlikusi </w:t>
            </w:r>
            <w:r w:rsidRPr="007504C1">
              <w:rPr>
                <w:rStyle w:val="CharStyle5"/>
                <w:rFonts w:eastAsia="Calibri"/>
                <w:i w:val="0"/>
                <w:iCs w:val="0"/>
                <w:sz w:val="24"/>
                <w:szCs w:val="24"/>
              </w:rPr>
              <w:t>Pirkimo Nr. 2 vertinimą</w:t>
            </w:r>
            <w:r w:rsidRPr="007504C1">
              <w:rPr>
                <w:bCs/>
                <w:szCs w:val="24"/>
              </w:rPr>
              <w:t xml:space="preserve">, </w:t>
            </w:r>
            <w:r w:rsidRPr="007504C1">
              <w:rPr>
                <w:bCs/>
                <w:szCs w:val="24"/>
                <w:lang w:eastAsia="lt-LT"/>
              </w:rPr>
              <w:t>Įstatymo nuostatų pažeidimų nenustatė.</w:t>
            </w:r>
          </w:p>
        </w:tc>
      </w:tr>
    </w:tbl>
    <w:p w14:paraId="01043B24" w14:textId="7E7AA7A0" w:rsidR="00C36831" w:rsidRPr="004D04C1" w:rsidRDefault="005E31BD" w:rsidP="00805952">
      <w:pPr>
        <w:spacing w:before="240" w:after="120"/>
        <w:jc w:val="center"/>
        <w:rPr>
          <w:b/>
          <w:szCs w:val="24"/>
        </w:rPr>
      </w:pPr>
      <w:r w:rsidRPr="004D04C1">
        <w:rPr>
          <w:b/>
          <w:szCs w:val="24"/>
        </w:rPr>
        <w:t>Pastabo</w:t>
      </w:r>
      <w:r>
        <w:rPr>
          <w:b/>
          <w:szCs w:val="24"/>
        </w:rPr>
        <w: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36831" w:rsidRPr="004D04C1" w14:paraId="11FDBA90" w14:textId="77777777" w:rsidTr="00700ACF">
        <w:tc>
          <w:tcPr>
            <w:tcW w:w="9634" w:type="dxa"/>
            <w:tcBorders>
              <w:top w:val="single" w:sz="4" w:space="0" w:color="auto"/>
              <w:left w:val="single" w:sz="4" w:space="0" w:color="auto"/>
              <w:bottom w:val="single" w:sz="4" w:space="0" w:color="auto"/>
              <w:right w:val="single" w:sz="4" w:space="0" w:color="auto"/>
            </w:tcBorders>
          </w:tcPr>
          <w:p w14:paraId="3761DCBE" w14:textId="56FEA03C" w:rsidR="00C36831" w:rsidRDefault="00C36831" w:rsidP="00C36831">
            <w:pPr>
              <w:ind w:firstLine="743"/>
              <w:jc w:val="both"/>
              <w:rPr>
                <w:szCs w:val="24"/>
              </w:rPr>
            </w:pPr>
            <w:r>
              <w:rPr>
                <w:szCs w:val="24"/>
              </w:rPr>
              <w:t>Perkančioji organizacija vykdė mažos vertės Pirkimą Nr. 2 neskelbiamos apklausos būdu. 2021 m. gruodžio 30 d. Pirkimo Nr. 2 paraiškoje</w:t>
            </w:r>
            <w:r>
              <w:rPr>
                <w:rStyle w:val="FootnoteReference"/>
                <w:szCs w:val="24"/>
              </w:rPr>
              <w:footnoteReference w:id="9"/>
            </w:r>
            <w:r>
              <w:rPr>
                <w:szCs w:val="24"/>
              </w:rPr>
              <w:t xml:space="preserve"> nenurodytas Pirkimo </w:t>
            </w:r>
            <w:r w:rsidR="00347E4B">
              <w:rPr>
                <w:szCs w:val="24"/>
              </w:rPr>
              <w:t xml:space="preserve">Nr. 2 </w:t>
            </w:r>
            <w:r>
              <w:rPr>
                <w:szCs w:val="24"/>
              </w:rPr>
              <w:t>būdas</w:t>
            </w:r>
            <w:r w:rsidR="00C60B04">
              <w:rPr>
                <w:szCs w:val="24"/>
              </w:rPr>
              <w:t xml:space="preserve"> ir jo teisinis pagrindas</w:t>
            </w:r>
            <w:r>
              <w:rPr>
                <w:szCs w:val="24"/>
              </w:rPr>
              <w:t>, 2021 m. gruodžio 31 d. tiekėjų apklausos pažymoje (be Nr.)</w:t>
            </w:r>
            <w:r>
              <w:rPr>
                <w:rStyle w:val="FootnoteReference"/>
                <w:szCs w:val="24"/>
              </w:rPr>
              <w:footnoteReference w:id="10"/>
            </w:r>
            <w:r>
              <w:rPr>
                <w:szCs w:val="24"/>
              </w:rPr>
              <w:t xml:space="preserve"> taip pat nenurodytas Pirkimo Nr. 2 būdas</w:t>
            </w:r>
            <w:r w:rsidR="00C60B04">
              <w:rPr>
                <w:szCs w:val="24"/>
              </w:rPr>
              <w:t xml:space="preserve"> ir jo teisinis pagrindas</w:t>
            </w:r>
            <w:r>
              <w:rPr>
                <w:szCs w:val="24"/>
              </w:rPr>
              <w:t>. Perkančioji organizacija rašte</w:t>
            </w:r>
            <w:r>
              <w:rPr>
                <w:rStyle w:val="FootnoteReference"/>
                <w:szCs w:val="24"/>
              </w:rPr>
              <w:footnoteReference w:id="11"/>
            </w:r>
            <w:r>
              <w:rPr>
                <w:szCs w:val="24"/>
              </w:rPr>
              <w:t xml:space="preserve"> Tarnybai nurodė, jog dėl ypatingos skubos, siekiant užtikrinti viešąjį interesą – nepertraukiamą pacientų ir globos skyriaus gyventojų maitinimą, vadovaujantis Aprašu (nenurodytas papunktis), buvo atliktas Pirkimas Nr. 2 neskelbiamos apklausos būdu.</w:t>
            </w:r>
          </w:p>
          <w:p w14:paraId="405E2DEE" w14:textId="3CB1C323" w:rsidR="00C36831" w:rsidRPr="0077361D" w:rsidRDefault="00C36831" w:rsidP="00C36831">
            <w:pPr>
              <w:tabs>
                <w:tab w:val="left" w:pos="993"/>
              </w:tabs>
              <w:ind w:firstLine="738"/>
              <w:jc w:val="both"/>
              <w:rPr>
                <w:szCs w:val="24"/>
              </w:rPr>
            </w:pPr>
            <w:r>
              <w:rPr>
                <w:bCs/>
                <w:szCs w:val="24"/>
              </w:rPr>
              <w:lastRenderedPageBreak/>
              <w:t>Pažymėtina, kad Aprašo 21.</w:t>
            </w:r>
            <w:r>
              <w:rPr>
                <w:szCs w:val="24"/>
              </w:rPr>
              <w:t xml:space="preserve">2.3 </w:t>
            </w:r>
            <w:r w:rsidR="00CC24FC">
              <w:rPr>
                <w:szCs w:val="24"/>
              </w:rPr>
              <w:t>pa</w:t>
            </w:r>
            <w:r>
              <w:rPr>
                <w:szCs w:val="24"/>
              </w:rPr>
              <w:t>punkt</w:t>
            </w:r>
            <w:r w:rsidR="00CC24FC">
              <w:rPr>
                <w:szCs w:val="24"/>
              </w:rPr>
              <w:t>yj</w:t>
            </w:r>
            <w:r>
              <w:rPr>
                <w:szCs w:val="24"/>
              </w:rPr>
              <w:t>e nustatyta, jog neskelbiama apklausa galima „</w:t>
            </w:r>
            <w:r w:rsidRPr="0077361D">
              <w:rPr>
                <w:i/>
                <w:iCs/>
                <w:szCs w:val="24"/>
              </w:rPr>
              <w:t>kai dėl įvykių, kurių perkančioji organizacija negalėjo numatyti, būtina ypatingai skubiai įsigyti prekių, paslaugų ar darbų &lt;...&gt;“</w:t>
            </w:r>
            <w:r w:rsidRPr="0077361D">
              <w:rPr>
                <w:szCs w:val="24"/>
              </w:rPr>
              <w:t>. Ši nuostata yra aiškinama siaurai ir taikoma išimtinais atvejais, kai tokio pirkimo neįmanoma atlikti kitais Įstatyme numatytais pirkimo būdais.</w:t>
            </w:r>
          </w:p>
          <w:p w14:paraId="7814D32E" w14:textId="4495183B" w:rsidR="00C36831" w:rsidRDefault="00C36831" w:rsidP="00C36831">
            <w:pPr>
              <w:ind w:firstLine="589"/>
              <w:jc w:val="both"/>
              <w:rPr>
                <w:rFonts w:eastAsia="Calibri"/>
                <w:bCs/>
                <w:szCs w:val="24"/>
              </w:rPr>
            </w:pPr>
            <w:r>
              <w:rPr>
                <w:szCs w:val="24"/>
              </w:rPr>
              <w:t>Šiuo</w:t>
            </w:r>
            <w:r w:rsidRPr="0077361D">
              <w:rPr>
                <w:szCs w:val="24"/>
              </w:rPr>
              <w:t xml:space="preserve"> atveju Perkančiosios organizacijos </w:t>
            </w:r>
            <w:r>
              <w:rPr>
                <w:szCs w:val="24"/>
              </w:rPr>
              <w:t>rašte</w:t>
            </w:r>
            <w:r>
              <w:rPr>
                <w:rStyle w:val="FootnoteReference"/>
                <w:szCs w:val="24"/>
              </w:rPr>
              <w:footnoteReference w:id="12"/>
            </w:r>
            <w:r>
              <w:rPr>
                <w:szCs w:val="24"/>
              </w:rPr>
              <w:t xml:space="preserve"> Tarnybai </w:t>
            </w:r>
            <w:r w:rsidRPr="0077361D">
              <w:rPr>
                <w:szCs w:val="24"/>
              </w:rPr>
              <w:t>nurodytos aplinkybės</w:t>
            </w:r>
            <w:r>
              <w:rPr>
                <w:rStyle w:val="FootnoteReference"/>
                <w:szCs w:val="24"/>
              </w:rPr>
              <w:footnoteReference w:id="13"/>
            </w:r>
            <w:r w:rsidRPr="0077361D">
              <w:rPr>
                <w:szCs w:val="24"/>
              </w:rPr>
              <w:t xml:space="preserve"> negal</w:t>
            </w:r>
            <w:r w:rsidR="00C60B04">
              <w:rPr>
                <w:szCs w:val="24"/>
              </w:rPr>
              <w:t>ėtų</w:t>
            </w:r>
            <w:r w:rsidRPr="0077361D">
              <w:rPr>
                <w:szCs w:val="24"/>
              </w:rPr>
              <w:t xml:space="preserve"> būti vertinamos kaip nenumatytos ir nepriklausančios nuo Perkančiosios organizacijos dėl ko ypatingai skubiai reikėjo įsigyti maitinimo paslaugas,</w:t>
            </w:r>
            <w:r>
              <w:rPr>
                <w:szCs w:val="24"/>
              </w:rPr>
              <w:t xml:space="preserve"> t. y. aplinkybės neatitinka Aprašo 21.2.3 punkte nurodytų privalomų sąlygų ir </w:t>
            </w:r>
            <w:r w:rsidRPr="0040128B">
              <w:rPr>
                <w:szCs w:val="24"/>
                <w:lang w:eastAsia="lt-LT"/>
              </w:rPr>
              <w:t xml:space="preserve">nepagrindžia negalimumo paslaugas pirkti Įstatymo nustatytais skelbiamų pirkimų terminais, atsižvelgiant į tai, kad </w:t>
            </w:r>
            <w:r>
              <w:rPr>
                <w:szCs w:val="24"/>
                <w:lang w:eastAsia="lt-LT"/>
              </w:rPr>
              <w:t xml:space="preserve">nagrinėjamu atveju </w:t>
            </w:r>
            <w:r w:rsidRPr="0040128B">
              <w:rPr>
                <w:szCs w:val="24"/>
                <w:lang w:eastAsia="lt-LT"/>
              </w:rPr>
              <w:t>Perkan</w:t>
            </w:r>
            <w:r>
              <w:rPr>
                <w:szCs w:val="24"/>
                <w:lang w:eastAsia="lt-LT"/>
              </w:rPr>
              <w:t xml:space="preserve">čioji organizacija žinojo, jog 2018 m. maitinimo paslaugų sutartys pratęstos ir baigiasi 2021 m. gruodžio 31 d., </w:t>
            </w:r>
            <w:r w:rsidR="00E22B93">
              <w:rPr>
                <w:szCs w:val="24"/>
                <w:lang w:eastAsia="lt-LT"/>
              </w:rPr>
              <w:t xml:space="preserve">tačiau </w:t>
            </w:r>
            <w:r>
              <w:rPr>
                <w:szCs w:val="24"/>
                <w:lang w:eastAsia="lt-LT"/>
              </w:rPr>
              <w:t xml:space="preserve">Pirkimą Nr. 1 pradėjo vykdyti tik </w:t>
            </w:r>
            <w:r>
              <w:rPr>
                <w:rFonts w:eastAsia="Calibri"/>
                <w:bCs/>
                <w:szCs w:val="24"/>
              </w:rPr>
              <w:t xml:space="preserve">2021 m. lapkričio 19 d., o užsitęsus Pirkimo Nr. 1 procedūroms dėl tiekėjų pretenzijų, vykdė Pirkimą Nr. 2. </w:t>
            </w:r>
          </w:p>
          <w:p w14:paraId="51F6961A" w14:textId="3B36B023" w:rsidR="00C36831" w:rsidRDefault="00C36831" w:rsidP="00C36831">
            <w:pPr>
              <w:ind w:firstLine="743"/>
              <w:jc w:val="both"/>
              <w:rPr>
                <w:szCs w:val="24"/>
              </w:rPr>
            </w:pPr>
            <w:r>
              <w:rPr>
                <w:szCs w:val="24"/>
              </w:rPr>
              <w:t xml:space="preserve">Pažymėtina, kad nors Perkančioji organizacija Pirkimo Nr. 2 vykdymą grindžia ypatinga skuba, tačiau įvertinus tai, kad Pirkimo </w:t>
            </w:r>
            <w:r w:rsidR="0030770C">
              <w:rPr>
                <w:szCs w:val="24"/>
              </w:rPr>
              <w:t xml:space="preserve">Nr. 2 </w:t>
            </w:r>
            <w:r>
              <w:rPr>
                <w:szCs w:val="24"/>
              </w:rPr>
              <w:t>sutarties vertė yra 9999,00 Eur be PVM, Pirkimas Nr. 2 galėjo būti vykdomas neskelbiamos apklausos būdu, vadovaujantis Aprašo 21.2.1 papunkčio nuostatomis.</w:t>
            </w:r>
          </w:p>
          <w:p w14:paraId="1A5D8D2D" w14:textId="122C7156" w:rsidR="00C36831" w:rsidRPr="00942C87" w:rsidRDefault="00C36831" w:rsidP="00C36831">
            <w:pPr>
              <w:ind w:firstLine="880"/>
              <w:jc w:val="both"/>
              <w:rPr>
                <w:bCs/>
                <w:szCs w:val="24"/>
                <w:lang w:eastAsia="lt-LT"/>
              </w:rPr>
            </w:pPr>
            <w:r>
              <w:rPr>
                <w:szCs w:val="24"/>
              </w:rPr>
              <w:t>Tarnyba rekomenduoja patikslinti Pirkimo paraiškos ir Tiekėjų apklausos pažymos formas, patvirtintas Perkančiosios organizacijos 2019 m. sausio 9 d. įsakymu Nr. PV-01(1.3), kuriose būtų nurodomi pirkimo būdai ir jų teisinis pagrindas.</w:t>
            </w:r>
          </w:p>
        </w:tc>
      </w:tr>
    </w:tbl>
    <w:p w14:paraId="4DEAE2AB" w14:textId="77777777" w:rsidR="00C36831" w:rsidRDefault="00C36831" w:rsidP="00C36831">
      <w:pPr>
        <w:tabs>
          <w:tab w:val="left" w:pos="900"/>
        </w:tabs>
        <w:jc w:val="both"/>
        <w:rPr>
          <w:color w:val="000000"/>
        </w:rPr>
      </w:pPr>
    </w:p>
    <w:p w14:paraId="5FB4DA9B" w14:textId="77777777" w:rsidR="00231B9E" w:rsidRDefault="00231B9E" w:rsidP="00231B9E">
      <w:pPr>
        <w:jc w:val="center"/>
        <w:rPr>
          <w:szCs w:val="24"/>
          <w:lang w:eastAsia="lt-LT"/>
        </w:rPr>
      </w:pPr>
      <w:r>
        <w:rPr>
          <w:b/>
          <w:szCs w:val="24"/>
          <w:lang w:eastAsia="lt-LT"/>
        </w:rPr>
        <w:t>I dalis. Bendra informacija</w:t>
      </w:r>
    </w:p>
    <w:p w14:paraId="38334A32" w14:textId="77777777" w:rsidR="00231B9E" w:rsidRDefault="00231B9E" w:rsidP="00231B9E">
      <w:pPr>
        <w:ind w:firstLine="720"/>
        <w:rPr>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231B9E" w14:paraId="4966354B" w14:textId="77777777" w:rsidTr="005856D6">
        <w:tc>
          <w:tcPr>
            <w:tcW w:w="4606" w:type="dxa"/>
            <w:tcBorders>
              <w:top w:val="single" w:sz="4" w:space="0" w:color="auto"/>
              <w:left w:val="single" w:sz="4" w:space="0" w:color="auto"/>
              <w:bottom w:val="single" w:sz="4" w:space="0" w:color="auto"/>
              <w:right w:val="single" w:sz="4" w:space="0" w:color="auto"/>
            </w:tcBorders>
            <w:shd w:val="clear" w:color="auto" w:fill="auto"/>
          </w:tcPr>
          <w:p w14:paraId="22B22A7F" w14:textId="77777777" w:rsidR="00231B9E" w:rsidRDefault="00231B9E" w:rsidP="005A2C56">
            <w:pPr>
              <w:jc w:val="both"/>
              <w:rPr>
                <w:szCs w:val="24"/>
                <w:lang w:eastAsia="lt-LT"/>
              </w:rPr>
            </w:pPr>
            <w:r>
              <w:rPr>
                <w:rFonts w:eastAsia="Calibri"/>
                <w:szCs w:val="24"/>
                <w:lang w:eastAsia="lt-LT"/>
              </w:rPr>
              <w:t>Pirkimo</w:t>
            </w:r>
            <w:r>
              <w:rPr>
                <w:szCs w:val="24"/>
                <w:lang w:eastAsia="lt-LT"/>
              </w:rPr>
              <w:t>*</w:t>
            </w:r>
            <w:r>
              <w:rPr>
                <w:rFonts w:eastAsia="Calibri"/>
                <w:szCs w:val="24"/>
                <w:lang w:eastAsia="lt-LT"/>
              </w:rPr>
              <w:t xml:space="preserve"> pavadinimas, numeris (jeigu skelbtas), pirkimo paskelbimo (kvietimo pateikti paraišką/pasiūlymą) data/sutarties pavadinimas, data, numeris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281504CF" w14:textId="6A58E89E" w:rsidR="00231B9E" w:rsidRDefault="00231B9E" w:rsidP="005A2C56">
            <w:pPr>
              <w:jc w:val="both"/>
              <w:rPr>
                <w:szCs w:val="24"/>
                <w:lang w:eastAsia="lt-LT"/>
              </w:rPr>
            </w:pPr>
            <w:r>
              <w:rPr>
                <w:rFonts w:eastAsia="Calibri"/>
                <w:szCs w:val="24"/>
              </w:rPr>
              <w:t xml:space="preserve">„Maitinimo paslaugos (25)“ </w:t>
            </w:r>
            <w:r w:rsidRPr="00A43350">
              <w:rPr>
                <w:rFonts w:eastAsia="Calibri"/>
                <w:bCs/>
                <w:szCs w:val="24"/>
              </w:rPr>
              <w:t xml:space="preserve">(Centrinėje viešųjų pirkimų informacinėje sistemoje (toliau – CVP IS) </w:t>
            </w:r>
            <w:r>
              <w:rPr>
                <w:rFonts w:eastAsia="Calibri"/>
                <w:bCs/>
                <w:szCs w:val="24"/>
              </w:rPr>
              <w:t>skelbtas 2021-12-06, Pirkimo Nr. 5774</w:t>
            </w:r>
            <w:r w:rsidR="00BC6172">
              <w:rPr>
                <w:rFonts w:eastAsia="Calibri"/>
                <w:bCs/>
                <w:szCs w:val="24"/>
              </w:rPr>
              <w:t>81</w:t>
            </w:r>
            <w:r>
              <w:rPr>
                <w:rFonts w:eastAsia="Calibri"/>
                <w:bCs/>
                <w:szCs w:val="24"/>
              </w:rPr>
              <w:t xml:space="preserve"> (toliau – Pirkimas Nr. </w:t>
            </w:r>
            <w:r w:rsidR="00853800">
              <w:rPr>
                <w:rFonts w:eastAsia="Calibri"/>
                <w:bCs/>
                <w:szCs w:val="24"/>
              </w:rPr>
              <w:t>3</w:t>
            </w:r>
            <w:r>
              <w:rPr>
                <w:rFonts w:eastAsia="Calibri"/>
                <w:bCs/>
                <w:szCs w:val="24"/>
              </w:rPr>
              <w:t>)</w:t>
            </w:r>
          </w:p>
        </w:tc>
      </w:tr>
      <w:tr w:rsidR="00231B9E" w14:paraId="4719225F" w14:textId="77777777" w:rsidTr="005856D6">
        <w:tc>
          <w:tcPr>
            <w:tcW w:w="4606" w:type="dxa"/>
            <w:tcBorders>
              <w:top w:val="single" w:sz="4" w:space="0" w:color="auto"/>
              <w:left w:val="single" w:sz="4" w:space="0" w:color="auto"/>
              <w:bottom w:val="single" w:sz="4" w:space="0" w:color="auto"/>
              <w:right w:val="single" w:sz="4" w:space="0" w:color="auto"/>
            </w:tcBorders>
            <w:shd w:val="clear" w:color="auto" w:fill="auto"/>
          </w:tcPr>
          <w:p w14:paraId="71174BA5" w14:textId="77777777" w:rsidR="00231B9E" w:rsidRDefault="00231B9E" w:rsidP="005A2C56">
            <w:pPr>
              <w:jc w:val="both"/>
              <w:rPr>
                <w:szCs w:val="24"/>
                <w:lang w:eastAsia="lt-LT"/>
              </w:rPr>
            </w:pPr>
            <w:r>
              <w:rPr>
                <w:rFonts w:eastAsia="Calibri"/>
                <w:szCs w:val="24"/>
                <w:lang w:eastAsia="lt-LT"/>
              </w:rPr>
              <w:t>Pirkimo vykdymo/sutarties sudarymo teisinis pagrindas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25BDEB22" w14:textId="41281DF3" w:rsidR="00231B9E" w:rsidRPr="00231B9E" w:rsidRDefault="00231B9E" w:rsidP="005A2C56">
            <w:pPr>
              <w:jc w:val="both"/>
              <w:rPr>
                <w:bCs/>
                <w:szCs w:val="24"/>
                <w:shd w:val="clear" w:color="auto" w:fill="FFFFFF"/>
              </w:rPr>
            </w:pPr>
            <w:r w:rsidRPr="00404B69">
              <w:rPr>
                <w:bCs/>
                <w:szCs w:val="24"/>
              </w:rPr>
              <w:t>Įstatymas (</w:t>
            </w:r>
            <w:r w:rsidRPr="00231B9E">
              <w:rPr>
                <w:bCs/>
                <w:szCs w:val="24"/>
              </w:rPr>
              <w:t xml:space="preserve">redakcija nuo </w:t>
            </w:r>
            <w:r w:rsidRPr="00231B9E">
              <w:rPr>
                <w:bCs/>
                <w:color w:val="000000"/>
              </w:rPr>
              <w:t>2021-12-04 iki 2021-12-31</w:t>
            </w:r>
            <w:r w:rsidRPr="00231B9E">
              <w:rPr>
                <w:bCs/>
                <w:szCs w:val="24"/>
                <w:shd w:val="clear" w:color="auto" w:fill="FFFFFF"/>
              </w:rPr>
              <w:t>).</w:t>
            </w:r>
          </w:p>
          <w:p w14:paraId="01F24A4D" w14:textId="77777777" w:rsidR="00231B9E" w:rsidRDefault="00231B9E" w:rsidP="005A2C56">
            <w:pPr>
              <w:jc w:val="both"/>
              <w:rPr>
                <w:szCs w:val="24"/>
                <w:lang w:eastAsia="lt-LT"/>
              </w:rPr>
            </w:pPr>
          </w:p>
        </w:tc>
      </w:tr>
      <w:tr w:rsidR="00231B9E" w14:paraId="2E18610D" w14:textId="77777777" w:rsidTr="005856D6">
        <w:tc>
          <w:tcPr>
            <w:tcW w:w="4606" w:type="dxa"/>
            <w:tcBorders>
              <w:top w:val="single" w:sz="4" w:space="0" w:color="auto"/>
              <w:left w:val="single" w:sz="4" w:space="0" w:color="auto"/>
              <w:bottom w:val="single" w:sz="4" w:space="0" w:color="auto"/>
              <w:right w:val="single" w:sz="4" w:space="0" w:color="auto"/>
            </w:tcBorders>
            <w:shd w:val="clear" w:color="auto" w:fill="auto"/>
          </w:tcPr>
          <w:p w14:paraId="2A486B69" w14:textId="77777777" w:rsidR="00231B9E" w:rsidRDefault="00231B9E" w:rsidP="005A2C56">
            <w:pPr>
              <w:jc w:val="both"/>
              <w:rPr>
                <w:rFonts w:eastAsia="Calibri"/>
                <w:szCs w:val="24"/>
                <w:lang w:eastAsia="lt-LT"/>
              </w:rPr>
            </w:pPr>
            <w:r>
              <w:rPr>
                <w:rFonts w:eastAsia="Calibri"/>
                <w:szCs w:val="24"/>
                <w:lang w:eastAsia="lt-LT"/>
              </w:rPr>
              <w:t>Pirkimo rūšis pagal vertės ribas ir pirkimo būdas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374D5DE8" w14:textId="77777777" w:rsidR="00231B9E" w:rsidRDefault="00231B9E" w:rsidP="005A2C56">
            <w:pPr>
              <w:jc w:val="both"/>
              <w:rPr>
                <w:szCs w:val="24"/>
                <w:lang w:eastAsia="lt-LT"/>
              </w:rPr>
            </w:pPr>
            <w:r>
              <w:rPr>
                <w:szCs w:val="24"/>
                <w:lang w:eastAsia="lt-LT"/>
              </w:rPr>
              <w:t>Atviras konkursas (supaprastintas pirkimas)</w:t>
            </w:r>
          </w:p>
        </w:tc>
      </w:tr>
      <w:tr w:rsidR="00231B9E" w14:paraId="349F16C8" w14:textId="77777777" w:rsidTr="005856D6">
        <w:tc>
          <w:tcPr>
            <w:tcW w:w="4606" w:type="dxa"/>
            <w:tcBorders>
              <w:top w:val="single" w:sz="4" w:space="0" w:color="auto"/>
              <w:left w:val="single" w:sz="4" w:space="0" w:color="auto"/>
              <w:bottom w:val="single" w:sz="4" w:space="0" w:color="auto"/>
              <w:right w:val="single" w:sz="4" w:space="0" w:color="auto"/>
            </w:tcBorders>
            <w:shd w:val="clear" w:color="auto" w:fill="auto"/>
          </w:tcPr>
          <w:p w14:paraId="78500C68" w14:textId="77777777" w:rsidR="00231B9E" w:rsidRDefault="00231B9E" w:rsidP="005A2C56">
            <w:pPr>
              <w:jc w:val="both"/>
              <w:rPr>
                <w:rFonts w:eastAsia="Calibri"/>
                <w:szCs w:val="24"/>
                <w:lang w:eastAsia="lt-LT"/>
              </w:rPr>
            </w:pPr>
            <w:r>
              <w:rPr>
                <w:rFonts w:eastAsia="Calibri"/>
                <w:szCs w:val="24"/>
                <w:lang w:eastAsia="lt-LT"/>
              </w:rPr>
              <w:t>Planuota (nenurodoma, jeigu pirkimas vertinamas iki vokų su pasiūlymais atplėšimo procedūros) ir faktinė pirkimo/sutarties vertė Eur be PVM</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ED895FE" w14:textId="2F747306" w:rsidR="00231B9E" w:rsidRDefault="00231B9E" w:rsidP="005A2C56">
            <w:pPr>
              <w:jc w:val="both"/>
            </w:pPr>
            <w:r w:rsidRPr="001E3500">
              <w:t>Planuo</w:t>
            </w:r>
            <w:r>
              <w:t>ta</w:t>
            </w:r>
            <w:r w:rsidRPr="001E3500">
              <w:t xml:space="preserve"> Pirkimo</w:t>
            </w:r>
            <w:r w:rsidR="00BC6172">
              <w:t xml:space="preserve"> Nr. 3</w:t>
            </w:r>
            <w:r w:rsidRPr="001E3500">
              <w:t xml:space="preserve"> vertė</w:t>
            </w:r>
            <w:r w:rsidR="005856D6">
              <w:t>:</w:t>
            </w:r>
            <w:r>
              <w:t xml:space="preserve"> 749.990,00 Eur be PVM</w:t>
            </w:r>
          </w:p>
          <w:p w14:paraId="31F8E612" w14:textId="3330BE10" w:rsidR="005856D6" w:rsidRDefault="005856D6" w:rsidP="005A2C56">
            <w:pPr>
              <w:jc w:val="both"/>
              <w:rPr>
                <w:szCs w:val="24"/>
                <w:lang w:eastAsia="lt-LT"/>
              </w:rPr>
            </w:pPr>
            <w:r>
              <w:t xml:space="preserve">Pirkimo Nr. </w:t>
            </w:r>
            <w:r w:rsidR="00BC6172">
              <w:t>3</w:t>
            </w:r>
            <w:r>
              <w:t xml:space="preserve"> sutarties vertė: </w:t>
            </w:r>
            <w:r w:rsidR="00347E4B">
              <w:t>664.949,70</w:t>
            </w:r>
            <w:r>
              <w:t xml:space="preserve"> Eur be PVM.</w:t>
            </w:r>
          </w:p>
        </w:tc>
      </w:tr>
      <w:tr w:rsidR="00231B9E" w14:paraId="55887DC3" w14:textId="77777777" w:rsidTr="005856D6">
        <w:tc>
          <w:tcPr>
            <w:tcW w:w="4606" w:type="dxa"/>
            <w:tcBorders>
              <w:top w:val="single" w:sz="4" w:space="0" w:color="auto"/>
              <w:left w:val="single" w:sz="4" w:space="0" w:color="auto"/>
              <w:bottom w:val="single" w:sz="4" w:space="0" w:color="auto"/>
              <w:right w:val="single" w:sz="4" w:space="0" w:color="auto"/>
            </w:tcBorders>
            <w:shd w:val="clear" w:color="auto" w:fill="auto"/>
          </w:tcPr>
          <w:p w14:paraId="5639D31E" w14:textId="77777777" w:rsidR="00231B9E" w:rsidRDefault="00231B9E" w:rsidP="005A2C56">
            <w:pPr>
              <w:jc w:val="both"/>
              <w:rPr>
                <w:szCs w:val="24"/>
                <w:lang w:eastAsia="lt-LT"/>
              </w:rPr>
            </w:pPr>
            <w:r>
              <w:rPr>
                <w:rFonts w:eastAsia="Calibri"/>
                <w:szCs w:val="24"/>
                <w:lang w:eastAsia="lt-LT"/>
              </w:rPr>
              <w:t xml:space="preserve">Tiekėjas/koncesijos dalyvis/koncesininkas, juridinio asmens (su kuriuo sudaryta sutartis) kodas </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3650549" w14:textId="114B499B" w:rsidR="00231B9E" w:rsidRPr="00675951" w:rsidRDefault="00231B9E" w:rsidP="005856D6">
            <w:pPr>
              <w:jc w:val="both"/>
              <w:rPr>
                <w:color w:val="333333"/>
                <w:szCs w:val="24"/>
                <w:lang w:eastAsia="lt-LT"/>
              </w:rPr>
            </w:pPr>
            <w:r>
              <w:rPr>
                <w:color w:val="333333"/>
                <w:szCs w:val="24"/>
                <w:lang w:eastAsia="lt-LT"/>
              </w:rPr>
              <w:t xml:space="preserve"> </w:t>
            </w:r>
            <w:r w:rsidR="005856D6" w:rsidRPr="003717FC">
              <w:rPr>
                <w:szCs w:val="24"/>
                <w:lang w:eastAsia="lt-LT"/>
              </w:rPr>
              <w:t>UAB „Skonio era“</w:t>
            </w:r>
            <w:r w:rsidR="00675951">
              <w:rPr>
                <w:color w:val="333333"/>
                <w:szCs w:val="24"/>
                <w:lang w:eastAsia="lt-LT"/>
              </w:rPr>
              <w:t xml:space="preserve">, </w:t>
            </w:r>
            <w:r w:rsidR="00675951">
              <w:rPr>
                <w:szCs w:val="24"/>
              </w:rPr>
              <w:t xml:space="preserve">juridinio asmens kodas </w:t>
            </w:r>
            <w:r w:rsidR="005856D6">
              <w:rPr>
                <w:szCs w:val="24"/>
              </w:rPr>
              <w:t>305222424</w:t>
            </w:r>
          </w:p>
        </w:tc>
      </w:tr>
      <w:tr w:rsidR="005856D6" w14:paraId="6AB699CB" w14:textId="77777777" w:rsidTr="005856D6">
        <w:tc>
          <w:tcPr>
            <w:tcW w:w="4606" w:type="dxa"/>
            <w:tcBorders>
              <w:top w:val="single" w:sz="4" w:space="0" w:color="auto"/>
              <w:left w:val="single" w:sz="4" w:space="0" w:color="auto"/>
              <w:bottom w:val="single" w:sz="4" w:space="0" w:color="auto"/>
              <w:right w:val="single" w:sz="4" w:space="0" w:color="auto"/>
            </w:tcBorders>
            <w:shd w:val="clear" w:color="auto" w:fill="auto"/>
          </w:tcPr>
          <w:p w14:paraId="704D7D2D" w14:textId="77777777" w:rsidR="005856D6" w:rsidRDefault="005856D6" w:rsidP="005856D6">
            <w:pPr>
              <w:jc w:val="both"/>
              <w:rPr>
                <w:rFonts w:eastAsia="Calibri"/>
                <w:szCs w:val="24"/>
                <w:lang w:eastAsia="lt-LT"/>
              </w:rPr>
            </w:pPr>
            <w:r>
              <w:rPr>
                <w:rFonts w:eastAsia="Calibri"/>
                <w:szCs w:val="24"/>
                <w:lang w:eastAsia="lt-LT"/>
              </w:rPr>
              <w:t>Pirkimo/sutarties vertinimo apimtys/etapas</w:t>
            </w:r>
          </w:p>
          <w:p w14:paraId="67C8114B" w14:textId="77777777" w:rsidR="005856D6" w:rsidRDefault="005856D6" w:rsidP="005856D6">
            <w:pPr>
              <w:jc w:val="both"/>
              <w:rPr>
                <w:szCs w:val="24"/>
                <w:lang w:eastAsia="lt-LT"/>
              </w:rPr>
            </w:pP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14C6475" w14:textId="18623157" w:rsidR="005856D6" w:rsidRDefault="005856D6" w:rsidP="005856D6">
            <w:pPr>
              <w:jc w:val="both"/>
              <w:rPr>
                <w:szCs w:val="24"/>
                <w:lang w:eastAsia="lt-LT"/>
              </w:rPr>
            </w:pPr>
            <w:r>
              <w:rPr>
                <w:szCs w:val="24"/>
                <w:lang w:eastAsia="lt-LT"/>
              </w:rPr>
              <w:t xml:space="preserve">Išsamus Pirkimo Nr. 3 vertinimas </w:t>
            </w:r>
            <w:r w:rsidR="003B4DE0">
              <w:rPr>
                <w:rFonts w:eastAsia="Calibri"/>
                <w:szCs w:val="24"/>
              </w:rPr>
              <w:t>apimtimi, nepatenkančia į ieškinio</w:t>
            </w:r>
            <w:r w:rsidR="004E57CC">
              <w:rPr>
                <w:rFonts w:eastAsia="Calibri"/>
                <w:szCs w:val="24"/>
              </w:rPr>
              <w:t xml:space="preserve"> teismui</w:t>
            </w:r>
            <w:r w:rsidR="003B4DE0">
              <w:rPr>
                <w:rFonts w:eastAsia="Calibri"/>
                <w:szCs w:val="24"/>
              </w:rPr>
              <w:t xml:space="preserve"> dalyką / </w:t>
            </w:r>
            <w:r>
              <w:rPr>
                <w:szCs w:val="24"/>
              </w:rPr>
              <w:t>po sutarties sudarymo</w:t>
            </w:r>
          </w:p>
        </w:tc>
      </w:tr>
      <w:tr w:rsidR="00231B9E" w14:paraId="2DDFFA5B" w14:textId="77777777" w:rsidTr="005856D6">
        <w:tc>
          <w:tcPr>
            <w:tcW w:w="4606" w:type="dxa"/>
            <w:tcBorders>
              <w:top w:val="single" w:sz="4" w:space="0" w:color="auto"/>
              <w:left w:val="single" w:sz="4" w:space="0" w:color="auto"/>
              <w:bottom w:val="single" w:sz="4" w:space="0" w:color="auto"/>
              <w:right w:val="single" w:sz="4" w:space="0" w:color="auto"/>
            </w:tcBorders>
            <w:shd w:val="clear" w:color="auto" w:fill="auto"/>
          </w:tcPr>
          <w:p w14:paraId="7A36F0E9" w14:textId="77777777" w:rsidR="00231B9E" w:rsidRDefault="00231B9E" w:rsidP="005A2C56">
            <w:pPr>
              <w:jc w:val="both"/>
              <w:rPr>
                <w:b/>
                <w:szCs w:val="24"/>
                <w:lang w:eastAsia="lt-LT"/>
              </w:rPr>
            </w:pPr>
            <w:r>
              <w:rPr>
                <w:szCs w:val="24"/>
                <w:lang w:eastAsia="lt-LT"/>
              </w:rPr>
              <w:t>Jei pirkimas finansuojamas Europos Sąjungos lėšomis – projekto pavadinimas, projektą administruojanti institucija</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28C52317" w14:textId="77777777" w:rsidR="00231B9E" w:rsidRDefault="00231B9E" w:rsidP="005A2C56">
            <w:pPr>
              <w:jc w:val="both"/>
              <w:rPr>
                <w:szCs w:val="24"/>
                <w:lang w:eastAsia="lt-LT"/>
              </w:rPr>
            </w:pPr>
            <w:r>
              <w:rPr>
                <w:color w:val="333333"/>
                <w:szCs w:val="24"/>
                <w:lang w:eastAsia="lt-LT"/>
              </w:rPr>
              <w:t>–</w:t>
            </w:r>
          </w:p>
        </w:tc>
      </w:tr>
      <w:tr w:rsidR="00231B9E" w14:paraId="331563A7" w14:textId="77777777" w:rsidTr="005856D6">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0494361A" w14:textId="77777777" w:rsidR="00231B9E" w:rsidRDefault="00231B9E" w:rsidP="005A2C56">
            <w:pPr>
              <w:jc w:val="both"/>
              <w:rPr>
                <w:rFonts w:eastAsia="Calibri"/>
                <w:szCs w:val="24"/>
                <w:lang w:eastAsia="lt-LT"/>
              </w:rPr>
            </w:pPr>
            <w:r>
              <w:rPr>
                <w:rFonts w:eastAsia="Calibri"/>
                <w:szCs w:val="24"/>
                <w:lang w:eastAsia="lt-LT"/>
              </w:rPr>
              <w:t>Jei dėl pirkimo/sutarties vyksta teismo procesas, nurodyti ieškinio (skundo) dalyką, bylos šalių pavadinimus, ar taikomos laikinosios apsaugos priemonės, teisminio nagrinėjimo stadiją:</w:t>
            </w:r>
          </w:p>
          <w:p w14:paraId="4DCD70F2" w14:textId="77777777" w:rsidR="00582E5D" w:rsidRDefault="00582E5D" w:rsidP="00582E5D">
            <w:pPr>
              <w:jc w:val="both"/>
              <w:rPr>
                <w:rFonts w:eastAsia="Calibri"/>
                <w:szCs w:val="24"/>
                <w:lang w:eastAsia="lt-LT"/>
              </w:rPr>
            </w:pPr>
          </w:p>
          <w:p w14:paraId="17F0A242" w14:textId="5C0738DC" w:rsidR="00582E5D" w:rsidRPr="00582E5D" w:rsidRDefault="00582E5D" w:rsidP="00582E5D">
            <w:pPr>
              <w:jc w:val="both"/>
              <w:rPr>
                <w:rFonts w:eastAsia="Calibri"/>
                <w:szCs w:val="24"/>
                <w:lang w:eastAsia="lt-LT"/>
              </w:rPr>
            </w:pPr>
            <w:r w:rsidRPr="00582E5D">
              <w:rPr>
                <w:rFonts w:eastAsia="Calibri"/>
                <w:szCs w:val="24"/>
                <w:lang w:eastAsia="lt-LT"/>
              </w:rPr>
              <w:t>VšĮ „</w:t>
            </w:r>
            <w:proofErr w:type="spellStart"/>
            <w:r w:rsidRPr="00582E5D">
              <w:rPr>
                <w:rFonts w:eastAsia="Calibri"/>
                <w:szCs w:val="24"/>
                <w:lang w:eastAsia="lt-LT"/>
              </w:rPr>
              <w:t>Bruneros</w:t>
            </w:r>
            <w:proofErr w:type="spellEnd"/>
            <w:r w:rsidRPr="00582E5D">
              <w:rPr>
                <w:rFonts w:eastAsia="Calibri"/>
                <w:szCs w:val="24"/>
                <w:lang w:eastAsia="lt-LT"/>
              </w:rPr>
              <w:t xml:space="preserve">“ 2022-01-13 ieškinys Kauno apygardos teismui dėl </w:t>
            </w:r>
            <w:r w:rsidR="00BC6172">
              <w:rPr>
                <w:rFonts w:eastAsia="Calibri"/>
                <w:szCs w:val="24"/>
                <w:lang w:eastAsia="lt-LT"/>
              </w:rPr>
              <w:t xml:space="preserve">laikinųjų apsaugos priemonių taikymo, dėl </w:t>
            </w:r>
            <w:r w:rsidRPr="00582E5D">
              <w:rPr>
                <w:rFonts w:eastAsia="Calibri"/>
                <w:szCs w:val="24"/>
                <w:lang w:eastAsia="lt-LT"/>
              </w:rPr>
              <w:t xml:space="preserve">valgiaraščių konfidencialumo, </w:t>
            </w:r>
            <w:r w:rsidRPr="00582E5D">
              <w:rPr>
                <w:szCs w:val="24"/>
              </w:rPr>
              <w:t>dėl pasiūlymo galiojimo užtikrinimo pateikimo, dėl konkuravimo dėl pasiūlymų pateikimo laiko/pirmumo</w:t>
            </w:r>
            <w:r w:rsidR="00873754">
              <w:rPr>
                <w:szCs w:val="24"/>
              </w:rPr>
              <w:t xml:space="preserve"> (toliau – Ieškinys)</w:t>
            </w:r>
            <w:r w:rsidR="00BC6172">
              <w:rPr>
                <w:szCs w:val="24"/>
              </w:rPr>
              <w:t>.</w:t>
            </w:r>
          </w:p>
          <w:p w14:paraId="058D7E7E" w14:textId="013497F3" w:rsidR="00582E5D" w:rsidRDefault="00853800" w:rsidP="00582E5D">
            <w:pPr>
              <w:jc w:val="both"/>
              <w:rPr>
                <w:rFonts w:eastAsia="Calibri"/>
                <w:szCs w:val="24"/>
                <w:lang w:eastAsia="lt-LT"/>
              </w:rPr>
            </w:pPr>
            <w:r>
              <w:rPr>
                <w:rFonts w:eastAsia="Calibri"/>
                <w:szCs w:val="24"/>
                <w:lang w:eastAsia="lt-LT"/>
              </w:rPr>
              <w:lastRenderedPageBreak/>
              <w:t>Šiaulių</w:t>
            </w:r>
            <w:r w:rsidR="00582E5D">
              <w:rPr>
                <w:rFonts w:eastAsia="Calibri"/>
                <w:szCs w:val="24"/>
                <w:lang w:eastAsia="lt-LT"/>
              </w:rPr>
              <w:t xml:space="preserve"> apygardos teismo 202</w:t>
            </w:r>
            <w:r>
              <w:rPr>
                <w:rFonts w:eastAsia="Calibri"/>
                <w:szCs w:val="24"/>
                <w:lang w:eastAsia="lt-LT"/>
              </w:rPr>
              <w:t>2</w:t>
            </w:r>
            <w:r w:rsidR="00582E5D">
              <w:rPr>
                <w:rFonts w:eastAsia="Calibri"/>
                <w:szCs w:val="24"/>
                <w:lang w:eastAsia="lt-LT"/>
              </w:rPr>
              <w:t>-</w:t>
            </w:r>
            <w:r>
              <w:rPr>
                <w:rFonts w:eastAsia="Calibri"/>
                <w:szCs w:val="24"/>
                <w:lang w:eastAsia="lt-LT"/>
              </w:rPr>
              <w:t>01</w:t>
            </w:r>
            <w:r w:rsidR="00582E5D">
              <w:rPr>
                <w:rFonts w:eastAsia="Calibri"/>
                <w:szCs w:val="24"/>
                <w:lang w:eastAsia="lt-LT"/>
              </w:rPr>
              <w:t>-</w:t>
            </w:r>
            <w:r>
              <w:rPr>
                <w:rFonts w:eastAsia="Calibri"/>
                <w:szCs w:val="24"/>
                <w:lang w:eastAsia="lt-LT"/>
              </w:rPr>
              <w:t>1</w:t>
            </w:r>
            <w:r w:rsidR="00582E5D">
              <w:rPr>
                <w:rFonts w:eastAsia="Calibri"/>
                <w:szCs w:val="24"/>
                <w:lang w:eastAsia="lt-LT"/>
              </w:rPr>
              <w:t xml:space="preserve">8 sprendimas civilinėje byloje </w:t>
            </w:r>
            <w:r w:rsidRPr="006832D1">
              <w:rPr>
                <w:szCs w:val="24"/>
              </w:rPr>
              <w:t>Nr. e2-</w:t>
            </w:r>
            <w:r>
              <w:rPr>
                <w:szCs w:val="24"/>
              </w:rPr>
              <w:t>274</w:t>
            </w:r>
            <w:r w:rsidRPr="006832D1">
              <w:rPr>
                <w:szCs w:val="24"/>
              </w:rPr>
              <w:t>-368/2</w:t>
            </w:r>
            <w:r>
              <w:rPr>
                <w:szCs w:val="24"/>
              </w:rPr>
              <w:t xml:space="preserve">022 </w:t>
            </w:r>
            <w:r w:rsidRPr="006832D1">
              <w:rPr>
                <w:color w:val="000000"/>
                <w:spacing w:val="6"/>
                <w:szCs w:val="24"/>
              </w:rPr>
              <w:t>prašymo dėl laikinųjų apsaugos priemonių taikymo netenkinti.</w:t>
            </w:r>
          </w:p>
          <w:p w14:paraId="44EC2A09" w14:textId="1B85763F" w:rsidR="00231B9E" w:rsidRDefault="00752307" w:rsidP="00BD0617">
            <w:pPr>
              <w:tabs>
                <w:tab w:val="left" w:pos="567"/>
              </w:tabs>
              <w:jc w:val="both"/>
              <w:rPr>
                <w:szCs w:val="24"/>
              </w:rPr>
            </w:pPr>
            <w:r>
              <w:rPr>
                <w:rFonts w:eastAsia="Calibri"/>
                <w:szCs w:val="24"/>
                <w:lang w:eastAsia="lt-LT"/>
              </w:rPr>
              <w:t xml:space="preserve">Lietuvos apeliacinio teismo 2022-02-24 sprendimas civilinėje byloje </w:t>
            </w:r>
            <w:r w:rsidRPr="006832D1">
              <w:rPr>
                <w:szCs w:val="24"/>
              </w:rPr>
              <w:t>Nr. e2-</w:t>
            </w:r>
            <w:r>
              <w:rPr>
                <w:szCs w:val="24"/>
              </w:rPr>
              <w:t>2</w:t>
            </w:r>
            <w:r w:rsidR="005A091B">
              <w:rPr>
                <w:szCs w:val="24"/>
              </w:rPr>
              <w:t>33</w:t>
            </w:r>
            <w:r w:rsidRPr="006832D1">
              <w:rPr>
                <w:szCs w:val="24"/>
              </w:rPr>
              <w:t>-</w:t>
            </w:r>
            <w:r w:rsidR="005A091B">
              <w:rPr>
                <w:szCs w:val="24"/>
              </w:rPr>
              <w:t>790</w:t>
            </w:r>
            <w:r w:rsidRPr="006832D1">
              <w:rPr>
                <w:szCs w:val="24"/>
              </w:rPr>
              <w:t>/2</w:t>
            </w:r>
            <w:r>
              <w:rPr>
                <w:szCs w:val="24"/>
              </w:rPr>
              <w:t xml:space="preserve">022 </w:t>
            </w:r>
            <w:r>
              <w:rPr>
                <w:szCs w:val="24"/>
                <w:lang w:eastAsia="lt-LT"/>
              </w:rPr>
              <w:t xml:space="preserve">panaikinti </w:t>
            </w:r>
            <w:r w:rsidRPr="00710B56">
              <w:rPr>
                <w:szCs w:val="24"/>
                <w:lang w:eastAsia="lt-LT"/>
              </w:rPr>
              <w:t xml:space="preserve">Šiaulių </w:t>
            </w:r>
            <w:r w:rsidRPr="00710B56">
              <w:rPr>
                <w:szCs w:val="24"/>
              </w:rPr>
              <w:t>apygardos teismo 2022 m. sausio 18 d. nutartį ir klausimą išspręsti iš esmės</w:t>
            </w:r>
            <w:r>
              <w:rPr>
                <w:szCs w:val="24"/>
              </w:rPr>
              <w:t>; sustabdyti Pirkimo Nr. 3 sutarties vykdymą.</w:t>
            </w:r>
            <w:r w:rsidRPr="00710B56">
              <w:rPr>
                <w:szCs w:val="24"/>
              </w:rPr>
              <w:t xml:space="preserve"> </w:t>
            </w:r>
          </w:p>
        </w:tc>
      </w:tr>
    </w:tbl>
    <w:p w14:paraId="56F0CB55" w14:textId="77777777" w:rsidR="00231B9E" w:rsidRDefault="00231B9E" w:rsidP="00231B9E">
      <w:pPr>
        <w:ind w:firstLine="720"/>
        <w:jc w:val="both"/>
        <w:rPr>
          <w:sz w:val="20"/>
          <w:lang w:eastAsia="lt-LT"/>
        </w:rPr>
      </w:pPr>
      <w:r>
        <w:rPr>
          <w:sz w:val="20"/>
          <w:lang w:eastAsia="lt-LT"/>
        </w:rPr>
        <w:lastRenderedPageBreak/>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EB565E6" w14:textId="77777777" w:rsidR="00231B9E" w:rsidRDefault="00231B9E" w:rsidP="00231B9E">
      <w:pPr>
        <w:spacing w:before="120"/>
        <w:rPr>
          <w:b/>
          <w:szCs w:val="24"/>
        </w:rPr>
      </w:pPr>
    </w:p>
    <w:p w14:paraId="40132995" w14:textId="77777777" w:rsidR="00231B9E" w:rsidRPr="002A07F4" w:rsidRDefault="00231B9E" w:rsidP="00805952">
      <w:pPr>
        <w:spacing w:before="240" w:after="120"/>
        <w:jc w:val="center"/>
        <w:rPr>
          <w:b/>
          <w:szCs w:val="24"/>
        </w:rPr>
      </w:pPr>
      <w:r w:rsidRPr="002A07F4">
        <w:rPr>
          <w:b/>
          <w:szCs w:val="24"/>
        </w:rPr>
        <w:t>II dalis. Vertinimo apimtyje nustatyti pažeidimai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301"/>
      </w:tblGrid>
      <w:tr w:rsidR="00231B9E" w:rsidRPr="002A07F4" w14:paraId="6089B750" w14:textId="77777777" w:rsidTr="00C36831">
        <w:tc>
          <w:tcPr>
            <w:tcW w:w="1333" w:type="dxa"/>
            <w:tcBorders>
              <w:top w:val="single" w:sz="4" w:space="0" w:color="auto"/>
              <w:left w:val="single" w:sz="4" w:space="0" w:color="auto"/>
              <w:bottom w:val="single" w:sz="4" w:space="0" w:color="auto"/>
              <w:right w:val="single" w:sz="4" w:space="0" w:color="auto"/>
            </w:tcBorders>
          </w:tcPr>
          <w:p w14:paraId="3A2F0AE0" w14:textId="77777777" w:rsidR="00231B9E" w:rsidRPr="004644FF" w:rsidRDefault="00231B9E" w:rsidP="00231B9E">
            <w:pPr>
              <w:pStyle w:val="ListParagraph"/>
              <w:numPr>
                <w:ilvl w:val="0"/>
                <w:numId w:val="9"/>
              </w:numPr>
              <w:jc w:val="center"/>
              <w:rPr>
                <w:szCs w:val="24"/>
              </w:rPr>
            </w:pPr>
          </w:p>
        </w:tc>
        <w:tc>
          <w:tcPr>
            <w:tcW w:w="8301" w:type="dxa"/>
            <w:tcBorders>
              <w:top w:val="single" w:sz="4" w:space="0" w:color="auto"/>
              <w:left w:val="single" w:sz="4" w:space="0" w:color="auto"/>
              <w:bottom w:val="single" w:sz="4" w:space="0" w:color="auto"/>
              <w:right w:val="single" w:sz="4" w:space="0" w:color="auto"/>
            </w:tcBorders>
          </w:tcPr>
          <w:p w14:paraId="39C113BC" w14:textId="635E498E" w:rsidR="00231B9E" w:rsidRDefault="00231B9E" w:rsidP="005A2C56">
            <w:pPr>
              <w:rPr>
                <w:szCs w:val="24"/>
              </w:rPr>
            </w:pPr>
            <w:r>
              <w:rPr>
                <w:szCs w:val="24"/>
              </w:rPr>
              <w:t xml:space="preserve">Įstatymo </w:t>
            </w:r>
            <w:r w:rsidRPr="006721B1">
              <w:rPr>
                <w:szCs w:val="24"/>
              </w:rPr>
              <w:t xml:space="preserve">47 straipsnio </w:t>
            </w:r>
            <w:r>
              <w:rPr>
                <w:szCs w:val="24"/>
              </w:rPr>
              <w:t>7</w:t>
            </w:r>
            <w:r w:rsidRPr="006721B1">
              <w:rPr>
                <w:szCs w:val="24"/>
              </w:rPr>
              <w:t xml:space="preserve"> dal</w:t>
            </w:r>
            <w:r>
              <w:rPr>
                <w:szCs w:val="24"/>
              </w:rPr>
              <w:t>i</w:t>
            </w:r>
            <w:r w:rsidRPr="006721B1">
              <w:rPr>
                <w:szCs w:val="24"/>
              </w:rPr>
              <w:t>s</w:t>
            </w:r>
            <w:r w:rsidRPr="006721B1">
              <w:rPr>
                <w:rStyle w:val="FootnoteReference"/>
                <w:szCs w:val="24"/>
              </w:rPr>
              <w:footnoteReference w:id="14"/>
            </w:r>
            <w:r w:rsidR="00FE1FE9">
              <w:rPr>
                <w:szCs w:val="24"/>
              </w:rPr>
              <w:t>,</w:t>
            </w:r>
          </w:p>
          <w:p w14:paraId="3F1EDD67" w14:textId="224C5321" w:rsidR="00231B9E" w:rsidRDefault="00231B9E" w:rsidP="005A2C56">
            <w:pPr>
              <w:rPr>
                <w:szCs w:val="24"/>
              </w:rPr>
            </w:pPr>
            <w:r>
              <w:rPr>
                <w:szCs w:val="24"/>
              </w:rPr>
              <w:t>Įstatymo 51 straipsnio 7 dalies 2 punktas</w:t>
            </w:r>
            <w:r>
              <w:rPr>
                <w:rStyle w:val="FootnoteReference"/>
                <w:szCs w:val="24"/>
              </w:rPr>
              <w:footnoteReference w:id="15"/>
            </w:r>
            <w:r w:rsidR="00FE1FE9">
              <w:rPr>
                <w:szCs w:val="24"/>
              </w:rPr>
              <w:t>,</w:t>
            </w:r>
          </w:p>
          <w:p w14:paraId="1E20848C" w14:textId="651DE497" w:rsidR="00231B9E" w:rsidRPr="00252884" w:rsidRDefault="00231B9E" w:rsidP="005A2C56">
            <w:pPr>
              <w:rPr>
                <w:szCs w:val="24"/>
                <w:lang w:val="en-US"/>
              </w:rPr>
            </w:pPr>
            <w:r>
              <w:rPr>
                <w:rFonts w:eastAsia="Calibri"/>
                <w:bCs/>
                <w:szCs w:val="24"/>
              </w:rPr>
              <w:t>Kvalifikacijos metodik</w:t>
            </w:r>
            <w:r w:rsidR="00FE1FE9">
              <w:rPr>
                <w:rFonts w:eastAsia="Calibri"/>
                <w:bCs/>
                <w:szCs w:val="24"/>
              </w:rPr>
              <w:t>os</w:t>
            </w:r>
            <w:r>
              <w:rPr>
                <w:rFonts w:eastAsia="Calibri"/>
                <w:bCs/>
                <w:szCs w:val="24"/>
              </w:rPr>
              <w:t xml:space="preserve"> </w:t>
            </w:r>
            <w:r>
              <w:rPr>
                <w:bCs/>
                <w:szCs w:val="24"/>
              </w:rPr>
              <w:t>16.2 papunktis</w:t>
            </w:r>
            <w:r>
              <w:rPr>
                <w:rStyle w:val="FootnoteReference"/>
                <w:bCs/>
                <w:szCs w:val="24"/>
              </w:rPr>
              <w:footnoteReference w:id="16"/>
            </w:r>
            <w:r w:rsidR="00FE1FE9">
              <w:rPr>
                <w:bCs/>
                <w:szCs w:val="24"/>
              </w:rPr>
              <w:t>.</w:t>
            </w:r>
          </w:p>
        </w:tc>
      </w:tr>
      <w:tr w:rsidR="00785E09" w:rsidRPr="002A07F4" w14:paraId="3F723926" w14:textId="77777777" w:rsidTr="00E00BA8">
        <w:tc>
          <w:tcPr>
            <w:tcW w:w="9634" w:type="dxa"/>
            <w:gridSpan w:val="2"/>
            <w:tcBorders>
              <w:top w:val="single" w:sz="4" w:space="0" w:color="auto"/>
              <w:left w:val="single" w:sz="4" w:space="0" w:color="auto"/>
              <w:bottom w:val="single" w:sz="4" w:space="0" w:color="auto"/>
              <w:right w:val="single" w:sz="4" w:space="0" w:color="auto"/>
            </w:tcBorders>
          </w:tcPr>
          <w:p w14:paraId="4375B5AD" w14:textId="3F28C189" w:rsidR="00785E09" w:rsidRPr="008C3E17" w:rsidRDefault="00785E09" w:rsidP="00785E09">
            <w:pPr>
              <w:ind w:firstLine="883"/>
              <w:jc w:val="both"/>
              <w:rPr>
                <w:szCs w:val="24"/>
              </w:rPr>
            </w:pPr>
            <w:r w:rsidRPr="008C3E17">
              <w:rPr>
                <w:szCs w:val="24"/>
              </w:rPr>
              <w:t xml:space="preserve">Pirkimą </w:t>
            </w:r>
            <w:r w:rsidR="006623B3">
              <w:rPr>
                <w:szCs w:val="24"/>
              </w:rPr>
              <w:t xml:space="preserve">Nr. 3 </w:t>
            </w:r>
            <w:r w:rsidRPr="008C3E17">
              <w:rPr>
                <w:szCs w:val="24"/>
              </w:rPr>
              <w:t xml:space="preserve">vykdė Perkančiosios organizacijos </w:t>
            </w:r>
            <w:r>
              <w:rPr>
                <w:szCs w:val="24"/>
              </w:rPr>
              <w:t>2020</w:t>
            </w:r>
            <w:r w:rsidRPr="008C3E17">
              <w:rPr>
                <w:szCs w:val="24"/>
              </w:rPr>
              <w:t xml:space="preserve"> m. </w:t>
            </w:r>
            <w:r>
              <w:rPr>
                <w:szCs w:val="24"/>
              </w:rPr>
              <w:t>birželio 4</w:t>
            </w:r>
            <w:r w:rsidRPr="008C3E17">
              <w:rPr>
                <w:szCs w:val="24"/>
              </w:rPr>
              <w:t xml:space="preserve"> d. </w:t>
            </w:r>
            <w:r>
              <w:rPr>
                <w:szCs w:val="24"/>
              </w:rPr>
              <w:t>direktorės</w:t>
            </w:r>
            <w:r w:rsidRPr="008C3E17">
              <w:rPr>
                <w:szCs w:val="24"/>
              </w:rPr>
              <w:t xml:space="preserve"> įsakymu Nr. </w:t>
            </w:r>
            <w:r>
              <w:rPr>
                <w:szCs w:val="24"/>
              </w:rPr>
              <w:t>PV-67</w:t>
            </w:r>
            <w:r>
              <w:rPr>
                <w:rStyle w:val="FootnoteReference"/>
                <w:szCs w:val="24"/>
              </w:rPr>
              <w:footnoteReference w:id="17"/>
            </w:r>
            <w:r w:rsidRPr="008C3E17">
              <w:rPr>
                <w:szCs w:val="24"/>
              </w:rPr>
              <w:t xml:space="preserve"> sudaryta Pirkimo komisija (toliau – Komisija).</w:t>
            </w:r>
          </w:p>
          <w:p w14:paraId="15C77794" w14:textId="593D3926" w:rsidR="00785E09" w:rsidRPr="005B5EA8" w:rsidRDefault="00785E09" w:rsidP="00785E09">
            <w:pPr>
              <w:pStyle w:val="ListParagraph"/>
              <w:tabs>
                <w:tab w:val="left" w:pos="0"/>
                <w:tab w:val="left" w:pos="993"/>
                <w:tab w:val="left" w:pos="1276"/>
              </w:tabs>
              <w:spacing w:before="120" w:after="120"/>
              <w:ind w:left="0" w:firstLine="879"/>
              <w:jc w:val="both"/>
              <w:rPr>
                <w:szCs w:val="24"/>
              </w:rPr>
            </w:pPr>
            <w:r w:rsidRPr="005B5EA8">
              <w:rPr>
                <w:szCs w:val="24"/>
              </w:rPr>
              <w:t>Pirkimo</w:t>
            </w:r>
            <w:r w:rsidR="006623B3">
              <w:rPr>
                <w:szCs w:val="24"/>
              </w:rPr>
              <w:t xml:space="preserve"> Nr. 3</w:t>
            </w:r>
            <w:r w:rsidRPr="005B5EA8">
              <w:rPr>
                <w:szCs w:val="24"/>
              </w:rPr>
              <w:t xml:space="preserve"> dokumentai patvirtinti</w:t>
            </w:r>
            <w:r w:rsidRPr="0030770C">
              <w:rPr>
                <w:szCs w:val="24"/>
              </w:rPr>
              <w:t xml:space="preserve"> 2021 m. </w:t>
            </w:r>
            <w:r>
              <w:rPr>
                <w:szCs w:val="24"/>
              </w:rPr>
              <w:t>gruodžio 6</w:t>
            </w:r>
            <w:r w:rsidRPr="005B5EA8">
              <w:rPr>
                <w:szCs w:val="24"/>
              </w:rPr>
              <w:t xml:space="preserve"> d. Komisijos protokolu </w:t>
            </w:r>
            <w:r>
              <w:rPr>
                <w:szCs w:val="24"/>
              </w:rPr>
              <w:t>Nr. 3.</w:t>
            </w:r>
          </w:p>
          <w:p w14:paraId="2043386B" w14:textId="77777777" w:rsidR="00785E09" w:rsidRDefault="00785E09" w:rsidP="00785E09">
            <w:pPr>
              <w:widowControl w:val="0"/>
              <w:ind w:firstLine="881"/>
              <w:jc w:val="both"/>
              <w:rPr>
                <w:szCs w:val="24"/>
              </w:rPr>
            </w:pPr>
            <w:r w:rsidRPr="004644FF">
              <w:rPr>
                <w:szCs w:val="24"/>
              </w:rPr>
              <w:t>Perkančioji organizacija</w:t>
            </w:r>
            <w:r>
              <w:rPr>
                <w:szCs w:val="24"/>
              </w:rPr>
              <w:t xml:space="preserve"> Pirkimo Nr. 3 dokumentų priedo Nr. 3 „Tiekėjų kvalifikacijos reikalavimai“ lentelėje (eil. Nr. 2) nustatė kvalifikacijos reikalavimą </w:t>
            </w:r>
            <w:r w:rsidRPr="004644FF">
              <w:rPr>
                <w:i/>
                <w:iCs/>
                <w:szCs w:val="24"/>
              </w:rPr>
              <w:t>tiekėjui būti įvykdžius ar vykdyti bent vieną ar daugiau sutartį (-</w:t>
            </w:r>
            <w:proofErr w:type="spellStart"/>
            <w:r w:rsidRPr="004644FF">
              <w:rPr>
                <w:i/>
                <w:iCs/>
                <w:szCs w:val="24"/>
              </w:rPr>
              <w:t>ių</w:t>
            </w:r>
            <w:proofErr w:type="spellEnd"/>
            <w:r w:rsidRPr="004644FF">
              <w:rPr>
                <w:i/>
                <w:iCs/>
                <w:szCs w:val="24"/>
              </w:rPr>
              <w:t>), kurios (-</w:t>
            </w:r>
            <w:proofErr w:type="spellStart"/>
            <w:r w:rsidRPr="004644FF">
              <w:rPr>
                <w:i/>
                <w:iCs/>
                <w:szCs w:val="24"/>
              </w:rPr>
              <w:t>ių</w:t>
            </w:r>
            <w:proofErr w:type="spellEnd"/>
            <w:r w:rsidRPr="004644FF">
              <w:rPr>
                <w:i/>
                <w:iCs/>
                <w:szCs w:val="24"/>
              </w:rPr>
              <w:t>) vertė ne mažesnė kaip 70.000,00 Eur be PVM</w:t>
            </w:r>
            <w:r>
              <w:rPr>
                <w:i/>
                <w:iCs/>
                <w:szCs w:val="24"/>
              </w:rPr>
              <w:t xml:space="preserve"> </w:t>
            </w:r>
            <w:r w:rsidRPr="004644FF">
              <w:rPr>
                <w:szCs w:val="24"/>
              </w:rPr>
              <w:t xml:space="preserve">(toliau – Reikalavimas Nr. </w:t>
            </w:r>
            <w:r>
              <w:rPr>
                <w:szCs w:val="24"/>
              </w:rPr>
              <w:t>3</w:t>
            </w:r>
            <w:r w:rsidRPr="004644FF">
              <w:rPr>
                <w:szCs w:val="24"/>
              </w:rPr>
              <w:t>).</w:t>
            </w:r>
          </w:p>
          <w:p w14:paraId="4DD81791" w14:textId="77777777" w:rsidR="00785E09" w:rsidRDefault="00785E09" w:rsidP="00785E09">
            <w:pPr>
              <w:tabs>
                <w:tab w:val="left" w:pos="22"/>
                <w:tab w:val="left" w:pos="1156"/>
              </w:tabs>
              <w:ind w:firstLine="873"/>
              <w:jc w:val="both"/>
              <w:rPr>
                <w:rFonts w:eastAsia="Arial Unicode MS"/>
                <w:szCs w:val="24"/>
                <w:bdr w:val="nil"/>
                <w:lang w:eastAsia="lt-LT"/>
              </w:rPr>
            </w:pPr>
            <w:r w:rsidRPr="00CA702B">
              <w:rPr>
                <w:rFonts w:eastAsia="Arial Unicode MS"/>
                <w:szCs w:val="24"/>
                <w:bdr w:val="nil"/>
                <w:lang w:eastAsia="lt-LT"/>
              </w:rPr>
              <w:t xml:space="preserve">Perkančioji organizacija siekia įsigyti </w:t>
            </w:r>
            <w:r w:rsidRPr="00B658DA">
              <w:rPr>
                <w:rFonts w:eastAsia="Calibri"/>
                <w:color w:val="000000" w:themeColor="text1"/>
                <w:szCs w:val="24"/>
              </w:rPr>
              <w:t>globos skyriaus gyventojų ir palaikomojo gydymo</w:t>
            </w:r>
            <w:r w:rsidRPr="00B658DA">
              <w:rPr>
                <w:color w:val="000000" w:themeColor="text1"/>
                <w:szCs w:val="24"/>
              </w:rPr>
              <w:t xml:space="preserve"> </w:t>
            </w:r>
            <w:r w:rsidRPr="00B658DA">
              <w:rPr>
                <w:rFonts w:eastAsia="Calibri"/>
                <w:color w:val="000000" w:themeColor="text1"/>
                <w:szCs w:val="24"/>
              </w:rPr>
              <w:t xml:space="preserve">ir slaugos skyriaus pacientų (dietinio) maitinimo </w:t>
            </w:r>
            <w:r w:rsidRPr="00CA702B">
              <w:rPr>
                <w:rFonts w:eastAsia="Arial Unicode MS"/>
                <w:szCs w:val="24"/>
                <w:bdr w:val="nil"/>
                <w:lang w:eastAsia="lt-LT"/>
              </w:rPr>
              <w:t xml:space="preserve">paslaugas, kurių teikimo terminas – </w:t>
            </w:r>
            <w:r>
              <w:rPr>
                <w:rFonts w:eastAsia="Arial Unicode MS"/>
                <w:szCs w:val="24"/>
                <w:bdr w:val="nil"/>
                <w:lang w:eastAsia="lt-LT"/>
              </w:rPr>
              <w:t>24</w:t>
            </w:r>
            <w:r w:rsidRPr="00CA702B">
              <w:rPr>
                <w:rFonts w:eastAsia="Arial Unicode MS"/>
                <w:szCs w:val="24"/>
                <w:bdr w:val="nil"/>
                <w:lang w:eastAsia="lt-LT"/>
              </w:rPr>
              <w:t xml:space="preserve"> mėn. su galimybe pratęsti </w:t>
            </w:r>
            <w:r>
              <w:rPr>
                <w:rFonts w:eastAsia="Arial Unicode MS"/>
                <w:szCs w:val="24"/>
                <w:bdr w:val="nil"/>
                <w:lang w:eastAsia="lt-LT"/>
              </w:rPr>
              <w:t>1</w:t>
            </w:r>
            <w:r w:rsidRPr="00CA702B">
              <w:rPr>
                <w:rFonts w:eastAsia="Arial Unicode MS"/>
                <w:szCs w:val="24"/>
                <w:bdr w:val="nil"/>
                <w:lang w:eastAsia="lt-LT"/>
              </w:rPr>
              <w:t xml:space="preserve"> kart</w:t>
            </w:r>
            <w:r>
              <w:rPr>
                <w:rFonts w:eastAsia="Arial Unicode MS"/>
                <w:szCs w:val="24"/>
                <w:bdr w:val="nil"/>
                <w:lang w:eastAsia="lt-LT"/>
              </w:rPr>
              <w:t xml:space="preserve">ą </w:t>
            </w:r>
            <w:r w:rsidRPr="00CA702B">
              <w:rPr>
                <w:rFonts w:eastAsia="Arial Unicode MS"/>
                <w:szCs w:val="24"/>
                <w:bdr w:val="nil"/>
                <w:lang w:eastAsia="lt-LT"/>
              </w:rPr>
              <w:t>12 mėn</w:t>
            </w:r>
            <w:r w:rsidRPr="00E86FE0">
              <w:rPr>
                <w:rFonts w:eastAsia="Arial Unicode MS"/>
                <w:szCs w:val="24"/>
                <w:bdr w:val="nil"/>
                <w:lang w:eastAsia="lt-LT"/>
              </w:rPr>
              <w:t xml:space="preserve">. </w:t>
            </w:r>
            <w:r>
              <w:rPr>
                <w:rFonts w:eastAsia="Arial Unicode MS"/>
                <w:szCs w:val="24"/>
                <w:bdr w:val="nil"/>
                <w:lang w:eastAsia="lt-LT"/>
              </w:rPr>
              <w:t>Pagal Pirkimo Nr. 3 dokumentų reikalavimus, nustatyta</w:t>
            </w:r>
            <w:r w:rsidRPr="00E86FE0">
              <w:rPr>
                <w:rFonts w:eastAsia="Arial Unicode MS"/>
                <w:szCs w:val="24"/>
                <w:bdr w:val="nil"/>
                <w:lang w:eastAsia="lt-LT"/>
              </w:rPr>
              <w:t>, kad Pirkimu</w:t>
            </w:r>
            <w:r>
              <w:rPr>
                <w:rFonts w:eastAsia="Arial Unicode MS"/>
                <w:szCs w:val="24"/>
                <w:bdr w:val="nil"/>
                <w:lang w:eastAsia="lt-LT"/>
              </w:rPr>
              <w:t xml:space="preserve"> Nr. 3</w:t>
            </w:r>
            <w:r w:rsidRPr="00E86FE0">
              <w:rPr>
                <w:rFonts w:eastAsia="Arial Unicode MS"/>
                <w:szCs w:val="24"/>
                <w:bdr w:val="nil"/>
                <w:lang w:eastAsia="lt-LT"/>
              </w:rPr>
              <w:t xml:space="preserve"> siekiama sudaryti tęstinio pobūdžio paslaugų teikimo sutartį, kurios objektas yra sudėtinis ir dalus</w:t>
            </w:r>
            <w:r>
              <w:rPr>
                <w:rFonts w:eastAsia="Arial Unicode MS"/>
                <w:szCs w:val="24"/>
                <w:bdr w:val="nil"/>
                <w:lang w:eastAsia="lt-LT"/>
              </w:rPr>
              <w:t xml:space="preserve">. </w:t>
            </w:r>
          </w:p>
          <w:p w14:paraId="760D0671" w14:textId="77777777" w:rsidR="00785E09" w:rsidRDefault="00785E09" w:rsidP="00785E09">
            <w:pPr>
              <w:tabs>
                <w:tab w:val="left" w:pos="22"/>
                <w:tab w:val="left" w:pos="1156"/>
              </w:tabs>
              <w:ind w:firstLine="873"/>
              <w:jc w:val="both"/>
              <w:rPr>
                <w:rFonts w:eastAsia="Arial Unicode MS"/>
                <w:szCs w:val="24"/>
                <w:bdr w:val="nil"/>
                <w:lang w:eastAsia="lt-LT"/>
              </w:rPr>
            </w:pPr>
            <w:r w:rsidRPr="00E86FE0">
              <w:rPr>
                <w:rFonts w:eastAsia="Arial Unicode MS"/>
                <w:szCs w:val="24"/>
                <w:bdr w:val="nil"/>
                <w:lang w:eastAsia="lt-LT"/>
              </w:rPr>
              <w:t xml:space="preserve">Perkančioji organizacija, vadovaudamasi Kvalifikacijos metodikos </w:t>
            </w:r>
            <w:r>
              <w:rPr>
                <w:rFonts w:eastAsia="Arial Unicode MS"/>
                <w:szCs w:val="24"/>
                <w:bdr w:val="nil"/>
                <w:lang w:eastAsia="lt-LT"/>
              </w:rPr>
              <w:t>16.2</w:t>
            </w:r>
            <w:r w:rsidRPr="00E86FE0">
              <w:rPr>
                <w:rFonts w:eastAsia="Arial Unicode MS"/>
                <w:szCs w:val="24"/>
                <w:bdr w:val="nil"/>
                <w:lang w:eastAsia="lt-LT"/>
              </w:rPr>
              <w:t xml:space="preserve"> papunkčio nuostatomis, turėjo nustatyti kvalifikacinį reikalavimą</w:t>
            </w:r>
            <w:r>
              <w:rPr>
                <w:rFonts w:eastAsia="Arial Unicode MS"/>
                <w:szCs w:val="24"/>
                <w:bdr w:val="nil"/>
                <w:lang w:eastAsia="lt-LT"/>
              </w:rPr>
              <w:t>, kad „</w:t>
            </w:r>
            <w:r w:rsidRPr="00E959B4">
              <w:rPr>
                <w:rFonts w:eastAsia="Arial Unicode MS"/>
                <w:i/>
                <w:iCs/>
                <w:szCs w:val="24"/>
                <w:bdr w:val="nil"/>
                <w:lang w:eastAsia="lt-LT"/>
              </w:rPr>
              <w:t xml:space="preserve">tiekėjas per paskutinius 3 metus iki pasiūlymo pateikimo termino pabaigos pagal vieną arba daugiau sutarčių (projektų) yra savo jėgomis </w:t>
            </w:r>
            <w:r w:rsidRPr="008569BC">
              <w:rPr>
                <w:rFonts w:eastAsia="Arial Unicode MS"/>
                <w:i/>
                <w:iCs/>
                <w:szCs w:val="24"/>
                <w:bdr w:val="nil"/>
                <w:lang w:eastAsia="lt-LT"/>
              </w:rPr>
              <w:t xml:space="preserve">suteikęs </w:t>
            </w:r>
            <w:r w:rsidRPr="00E959B4">
              <w:rPr>
                <w:rFonts w:eastAsia="Arial Unicode MS"/>
                <w:i/>
                <w:iCs/>
                <w:szCs w:val="24"/>
                <w:bdr w:val="nil"/>
                <w:lang w:eastAsia="lt-LT"/>
              </w:rPr>
              <w:t>(nurodomos panašios paslaugos (jų apimtis ar vertė ar kt.)</w:t>
            </w:r>
            <w:r>
              <w:rPr>
                <w:rFonts w:eastAsia="Arial Unicode MS"/>
                <w:szCs w:val="24"/>
                <w:bdr w:val="nil"/>
                <w:lang w:eastAsia="lt-LT"/>
              </w:rPr>
              <w:t>“.</w:t>
            </w:r>
          </w:p>
          <w:p w14:paraId="6CBD050D" w14:textId="7B9757F8" w:rsidR="00785E09" w:rsidRPr="005E489E" w:rsidRDefault="00785E09" w:rsidP="006623B3">
            <w:pPr>
              <w:tabs>
                <w:tab w:val="left" w:pos="22"/>
                <w:tab w:val="left" w:pos="1156"/>
              </w:tabs>
              <w:ind w:firstLine="873"/>
              <w:jc w:val="both"/>
              <w:rPr>
                <w:rFonts w:eastAsia="Arial Unicode MS"/>
                <w:szCs w:val="24"/>
                <w:bdr w:val="nil"/>
                <w:lang w:eastAsia="lt-LT"/>
              </w:rPr>
            </w:pPr>
            <w:r>
              <w:rPr>
                <w:rFonts w:eastAsia="Arial Unicode MS"/>
                <w:szCs w:val="24"/>
                <w:bdr w:val="nil"/>
                <w:lang w:eastAsia="lt-LT"/>
              </w:rPr>
              <w:t xml:space="preserve">Atkreiptinas dėmesys, kad tiek pagal Įstatymo 51 straipsnio 7 dalies 2 punktą, tiek pagal Kvalifikacijos metodikos 16 punktą reikalaujama </w:t>
            </w:r>
            <w:r w:rsidRPr="008569BC">
              <w:rPr>
                <w:rFonts w:eastAsia="Arial Unicode MS"/>
                <w:szCs w:val="24"/>
                <w:bdr w:val="nil"/>
                <w:lang w:eastAsia="lt-LT"/>
              </w:rPr>
              <w:t>suteiktų paslaugų (kartu su užsakovų pažymomis), o ne sutarčių sąrašo</w:t>
            </w:r>
            <w:r w:rsidRPr="008569BC">
              <w:rPr>
                <w:bdr w:val="nil"/>
                <w:lang w:eastAsia="lt-LT"/>
              </w:rPr>
              <w:t xml:space="preserve">. </w:t>
            </w:r>
            <w:r w:rsidRPr="005E489E">
              <w:rPr>
                <w:spacing w:val="2"/>
                <w:shd w:val="clear" w:color="auto" w:fill="FFFFFF"/>
              </w:rPr>
              <w:t>Tai reiškia, kad yra svarbu ne vykdoma/įvykdyta sutartis (t. y., ne dokumento forma), o pagal sutartį (-</w:t>
            </w:r>
            <w:proofErr w:type="spellStart"/>
            <w:r w:rsidRPr="005E489E">
              <w:rPr>
                <w:spacing w:val="2"/>
                <w:shd w:val="clear" w:color="auto" w:fill="FFFFFF"/>
              </w:rPr>
              <w:t>is</w:t>
            </w:r>
            <w:proofErr w:type="spellEnd"/>
            <w:r w:rsidRPr="005E489E">
              <w:rPr>
                <w:spacing w:val="2"/>
                <w:shd w:val="clear" w:color="auto" w:fill="FFFFFF"/>
              </w:rPr>
              <w:t>) suteiktos paslaugos.</w:t>
            </w:r>
          </w:p>
          <w:p w14:paraId="24AA9711" w14:textId="2A77A20F" w:rsidR="00785E09" w:rsidRDefault="00785E09" w:rsidP="00FE1FE9">
            <w:pPr>
              <w:ind w:firstLine="738"/>
              <w:jc w:val="both"/>
              <w:rPr>
                <w:szCs w:val="24"/>
              </w:rPr>
            </w:pPr>
            <w:r>
              <w:rPr>
                <w:szCs w:val="24"/>
              </w:rPr>
              <w:t xml:space="preserve">Atsižvelgusi į išdėstytą, Tarnyba konstatuoja, kad Perkančioji organizacija, nustatydama Reikalavimą Nr. 3, </w:t>
            </w:r>
            <w:r w:rsidRPr="00357F62">
              <w:t>pažeid</w:t>
            </w:r>
            <w:r>
              <w:t>ė</w:t>
            </w:r>
            <w:r w:rsidRPr="00357F62">
              <w:t xml:space="preserve"> </w:t>
            </w:r>
            <w:r w:rsidRPr="00357F62">
              <w:rPr>
                <w:rStyle w:val="Strong"/>
                <w:b w:val="0"/>
                <w:bCs w:val="0"/>
                <w:spacing w:val="2"/>
                <w:szCs w:val="24"/>
                <w:shd w:val="clear" w:color="auto" w:fill="FFFFFF"/>
              </w:rPr>
              <w:t xml:space="preserve">Įstatymo </w:t>
            </w:r>
            <w:r w:rsidRPr="00357F62">
              <w:rPr>
                <w:szCs w:val="24"/>
              </w:rPr>
              <w:t>47 straipsnio 7 dalį,</w:t>
            </w:r>
            <w:r w:rsidRPr="00357F62">
              <w:rPr>
                <w:rStyle w:val="Strong"/>
                <w:b w:val="0"/>
                <w:bCs w:val="0"/>
                <w:spacing w:val="2"/>
                <w:szCs w:val="24"/>
                <w:shd w:val="clear" w:color="auto" w:fill="FFFFFF"/>
              </w:rPr>
              <w:t xml:space="preserve"> 51 straipsnio 7 dalies 2 punktą ir </w:t>
            </w:r>
            <w:r w:rsidRPr="00357F62">
              <w:rPr>
                <w:szCs w:val="24"/>
              </w:rPr>
              <w:t xml:space="preserve">Kvalifikacijos </w:t>
            </w:r>
            <w:r w:rsidRPr="00357F62">
              <w:rPr>
                <w:rStyle w:val="Strong"/>
                <w:b w:val="0"/>
                <w:bCs w:val="0"/>
                <w:spacing w:val="2"/>
                <w:szCs w:val="24"/>
                <w:shd w:val="clear" w:color="auto" w:fill="FFFFFF"/>
              </w:rPr>
              <w:t>metodikos 1</w:t>
            </w:r>
            <w:r w:rsidRPr="00357F62">
              <w:rPr>
                <w:rStyle w:val="Strong"/>
                <w:b w:val="0"/>
                <w:bCs w:val="0"/>
                <w:szCs w:val="24"/>
              </w:rPr>
              <w:t>6.2</w:t>
            </w:r>
            <w:r w:rsidRPr="00357F62">
              <w:rPr>
                <w:rStyle w:val="Strong"/>
                <w:b w:val="0"/>
                <w:bCs w:val="0"/>
                <w:spacing w:val="2"/>
                <w:szCs w:val="24"/>
                <w:shd w:val="clear" w:color="auto" w:fill="FFFFFF"/>
              </w:rPr>
              <w:t xml:space="preserve"> papunktį.</w:t>
            </w:r>
          </w:p>
        </w:tc>
      </w:tr>
      <w:tr w:rsidR="00785E09" w:rsidRPr="002A07F4" w14:paraId="70073557" w14:textId="77777777" w:rsidTr="00C36831">
        <w:tc>
          <w:tcPr>
            <w:tcW w:w="1333" w:type="dxa"/>
            <w:tcBorders>
              <w:top w:val="single" w:sz="4" w:space="0" w:color="auto"/>
              <w:left w:val="single" w:sz="4" w:space="0" w:color="auto"/>
              <w:bottom w:val="single" w:sz="4" w:space="0" w:color="auto"/>
              <w:right w:val="single" w:sz="4" w:space="0" w:color="auto"/>
            </w:tcBorders>
          </w:tcPr>
          <w:p w14:paraId="37A8AA9E" w14:textId="77777777" w:rsidR="00785E09" w:rsidRPr="004644FF" w:rsidRDefault="00785E09" w:rsidP="00231B9E">
            <w:pPr>
              <w:pStyle w:val="ListParagraph"/>
              <w:numPr>
                <w:ilvl w:val="0"/>
                <w:numId w:val="9"/>
              </w:numPr>
              <w:jc w:val="center"/>
              <w:rPr>
                <w:szCs w:val="24"/>
              </w:rPr>
            </w:pPr>
          </w:p>
        </w:tc>
        <w:tc>
          <w:tcPr>
            <w:tcW w:w="8301" w:type="dxa"/>
            <w:tcBorders>
              <w:top w:val="single" w:sz="4" w:space="0" w:color="auto"/>
              <w:left w:val="single" w:sz="4" w:space="0" w:color="auto"/>
              <w:bottom w:val="single" w:sz="4" w:space="0" w:color="auto"/>
              <w:right w:val="single" w:sz="4" w:space="0" w:color="auto"/>
            </w:tcBorders>
          </w:tcPr>
          <w:p w14:paraId="5CA639E0" w14:textId="4F5D0BBD" w:rsidR="00785E09" w:rsidRPr="000D36FE" w:rsidRDefault="00785E09" w:rsidP="005A2C56">
            <w:pPr>
              <w:rPr>
                <w:szCs w:val="24"/>
                <w:lang w:val="en-US"/>
              </w:rPr>
            </w:pPr>
            <w:r w:rsidRPr="00C85DC3">
              <w:rPr>
                <w:szCs w:val="24"/>
              </w:rPr>
              <w:t xml:space="preserve">Įstatymo </w:t>
            </w:r>
            <w:r w:rsidR="000D36FE">
              <w:rPr>
                <w:szCs w:val="24"/>
              </w:rPr>
              <w:t>17 straipsnio 1</w:t>
            </w:r>
            <w:r w:rsidR="004E57CC">
              <w:rPr>
                <w:szCs w:val="24"/>
              </w:rPr>
              <w:t xml:space="preserve"> </w:t>
            </w:r>
            <w:r w:rsidR="000D36FE">
              <w:rPr>
                <w:szCs w:val="24"/>
              </w:rPr>
              <w:t>dalis</w:t>
            </w:r>
            <w:r w:rsidR="000D36FE">
              <w:rPr>
                <w:rStyle w:val="FootnoteReference"/>
                <w:szCs w:val="24"/>
              </w:rPr>
              <w:footnoteReference w:id="18"/>
            </w:r>
            <w:r w:rsidR="000D36FE">
              <w:rPr>
                <w:szCs w:val="24"/>
              </w:rPr>
              <w:t>,</w:t>
            </w:r>
            <w:r w:rsidR="000D36FE">
              <w:rPr>
                <w:szCs w:val="24"/>
                <w:lang w:val="en-US"/>
              </w:rPr>
              <w:t xml:space="preserve"> </w:t>
            </w:r>
            <w:r w:rsidRPr="00C85DC3">
              <w:rPr>
                <w:szCs w:val="24"/>
              </w:rPr>
              <w:t>45 straipsnio 1 dalies 1 punktas</w:t>
            </w:r>
            <w:r w:rsidRPr="00C85DC3">
              <w:rPr>
                <w:rStyle w:val="FootnoteReference"/>
                <w:szCs w:val="24"/>
              </w:rPr>
              <w:footnoteReference w:id="19"/>
            </w:r>
            <w:r w:rsidRPr="00C85DC3">
              <w:rPr>
                <w:szCs w:val="24"/>
              </w:rPr>
              <w:t>, 55 straipsnio 9 dalis</w:t>
            </w:r>
            <w:r w:rsidRPr="00C85DC3">
              <w:rPr>
                <w:rStyle w:val="FootnoteReference"/>
                <w:szCs w:val="24"/>
              </w:rPr>
              <w:footnoteReference w:id="20"/>
            </w:r>
            <w:r w:rsidR="000D36FE">
              <w:rPr>
                <w:szCs w:val="24"/>
              </w:rPr>
              <w:t>.</w:t>
            </w:r>
          </w:p>
        </w:tc>
      </w:tr>
      <w:tr w:rsidR="00231B9E" w:rsidRPr="002A07F4" w14:paraId="4513C3E7" w14:textId="77777777" w:rsidTr="00C36831">
        <w:tc>
          <w:tcPr>
            <w:tcW w:w="9634" w:type="dxa"/>
            <w:gridSpan w:val="2"/>
            <w:tcBorders>
              <w:top w:val="single" w:sz="4" w:space="0" w:color="auto"/>
              <w:left w:val="single" w:sz="4" w:space="0" w:color="auto"/>
              <w:bottom w:val="single" w:sz="4" w:space="0" w:color="auto"/>
              <w:right w:val="single" w:sz="4" w:space="0" w:color="auto"/>
            </w:tcBorders>
          </w:tcPr>
          <w:p w14:paraId="487E3C30" w14:textId="389DB07C" w:rsidR="00231B9E" w:rsidRDefault="00C85DC3" w:rsidP="005A2C56">
            <w:pPr>
              <w:shd w:val="clear" w:color="auto" w:fill="FFFFFF"/>
              <w:ind w:firstLine="883"/>
              <w:jc w:val="both"/>
              <w:rPr>
                <w:rFonts w:eastAsia="Calibri"/>
                <w:color w:val="000000" w:themeColor="text1"/>
              </w:rPr>
            </w:pPr>
            <w:r>
              <w:rPr>
                <w:spacing w:val="2"/>
                <w:szCs w:val="24"/>
                <w:shd w:val="clear" w:color="auto" w:fill="FFFFFF"/>
              </w:rPr>
              <w:t xml:space="preserve">Perkančioji organizacija, Pirkimo </w:t>
            </w:r>
            <w:r w:rsidR="006623B3">
              <w:rPr>
                <w:spacing w:val="2"/>
                <w:szCs w:val="24"/>
                <w:shd w:val="clear" w:color="auto" w:fill="FFFFFF"/>
              </w:rPr>
              <w:t xml:space="preserve">Nr. 3 </w:t>
            </w:r>
            <w:r>
              <w:rPr>
                <w:spacing w:val="2"/>
                <w:szCs w:val="24"/>
                <w:shd w:val="clear" w:color="auto" w:fill="FFFFFF"/>
              </w:rPr>
              <w:t>dokumentų</w:t>
            </w:r>
            <w:r w:rsidRPr="00B658DA">
              <w:rPr>
                <w:rFonts w:eastAsia="Calibri"/>
                <w:color w:val="000000" w:themeColor="text1"/>
                <w:szCs w:val="24"/>
              </w:rPr>
              <w:t xml:space="preserve"> </w:t>
            </w:r>
            <w:r w:rsidR="006623B3" w:rsidRPr="00B658DA">
              <w:rPr>
                <w:color w:val="000000" w:themeColor="text1"/>
              </w:rPr>
              <w:t>6 pried</w:t>
            </w:r>
            <w:r w:rsidR="006623B3">
              <w:rPr>
                <w:color w:val="000000" w:themeColor="text1"/>
              </w:rPr>
              <w:t>o</w:t>
            </w:r>
            <w:r w:rsidR="006623B3" w:rsidRPr="00B658DA">
              <w:rPr>
                <w:color w:val="000000" w:themeColor="text1"/>
              </w:rPr>
              <w:t xml:space="preserve"> „Sutarties sąlygos“ </w:t>
            </w:r>
            <w:r w:rsidR="006623B3">
              <w:rPr>
                <w:color w:val="000000" w:themeColor="text1"/>
              </w:rPr>
              <w:t xml:space="preserve">4.1 papunktyje nustatė sąlygą, </w:t>
            </w:r>
            <w:r w:rsidR="006623B3">
              <w:rPr>
                <w:rFonts w:eastAsia="Calibri"/>
                <w:color w:val="000000" w:themeColor="text1"/>
                <w:szCs w:val="24"/>
              </w:rPr>
              <w:t xml:space="preserve">jog Pirkimo Nr. 3 sutarčiai taikomas </w:t>
            </w:r>
            <w:r w:rsidR="006623B3" w:rsidRPr="00B658DA">
              <w:rPr>
                <w:rFonts w:eastAsia="SimSun"/>
                <w:color w:val="000000" w:themeColor="text1"/>
                <w:kern w:val="1"/>
                <w:lang w:eastAsia="hi-IN" w:bidi="hi-IN"/>
              </w:rPr>
              <w:t>kainos apskaičiavimo būdas – fiksuotas įkainis</w:t>
            </w:r>
            <w:r w:rsidR="006623B3">
              <w:rPr>
                <w:rStyle w:val="FootnoteReference"/>
                <w:rFonts w:eastAsia="SimSun"/>
                <w:color w:val="000000" w:themeColor="text1"/>
                <w:kern w:val="1"/>
                <w:lang w:eastAsia="hi-IN" w:bidi="hi-IN"/>
              </w:rPr>
              <w:footnoteReference w:id="21"/>
            </w:r>
            <w:r w:rsidR="006623B3">
              <w:rPr>
                <w:rFonts w:eastAsia="SimSun"/>
                <w:color w:val="000000" w:themeColor="text1"/>
                <w:kern w:val="1"/>
                <w:lang w:eastAsia="hi-IN" w:bidi="hi-IN"/>
              </w:rPr>
              <w:t>,</w:t>
            </w:r>
            <w:r>
              <w:rPr>
                <w:rFonts w:eastAsia="Calibri"/>
                <w:color w:val="000000" w:themeColor="text1"/>
                <w:szCs w:val="24"/>
              </w:rPr>
              <w:t xml:space="preserve"> </w:t>
            </w:r>
            <w:r w:rsidR="006623B3">
              <w:rPr>
                <w:color w:val="000000" w:themeColor="text1"/>
              </w:rPr>
              <w:t xml:space="preserve">Pirkimo Nr. 3 dokumentų </w:t>
            </w:r>
            <w:r w:rsidR="006623B3" w:rsidRPr="00B658DA">
              <w:rPr>
                <w:rFonts w:eastAsia="Calibri"/>
                <w:color w:val="000000" w:themeColor="text1"/>
                <w:szCs w:val="24"/>
              </w:rPr>
              <w:t>pried</w:t>
            </w:r>
            <w:r w:rsidR="006623B3">
              <w:rPr>
                <w:rFonts w:eastAsia="Calibri"/>
                <w:color w:val="000000" w:themeColor="text1"/>
                <w:szCs w:val="24"/>
              </w:rPr>
              <w:t>o Nr. 1</w:t>
            </w:r>
            <w:r w:rsidR="006623B3" w:rsidRPr="00B658DA">
              <w:rPr>
                <w:rFonts w:eastAsia="Calibri"/>
                <w:color w:val="000000" w:themeColor="text1"/>
                <w:szCs w:val="24"/>
              </w:rPr>
              <w:t xml:space="preserve"> „Techninė specifikacija“ </w:t>
            </w:r>
            <w:r w:rsidR="006623B3">
              <w:rPr>
                <w:rFonts w:eastAsia="Calibri"/>
                <w:color w:val="000000" w:themeColor="text1"/>
                <w:szCs w:val="24"/>
              </w:rPr>
              <w:t xml:space="preserve">11 punkte nustatė sąlygą, </w:t>
            </w:r>
            <w:r>
              <w:rPr>
                <w:rFonts w:eastAsia="Calibri"/>
                <w:color w:val="000000" w:themeColor="text1"/>
                <w:szCs w:val="24"/>
              </w:rPr>
              <w:t>jog</w:t>
            </w:r>
            <w:r w:rsidR="006623B3">
              <w:rPr>
                <w:rFonts w:eastAsia="Calibri"/>
                <w:color w:val="000000" w:themeColor="text1"/>
                <w:szCs w:val="24"/>
              </w:rPr>
              <w:t xml:space="preserve"> </w:t>
            </w:r>
            <w:r w:rsidRPr="00C85DC3">
              <w:rPr>
                <w:rFonts w:eastAsia="Calibri"/>
                <w:i/>
                <w:iCs/>
                <w:color w:val="000000" w:themeColor="text1"/>
                <w:szCs w:val="24"/>
              </w:rPr>
              <w:t xml:space="preserve">„&lt;...&gt; </w:t>
            </w:r>
            <w:r w:rsidRPr="00C85DC3">
              <w:rPr>
                <w:rFonts w:eastAsia="Calibri"/>
                <w:i/>
                <w:iCs/>
                <w:color w:val="000000" w:themeColor="text1"/>
              </w:rPr>
              <w:t>Apskaičiuojant paslaugų kainą, visuose atliekamuose skaičiavimuose bei apvalinimuose turi būti laikomasi bendrų skaičių apvalinimo taisyklių (apvalinama 2 skaičių po kablelio tikslumu)“.</w:t>
            </w:r>
            <w:r>
              <w:rPr>
                <w:rFonts w:eastAsia="Calibri"/>
                <w:i/>
                <w:iCs/>
                <w:color w:val="000000" w:themeColor="text1"/>
              </w:rPr>
              <w:t xml:space="preserve"> </w:t>
            </w:r>
            <w:r w:rsidRPr="00C85DC3">
              <w:rPr>
                <w:rFonts w:eastAsia="Calibri"/>
                <w:color w:val="000000" w:themeColor="text1"/>
              </w:rPr>
              <w:t xml:space="preserve">Tiekėjas </w:t>
            </w:r>
            <w:r>
              <w:rPr>
                <w:rFonts w:eastAsia="Calibri"/>
                <w:color w:val="000000" w:themeColor="text1"/>
              </w:rPr>
              <w:t>UAB „Skonio era“</w:t>
            </w:r>
            <w:r w:rsidR="00943431">
              <w:rPr>
                <w:rFonts w:eastAsia="Calibri"/>
                <w:color w:val="000000" w:themeColor="text1"/>
              </w:rPr>
              <w:t xml:space="preserve"> (toliau – Tiekėjas)</w:t>
            </w:r>
            <w:r>
              <w:rPr>
                <w:rFonts w:eastAsia="Calibri"/>
                <w:color w:val="000000" w:themeColor="text1"/>
              </w:rPr>
              <w:t xml:space="preserve"> pateikė pasiūlymą, kuriame nurodyti įkainiai</w:t>
            </w:r>
            <w:r w:rsidR="00943431">
              <w:rPr>
                <w:rFonts w:eastAsia="Calibri"/>
                <w:color w:val="000000" w:themeColor="text1"/>
              </w:rPr>
              <w:t xml:space="preserve"> ir bendros pasiūlymo kainos</w:t>
            </w:r>
            <w:r>
              <w:rPr>
                <w:rFonts w:eastAsia="Calibri"/>
                <w:color w:val="000000" w:themeColor="text1"/>
              </w:rPr>
              <w:t xml:space="preserve"> 4 (keturių) skaičių po kablelio tikslumu</w:t>
            </w:r>
            <w:r w:rsidR="00F21AC8">
              <w:rPr>
                <w:rFonts w:eastAsia="Calibri"/>
                <w:color w:val="000000" w:themeColor="text1"/>
              </w:rPr>
              <w:t xml:space="preserve"> (žr. 1 lentelę)</w:t>
            </w:r>
            <w:r w:rsidR="00943431">
              <w:rPr>
                <w:rFonts w:eastAsia="Calibri"/>
                <w:color w:val="000000" w:themeColor="text1"/>
              </w:rPr>
              <w:t xml:space="preserve">. Perkančioji organizacija, vadovaudamasi Pirkimo dokumentų 22.4 papunkčio ir Įstatymo 55 straipsnio 9 dalies nuostatomis, kreipėsi į šį tiekėją, prašydama pataisyti aritmetines klaidas. Tiekėjas patikslino pasiūlymą, </w:t>
            </w:r>
            <w:r w:rsidR="004F5B93">
              <w:rPr>
                <w:rFonts w:eastAsia="Calibri"/>
                <w:color w:val="000000" w:themeColor="text1"/>
              </w:rPr>
              <w:t>nurodydamas</w:t>
            </w:r>
            <w:r w:rsidR="00943431">
              <w:rPr>
                <w:rFonts w:eastAsia="Calibri"/>
                <w:color w:val="000000" w:themeColor="text1"/>
              </w:rPr>
              <w:t xml:space="preserve"> įkainius ir bendras pasiūlymo kainas</w:t>
            </w:r>
            <w:r w:rsidR="00F21AC8">
              <w:rPr>
                <w:rFonts w:eastAsia="Calibri"/>
                <w:color w:val="000000" w:themeColor="text1"/>
              </w:rPr>
              <w:t xml:space="preserve"> </w:t>
            </w:r>
            <w:r w:rsidR="004F5B93">
              <w:rPr>
                <w:rFonts w:eastAsia="Calibri"/>
                <w:color w:val="000000" w:themeColor="text1"/>
              </w:rPr>
              <w:t xml:space="preserve">dviejų (2) skaičių po kablelio tikslumu </w:t>
            </w:r>
            <w:r w:rsidR="00F21AC8">
              <w:rPr>
                <w:rFonts w:eastAsia="Calibri"/>
                <w:color w:val="000000" w:themeColor="text1"/>
              </w:rPr>
              <w:t>(žr. 1 lentelę).</w:t>
            </w:r>
          </w:p>
          <w:p w14:paraId="70A45C43" w14:textId="0A3B31CF" w:rsidR="00F21AC8" w:rsidRDefault="00F21AC8" w:rsidP="00F21AC8">
            <w:pPr>
              <w:shd w:val="clear" w:color="auto" w:fill="FFFFFF"/>
              <w:ind w:firstLine="883"/>
              <w:jc w:val="right"/>
              <w:rPr>
                <w:rFonts w:eastAsia="Calibri"/>
                <w:color w:val="000000" w:themeColor="text1"/>
              </w:rPr>
            </w:pPr>
            <w:r>
              <w:rPr>
                <w:rFonts w:eastAsia="Calibri"/>
                <w:color w:val="000000" w:themeColor="text1"/>
              </w:rPr>
              <w:t xml:space="preserve">1 lentelė </w:t>
            </w:r>
          </w:p>
          <w:tbl>
            <w:tblPr>
              <w:tblStyle w:val="Style1"/>
              <w:tblW w:w="0" w:type="auto"/>
              <w:tblLook w:val="04A0" w:firstRow="1" w:lastRow="0" w:firstColumn="1" w:lastColumn="0" w:noHBand="0" w:noVBand="1"/>
            </w:tblPr>
            <w:tblGrid>
              <w:gridCol w:w="2443"/>
              <w:gridCol w:w="2049"/>
              <w:gridCol w:w="2635"/>
              <w:gridCol w:w="2261"/>
            </w:tblGrid>
            <w:tr w:rsidR="00F21AC8" w14:paraId="35A7ADF6" w14:textId="7C9F8178" w:rsidTr="004F5B93">
              <w:tc>
                <w:tcPr>
                  <w:tcW w:w="4501" w:type="dxa"/>
                  <w:gridSpan w:val="2"/>
                </w:tcPr>
                <w:p w14:paraId="6F04A128" w14:textId="34FBA460" w:rsidR="00F21AC8" w:rsidRDefault="00F21AC8" w:rsidP="00F21AC8">
                  <w:pPr>
                    <w:jc w:val="center"/>
                    <w:rPr>
                      <w:spacing w:val="2"/>
                      <w:szCs w:val="24"/>
                      <w:shd w:val="clear" w:color="auto" w:fill="FFFFFF"/>
                    </w:rPr>
                  </w:pPr>
                  <w:r>
                    <w:rPr>
                      <w:spacing w:val="2"/>
                      <w:szCs w:val="24"/>
                      <w:shd w:val="clear" w:color="auto" w:fill="FFFFFF"/>
                    </w:rPr>
                    <w:t>Tiekėjo pasiūlymas</w:t>
                  </w:r>
                </w:p>
              </w:tc>
              <w:tc>
                <w:tcPr>
                  <w:tcW w:w="4907" w:type="dxa"/>
                  <w:gridSpan w:val="2"/>
                </w:tcPr>
                <w:p w14:paraId="0E36E131" w14:textId="164FEE3D" w:rsidR="00F21AC8" w:rsidRDefault="00F21AC8" w:rsidP="00F21AC8">
                  <w:pPr>
                    <w:jc w:val="center"/>
                    <w:rPr>
                      <w:spacing w:val="2"/>
                      <w:szCs w:val="24"/>
                      <w:shd w:val="clear" w:color="auto" w:fill="FFFFFF"/>
                    </w:rPr>
                  </w:pPr>
                  <w:r>
                    <w:rPr>
                      <w:spacing w:val="2"/>
                      <w:szCs w:val="24"/>
                      <w:shd w:val="clear" w:color="auto" w:fill="FFFFFF"/>
                    </w:rPr>
                    <w:t>Patikslintas Tiekėjo pasiūlymas</w:t>
                  </w:r>
                </w:p>
              </w:tc>
            </w:tr>
            <w:tr w:rsidR="00F21AC8" w14:paraId="1ABED735" w14:textId="6A69CD5F" w:rsidTr="004F5B93">
              <w:tc>
                <w:tcPr>
                  <w:tcW w:w="2450" w:type="dxa"/>
                </w:tcPr>
                <w:p w14:paraId="7CC98DA8" w14:textId="6C19280E" w:rsidR="00F21AC8" w:rsidRDefault="00F21AC8" w:rsidP="00A72D28">
                  <w:pPr>
                    <w:jc w:val="center"/>
                    <w:rPr>
                      <w:spacing w:val="2"/>
                      <w:szCs w:val="24"/>
                      <w:shd w:val="clear" w:color="auto" w:fill="FFFFFF"/>
                    </w:rPr>
                  </w:pPr>
                  <w:r>
                    <w:rPr>
                      <w:rFonts w:eastAsia="Calibri"/>
                      <w:color w:val="000000" w:themeColor="text1"/>
                    </w:rPr>
                    <w:t xml:space="preserve">1 asmens 1 paros paciento maitinimo paslaugos įkainis: </w:t>
                  </w:r>
                  <w:r w:rsidRPr="00F21AC8">
                    <w:rPr>
                      <w:rFonts w:eastAsia="Calibri"/>
                      <w:b/>
                      <w:bCs/>
                      <w:color w:val="000000" w:themeColor="text1"/>
                    </w:rPr>
                    <w:t>6,4221 Eur be PVM</w:t>
                  </w:r>
                  <w:r>
                    <w:rPr>
                      <w:rFonts w:eastAsia="Calibri"/>
                      <w:color w:val="000000" w:themeColor="text1"/>
                    </w:rPr>
                    <w:t xml:space="preserve"> (7,0000 Eur su PVM)</w:t>
                  </w:r>
                </w:p>
              </w:tc>
              <w:tc>
                <w:tcPr>
                  <w:tcW w:w="2051" w:type="dxa"/>
                </w:tcPr>
                <w:p w14:paraId="76FAD059" w14:textId="0CAE1A4B" w:rsidR="00F21AC8" w:rsidRDefault="00F21AC8" w:rsidP="00A72D28">
                  <w:pPr>
                    <w:jc w:val="center"/>
                    <w:rPr>
                      <w:spacing w:val="2"/>
                      <w:szCs w:val="24"/>
                      <w:shd w:val="clear" w:color="auto" w:fill="FFFFFF"/>
                    </w:rPr>
                  </w:pPr>
                  <w:r>
                    <w:rPr>
                      <w:rFonts w:eastAsia="Calibri"/>
                      <w:color w:val="000000" w:themeColor="text1"/>
                    </w:rPr>
                    <w:t>bendra pasiūlymo kaina: 351.609,9750 Eur be PVM (383.250,0000 Eur su PVM);</w:t>
                  </w:r>
                </w:p>
              </w:tc>
              <w:tc>
                <w:tcPr>
                  <w:tcW w:w="2642" w:type="dxa"/>
                </w:tcPr>
                <w:p w14:paraId="5B4C5752" w14:textId="404B53B8" w:rsidR="00F21AC8" w:rsidRDefault="00F21AC8" w:rsidP="00A72D28">
                  <w:pPr>
                    <w:jc w:val="center"/>
                    <w:rPr>
                      <w:spacing w:val="2"/>
                      <w:szCs w:val="24"/>
                      <w:shd w:val="clear" w:color="auto" w:fill="FFFFFF"/>
                    </w:rPr>
                  </w:pPr>
                  <w:r>
                    <w:rPr>
                      <w:rFonts w:eastAsia="Calibri"/>
                      <w:color w:val="000000" w:themeColor="text1"/>
                    </w:rPr>
                    <w:t xml:space="preserve">1 asmens 1 paros paciento maitinimo paslaugos įkainis: </w:t>
                  </w:r>
                  <w:r w:rsidRPr="00F21AC8">
                    <w:rPr>
                      <w:rFonts w:eastAsia="Calibri"/>
                      <w:b/>
                      <w:bCs/>
                      <w:color w:val="000000" w:themeColor="text1"/>
                    </w:rPr>
                    <w:t>6,42 Eur be PVM</w:t>
                  </w:r>
                  <w:r>
                    <w:rPr>
                      <w:rFonts w:eastAsia="Calibri"/>
                      <w:color w:val="000000" w:themeColor="text1"/>
                    </w:rPr>
                    <w:t xml:space="preserve"> (7,0000 Eur su PVM)</w:t>
                  </w:r>
                </w:p>
              </w:tc>
              <w:tc>
                <w:tcPr>
                  <w:tcW w:w="2265" w:type="dxa"/>
                </w:tcPr>
                <w:p w14:paraId="77F894AB" w14:textId="52E89B91" w:rsidR="00F21AC8" w:rsidRDefault="00F21AC8" w:rsidP="00A72D28">
                  <w:pPr>
                    <w:jc w:val="center"/>
                    <w:rPr>
                      <w:spacing w:val="2"/>
                      <w:szCs w:val="24"/>
                      <w:shd w:val="clear" w:color="auto" w:fill="FFFFFF"/>
                    </w:rPr>
                  </w:pPr>
                  <w:r>
                    <w:rPr>
                      <w:rFonts w:eastAsia="Calibri"/>
                      <w:color w:val="000000" w:themeColor="text1"/>
                    </w:rPr>
                    <w:t>bendra pasiūlymo kaina: 351.495,00 Eur be PVM (383.129,55 Eur su PVM);</w:t>
                  </w:r>
                </w:p>
              </w:tc>
            </w:tr>
            <w:tr w:rsidR="00F21AC8" w14:paraId="454E7F41" w14:textId="166C5830" w:rsidTr="004F5B93">
              <w:tc>
                <w:tcPr>
                  <w:tcW w:w="2450" w:type="dxa"/>
                </w:tcPr>
                <w:p w14:paraId="2652CDBE" w14:textId="3677E2C7" w:rsidR="00F21AC8" w:rsidRDefault="00F21AC8" w:rsidP="00A72D28">
                  <w:pPr>
                    <w:jc w:val="center"/>
                    <w:rPr>
                      <w:spacing w:val="2"/>
                      <w:szCs w:val="24"/>
                      <w:shd w:val="clear" w:color="auto" w:fill="FFFFFF"/>
                    </w:rPr>
                  </w:pPr>
                  <w:r>
                    <w:rPr>
                      <w:rFonts w:eastAsia="Calibri"/>
                      <w:color w:val="000000" w:themeColor="text1"/>
                    </w:rPr>
                    <w:t>1 asmens 1 paros gyventojo maitinimo paslaugos įkainis: 7</w:t>
                  </w:r>
                  <w:r w:rsidRPr="00F21AC8">
                    <w:rPr>
                      <w:rFonts w:eastAsia="Calibri"/>
                      <w:b/>
                      <w:bCs/>
                      <w:color w:val="000000" w:themeColor="text1"/>
                    </w:rPr>
                    <w:t>,3395 Eur be PVM</w:t>
                  </w:r>
                  <w:r>
                    <w:rPr>
                      <w:rFonts w:eastAsia="Calibri"/>
                      <w:color w:val="000000" w:themeColor="text1"/>
                    </w:rPr>
                    <w:t xml:space="preserve"> (8,0000 Eur su PVM)</w:t>
                  </w:r>
                </w:p>
              </w:tc>
              <w:tc>
                <w:tcPr>
                  <w:tcW w:w="2051" w:type="dxa"/>
                </w:tcPr>
                <w:p w14:paraId="232A8523" w14:textId="348514D8" w:rsidR="00F21AC8" w:rsidRDefault="00F21AC8" w:rsidP="00A72D28">
                  <w:pPr>
                    <w:jc w:val="center"/>
                    <w:rPr>
                      <w:spacing w:val="2"/>
                      <w:szCs w:val="24"/>
                      <w:shd w:val="clear" w:color="auto" w:fill="FFFFFF"/>
                    </w:rPr>
                  </w:pPr>
                  <w:r>
                    <w:rPr>
                      <w:rFonts w:eastAsia="Calibri"/>
                      <w:color w:val="000000" w:themeColor="text1"/>
                    </w:rPr>
                    <w:t>bendra pasiūlymo kaina: 313.433,3475 Eur be PVM (341.640,000 Eur su PVM)</w:t>
                  </w:r>
                </w:p>
              </w:tc>
              <w:tc>
                <w:tcPr>
                  <w:tcW w:w="2642" w:type="dxa"/>
                </w:tcPr>
                <w:p w14:paraId="51ABC26C" w14:textId="15E95791" w:rsidR="00F21AC8" w:rsidRDefault="00F21AC8" w:rsidP="00A72D28">
                  <w:pPr>
                    <w:jc w:val="center"/>
                    <w:rPr>
                      <w:spacing w:val="2"/>
                      <w:szCs w:val="24"/>
                      <w:shd w:val="clear" w:color="auto" w:fill="FFFFFF"/>
                    </w:rPr>
                  </w:pPr>
                  <w:r>
                    <w:rPr>
                      <w:rFonts w:eastAsia="Calibri"/>
                      <w:color w:val="000000" w:themeColor="text1"/>
                    </w:rPr>
                    <w:t xml:space="preserve">1 asmens 1 paros gyventojo maitinimo paslaugos įkainis: </w:t>
                  </w:r>
                  <w:r w:rsidRPr="00F21AC8">
                    <w:rPr>
                      <w:rFonts w:eastAsia="Calibri"/>
                      <w:b/>
                      <w:bCs/>
                      <w:color w:val="000000" w:themeColor="text1"/>
                    </w:rPr>
                    <w:t>7,34 Eur be PVM</w:t>
                  </w:r>
                  <w:r>
                    <w:rPr>
                      <w:rFonts w:eastAsia="Calibri"/>
                      <w:color w:val="000000" w:themeColor="text1"/>
                    </w:rPr>
                    <w:t xml:space="preserve"> (8,0000 Eur su PVM)</w:t>
                  </w:r>
                </w:p>
              </w:tc>
              <w:tc>
                <w:tcPr>
                  <w:tcW w:w="2265" w:type="dxa"/>
                </w:tcPr>
                <w:p w14:paraId="557FEAD9" w14:textId="5311D3A9" w:rsidR="00F21AC8" w:rsidRDefault="00F21AC8" w:rsidP="00A72D28">
                  <w:pPr>
                    <w:jc w:val="center"/>
                    <w:rPr>
                      <w:spacing w:val="2"/>
                      <w:szCs w:val="24"/>
                      <w:shd w:val="clear" w:color="auto" w:fill="FFFFFF"/>
                    </w:rPr>
                  </w:pPr>
                  <w:r>
                    <w:rPr>
                      <w:rFonts w:eastAsia="Calibri"/>
                      <w:color w:val="000000" w:themeColor="text1"/>
                    </w:rPr>
                    <w:t>bendra pasiūlymo kaina: 313.454,70 Eur be PVM (341.641,62 Eur su PVM)</w:t>
                  </w:r>
                </w:p>
              </w:tc>
            </w:tr>
            <w:tr w:rsidR="00A81ABC" w14:paraId="05CE9143" w14:textId="77777777" w:rsidTr="004F5B93">
              <w:tc>
                <w:tcPr>
                  <w:tcW w:w="4501" w:type="dxa"/>
                  <w:gridSpan w:val="2"/>
                </w:tcPr>
                <w:p w14:paraId="3382A66B" w14:textId="77777777" w:rsidR="00A81ABC" w:rsidRPr="00A81ABC" w:rsidRDefault="00A81ABC" w:rsidP="00A72D28">
                  <w:pPr>
                    <w:jc w:val="center"/>
                    <w:rPr>
                      <w:rFonts w:eastAsia="Calibri"/>
                      <w:color w:val="000000" w:themeColor="text1"/>
                      <w:szCs w:val="24"/>
                    </w:rPr>
                  </w:pPr>
                  <w:r w:rsidRPr="00A81ABC">
                    <w:rPr>
                      <w:rFonts w:cs="Tahoma"/>
                      <w:color w:val="000000" w:themeColor="text1"/>
                      <w:kern w:val="1"/>
                      <w:szCs w:val="24"/>
                      <w:lang w:eastAsia="lt-LT" w:bidi="hi-IN"/>
                    </w:rPr>
                    <w:t xml:space="preserve">Bendra preliminari maitinimo paslaugų pasiūlymo kaina (pasiūlymų palyginimui) </w:t>
                  </w:r>
                </w:p>
                <w:p w14:paraId="0A05ED64" w14:textId="363482AF" w:rsidR="00A81ABC" w:rsidRPr="00A81ABC" w:rsidRDefault="00A81ABC" w:rsidP="00A81ABC">
                  <w:pPr>
                    <w:pStyle w:val="Default"/>
                    <w:jc w:val="center"/>
                  </w:pPr>
                  <w:r w:rsidRPr="00A81ABC">
                    <w:t>665</w:t>
                  </w:r>
                  <w:r w:rsidR="008A4A18">
                    <w:t>.</w:t>
                  </w:r>
                  <w:r w:rsidRPr="00A81ABC">
                    <w:t>043,3225 Eur be PVM (724</w:t>
                  </w:r>
                  <w:r w:rsidR="008A4A18">
                    <w:t>.</w:t>
                  </w:r>
                  <w:r w:rsidRPr="00A81ABC">
                    <w:t>890,0000 Eur su PVM)</w:t>
                  </w:r>
                </w:p>
              </w:tc>
              <w:tc>
                <w:tcPr>
                  <w:tcW w:w="4907" w:type="dxa"/>
                  <w:gridSpan w:val="2"/>
                </w:tcPr>
                <w:p w14:paraId="2261322C" w14:textId="255014D7" w:rsidR="00A81ABC" w:rsidRPr="00A81ABC" w:rsidRDefault="00A81ABC" w:rsidP="00A72D28">
                  <w:pPr>
                    <w:jc w:val="center"/>
                    <w:rPr>
                      <w:rFonts w:eastAsia="Calibri"/>
                      <w:color w:val="000000" w:themeColor="text1"/>
                      <w:szCs w:val="24"/>
                    </w:rPr>
                  </w:pPr>
                  <w:r w:rsidRPr="00A81ABC">
                    <w:rPr>
                      <w:rFonts w:cs="Tahoma"/>
                      <w:color w:val="000000" w:themeColor="text1"/>
                      <w:kern w:val="1"/>
                      <w:szCs w:val="24"/>
                      <w:lang w:eastAsia="lt-LT" w:bidi="hi-IN"/>
                    </w:rPr>
                    <w:t xml:space="preserve">Bendra preliminari maitinimo paslaugų pasiūlymo kaina (pasiūlymų palyginimui): 664.949,70 Eur be PVM (724.795,17 Eur su PVM) </w:t>
                  </w:r>
                </w:p>
              </w:tc>
            </w:tr>
          </w:tbl>
          <w:p w14:paraId="37AB7701" w14:textId="09B100A3" w:rsidR="00DB4C16" w:rsidRDefault="00DB4C16" w:rsidP="00DB4C16">
            <w:pPr>
              <w:shd w:val="clear" w:color="auto" w:fill="FFFFFF"/>
              <w:ind w:firstLine="883"/>
              <w:jc w:val="both"/>
              <w:rPr>
                <w:spacing w:val="2"/>
                <w:szCs w:val="24"/>
                <w:shd w:val="clear" w:color="auto" w:fill="FFFFFF"/>
              </w:rPr>
            </w:pPr>
            <w:r>
              <w:rPr>
                <w:spacing w:val="2"/>
                <w:szCs w:val="24"/>
                <w:shd w:val="clear" w:color="auto" w:fill="FFFFFF"/>
              </w:rPr>
              <w:t>Nustatyta</w:t>
            </w:r>
            <w:r w:rsidR="00BA5850">
              <w:rPr>
                <w:spacing w:val="2"/>
                <w:szCs w:val="24"/>
                <w:shd w:val="clear" w:color="auto" w:fill="FFFFFF"/>
              </w:rPr>
              <w:t>, kad Tiekėjo pasiūlym</w:t>
            </w:r>
            <w:r>
              <w:rPr>
                <w:spacing w:val="2"/>
                <w:szCs w:val="24"/>
                <w:shd w:val="clear" w:color="auto" w:fill="FFFFFF"/>
              </w:rPr>
              <w:t>as tur</w:t>
            </w:r>
            <w:r w:rsidR="002A7CD8">
              <w:rPr>
                <w:spacing w:val="2"/>
                <w:szCs w:val="24"/>
                <w:shd w:val="clear" w:color="auto" w:fill="FFFFFF"/>
              </w:rPr>
              <w:t>ėjo</w:t>
            </w:r>
            <w:r>
              <w:rPr>
                <w:spacing w:val="2"/>
                <w:szCs w:val="24"/>
                <w:shd w:val="clear" w:color="auto" w:fill="FFFFFF"/>
              </w:rPr>
              <w:t xml:space="preserve"> trūkumų ne dėl aritmetinių klaidų, o dėl</w:t>
            </w:r>
            <w:r w:rsidR="002A7CD8">
              <w:rPr>
                <w:spacing w:val="2"/>
                <w:szCs w:val="24"/>
                <w:shd w:val="clear" w:color="auto" w:fill="FFFFFF"/>
              </w:rPr>
              <w:t xml:space="preserve"> kainos</w:t>
            </w:r>
            <w:r>
              <w:rPr>
                <w:spacing w:val="2"/>
                <w:szCs w:val="24"/>
                <w:shd w:val="clear" w:color="auto" w:fill="FFFFFF"/>
              </w:rPr>
              <w:t xml:space="preserve"> apskaičiavimo keturių skaičių po kablelio tikslumu, todėl Perkančioji organizacija negalėjo, vadovaujantis Įstatymo 55 straipsnio 9 dalies nuostatomis, leisti Tiekėjui įkainių ištaisyti, juos </w:t>
            </w:r>
            <w:r>
              <w:rPr>
                <w:spacing w:val="2"/>
                <w:szCs w:val="24"/>
                <w:shd w:val="clear" w:color="auto" w:fill="FFFFFF"/>
              </w:rPr>
              <w:lastRenderedPageBreak/>
              <w:t xml:space="preserve">suapvalinant dviejų skaičių po kablelio tikslumu, nes </w:t>
            </w:r>
            <w:r w:rsidRPr="00DB4C16">
              <w:rPr>
                <w:spacing w:val="2"/>
                <w:szCs w:val="24"/>
                <w:shd w:val="clear" w:color="auto" w:fill="FFFFFF"/>
              </w:rPr>
              <w:t xml:space="preserve">tokie veiksmai (įkainių pakeitimai) </w:t>
            </w:r>
            <w:r w:rsidR="002A7CD8">
              <w:rPr>
                <w:spacing w:val="2"/>
                <w:szCs w:val="24"/>
                <w:shd w:val="clear" w:color="auto" w:fill="FFFFFF"/>
              </w:rPr>
              <w:t xml:space="preserve">yra </w:t>
            </w:r>
            <w:r w:rsidRPr="00DB4C16">
              <w:rPr>
                <w:spacing w:val="2"/>
                <w:szCs w:val="24"/>
                <w:shd w:val="clear" w:color="auto" w:fill="FFFFFF"/>
              </w:rPr>
              <w:t xml:space="preserve">laikomi ne aritmetinių klaidų ištaisymu, o </w:t>
            </w:r>
            <w:r w:rsidR="002A7CD8">
              <w:rPr>
                <w:spacing w:val="2"/>
                <w:szCs w:val="24"/>
                <w:shd w:val="clear" w:color="auto" w:fill="FFFFFF"/>
              </w:rPr>
              <w:t>pasiūlymo (</w:t>
            </w:r>
            <w:r w:rsidR="00BC301A">
              <w:rPr>
                <w:spacing w:val="2"/>
                <w:szCs w:val="24"/>
                <w:shd w:val="clear" w:color="auto" w:fill="FFFFFF"/>
              </w:rPr>
              <w:t>įkainių</w:t>
            </w:r>
            <w:r w:rsidR="002A7CD8">
              <w:rPr>
                <w:spacing w:val="2"/>
                <w:szCs w:val="24"/>
                <w:shd w:val="clear" w:color="auto" w:fill="FFFFFF"/>
              </w:rPr>
              <w:t>)</w:t>
            </w:r>
            <w:r w:rsidRPr="00DB4C16">
              <w:rPr>
                <w:spacing w:val="2"/>
                <w:szCs w:val="24"/>
                <w:shd w:val="clear" w:color="auto" w:fill="FFFFFF"/>
              </w:rPr>
              <w:t xml:space="preserve"> keitimu</w:t>
            </w:r>
            <w:r w:rsidR="002A7CD8" w:rsidRPr="00DB4C16">
              <w:rPr>
                <w:rStyle w:val="FootnoteReference"/>
                <w:spacing w:val="2"/>
                <w:szCs w:val="24"/>
                <w:shd w:val="clear" w:color="auto" w:fill="FFFFFF"/>
              </w:rPr>
              <w:footnoteReference w:id="22"/>
            </w:r>
            <w:r w:rsidR="002A7CD8" w:rsidRPr="00DB4C16">
              <w:t>.</w:t>
            </w:r>
          </w:p>
          <w:p w14:paraId="192E3DF1" w14:textId="3041562B" w:rsidR="00437455" w:rsidRPr="003E63A1" w:rsidRDefault="003E63A1" w:rsidP="003E63A1">
            <w:pPr>
              <w:ind w:firstLine="720"/>
              <w:jc w:val="both"/>
              <w:rPr>
                <w:i/>
                <w:iCs/>
                <w:color w:val="000000"/>
                <w:sz w:val="27"/>
                <w:szCs w:val="27"/>
              </w:rPr>
            </w:pPr>
            <w:r w:rsidRPr="00BA5850">
              <w:rPr>
                <w:spacing w:val="2"/>
                <w:szCs w:val="24"/>
                <w:shd w:val="clear" w:color="auto" w:fill="FFFFFF"/>
              </w:rPr>
              <w:t xml:space="preserve">Pažymėtina, kad </w:t>
            </w:r>
            <w:r w:rsidRPr="00BA5850">
              <w:rPr>
                <w:color w:val="000000"/>
              </w:rPr>
              <w:t>Lietuvos Aukščiausiasis Teismas</w:t>
            </w:r>
            <w:r w:rsidR="00E36CD6">
              <w:rPr>
                <w:color w:val="000000"/>
              </w:rPr>
              <w:t xml:space="preserve"> (toliau – LAT)</w:t>
            </w:r>
            <w:r w:rsidRPr="00BA5850">
              <w:rPr>
                <w:color w:val="000000"/>
              </w:rPr>
              <w:t xml:space="preserve"> </w:t>
            </w:r>
            <w:r>
              <w:t xml:space="preserve">2015 m. lapkričio 27 d. nutartyje civilinėje byloje Nr. 3K-3-660-415/2015 </w:t>
            </w:r>
            <w:r w:rsidRPr="00BA5850">
              <w:t xml:space="preserve">yra </w:t>
            </w:r>
            <w:r>
              <w:t>pasisakęs dėl aritmetinių klaidų taisymo</w:t>
            </w:r>
            <w:r w:rsidRPr="00BA5850">
              <w:rPr>
                <w:rStyle w:val="FootnoteReference"/>
              </w:rPr>
              <w:footnoteReference w:id="23"/>
            </w:r>
            <w:r>
              <w:t xml:space="preserve">, o </w:t>
            </w:r>
            <w:r w:rsidR="002A7CD8" w:rsidRPr="002A7CD8">
              <w:rPr>
                <w:color w:val="000000"/>
                <w:szCs w:val="24"/>
              </w:rPr>
              <w:t>LAT</w:t>
            </w:r>
            <w:r w:rsidR="00437455" w:rsidRPr="002A7CD8">
              <w:rPr>
                <w:color w:val="000000"/>
                <w:szCs w:val="24"/>
              </w:rPr>
              <w:t xml:space="preserve"> 2019 m. birželio 20 d. </w:t>
            </w:r>
            <w:r w:rsidR="00457D03" w:rsidRPr="002A7CD8">
              <w:rPr>
                <w:color w:val="000000"/>
                <w:szCs w:val="24"/>
              </w:rPr>
              <w:t xml:space="preserve">nutartyje civilinėje </w:t>
            </w:r>
            <w:r w:rsidR="00437455" w:rsidRPr="002A7CD8">
              <w:rPr>
                <w:color w:val="000000"/>
                <w:szCs w:val="24"/>
              </w:rPr>
              <w:t>byloje Nr. 2-58-3-00232-2018-6 pasisakęs dėl tiekėjo pasiūlym</w:t>
            </w:r>
            <w:r w:rsidR="002A7CD8" w:rsidRPr="002A7CD8">
              <w:rPr>
                <w:color w:val="000000"/>
                <w:szCs w:val="24"/>
              </w:rPr>
              <w:t>o</w:t>
            </w:r>
            <w:r w:rsidR="00437455" w:rsidRPr="002A7CD8">
              <w:rPr>
                <w:color w:val="000000"/>
                <w:szCs w:val="24"/>
              </w:rPr>
              <w:t xml:space="preserve"> siaurąja prasme vertinimo</w:t>
            </w:r>
            <w:r w:rsidR="002A7CD8" w:rsidRPr="002A7CD8">
              <w:rPr>
                <w:color w:val="000000"/>
                <w:szCs w:val="24"/>
              </w:rPr>
              <w:t xml:space="preserve"> ir tiekėjų teisės paaiškinti,</w:t>
            </w:r>
            <w:r>
              <w:rPr>
                <w:color w:val="000000"/>
                <w:szCs w:val="24"/>
              </w:rPr>
              <w:t xml:space="preserve"> </w:t>
            </w:r>
            <w:r w:rsidR="002A7CD8" w:rsidRPr="002A7CD8">
              <w:rPr>
                <w:color w:val="000000"/>
                <w:szCs w:val="24"/>
              </w:rPr>
              <w:t>patikslinti savo pasiūlymus siaurąja prasme</w:t>
            </w:r>
            <w:r w:rsidR="00437455" w:rsidRPr="002A7CD8">
              <w:rPr>
                <w:rStyle w:val="FootnoteReference"/>
                <w:color w:val="000000"/>
                <w:szCs w:val="24"/>
              </w:rPr>
              <w:footnoteReference w:id="24"/>
            </w:r>
            <w:r w:rsidR="00437455" w:rsidRPr="002A7CD8">
              <w:rPr>
                <w:color w:val="000000"/>
                <w:szCs w:val="24"/>
              </w:rPr>
              <w:t>.</w:t>
            </w:r>
          </w:p>
          <w:p w14:paraId="58210A59" w14:textId="4631952A" w:rsidR="00785E09" w:rsidRDefault="002A7CD8" w:rsidP="00CB1419">
            <w:pPr>
              <w:shd w:val="clear" w:color="auto" w:fill="FFFFFF"/>
              <w:ind w:firstLine="883"/>
              <w:jc w:val="both"/>
              <w:rPr>
                <w:szCs w:val="24"/>
              </w:rPr>
            </w:pPr>
            <w:r>
              <w:rPr>
                <w:spacing w:val="2"/>
                <w:szCs w:val="24"/>
                <w:shd w:val="clear" w:color="auto" w:fill="FFFFFF"/>
              </w:rPr>
              <w:t xml:space="preserve">Atsižvelgusi į išdėstytą, Tarnyba konstatuoja, kad </w:t>
            </w:r>
            <w:r w:rsidR="00691558">
              <w:rPr>
                <w:spacing w:val="2"/>
                <w:szCs w:val="24"/>
                <w:shd w:val="clear" w:color="auto" w:fill="FFFFFF"/>
              </w:rPr>
              <w:t>Perkančioji organizacija,</w:t>
            </w:r>
            <w:r w:rsidR="003E63A1">
              <w:rPr>
                <w:spacing w:val="2"/>
                <w:szCs w:val="24"/>
                <w:shd w:val="clear" w:color="auto" w:fill="FFFFFF"/>
              </w:rPr>
              <w:t xml:space="preserve"> leidusi</w:t>
            </w:r>
            <w:r w:rsidR="00691558">
              <w:rPr>
                <w:spacing w:val="2"/>
                <w:szCs w:val="24"/>
                <w:shd w:val="clear" w:color="auto" w:fill="FFFFFF"/>
              </w:rPr>
              <w:t xml:space="preserve"> </w:t>
            </w:r>
            <w:r w:rsidR="003E63A1">
              <w:rPr>
                <w:spacing w:val="2"/>
                <w:szCs w:val="24"/>
                <w:shd w:val="clear" w:color="auto" w:fill="FFFFFF"/>
              </w:rPr>
              <w:t xml:space="preserve">Tiekėjui įkainius ištaisyti, juos suapvalinti dviejų skaičių </w:t>
            </w:r>
            <w:r w:rsidR="003E63A1" w:rsidRPr="003E63A1">
              <w:rPr>
                <w:spacing w:val="2"/>
                <w:szCs w:val="24"/>
                <w:shd w:val="clear" w:color="auto" w:fill="FFFFFF"/>
              </w:rPr>
              <w:t>po kablelio tikslumu</w:t>
            </w:r>
            <w:r w:rsidR="00D7671B" w:rsidRPr="003E63A1">
              <w:rPr>
                <w:spacing w:val="2"/>
                <w:szCs w:val="24"/>
                <w:shd w:val="clear" w:color="auto" w:fill="FFFFFF"/>
              </w:rPr>
              <w:t xml:space="preserve">, </w:t>
            </w:r>
            <w:r w:rsidR="003E63A1" w:rsidRPr="003E63A1">
              <w:rPr>
                <w:spacing w:val="2"/>
                <w:szCs w:val="24"/>
                <w:shd w:val="clear" w:color="auto" w:fill="FFFFFF"/>
              </w:rPr>
              <w:t xml:space="preserve">tokiu būdu leido Tiekėjui pakeisti </w:t>
            </w:r>
            <w:r w:rsidR="003E63A1" w:rsidRPr="003E63A1">
              <w:rPr>
                <w:color w:val="000000"/>
              </w:rPr>
              <w:t>pasiūlymo turinį,</w:t>
            </w:r>
            <w:r w:rsidR="00810943">
              <w:rPr>
                <w:color w:val="000000"/>
              </w:rPr>
              <w:t xml:space="preserve"> </w:t>
            </w:r>
            <w:r w:rsidR="003E63A1" w:rsidRPr="003E63A1">
              <w:rPr>
                <w:color w:val="000000"/>
              </w:rPr>
              <w:t xml:space="preserve">kuris vertintinas kaip pasiūlymo esmės keitimas, </w:t>
            </w:r>
            <w:r w:rsidR="002A0DFA">
              <w:rPr>
                <w:spacing w:val="2"/>
                <w:szCs w:val="24"/>
                <w:shd w:val="clear" w:color="auto" w:fill="FFFFFF"/>
              </w:rPr>
              <w:t xml:space="preserve">ir </w:t>
            </w:r>
            <w:r w:rsidR="002A0DFA">
              <w:rPr>
                <w:szCs w:val="24"/>
              </w:rPr>
              <w:t>neatmetusi Tiekėjo pasiūlymo</w:t>
            </w:r>
            <w:r w:rsidR="009B6A83">
              <w:rPr>
                <w:szCs w:val="24"/>
              </w:rPr>
              <w:t xml:space="preserve"> bei sudariusi Pirkimo Nr. 3 sutartį,</w:t>
            </w:r>
            <w:r w:rsidR="00691558">
              <w:rPr>
                <w:spacing w:val="2"/>
                <w:szCs w:val="24"/>
                <w:shd w:val="clear" w:color="auto" w:fill="FFFFFF"/>
              </w:rPr>
              <w:t xml:space="preserve"> pažeidė Įstatymo </w:t>
            </w:r>
            <w:r w:rsidR="003E63A1">
              <w:rPr>
                <w:spacing w:val="2"/>
                <w:szCs w:val="24"/>
                <w:shd w:val="clear" w:color="auto" w:fill="FFFFFF"/>
              </w:rPr>
              <w:t xml:space="preserve">17 straipsnio 1 dalyje įtvirtintus skaidrumo ir lygiateisiškumo principus, </w:t>
            </w:r>
            <w:r w:rsidR="002A0DFA" w:rsidRPr="00C85DC3">
              <w:rPr>
                <w:szCs w:val="24"/>
              </w:rPr>
              <w:t>45 straipsnio 1 dalies 1 punkt</w:t>
            </w:r>
            <w:r w:rsidR="002A0DFA">
              <w:rPr>
                <w:szCs w:val="24"/>
              </w:rPr>
              <w:t xml:space="preserve">o ir </w:t>
            </w:r>
            <w:r w:rsidR="002A0DFA" w:rsidRPr="00C85DC3">
              <w:rPr>
                <w:szCs w:val="24"/>
              </w:rPr>
              <w:t>55 straipsnio 9 dali</w:t>
            </w:r>
            <w:r w:rsidR="002A0DFA">
              <w:rPr>
                <w:szCs w:val="24"/>
              </w:rPr>
              <w:t>es nuostatas.</w:t>
            </w:r>
          </w:p>
          <w:p w14:paraId="48782AEE" w14:textId="24CCD859" w:rsidR="007F7D20" w:rsidRPr="00CB1419" w:rsidRDefault="007F7D20" w:rsidP="00CB1419">
            <w:pPr>
              <w:shd w:val="clear" w:color="auto" w:fill="FFFFFF"/>
              <w:ind w:firstLine="883"/>
              <w:jc w:val="both"/>
            </w:pPr>
          </w:p>
        </w:tc>
      </w:tr>
    </w:tbl>
    <w:p w14:paraId="224F4DC9" w14:textId="77777777" w:rsidR="00231B9E" w:rsidRPr="00AB57C7" w:rsidRDefault="00231B9E" w:rsidP="00ED6563">
      <w:pPr>
        <w:spacing w:before="240" w:after="120"/>
        <w:rPr>
          <w:b/>
          <w:sz w:val="18"/>
          <w:szCs w:val="18"/>
        </w:rPr>
      </w:pPr>
    </w:p>
    <w:p w14:paraId="5767DBD4" w14:textId="77777777" w:rsidR="00231B9E" w:rsidRPr="00A60027" w:rsidRDefault="00231B9E" w:rsidP="00ED6563">
      <w:pPr>
        <w:spacing w:before="240" w:after="120"/>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3351A0" w:rsidRPr="002A07F4" w14:paraId="1ED8B949" w14:textId="77777777" w:rsidTr="00C36831">
        <w:tc>
          <w:tcPr>
            <w:tcW w:w="704" w:type="dxa"/>
            <w:tcBorders>
              <w:top w:val="single" w:sz="4" w:space="0" w:color="auto"/>
              <w:left w:val="single" w:sz="4" w:space="0" w:color="auto"/>
              <w:bottom w:val="single" w:sz="4" w:space="0" w:color="auto"/>
              <w:right w:val="single" w:sz="4" w:space="0" w:color="auto"/>
            </w:tcBorders>
          </w:tcPr>
          <w:p w14:paraId="46693C9E" w14:textId="5579361E" w:rsidR="003351A0" w:rsidRPr="003351A0" w:rsidRDefault="00AB531F" w:rsidP="00701E67">
            <w:pPr>
              <w:jc w:val="center"/>
              <w:rPr>
                <w:szCs w:val="24"/>
              </w:rPr>
            </w:pPr>
            <w:r>
              <w:rPr>
                <w:szCs w:val="24"/>
              </w:rPr>
              <w:t>1.</w:t>
            </w:r>
          </w:p>
        </w:tc>
        <w:tc>
          <w:tcPr>
            <w:tcW w:w="8930" w:type="dxa"/>
            <w:tcBorders>
              <w:top w:val="single" w:sz="4" w:space="0" w:color="auto"/>
              <w:left w:val="single" w:sz="4" w:space="0" w:color="auto"/>
              <w:bottom w:val="single" w:sz="4" w:space="0" w:color="auto"/>
              <w:right w:val="single" w:sz="4" w:space="0" w:color="auto"/>
            </w:tcBorders>
          </w:tcPr>
          <w:p w14:paraId="4E4742C1" w14:textId="14C53188" w:rsidR="003351A0" w:rsidRPr="003351A0" w:rsidRDefault="00AB531F" w:rsidP="00AB531F">
            <w:pPr>
              <w:jc w:val="both"/>
              <w:rPr>
                <w:szCs w:val="24"/>
                <w:lang w:val="en-US"/>
              </w:rPr>
            </w:pPr>
            <w:r w:rsidRPr="00FE7CC9">
              <w:rPr>
                <w:szCs w:val="24"/>
              </w:rPr>
              <w:t>Įstatymo 26 straipsnio 1 dalis</w:t>
            </w:r>
            <w:r>
              <w:rPr>
                <w:rStyle w:val="FootnoteReference"/>
                <w:szCs w:val="24"/>
              </w:rPr>
              <w:footnoteReference w:id="25"/>
            </w:r>
            <w:r w:rsidRPr="00FE7CC9">
              <w:rPr>
                <w:szCs w:val="24"/>
              </w:rPr>
              <w:t>.</w:t>
            </w:r>
          </w:p>
        </w:tc>
      </w:tr>
      <w:tr w:rsidR="004C7A77" w:rsidRPr="002A07F4" w14:paraId="0361898F" w14:textId="77777777" w:rsidTr="00214EA2">
        <w:tc>
          <w:tcPr>
            <w:tcW w:w="9634" w:type="dxa"/>
            <w:gridSpan w:val="2"/>
            <w:tcBorders>
              <w:top w:val="single" w:sz="4" w:space="0" w:color="auto"/>
              <w:left w:val="single" w:sz="4" w:space="0" w:color="auto"/>
              <w:bottom w:val="single" w:sz="4" w:space="0" w:color="auto"/>
              <w:right w:val="single" w:sz="4" w:space="0" w:color="auto"/>
            </w:tcBorders>
          </w:tcPr>
          <w:p w14:paraId="2B62ABB2" w14:textId="25308778" w:rsidR="004C7A77" w:rsidRPr="00FE7CC9" w:rsidRDefault="004C7A77" w:rsidP="00FE1FE9">
            <w:pPr>
              <w:ind w:firstLine="738"/>
              <w:jc w:val="both"/>
              <w:rPr>
                <w:szCs w:val="24"/>
              </w:rPr>
            </w:pPr>
            <w:r>
              <w:rPr>
                <w:szCs w:val="24"/>
              </w:rPr>
              <w:t xml:space="preserve">Planuojamų atlikti pirkimų suvestinėje nurodyta Pirkimo Nr. </w:t>
            </w:r>
            <w:r w:rsidR="00FE1FE9">
              <w:rPr>
                <w:szCs w:val="24"/>
              </w:rPr>
              <w:t>3</w:t>
            </w:r>
            <w:r>
              <w:rPr>
                <w:szCs w:val="24"/>
              </w:rPr>
              <w:t xml:space="preserve"> vertė: 400,000,00 Eur be PVM. Perkančioji organizacija, patikslinusi planuojamų atlikti einamaisiais kalendoriniais metais pirkimų planą, nepatikslino suvestinės duomenų ir tuo pažeidė Įstatymo 26 straipsnio 1 dalies nuostatas.</w:t>
            </w:r>
          </w:p>
        </w:tc>
      </w:tr>
      <w:tr w:rsidR="004C7A77" w:rsidRPr="002A07F4" w14:paraId="75FB6D53" w14:textId="77777777" w:rsidTr="00C36831">
        <w:tc>
          <w:tcPr>
            <w:tcW w:w="704" w:type="dxa"/>
            <w:tcBorders>
              <w:top w:val="single" w:sz="4" w:space="0" w:color="auto"/>
              <w:left w:val="single" w:sz="4" w:space="0" w:color="auto"/>
              <w:bottom w:val="single" w:sz="4" w:space="0" w:color="auto"/>
              <w:right w:val="single" w:sz="4" w:space="0" w:color="auto"/>
            </w:tcBorders>
          </w:tcPr>
          <w:p w14:paraId="5784637D" w14:textId="54740303" w:rsidR="004C7A77" w:rsidRDefault="004C7A77" w:rsidP="00701E67">
            <w:pPr>
              <w:jc w:val="center"/>
              <w:rPr>
                <w:szCs w:val="24"/>
              </w:rPr>
            </w:pPr>
            <w:r>
              <w:rPr>
                <w:szCs w:val="24"/>
              </w:rPr>
              <w:t>2.</w:t>
            </w:r>
          </w:p>
        </w:tc>
        <w:tc>
          <w:tcPr>
            <w:tcW w:w="8930" w:type="dxa"/>
            <w:tcBorders>
              <w:top w:val="single" w:sz="4" w:space="0" w:color="auto"/>
              <w:left w:val="single" w:sz="4" w:space="0" w:color="auto"/>
              <w:bottom w:val="single" w:sz="4" w:space="0" w:color="auto"/>
              <w:right w:val="single" w:sz="4" w:space="0" w:color="auto"/>
            </w:tcBorders>
          </w:tcPr>
          <w:p w14:paraId="0CE98762" w14:textId="4F18024A" w:rsidR="004C7A77" w:rsidRPr="00FE7CC9" w:rsidRDefault="004C7A77" w:rsidP="00AB531F">
            <w:pPr>
              <w:jc w:val="both"/>
              <w:rPr>
                <w:szCs w:val="24"/>
              </w:rPr>
            </w:pPr>
            <w:r>
              <w:rPr>
                <w:szCs w:val="24"/>
              </w:rPr>
              <w:t>Įstatymo 44 straipsnio 9 dalis</w:t>
            </w:r>
            <w:r w:rsidR="005A0F1F">
              <w:rPr>
                <w:rStyle w:val="FootnoteReference"/>
                <w:szCs w:val="24"/>
              </w:rPr>
              <w:footnoteReference w:id="26"/>
            </w:r>
            <w:r>
              <w:rPr>
                <w:szCs w:val="24"/>
              </w:rPr>
              <w:t>.</w:t>
            </w:r>
          </w:p>
        </w:tc>
      </w:tr>
      <w:tr w:rsidR="00AB531F" w:rsidRPr="002A07F4" w14:paraId="492DF29A" w14:textId="77777777" w:rsidTr="00C36831">
        <w:tc>
          <w:tcPr>
            <w:tcW w:w="9634" w:type="dxa"/>
            <w:gridSpan w:val="2"/>
            <w:tcBorders>
              <w:top w:val="single" w:sz="4" w:space="0" w:color="auto"/>
              <w:left w:val="single" w:sz="4" w:space="0" w:color="auto"/>
              <w:bottom w:val="single" w:sz="4" w:space="0" w:color="auto"/>
              <w:right w:val="single" w:sz="4" w:space="0" w:color="auto"/>
            </w:tcBorders>
          </w:tcPr>
          <w:p w14:paraId="183BCCD6" w14:textId="44F9C545" w:rsidR="00AB531F" w:rsidRPr="003351A0" w:rsidRDefault="005A0F1F" w:rsidP="00F21FFB">
            <w:pPr>
              <w:ind w:firstLine="738"/>
              <w:jc w:val="both"/>
              <w:rPr>
                <w:szCs w:val="24"/>
              </w:rPr>
            </w:pPr>
            <w:r>
              <w:rPr>
                <w:color w:val="000000"/>
              </w:rPr>
              <w:lastRenderedPageBreak/>
              <w:t xml:space="preserve">Komisija 2021 m. gruodžio 16 d. protokole Nr. 4 nurodyta, jog pradiniame susipažinime su pasiūlymais dalyvavo trys Komisijos narės, kurios pasiūlymus išsaugojo ir buvo pasiūlyta </w:t>
            </w:r>
            <w:r w:rsidR="00F21FFB">
              <w:rPr>
                <w:color w:val="000000"/>
              </w:rPr>
              <w:t xml:space="preserve">pasiūlymus vertinti tą pačią dieną, tačiau Komisija neparengė protokolo, vadovaujantis </w:t>
            </w:r>
            <w:r w:rsidR="00F21FFB" w:rsidRPr="00F21FFB">
              <w:rPr>
                <w:i/>
                <w:iCs/>
                <w:color w:val="000000"/>
              </w:rPr>
              <w:t>Komisijos susipažinimo su pasiūlymais ar paraiškomis procedūros protokolų privalomųjų rekvizitų apraš</w:t>
            </w:r>
            <w:r w:rsidR="00F21FFB">
              <w:rPr>
                <w:i/>
                <w:iCs/>
                <w:color w:val="000000"/>
              </w:rPr>
              <w:t>u</w:t>
            </w:r>
            <w:r w:rsidR="00F21FFB">
              <w:rPr>
                <w:color w:val="000000"/>
              </w:rPr>
              <w:t>, patvirtintu</w:t>
            </w:r>
            <w:r w:rsidR="00F21FFB" w:rsidRPr="00F21FFB">
              <w:rPr>
                <w:color w:val="000000"/>
              </w:rPr>
              <w:t xml:space="preserve"> </w:t>
            </w:r>
            <w:r w:rsidR="00F21FFB">
              <w:rPr>
                <w:color w:val="000000"/>
              </w:rPr>
              <w:t>Tarnybos direktoriaus 2017 m. birželio 7 d. įsakymu Nr. 1S-85 , ir tuo pažeidė Įstatymo 44 straipsnio 9 dalies nuostatas.</w:t>
            </w:r>
          </w:p>
        </w:tc>
      </w:tr>
      <w:tr w:rsidR="00AB531F" w:rsidRPr="002A07F4" w14:paraId="3A69B071" w14:textId="77777777" w:rsidTr="00C36831">
        <w:tc>
          <w:tcPr>
            <w:tcW w:w="704" w:type="dxa"/>
            <w:tcBorders>
              <w:top w:val="single" w:sz="4" w:space="0" w:color="auto"/>
              <w:left w:val="single" w:sz="4" w:space="0" w:color="auto"/>
              <w:bottom w:val="single" w:sz="4" w:space="0" w:color="auto"/>
              <w:right w:val="single" w:sz="4" w:space="0" w:color="auto"/>
            </w:tcBorders>
          </w:tcPr>
          <w:p w14:paraId="5A5710BD" w14:textId="1CCAF9EB" w:rsidR="00AB531F" w:rsidRPr="003351A0" w:rsidRDefault="004C7A77" w:rsidP="00701E67">
            <w:pPr>
              <w:jc w:val="center"/>
              <w:rPr>
                <w:szCs w:val="24"/>
              </w:rPr>
            </w:pPr>
            <w:r>
              <w:rPr>
                <w:szCs w:val="24"/>
              </w:rPr>
              <w:t>3</w:t>
            </w:r>
            <w:r w:rsidR="00AB531F">
              <w:rPr>
                <w:szCs w:val="24"/>
              </w:rPr>
              <w:t>.</w:t>
            </w:r>
          </w:p>
        </w:tc>
        <w:tc>
          <w:tcPr>
            <w:tcW w:w="8930" w:type="dxa"/>
            <w:tcBorders>
              <w:top w:val="single" w:sz="4" w:space="0" w:color="auto"/>
              <w:left w:val="single" w:sz="4" w:space="0" w:color="auto"/>
              <w:bottom w:val="single" w:sz="4" w:space="0" w:color="auto"/>
              <w:right w:val="single" w:sz="4" w:space="0" w:color="auto"/>
            </w:tcBorders>
          </w:tcPr>
          <w:p w14:paraId="5929FA06" w14:textId="365D2CA2" w:rsidR="00AB531F" w:rsidRPr="003351A0" w:rsidRDefault="00AB531F" w:rsidP="00AB531F">
            <w:pPr>
              <w:jc w:val="both"/>
              <w:rPr>
                <w:szCs w:val="24"/>
              </w:rPr>
            </w:pPr>
            <w:r>
              <w:rPr>
                <w:szCs w:val="24"/>
              </w:rPr>
              <w:t>Įstatymo 96 straipsnio 2 dalies 1 punktas</w:t>
            </w:r>
            <w:r>
              <w:rPr>
                <w:rStyle w:val="FootnoteReference"/>
                <w:szCs w:val="24"/>
              </w:rPr>
              <w:footnoteReference w:id="27"/>
            </w:r>
            <w:r>
              <w:rPr>
                <w:szCs w:val="24"/>
              </w:rPr>
              <w:t>.</w:t>
            </w:r>
          </w:p>
        </w:tc>
      </w:tr>
      <w:tr w:rsidR="00AB531F" w:rsidRPr="002A07F4" w14:paraId="384B972F" w14:textId="77777777" w:rsidTr="00C36831">
        <w:tc>
          <w:tcPr>
            <w:tcW w:w="9634" w:type="dxa"/>
            <w:gridSpan w:val="2"/>
            <w:tcBorders>
              <w:top w:val="single" w:sz="4" w:space="0" w:color="auto"/>
              <w:left w:val="single" w:sz="4" w:space="0" w:color="auto"/>
              <w:bottom w:val="single" w:sz="4" w:space="0" w:color="auto"/>
              <w:right w:val="single" w:sz="4" w:space="0" w:color="auto"/>
            </w:tcBorders>
          </w:tcPr>
          <w:p w14:paraId="7B48F0D2" w14:textId="67C356F3" w:rsidR="00AB531F" w:rsidRPr="003351A0" w:rsidRDefault="00AB531F" w:rsidP="00AB531F">
            <w:pPr>
              <w:ind w:firstLine="740"/>
              <w:jc w:val="both"/>
              <w:rPr>
                <w:szCs w:val="24"/>
              </w:rPr>
            </w:pPr>
            <w:r>
              <w:rPr>
                <w:szCs w:val="24"/>
              </w:rPr>
              <w:t xml:space="preserve">Perkančioji organizacija Tarnybai nepateikė Pirkimo Nr. </w:t>
            </w:r>
            <w:r w:rsidR="00FE1FE9">
              <w:rPr>
                <w:szCs w:val="24"/>
              </w:rPr>
              <w:t>3</w:t>
            </w:r>
            <w:r>
              <w:rPr>
                <w:szCs w:val="24"/>
              </w:rPr>
              <w:t xml:space="preserve"> procedūrų ataskaitos ir tuo pažeidė Įstatymo 96 straipsnio 2 dalies 1 punkto nuostatas.</w:t>
            </w:r>
          </w:p>
        </w:tc>
      </w:tr>
    </w:tbl>
    <w:p w14:paraId="1883A38F" w14:textId="32DA8027" w:rsidR="00231B9E" w:rsidRPr="00AB57C7" w:rsidRDefault="00231B9E" w:rsidP="00ED6563">
      <w:pPr>
        <w:spacing w:before="240" w:after="120"/>
        <w:rPr>
          <w:b/>
          <w:sz w:val="20"/>
        </w:rPr>
      </w:pPr>
    </w:p>
    <w:p w14:paraId="17768419" w14:textId="7BE28BB9" w:rsidR="00231B9E" w:rsidRPr="004D04C1" w:rsidRDefault="00231B9E" w:rsidP="00ED6563">
      <w:pPr>
        <w:spacing w:before="240" w:after="120"/>
        <w:jc w:val="center"/>
        <w:rPr>
          <w:b/>
          <w:szCs w:val="24"/>
        </w:rPr>
      </w:pPr>
      <w:r w:rsidRPr="004D04C1">
        <w:rPr>
          <w:b/>
          <w:szCs w:val="24"/>
        </w:rPr>
        <w:t xml:space="preserve">IV </w:t>
      </w:r>
      <w:r w:rsidRPr="003A056D">
        <w:rPr>
          <w:b/>
          <w:szCs w:val="24"/>
        </w:rPr>
        <w:t>dalis. Sprendimas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31B9E" w:rsidRPr="004D04C1" w14:paraId="48F3A8D6" w14:textId="77777777" w:rsidTr="00C36831">
        <w:tc>
          <w:tcPr>
            <w:tcW w:w="9634" w:type="dxa"/>
            <w:tcBorders>
              <w:top w:val="single" w:sz="4" w:space="0" w:color="auto"/>
              <w:left w:val="single" w:sz="4" w:space="0" w:color="auto"/>
              <w:bottom w:val="single" w:sz="4" w:space="0" w:color="auto"/>
              <w:right w:val="single" w:sz="4" w:space="0" w:color="auto"/>
            </w:tcBorders>
          </w:tcPr>
          <w:p w14:paraId="5EE54B4B" w14:textId="16A92059" w:rsidR="000837BC" w:rsidRPr="00C83311" w:rsidRDefault="003A056D" w:rsidP="000837BC">
            <w:pPr>
              <w:ind w:firstLine="879"/>
              <w:jc w:val="both"/>
              <w:rPr>
                <w:szCs w:val="24"/>
              </w:rPr>
            </w:pPr>
            <w:r w:rsidRPr="000837BC">
              <w:rPr>
                <w:bCs/>
                <w:szCs w:val="24"/>
                <w:lang w:eastAsia="lt-LT"/>
              </w:rPr>
              <w:t xml:space="preserve">Tarnyba, atlikusi Pirkimo Nr. </w:t>
            </w:r>
            <w:r w:rsidR="00FE1FE9">
              <w:rPr>
                <w:bCs/>
                <w:szCs w:val="24"/>
                <w:lang w:eastAsia="lt-LT"/>
              </w:rPr>
              <w:t>3</w:t>
            </w:r>
            <w:r w:rsidRPr="000837BC">
              <w:rPr>
                <w:bCs/>
                <w:szCs w:val="24"/>
                <w:lang w:eastAsia="lt-LT"/>
              </w:rPr>
              <w:t xml:space="preserve"> vertinimą</w:t>
            </w:r>
            <w:r w:rsidR="00873754" w:rsidRPr="000837BC">
              <w:rPr>
                <w:bCs/>
                <w:szCs w:val="24"/>
                <w:lang w:eastAsia="lt-LT"/>
              </w:rPr>
              <w:t xml:space="preserve">, </w:t>
            </w:r>
            <w:r w:rsidR="00E36CD6">
              <w:rPr>
                <w:bCs/>
                <w:szCs w:val="24"/>
                <w:lang w:eastAsia="lt-LT"/>
              </w:rPr>
              <w:t xml:space="preserve">toje apimtyje, kiek </w:t>
            </w:r>
            <w:r w:rsidR="00873754" w:rsidRPr="000837BC">
              <w:rPr>
                <w:bCs/>
                <w:szCs w:val="24"/>
                <w:lang w:eastAsia="lt-LT"/>
              </w:rPr>
              <w:t>nesusij</w:t>
            </w:r>
            <w:r w:rsidR="00E36CD6">
              <w:rPr>
                <w:bCs/>
                <w:szCs w:val="24"/>
                <w:lang w:eastAsia="lt-LT"/>
              </w:rPr>
              <w:t>ę</w:t>
            </w:r>
            <w:r w:rsidR="00873754" w:rsidRPr="000837BC">
              <w:rPr>
                <w:bCs/>
                <w:szCs w:val="24"/>
                <w:lang w:eastAsia="lt-LT"/>
              </w:rPr>
              <w:t xml:space="preserve"> su Ieškiniu</w:t>
            </w:r>
            <w:r w:rsidRPr="000837BC">
              <w:rPr>
                <w:bCs/>
                <w:szCs w:val="24"/>
                <w:lang w:eastAsia="lt-LT"/>
              </w:rPr>
              <w:t>, nustatė Įstatymo</w:t>
            </w:r>
            <w:r w:rsidRPr="000837BC">
              <w:rPr>
                <w:szCs w:val="24"/>
              </w:rPr>
              <w:t xml:space="preserve"> </w:t>
            </w:r>
            <w:r w:rsidR="000D36FE" w:rsidRPr="000837BC">
              <w:rPr>
                <w:szCs w:val="24"/>
              </w:rPr>
              <w:t xml:space="preserve">17 straipsnio 1 dalyje įtvirtintų skaidrumo ir lygiateisiškumo principų pažeidimus, </w:t>
            </w:r>
            <w:r w:rsidRPr="000837BC">
              <w:rPr>
                <w:szCs w:val="24"/>
              </w:rPr>
              <w:t xml:space="preserve">26 straipsnio 1 dalies, </w:t>
            </w:r>
            <w:r w:rsidR="005A0F1F" w:rsidRPr="000837BC">
              <w:rPr>
                <w:szCs w:val="24"/>
              </w:rPr>
              <w:t xml:space="preserve">44 straipsnio 9 dalies, </w:t>
            </w:r>
            <w:r w:rsidR="00A65B83" w:rsidRPr="000837BC">
              <w:rPr>
                <w:szCs w:val="24"/>
              </w:rPr>
              <w:t xml:space="preserve">45 straipsnio 1 dalies 1 punkto, </w:t>
            </w:r>
            <w:r w:rsidRPr="000837BC">
              <w:rPr>
                <w:szCs w:val="24"/>
              </w:rPr>
              <w:t xml:space="preserve">47 straipsnio 7 dalies, 51 straipsnio 7 dalies 2 punkto, </w:t>
            </w:r>
            <w:r w:rsidR="00A65B83" w:rsidRPr="000837BC">
              <w:rPr>
                <w:szCs w:val="24"/>
              </w:rPr>
              <w:t xml:space="preserve">55 straipsnio 9 dalies, </w:t>
            </w:r>
            <w:r w:rsidRPr="000837BC">
              <w:rPr>
                <w:szCs w:val="24"/>
              </w:rPr>
              <w:t xml:space="preserve">96 straipsnio 2 dalies 1 punkto ir  </w:t>
            </w:r>
            <w:r w:rsidRPr="000837BC">
              <w:rPr>
                <w:rFonts w:eastAsia="Calibri"/>
                <w:bCs/>
                <w:szCs w:val="24"/>
              </w:rPr>
              <w:t xml:space="preserve">Kvalifikacijos metodikos </w:t>
            </w:r>
            <w:r w:rsidRPr="000837BC">
              <w:rPr>
                <w:bCs/>
                <w:szCs w:val="24"/>
              </w:rPr>
              <w:t xml:space="preserve">16.2 papunkčio </w:t>
            </w:r>
            <w:r w:rsidRPr="000837BC">
              <w:rPr>
                <w:bCs/>
                <w:szCs w:val="24"/>
                <w:lang w:eastAsia="lt-LT"/>
              </w:rPr>
              <w:t>pažeidimus</w:t>
            </w:r>
            <w:r w:rsidR="000837BC" w:rsidRPr="000837BC">
              <w:rPr>
                <w:bCs/>
                <w:szCs w:val="24"/>
                <w:lang w:eastAsia="lt-LT"/>
              </w:rPr>
              <w:t>,</w:t>
            </w:r>
            <w:r w:rsidR="00FE1FE9">
              <w:rPr>
                <w:bCs/>
                <w:szCs w:val="24"/>
                <w:lang w:eastAsia="lt-LT"/>
              </w:rPr>
              <w:t xml:space="preserve"> ir</w:t>
            </w:r>
            <w:r w:rsidR="007E6306">
              <w:rPr>
                <w:bCs/>
                <w:szCs w:val="24"/>
                <w:lang w:eastAsia="lt-LT"/>
              </w:rPr>
              <w:t xml:space="preserve"> </w:t>
            </w:r>
            <w:r w:rsidR="007E6306">
              <w:rPr>
                <w:szCs w:val="24"/>
              </w:rPr>
              <w:t xml:space="preserve">vadovaudamasi teisingumo ir protingumo kriterijais, </w:t>
            </w:r>
            <w:r w:rsidR="000837BC" w:rsidRPr="000837BC">
              <w:rPr>
                <w:b/>
                <w:bCs/>
                <w:szCs w:val="24"/>
              </w:rPr>
              <w:t xml:space="preserve">rekomenduoja Perkančiajai </w:t>
            </w:r>
            <w:r w:rsidR="000837BC" w:rsidRPr="00C83311">
              <w:rPr>
                <w:b/>
                <w:bCs/>
                <w:szCs w:val="24"/>
              </w:rPr>
              <w:t xml:space="preserve">organizacijai </w:t>
            </w:r>
            <w:r w:rsidR="00E36CD6" w:rsidRPr="00C83311">
              <w:rPr>
                <w:b/>
                <w:bCs/>
                <w:szCs w:val="24"/>
              </w:rPr>
              <w:t xml:space="preserve">nedelsiant </w:t>
            </w:r>
            <w:r w:rsidR="00E36CD6">
              <w:rPr>
                <w:b/>
                <w:bCs/>
                <w:szCs w:val="24"/>
              </w:rPr>
              <w:t>organizuoti</w:t>
            </w:r>
            <w:r w:rsidR="00C83311" w:rsidRPr="00C83311">
              <w:rPr>
                <w:b/>
                <w:bCs/>
                <w:szCs w:val="24"/>
              </w:rPr>
              <w:t xml:space="preserve"> naują viešąjį pirkimą, </w:t>
            </w:r>
            <w:r w:rsidR="00E36CD6">
              <w:rPr>
                <w:b/>
                <w:bCs/>
                <w:szCs w:val="24"/>
              </w:rPr>
              <w:t xml:space="preserve">o </w:t>
            </w:r>
            <w:r w:rsidR="000837BC" w:rsidRPr="00C83311">
              <w:rPr>
                <w:b/>
                <w:bCs/>
                <w:szCs w:val="24"/>
              </w:rPr>
              <w:t>Pirkimo Nr. 3 sutartį</w:t>
            </w:r>
            <w:r w:rsidR="00E36CD6" w:rsidRPr="00C83311">
              <w:rPr>
                <w:b/>
                <w:bCs/>
                <w:szCs w:val="24"/>
              </w:rPr>
              <w:t xml:space="preserve"> nutraukti</w:t>
            </w:r>
            <w:r w:rsidR="00C83311" w:rsidRPr="00C83311">
              <w:rPr>
                <w:b/>
                <w:bCs/>
                <w:szCs w:val="24"/>
              </w:rPr>
              <w:t>.</w:t>
            </w:r>
          </w:p>
          <w:p w14:paraId="08B65CD7" w14:textId="370586F9" w:rsidR="00202634" w:rsidRPr="00C83311" w:rsidRDefault="00202634" w:rsidP="00202634">
            <w:pPr>
              <w:spacing w:line="252" w:lineRule="auto"/>
              <w:ind w:firstLine="881"/>
              <w:jc w:val="both"/>
              <w:rPr>
                <w:szCs w:val="24"/>
              </w:rPr>
            </w:pPr>
            <w:r w:rsidRPr="00C83311">
              <w:rPr>
                <w:szCs w:val="24"/>
              </w:rPr>
              <w:t xml:space="preserve">Prašome </w:t>
            </w:r>
            <w:r w:rsidRPr="00C83311">
              <w:rPr>
                <w:b/>
                <w:szCs w:val="24"/>
              </w:rPr>
              <w:t xml:space="preserve">ne vėliau kaip per 10 darbo dienų </w:t>
            </w:r>
            <w:r w:rsidRPr="00C83311">
              <w:rPr>
                <w:szCs w:val="24"/>
              </w:rPr>
              <w:t>nuo šios vertinimo išvados gavimo dienos raštu informuoti Tarnybą apie</w:t>
            </w:r>
            <w:r w:rsidRPr="00C83311">
              <w:rPr>
                <w:rFonts w:eastAsia="Calibri"/>
                <w:szCs w:val="24"/>
              </w:rPr>
              <w:t xml:space="preserve"> priimtą sprendimą dėl pateiktos rekomendacijos </w:t>
            </w:r>
            <w:r w:rsidRPr="00C83311">
              <w:rPr>
                <w:szCs w:val="24"/>
              </w:rPr>
              <w:t xml:space="preserve">Perkančiajai organizacijai nutraukti </w:t>
            </w:r>
            <w:r w:rsidR="00F21E47" w:rsidRPr="00C83311">
              <w:rPr>
                <w:szCs w:val="24"/>
              </w:rPr>
              <w:t>Pirkimo Nr. 3 s</w:t>
            </w:r>
            <w:r w:rsidRPr="00C83311">
              <w:rPr>
                <w:szCs w:val="24"/>
              </w:rPr>
              <w:t xml:space="preserve">utartį </w:t>
            </w:r>
            <w:r w:rsidRPr="00C83311">
              <w:rPr>
                <w:rFonts w:eastAsia="Calibri"/>
                <w:szCs w:val="24"/>
              </w:rPr>
              <w:t>vykdymo.</w:t>
            </w:r>
          </w:p>
          <w:p w14:paraId="38B66955" w14:textId="571452A3" w:rsidR="00FD66EF" w:rsidRPr="0030770C" w:rsidRDefault="00202634" w:rsidP="00202634">
            <w:pPr>
              <w:ind w:firstLine="880"/>
              <w:jc w:val="both"/>
              <w:rPr>
                <w:rFonts w:eastAsia="Calibri"/>
                <w:bCs/>
                <w:szCs w:val="24"/>
              </w:rPr>
            </w:pPr>
            <w:r w:rsidRPr="00C83311">
              <w:rPr>
                <w:rFonts w:eastAsia="Calibri"/>
                <w:bCs/>
                <w:szCs w:val="24"/>
              </w:rPr>
              <w:t>Perkančioji organizacija</w:t>
            </w:r>
            <w:r>
              <w:rPr>
                <w:rFonts w:eastAsia="Calibri"/>
                <w:bCs/>
                <w:szCs w:val="24"/>
              </w:rPr>
              <w:t>, nesutikusi su Tarnybos sprendimu,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46A0F41B" w14:textId="77777777" w:rsidR="00231B9E" w:rsidRDefault="00231B9E" w:rsidP="00ED6563">
      <w:pPr>
        <w:tabs>
          <w:tab w:val="left" w:pos="900"/>
        </w:tabs>
        <w:spacing w:before="120" w:after="240"/>
        <w:jc w:val="both"/>
        <w:rPr>
          <w:color w:val="000000"/>
        </w:rPr>
      </w:pPr>
    </w:p>
    <w:p w14:paraId="27C18BE6" w14:textId="41BA003E" w:rsidR="00231B9E" w:rsidRPr="004D04C1" w:rsidRDefault="00231B9E" w:rsidP="00805952">
      <w:pPr>
        <w:spacing w:before="240" w:after="120"/>
        <w:jc w:val="center"/>
        <w:rPr>
          <w:b/>
          <w:szCs w:val="24"/>
        </w:rPr>
      </w:pPr>
      <w:r w:rsidRPr="004D04C1">
        <w:rPr>
          <w:b/>
          <w:szCs w:val="24"/>
        </w:rPr>
        <w:t>Pastabo</w:t>
      </w:r>
      <w:r>
        <w:rPr>
          <w:b/>
          <w:szCs w:val="24"/>
        </w:rPr>
        <w: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31B9E" w:rsidRPr="004D04C1" w14:paraId="4C8396EE" w14:textId="77777777" w:rsidTr="00C36831">
        <w:tc>
          <w:tcPr>
            <w:tcW w:w="9634" w:type="dxa"/>
            <w:tcBorders>
              <w:top w:val="single" w:sz="4" w:space="0" w:color="auto"/>
              <w:left w:val="single" w:sz="4" w:space="0" w:color="auto"/>
              <w:bottom w:val="single" w:sz="4" w:space="0" w:color="auto"/>
              <w:right w:val="single" w:sz="4" w:space="0" w:color="auto"/>
            </w:tcBorders>
          </w:tcPr>
          <w:p w14:paraId="4720B319" w14:textId="6194821B" w:rsidR="00231B9E" w:rsidRPr="0030770C" w:rsidRDefault="00C83311" w:rsidP="005A2C56">
            <w:pPr>
              <w:spacing w:before="120"/>
              <w:ind w:firstLine="741"/>
              <w:jc w:val="both"/>
              <w:rPr>
                <w:szCs w:val="24"/>
              </w:rPr>
            </w:pPr>
            <w:r>
              <w:rPr>
                <w:color w:val="000000"/>
              </w:rPr>
              <w:t>Tarnyba atkreipia dėmesį, kad yra parengusi pasiūlymų vertinimo gaires</w:t>
            </w:r>
            <w:r>
              <w:rPr>
                <w:rStyle w:val="FootnoteReference"/>
                <w:color w:val="000000"/>
              </w:rPr>
              <w:footnoteReference w:id="28"/>
            </w:r>
            <w:r>
              <w:rPr>
                <w:color w:val="000000"/>
              </w:rPr>
              <w:t xml:space="preserve"> ir rekomenduoja Perkančiajai organizacijai, atliekant pasiūlymų vertinimo procedūras, jomis naudotis.</w:t>
            </w:r>
          </w:p>
        </w:tc>
      </w:tr>
    </w:tbl>
    <w:p w14:paraId="660F6853" w14:textId="77777777" w:rsidR="005E31BD" w:rsidRDefault="005E31BD" w:rsidP="005E31BD">
      <w:pPr>
        <w:tabs>
          <w:tab w:val="left" w:pos="900"/>
        </w:tabs>
        <w:jc w:val="both"/>
        <w:rPr>
          <w:color w:val="000000"/>
        </w:rPr>
      </w:pPr>
    </w:p>
    <w:p w14:paraId="3478995C" w14:textId="6F96724B" w:rsidR="005E31BD" w:rsidRDefault="005E31BD" w:rsidP="00B30B47">
      <w:pPr>
        <w:tabs>
          <w:tab w:val="left" w:pos="900"/>
        </w:tabs>
        <w:jc w:val="both"/>
        <w:rPr>
          <w:color w:val="000000"/>
        </w:rPr>
      </w:pPr>
    </w:p>
    <w:p w14:paraId="79ABACEA" w14:textId="77777777" w:rsidR="00805952" w:rsidRDefault="00805952" w:rsidP="00B30B47">
      <w:pPr>
        <w:tabs>
          <w:tab w:val="left" w:pos="900"/>
        </w:tabs>
        <w:jc w:val="both"/>
        <w:rPr>
          <w:color w:val="000000"/>
        </w:rPr>
      </w:pPr>
    </w:p>
    <w:p w14:paraId="60D0CB90" w14:textId="5FA7EBCE" w:rsidR="00086F43" w:rsidRPr="0051321A" w:rsidRDefault="003A7C72" w:rsidP="00B30B47">
      <w:pPr>
        <w:tabs>
          <w:tab w:val="left" w:pos="900"/>
        </w:tabs>
        <w:jc w:val="both"/>
        <w:rPr>
          <w:color w:val="000000"/>
        </w:rPr>
      </w:pPr>
      <w:r>
        <w:rPr>
          <w:color w:val="000000"/>
        </w:rPr>
        <w:t>Direktori</w:t>
      </w:r>
      <w:r w:rsidR="00FF277B">
        <w:t>us</w:t>
      </w:r>
      <w:r w:rsidR="00FF277B">
        <w:rPr>
          <w:color w:val="000000"/>
        </w:rPr>
        <w:t xml:space="preserve">                                                                                                          Darius Vedrickas</w:t>
      </w:r>
    </w:p>
    <w:p w14:paraId="72C66A66" w14:textId="2FBFB43C" w:rsidR="00247F27" w:rsidRDefault="00247F27" w:rsidP="007D5A97">
      <w:pPr>
        <w:pStyle w:val="xmsonormal"/>
        <w:rPr>
          <w:rFonts w:ascii="Times New Roman" w:hAnsi="Times New Roman" w:cs="Times New Roman"/>
          <w:sz w:val="20"/>
          <w:szCs w:val="20"/>
        </w:rPr>
      </w:pPr>
    </w:p>
    <w:p w14:paraId="520499DB" w14:textId="6AEB48A7" w:rsidR="009E79C6" w:rsidRDefault="009E79C6" w:rsidP="007D5A97">
      <w:pPr>
        <w:pStyle w:val="xmsonormal"/>
        <w:rPr>
          <w:rFonts w:ascii="Times New Roman" w:hAnsi="Times New Roman" w:cs="Times New Roman"/>
          <w:sz w:val="20"/>
          <w:szCs w:val="20"/>
        </w:rPr>
      </w:pPr>
    </w:p>
    <w:p w14:paraId="1DF232E0" w14:textId="77777777" w:rsidR="00805952" w:rsidRDefault="00805952" w:rsidP="007D5A97">
      <w:pPr>
        <w:pStyle w:val="xmsonormal"/>
        <w:rPr>
          <w:rFonts w:ascii="Times New Roman" w:hAnsi="Times New Roman" w:cs="Times New Roman"/>
          <w:sz w:val="20"/>
          <w:szCs w:val="20"/>
        </w:rPr>
      </w:pPr>
    </w:p>
    <w:p w14:paraId="3218729A" w14:textId="374AC434" w:rsidR="002C2A4E" w:rsidRPr="007D5A97" w:rsidRDefault="002C2A4E" w:rsidP="007D5A97">
      <w:pPr>
        <w:pStyle w:val="xmsonormal"/>
        <w:rPr>
          <w:rFonts w:ascii="Times New Roman" w:hAnsi="Times New Roman" w:cs="Times New Roman"/>
          <w:sz w:val="20"/>
          <w:szCs w:val="20"/>
          <w:lang w:val="en-US"/>
        </w:rPr>
      </w:pPr>
      <w:r w:rsidRPr="0051321A">
        <w:rPr>
          <w:rFonts w:ascii="Times New Roman" w:hAnsi="Times New Roman" w:cs="Times New Roman"/>
          <w:sz w:val="20"/>
          <w:szCs w:val="20"/>
        </w:rPr>
        <w:t xml:space="preserve">Deimantė Skeberdė, tel. (8 5) </w:t>
      </w:r>
      <w:r w:rsidRPr="0051321A">
        <w:rPr>
          <w:rFonts w:ascii="Times New Roman" w:hAnsi="Times New Roman" w:cs="Times New Roman"/>
          <w:sz w:val="20"/>
          <w:szCs w:val="20"/>
          <w:lang w:val="lt-LT"/>
        </w:rPr>
        <w:t xml:space="preserve">219 7051, mob. tel. 8 690 24131, </w:t>
      </w:r>
      <w:r w:rsidRPr="0051321A">
        <w:rPr>
          <w:rFonts w:ascii="Times New Roman" w:hAnsi="Times New Roman" w:cs="Times New Roman"/>
          <w:sz w:val="20"/>
          <w:szCs w:val="20"/>
        </w:rPr>
        <w:t>el. p.</w:t>
      </w:r>
      <w:r w:rsidR="0051321A" w:rsidRPr="0051321A">
        <w:rPr>
          <w:rFonts w:ascii="Times New Roman" w:hAnsi="Times New Roman" w:cs="Times New Roman"/>
          <w:sz w:val="20"/>
          <w:szCs w:val="20"/>
        </w:rPr>
        <w:t xml:space="preserve"> </w:t>
      </w:r>
      <w:r w:rsidRPr="0051321A">
        <w:rPr>
          <w:rFonts w:ascii="Times New Roman" w:hAnsi="Times New Roman" w:cs="Times New Roman"/>
          <w:sz w:val="20"/>
          <w:szCs w:val="20"/>
        </w:rPr>
        <w:t>Deimante.Skeberde@vpt.lt</w:t>
      </w:r>
    </w:p>
    <w:sectPr w:rsidR="002C2A4E" w:rsidRPr="007D5A97" w:rsidSect="00C36831">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158BD" w14:textId="77777777" w:rsidR="00CB08B5" w:rsidRDefault="00CB08B5" w:rsidP="00B60E72">
      <w:r>
        <w:separator/>
      </w:r>
    </w:p>
  </w:endnote>
  <w:endnote w:type="continuationSeparator" w:id="0">
    <w:p w14:paraId="4F5CEEC2" w14:textId="77777777" w:rsidR="00CB08B5" w:rsidRDefault="00CB08B5"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3AAF" w14:textId="77777777" w:rsidR="00E52954" w:rsidRDefault="00E52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DD92" w14:textId="77777777" w:rsidR="00E52954" w:rsidRDefault="00E52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06F42B54" w:rsidR="00CC1530" w:rsidRPr="00EF1EBC" w:rsidRDefault="00CC1530" w:rsidP="00E52954">
    <w:pPr>
      <w:pBdr>
        <w:top w:val="single" w:sz="4" w:space="1" w:color="auto"/>
      </w:pBdr>
      <w:jc w:val="both"/>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00E52954">
      <w:rPr>
        <w:sz w:val="20"/>
      </w:rPr>
      <w:t xml:space="preserve">            </w:t>
    </w:r>
    <w:r w:rsidRPr="00EF1EBC">
      <w:rPr>
        <w:sz w:val="20"/>
      </w:rPr>
      <w:t>Duomenys kaupiami ir saugomi</w:t>
    </w:r>
  </w:p>
  <w:p w14:paraId="2C7D9077" w14:textId="1D7A955F" w:rsidR="00CC1530" w:rsidRPr="00EF1EBC" w:rsidRDefault="00CC1530" w:rsidP="00E52954">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Juridinių asmenų registre</w:t>
    </w:r>
  </w:p>
  <w:p w14:paraId="681C013E" w14:textId="5E3235D2" w:rsidR="00CC1530" w:rsidRPr="00EF1EBC" w:rsidRDefault="00CC1530" w:rsidP="00E52954">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w:t>
    </w:r>
    <w:proofErr w:type="spellStart"/>
    <w:r w:rsidRPr="00EF1EBC">
      <w:rPr>
        <w:sz w:val="20"/>
      </w:rPr>
      <w:t>El.p</w:t>
    </w:r>
    <w:proofErr w:type="spellEnd"/>
    <w:r w:rsidRPr="00EF1EBC">
      <w:rPr>
        <w:sz w:val="20"/>
      </w:rPr>
      <w:t xml:space="preserve">. </w:t>
    </w:r>
    <w:proofErr w:type="spellStart"/>
    <w:r w:rsidRPr="00EF1EBC">
      <w:rPr>
        <w:sz w:val="20"/>
      </w:rPr>
      <w:t>info@vpt.lt</w:t>
    </w:r>
    <w:proofErr w:type="spellEnd"/>
    <w:r w:rsidRPr="00EF1EBC">
      <w:rPr>
        <w:sz w:val="20"/>
      </w:rPr>
      <w:t xml:space="preserve">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2596A" w14:textId="77777777" w:rsidR="00CB08B5" w:rsidRDefault="00CB08B5" w:rsidP="00B60E72">
      <w:r>
        <w:separator/>
      </w:r>
    </w:p>
  </w:footnote>
  <w:footnote w:type="continuationSeparator" w:id="0">
    <w:p w14:paraId="357B6BD3" w14:textId="77777777" w:rsidR="00CB08B5" w:rsidRDefault="00CB08B5" w:rsidP="00B60E72">
      <w:r>
        <w:continuationSeparator/>
      </w:r>
    </w:p>
  </w:footnote>
  <w:footnote w:id="1">
    <w:p w14:paraId="2BFB35D0" w14:textId="140DA067" w:rsidR="00ED205C" w:rsidRDefault="00ED205C">
      <w:pPr>
        <w:pStyle w:val="FootnoteText"/>
      </w:pPr>
      <w:r>
        <w:rPr>
          <w:rStyle w:val="FootnoteReference"/>
        </w:rPr>
        <w:footnoteRef/>
      </w:r>
      <w:r>
        <w:t xml:space="preserve"> </w:t>
      </w:r>
      <w:r w:rsidRPr="004500F6">
        <w:t>Pirkimas nutrauktas</w:t>
      </w:r>
      <w:r w:rsidR="004500F6">
        <w:t xml:space="preserve"> 2021 m. gruodžio 2 d. Komisijos sprendimu (protokolo Nr. 2) dėl </w:t>
      </w:r>
      <w:r>
        <w:t>netinkam</w:t>
      </w:r>
      <w:r w:rsidR="004500F6">
        <w:t>o</w:t>
      </w:r>
      <w:r>
        <w:t xml:space="preserve"> Pirkimo būd</w:t>
      </w:r>
      <w:r w:rsidR="004500F6">
        <w:t>o</w:t>
      </w:r>
      <w:r>
        <w:t>.</w:t>
      </w:r>
    </w:p>
  </w:footnote>
  <w:footnote w:id="2">
    <w:p w14:paraId="3DD1BB91" w14:textId="6A159132" w:rsidR="001304B4" w:rsidRPr="008569BC" w:rsidRDefault="001304B4" w:rsidP="001304B4">
      <w:pPr>
        <w:jc w:val="both"/>
        <w:rPr>
          <w:i/>
          <w:iCs/>
          <w:sz w:val="20"/>
        </w:rPr>
      </w:pPr>
      <w:r w:rsidRPr="004F1F22">
        <w:rPr>
          <w:rStyle w:val="FootnoteReference"/>
          <w:sz w:val="20"/>
        </w:rPr>
        <w:footnoteRef/>
      </w:r>
      <w:r w:rsidRPr="004F1F22">
        <w:rPr>
          <w:sz w:val="20"/>
        </w:rPr>
        <w:t xml:space="preserve"> </w:t>
      </w:r>
      <w:r w:rsidRPr="008569BC">
        <w:rPr>
          <w:i/>
          <w:iCs/>
          <w:sz w:val="20"/>
        </w:rPr>
        <w:t>„</w:t>
      </w:r>
      <w:r w:rsidR="008569BC" w:rsidRPr="008569BC">
        <w:rPr>
          <w:i/>
          <w:iCs/>
          <w:color w:val="000000"/>
          <w:sz w:val="20"/>
        </w:rPr>
        <w:t>Tiekėjo kvalifikacijos reikalavimai nustatomi pagal Viešųjų pirkimų tarnybos patvirtintą tiekėjo kvalifikacijos reikalavimų nustatymo metodiką“.</w:t>
      </w:r>
    </w:p>
  </w:footnote>
  <w:footnote w:id="3">
    <w:p w14:paraId="32157907" w14:textId="77777777" w:rsidR="001304B4" w:rsidRPr="008569BC" w:rsidRDefault="001304B4" w:rsidP="001304B4">
      <w:pPr>
        <w:pStyle w:val="FootnoteText"/>
        <w:jc w:val="both"/>
        <w:rPr>
          <w:i/>
          <w:iCs/>
        </w:rPr>
      </w:pPr>
      <w:r w:rsidRPr="008569BC">
        <w:rPr>
          <w:rStyle w:val="FootnoteReference"/>
          <w:i/>
          <w:iCs/>
        </w:rPr>
        <w:footnoteRef/>
      </w:r>
      <w:r w:rsidRPr="008569BC">
        <w:rPr>
          <w:i/>
          <w:iCs/>
        </w:rPr>
        <w:t xml:space="preserve"> </w:t>
      </w:r>
      <w:r w:rsidRPr="008569BC">
        <w:rPr>
          <w:i/>
          <w:iCs/>
        </w:rPr>
        <w:t>„</w:t>
      </w:r>
      <w:r w:rsidRPr="008569BC">
        <w:rPr>
          <w:i/>
          <w:iCs/>
          <w:color w:val="000000"/>
        </w:rPr>
        <w:t>Perkančioji organizacija, atsižvelgdama į perkamų prekių, paslaugų ar darbų pobūdį, kiekį, svarbą ir paskirtį, gali reikalauti iš tiekėjų pateikti šiuos dokumentus (vieną ar kelis), patvirtinančius jų techninį ir profesinį pajėgumą: &lt;...&gt; pagrindinių per paskutinius 3 metus patiektų prekių ar suteiktų paslaugų sąrašus, kuriuose nurodytos prekių ar paslaugų bendros sumos, datos ir prekių ar paslaugų gavėjai – tiek viešieji, tiek privatieji &lt;...&gt;.“</w:t>
      </w:r>
    </w:p>
  </w:footnote>
  <w:footnote w:id="4">
    <w:p w14:paraId="6FCB5AD2" w14:textId="77777777" w:rsidR="001304B4" w:rsidRPr="008569BC" w:rsidRDefault="001304B4" w:rsidP="001304B4">
      <w:pPr>
        <w:pStyle w:val="FootnoteText"/>
        <w:jc w:val="both"/>
        <w:rPr>
          <w:i/>
          <w:iCs/>
        </w:rPr>
      </w:pPr>
      <w:r w:rsidRPr="008569BC">
        <w:rPr>
          <w:rStyle w:val="FootnoteReference"/>
          <w:i/>
          <w:iCs/>
        </w:rPr>
        <w:footnoteRef/>
      </w:r>
      <w:r w:rsidRPr="008569BC">
        <w:rPr>
          <w:i/>
          <w:iCs/>
        </w:rPr>
        <w:t xml:space="preserve"> </w:t>
      </w:r>
      <w:r w:rsidRPr="008569BC">
        <w:rPr>
          <w:i/>
          <w:iCs/>
        </w:rPr>
        <w:t>„</w:t>
      </w:r>
      <w:r w:rsidRPr="008569BC">
        <w:rPr>
          <w:i/>
          <w:iCs/>
          <w:color w:val="000000"/>
        </w:rPr>
        <w:t>Tiekėjas, per paskutinius 3* metus iki pasiūlymo pateikimo termino pabaigos pagal vieną ar daugiau sutarčių (projektų) yra savo jėgomis suteikęs [nurodomos panašios paslaugos (jų apimtis ar vertė ar kt.)].“</w:t>
      </w:r>
    </w:p>
  </w:footnote>
  <w:footnote w:id="5">
    <w:p w14:paraId="1A7BE898" w14:textId="3D7EEDDD" w:rsidR="00A96430" w:rsidRDefault="00A96430">
      <w:pPr>
        <w:pStyle w:val="FootnoteText"/>
      </w:pPr>
      <w:r>
        <w:rPr>
          <w:rStyle w:val="FootnoteReference"/>
        </w:rPr>
        <w:footnoteRef/>
      </w:r>
      <w:r>
        <w:t xml:space="preserve"> </w:t>
      </w:r>
      <w:r>
        <w:t>2020 m. gruodžio 1 d. įsakym</w:t>
      </w:r>
      <w:r w:rsidR="00077064">
        <w:t>u</w:t>
      </w:r>
      <w:r>
        <w:t xml:space="preserve"> Nr. PV-113</w:t>
      </w:r>
      <w:r w:rsidR="00077064">
        <w:t xml:space="preserve"> pakeista Komisijos sudėtis</w:t>
      </w:r>
      <w:r>
        <w:t>.</w:t>
      </w:r>
    </w:p>
  </w:footnote>
  <w:footnote w:id="6">
    <w:p w14:paraId="593F176A" w14:textId="5BA15BB3" w:rsidR="00FE7CC9" w:rsidRPr="00FE7CC9" w:rsidRDefault="00FE7CC9">
      <w:pPr>
        <w:pStyle w:val="FootnoteText"/>
        <w:rPr>
          <w:i/>
          <w:iCs/>
        </w:rPr>
      </w:pPr>
      <w:r>
        <w:rPr>
          <w:rStyle w:val="FootnoteReference"/>
        </w:rPr>
        <w:footnoteRef/>
      </w:r>
      <w:r>
        <w:t xml:space="preserve"> </w:t>
      </w:r>
      <w:r w:rsidRPr="00FE7CC9">
        <w:rPr>
          <w:i/>
          <w:iCs/>
        </w:rPr>
        <w:t xml:space="preserve">„ &lt;...&gt; </w:t>
      </w:r>
      <w:r w:rsidRPr="00FE7CC9">
        <w:rPr>
          <w:i/>
          <w:iCs/>
          <w:color w:val="000000"/>
        </w:rPr>
        <w:t xml:space="preserve">suvestinė turi būti paskelbta kiekvienais metais ne vėliau kaip iki kovo 15 dienos, o </w:t>
      </w:r>
      <w:r w:rsidRPr="00FE7CC9">
        <w:rPr>
          <w:b/>
          <w:bCs/>
          <w:i/>
          <w:iCs/>
          <w:color w:val="000000"/>
        </w:rPr>
        <w:t>patikslinus planuojamų atlikti einamaisiais kalendoriniais metais pirkimų planus, – ne vėliau kaip per 5 darbo dienas</w:t>
      </w:r>
      <w:r w:rsidRPr="00FE7CC9">
        <w:rPr>
          <w:i/>
          <w:iCs/>
          <w:color w:val="000000"/>
        </w:rPr>
        <w:t>“.</w:t>
      </w:r>
    </w:p>
  </w:footnote>
  <w:footnote w:id="7">
    <w:p w14:paraId="42A91F1B" w14:textId="77777777" w:rsidR="00701E67" w:rsidRDefault="00701E67" w:rsidP="00701E67">
      <w:pPr>
        <w:pStyle w:val="FootnoteText"/>
        <w:jc w:val="both"/>
      </w:pPr>
      <w:r>
        <w:rPr>
          <w:rStyle w:val="FootnoteReference"/>
        </w:rPr>
        <w:footnoteRef/>
      </w:r>
      <w:r>
        <w:t xml:space="preserve"> </w:t>
      </w:r>
      <w:r w:rsidRPr="005A0F1F">
        <w:rPr>
          <w:i/>
          <w:iCs/>
        </w:rPr>
        <w:t>„</w:t>
      </w:r>
      <w:r w:rsidRPr="005A0F1F">
        <w:rPr>
          <w:b/>
          <w:bCs/>
          <w:i/>
          <w:iCs/>
          <w:color w:val="000000"/>
        </w:rPr>
        <w:t>Susipažinimo su paraiškomis ar pasiūlymais procedūros rezultatus Komisija įformina protokolu</w:t>
      </w:r>
      <w:r w:rsidRPr="005A0F1F">
        <w:rPr>
          <w:i/>
          <w:iCs/>
          <w:color w:val="000000"/>
        </w:rPr>
        <w:t xml:space="preserve">, išskyrus atvejus, kai, vadovaujantis šio įstatymo 22 straipsnio 2 dalimi, su paraiškomis ar pasiūlymais susipažįstama naudojantis centrinės perkančiosios organizacijos siūlomomis elektroninėmis priemonėmis. </w:t>
      </w:r>
      <w:r w:rsidRPr="005A0F1F">
        <w:rPr>
          <w:b/>
          <w:bCs/>
          <w:i/>
          <w:iCs/>
          <w:color w:val="000000"/>
        </w:rPr>
        <w:t>Susipažinimo su pasiūlymais procedūros protokolo privalomuosius rekvizitus nustato Viešųjų pirkimų tarnyba</w:t>
      </w:r>
      <w:r w:rsidRPr="005A0F1F">
        <w:rPr>
          <w:i/>
          <w:iCs/>
          <w:color w:val="000000"/>
        </w:rPr>
        <w:t>“.</w:t>
      </w:r>
    </w:p>
  </w:footnote>
  <w:footnote w:id="8">
    <w:p w14:paraId="5614E8DC" w14:textId="77777777" w:rsidR="00FE7CC9" w:rsidRPr="00FE7CC9" w:rsidRDefault="00FE7CC9" w:rsidP="00FE7CC9">
      <w:pPr>
        <w:jc w:val="both"/>
        <w:rPr>
          <w:i/>
          <w:iCs/>
          <w:color w:val="000000"/>
          <w:sz w:val="20"/>
        </w:rPr>
      </w:pPr>
      <w:r w:rsidRPr="00FE7CC9">
        <w:rPr>
          <w:rStyle w:val="FootnoteReference"/>
          <w:i/>
          <w:iCs/>
          <w:sz w:val="20"/>
        </w:rPr>
        <w:footnoteRef/>
      </w:r>
      <w:r w:rsidRPr="00FE7CC9">
        <w:rPr>
          <w:i/>
          <w:iCs/>
          <w:sz w:val="20"/>
        </w:rPr>
        <w:t xml:space="preserve"> </w:t>
      </w:r>
      <w:r w:rsidRPr="00FE7CC9">
        <w:rPr>
          <w:i/>
          <w:iCs/>
          <w:sz w:val="20"/>
        </w:rPr>
        <w:t>„</w:t>
      </w:r>
      <w:r w:rsidRPr="00FE7CC9">
        <w:rPr>
          <w:i/>
          <w:iCs/>
          <w:color w:val="000000"/>
          <w:sz w:val="20"/>
        </w:rPr>
        <w:t>Perkančioji organizacija Centrinės viešųjų pirkimų informacinės sistemos priemonėmis Viešųjų pirkimų tarnybai pateikia:</w:t>
      </w:r>
      <w:bookmarkStart w:id="0" w:name="part_16ddc2d73de944e9bcf212f87e58aca7"/>
      <w:bookmarkEnd w:id="0"/>
      <w:r w:rsidRPr="00FE7CC9">
        <w:rPr>
          <w:i/>
          <w:iCs/>
          <w:color w:val="000000"/>
          <w:sz w:val="20"/>
        </w:rPr>
        <w:t xml:space="preserve">1) </w:t>
      </w:r>
      <w:r w:rsidRPr="00FE7CC9">
        <w:rPr>
          <w:b/>
          <w:bCs/>
          <w:i/>
          <w:iCs/>
          <w:color w:val="000000"/>
          <w:sz w:val="20"/>
        </w:rPr>
        <w:t>kiekvienų pirkimo procedūrų</w:t>
      </w:r>
      <w:r w:rsidRPr="00FE7CC9">
        <w:rPr>
          <w:i/>
          <w:iCs/>
          <w:color w:val="000000"/>
          <w:sz w:val="20"/>
        </w:rPr>
        <w:t xml:space="preserve">, įskaitant ir pirkimo procedūras, kurių metu sudaroma preliminarioji sutartis ar jos pagrindu sudaroma pirkimo sutartis, sukuriama dinaminė pirkimo sistema ar jos pagrindu sudaroma pirkimo sutartis, </w:t>
      </w:r>
      <w:r w:rsidRPr="00FE7CC9">
        <w:rPr>
          <w:b/>
          <w:bCs/>
          <w:i/>
          <w:iCs/>
          <w:color w:val="000000"/>
          <w:sz w:val="20"/>
        </w:rPr>
        <w:t>ataskaitą per 15 dienų pasibaigus pirkimo procedūroms</w:t>
      </w:r>
      <w:r w:rsidRPr="00FE7CC9">
        <w:rPr>
          <w:i/>
          <w:iCs/>
          <w:color w:val="000000"/>
          <w:sz w:val="20"/>
        </w:rPr>
        <w:t>, bet ne vėliau kaip iki pirmojo mokėjimo pagal sudarytą pirkimo sutartį pradžios. Ši ataskaita neteikiama, kai pirkimo sutartis sudaroma pagal šio įstatymo 72 straipsnio 3 dalį atlikus supaprastintą pirkimą, preliminariosios sutarties pagrindu pagal šio įstatymo 78 straipsnio 4 dalį ar 78 straipsnio 5 dalies 1 punktą, atliekant pirkimą pagal šio įstatymo 82 straipsnio 1 dalį ar atliekant šio įstatymo 25 straipsnio 3 ir 4 dalyse nurodytą pirkimą ir mažos vertės pirkimą;“.</w:t>
      </w:r>
    </w:p>
    <w:p w14:paraId="7B361DA7" w14:textId="77777777" w:rsidR="00FE7CC9" w:rsidRDefault="00FE7CC9" w:rsidP="00FE7CC9">
      <w:pPr>
        <w:pStyle w:val="FootnoteText"/>
      </w:pPr>
    </w:p>
  </w:footnote>
  <w:footnote w:id="9">
    <w:p w14:paraId="40B54A9A" w14:textId="77777777" w:rsidR="00C36831" w:rsidRDefault="00C36831" w:rsidP="0030230D">
      <w:pPr>
        <w:pStyle w:val="FootnoteText"/>
      </w:pPr>
      <w:r>
        <w:rPr>
          <w:rStyle w:val="FootnoteReference"/>
        </w:rPr>
        <w:footnoteRef/>
      </w:r>
      <w:r>
        <w:t xml:space="preserve"> </w:t>
      </w:r>
      <w:r>
        <w:rPr>
          <w:szCs w:val="24"/>
        </w:rPr>
        <w:t>Pirkimo paraiškos forma, patvirtinta Perkančiosios organizacijos 2019 m. sausio 9 d. įsakymu Nr. PV-01(1.3).</w:t>
      </w:r>
    </w:p>
  </w:footnote>
  <w:footnote w:id="10">
    <w:p w14:paraId="05FBCCCB" w14:textId="77777777" w:rsidR="00C36831" w:rsidRDefault="00C36831" w:rsidP="0030230D">
      <w:pPr>
        <w:pStyle w:val="FootnoteText"/>
        <w:tabs>
          <w:tab w:val="left" w:pos="9637"/>
        </w:tabs>
      </w:pPr>
      <w:r>
        <w:rPr>
          <w:rStyle w:val="FootnoteReference"/>
        </w:rPr>
        <w:footnoteRef/>
      </w:r>
      <w:r>
        <w:t xml:space="preserve"> </w:t>
      </w:r>
      <w:r>
        <w:rPr>
          <w:szCs w:val="24"/>
        </w:rPr>
        <w:t>Tiekėjų apklausos pažymos forma patvirtinta Perkančiosios organizacijos 2019 m. sausio 9 d. įsakymu Nr. PV-01(1.3).</w:t>
      </w:r>
    </w:p>
  </w:footnote>
  <w:footnote w:id="11">
    <w:p w14:paraId="27EC28DE" w14:textId="77777777" w:rsidR="00C36831" w:rsidRDefault="00C36831" w:rsidP="0030230D">
      <w:pPr>
        <w:pStyle w:val="FootnoteText"/>
      </w:pPr>
      <w:r>
        <w:rPr>
          <w:rStyle w:val="FootnoteReference"/>
        </w:rPr>
        <w:footnoteRef/>
      </w:r>
      <w:r>
        <w:t xml:space="preserve"> </w:t>
      </w:r>
      <w:r>
        <w:t>2022 m. vasario 21 d. raštas Nr. SD-62.</w:t>
      </w:r>
    </w:p>
  </w:footnote>
  <w:footnote w:id="12">
    <w:p w14:paraId="29E88B11" w14:textId="77777777" w:rsidR="00C36831" w:rsidRDefault="00C36831" w:rsidP="00C36831">
      <w:pPr>
        <w:pStyle w:val="FootnoteText"/>
      </w:pPr>
      <w:r>
        <w:rPr>
          <w:rStyle w:val="FootnoteReference"/>
        </w:rPr>
        <w:footnoteRef/>
      </w:r>
      <w:r>
        <w:t xml:space="preserve"> </w:t>
      </w:r>
      <w:r>
        <w:t>2022 m. vasario 21 d. raštas Nr. SD-62.</w:t>
      </w:r>
    </w:p>
  </w:footnote>
  <w:footnote w:id="13">
    <w:p w14:paraId="592BCA6A" w14:textId="4E210B2A" w:rsidR="00C36831" w:rsidRDefault="00C36831" w:rsidP="00C36831">
      <w:pPr>
        <w:pStyle w:val="FootnoteText"/>
      </w:pPr>
      <w:r>
        <w:rPr>
          <w:rStyle w:val="FootnoteReference"/>
        </w:rPr>
        <w:footnoteRef/>
      </w:r>
      <w:r>
        <w:t xml:space="preserve"> </w:t>
      </w:r>
      <w:r w:rsidRPr="00922449">
        <w:rPr>
          <w:i/>
          <w:iCs/>
        </w:rPr>
        <w:t>„&lt;...&gt; dėl tiekėjo pretenzijos pateikimo ir procedūros stabdymo nebuvo galimybės sudaryti ilgalaikės sutarties nuo 2022-01-01. Taip pat baigėsi Įstaigos (perkančiosios organizacijos) pacientų ir gyventojų maitinimo sutartys Nr.18/49, 18/50, sudarytos Įstaigos su VšĮ „</w:t>
      </w:r>
      <w:proofErr w:type="spellStart"/>
      <w:r w:rsidRPr="00922449">
        <w:rPr>
          <w:i/>
          <w:iCs/>
        </w:rPr>
        <w:t>Bruneros</w:t>
      </w:r>
      <w:proofErr w:type="spellEnd"/>
      <w:r w:rsidRPr="00922449">
        <w:rPr>
          <w:i/>
          <w:iCs/>
        </w:rPr>
        <w:t>“, o sutarčių pratęsimai jau buvo išnaudoti &lt;...&gt;“.</w:t>
      </w:r>
    </w:p>
  </w:footnote>
  <w:footnote w:id="14">
    <w:p w14:paraId="5250B64A" w14:textId="77777777" w:rsidR="00231B9E" w:rsidRPr="008569BC" w:rsidRDefault="00231B9E" w:rsidP="00231B9E">
      <w:pPr>
        <w:jc w:val="both"/>
        <w:rPr>
          <w:i/>
          <w:iCs/>
          <w:sz w:val="20"/>
        </w:rPr>
      </w:pPr>
      <w:r w:rsidRPr="004F1F22">
        <w:rPr>
          <w:rStyle w:val="FootnoteReference"/>
          <w:sz w:val="20"/>
        </w:rPr>
        <w:footnoteRef/>
      </w:r>
      <w:r w:rsidRPr="004F1F22">
        <w:rPr>
          <w:sz w:val="20"/>
        </w:rPr>
        <w:t xml:space="preserve"> </w:t>
      </w:r>
      <w:r w:rsidRPr="008569BC">
        <w:rPr>
          <w:i/>
          <w:iCs/>
          <w:sz w:val="20"/>
        </w:rPr>
        <w:t>„</w:t>
      </w:r>
      <w:r w:rsidRPr="008569BC">
        <w:rPr>
          <w:i/>
          <w:iCs/>
          <w:color w:val="000000"/>
          <w:sz w:val="20"/>
        </w:rPr>
        <w:t>Tiekėjo kvalifikacijos reikalavimai nustatomi pagal Viešųjų pirkimų tarnybos patvirtintą tiekėjo kvalifikacijos reikalavimų nustatymo metodiką“.</w:t>
      </w:r>
    </w:p>
  </w:footnote>
  <w:footnote w:id="15">
    <w:p w14:paraId="7D6E22F3" w14:textId="77777777" w:rsidR="00231B9E" w:rsidRPr="008569BC" w:rsidRDefault="00231B9E" w:rsidP="00231B9E">
      <w:pPr>
        <w:pStyle w:val="FootnoteText"/>
        <w:jc w:val="both"/>
        <w:rPr>
          <w:i/>
          <w:iCs/>
        </w:rPr>
      </w:pPr>
      <w:r w:rsidRPr="008569BC">
        <w:rPr>
          <w:rStyle w:val="FootnoteReference"/>
          <w:i/>
          <w:iCs/>
        </w:rPr>
        <w:footnoteRef/>
      </w:r>
      <w:r w:rsidRPr="008569BC">
        <w:rPr>
          <w:i/>
          <w:iCs/>
        </w:rPr>
        <w:t xml:space="preserve"> </w:t>
      </w:r>
      <w:r w:rsidRPr="008569BC">
        <w:rPr>
          <w:i/>
          <w:iCs/>
        </w:rPr>
        <w:t>„</w:t>
      </w:r>
      <w:r w:rsidRPr="008569BC">
        <w:rPr>
          <w:i/>
          <w:iCs/>
          <w:color w:val="000000"/>
        </w:rPr>
        <w:t>Perkančioji organizacija, atsižvelgdama į perkamų prekių, paslaugų ar darbų pobūdį, kiekį, svarbą ir paskirtį, gali reikalauti iš tiekėjų pateikti šiuos dokumentus (vieną ar kelis), patvirtinančius jų techninį ir profesinį pajėgumą: &lt;...&gt; pagrindinių per paskutinius 3 metus patiektų prekių ar suteiktų paslaugų sąrašus, kuriuose nurodytos prekių ar paslaugų bendros sumos, datos ir prekių ar paslaugų gavėjai – tiek viešieji, tiek privatieji &lt;...&gt;.“</w:t>
      </w:r>
    </w:p>
  </w:footnote>
  <w:footnote w:id="16">
    <w:p w14:paraId="053FBDF7" w14:textId="77777777" w:rsidR="00231B9E" w:rsidRPr="008569BC" w:rsidRDefault="00231B9E" w:rsidP="00231B9E">
      <w:pPr>
        <w:pStyle w:val="FootnoteText"/>
        <w:jc w:val="both"/>
        <w:rPr>
          <w:i/>
          <w:iCs/>
        </w:rPr>
      </w:pPr>
      <w:r w:rsidRPr="008569BC">
        <w:rPr>
          <w:rStyle w:val="FootnoteReference"/>
          <w:i/>
          <w:iCs/>
        </w:rPr>
        <w:footnoteRef/>
      </w:r>
      <w:r w:rsidRPr="008569BC">
        <w:rPr>
          <w:i/>
          <w:iCs/>
        </w:rPr>
        <w:t xml:space="preserve"> </w:t>
      </w:r>
      <w:r w:rsidRPr="008569BC">
        <w:rPr>
          <w:i/>
          <w:iCs/>
        </w:rPr>
        <w:t>„</w:t>
      </w:r>
      <w:r w:rsidRPr="008569BC">
        <w:rPr>
          <w:i/>
          <w:iCs/>
          <w:color w:val="000000"/>
        </w:rPr>
        <w:t>Tiekėjas, per paskutinius 3* metus iki pasiūlymo pateikimo termino pabaigos pagal vieną ar daugiau sutarčių (projektų) yra savo jėgomis suteikęs [nurodomos panašios paslaugos (jų apimtis ar vertė ar kt.)].“</w:t>
      </w:r>
    </w:p>
  </w:footnote>
  <w:footnote w:id="17">
    <w:p w14:paraId="4A90E74D" w14:textId="77777777" w:rsidR="00785E09" w:rsidRDefault="00785E09" w:rsidP="00785E09">
      <w:pPr>
        <w:pStyle w:val="FootnoteText"/>
      </w:pPr>
      <w:r>
        <w:rPr>
          <w:rStyle w:val="FootnoteReference"/>
        </w:rPr>
        <w:footnoteRef/>
      </w:r>
      <w:r>
        <w:t xml:space="preserve"> </w:t>
      </w:r>
      <w:r>
        <w:t>2020 m. gruodžio 1 d. įsakymu Nr. PV-113 pakeista Komisijos sudėtis.</w:t>
      </w:r>
    </w:p>
  </w:footnote>
  <w:footnote w:id="18">
    <w:p w14:paraId="0CBAC89A" w14:textId="77777777" w:rsidR="000D36FE" w:rsidRDefault="000D36FE" w:rsidP="000D36FE">
      <w:pPr>
        <w:pStyle w:val="FootnoteText"/>
        <w:jc w:val="both"/>
      </w:pPr>
      <w:r>
        <w:rPr>
          <w:rStyle w:val="FootnoteReference"/>
        </w:rPr>
        <w:footnoteRef/>
      </w:r>
      <w:r>
        <w:t xml:space="preserve"> </w:t>
      </w:r>
      <w:r>
        <w:rPr>
          <w:i/>
          <w:iCs/>
        </w:rPr>
        <w:t>„Perkančioji organizacija užtikrina, kad vykdant pirkimą būtų laikomasi lygiateisiškumo, nediskriminavimo, abipusio pripažinimo, proporcingumo, skaidrumo principų“.</w:t>
      </w:r>
    </w:p>
  </w:footnote>
  <w:footnote w:id="19">
    <w:p w14:paraId="2917F8DD" w14:textId="6E85C200" w:rsidR="00D66479" w:rsidRPr="0030770C" w:rsidRDefault="00785E09" w:rsidP="00D66479">
      <w:pPr>
        <w:jc w:val="both"/>
        <w:rPr>
          <w:i/>
          <w:iCs/>
          <w:color w:val="000000"/>
          <w:sz w:val="20"/>
        </w:rPr>
      </w:pPr>
      <w:r w:rsidRPr="00D66479">
        <w:rPr>
          <w:rStyle w:val="FootnoteReference"/>
          <w:i/>
          <w:iCs/>
          <w:sz w:val="20"/>
        </w:rPr>
        <w:footnoteRef/>
      </w:r>
      <w:r w:rsidRPr="00D66479">
        <w:rPr>
          <w:i/>
          <w:iCs/>
          <w:sz w:val="20"/>
        </w:rPr>
        <w:t xml:space="preserve"> </w:t>
      </w:r>
      <w:r w:rsidR="00D66479" w:rsidRPr="00D66479">
        <w:rPr>
          <w:i/>
          <w:iCs/>
          <w:color w:val="000000"/>
          <w:sz w:val="20"/>
        </w:rPr>
        <w:t>„Perkančioji organizacija, vadovaudamasi šio įstatymo 55, 56 ir 57 straipsnių nuostatomis, laimėjusį nustato ekonomiškai naudingiausią pasiūlymą, jeigu tenkinamos visos šios sąlygos:</w:t>
      </w:r>
    </w:p>
    <w:p w14:paraId="59F6555E" w14:textId="653D716E" w:rsidR="00785E09" w:rsidRPr="0030770C" w:rsidRDefault="00D66479" w:rsidP="00D66479">
      <w:pPr>
        <w:jc w:val="both"/>
        <w:rPr>
          <w:i/>
          <w:iCs/>
          <w:color w:val="000000"/>
          <w:sz w:val="20"/>
        </w:rPr>
      </w:pPr>
      <w:bookmarkStart w:id="2" w:name="part_6e182f1409ff4dedac71ccb4285b0e5a"/>
      <w:bookmarkEnd w:id="2"/>
      <w:r w:rsidRPr="00D66479">
        <w:rPr>
          <w:i/>
          <w:iCs/>
          <w:color w:val="000000"/>
          <w:sz w:val="20"/>
        </w:rPr>
        <w:t xml:space="preserve">1) </w:t>
      </w:r>
      <w:r w:rsidRPr="00D66479">
        <w:rPr>
          <w:b/>
          <w:bCs/>
          <w:i/>
          <w:iCs/>
          <w:color w:val="000000"/>
          <w:sz w:val="20"/>
        </w:rPr>
        <w:t>pasiūlymas atitinka</w:t>
      </w:r>
      <w:r w:rsidRPr="00D66479">
        <w:rPr>
          <w:i/>
          <w:iCs/>
          <w:color w:val="000000"/>
          <w:sz w:val="20"/>
        </w:rPr>
        <w:t xml:space="preserve"> skelbime apie pirkimą, kvietime patvirtinti susidomėjimą ir </w:t>
      </w:r>
      <w:r w:rsidRPr="00D66479">
        <w:rPr>
          <w:b/>
          <w:bCs/>
          <w:i/>
          <w:iCs/>
          <w:color w:val="000000"/>
          <w:sz w:val="20"/>
        </w:rPr>
        <w:t>pirkimo dokumentuose nustatytus reikalavimus, sąlygas ir kriterijus</w:t>
      </w:r>
      <w:r w:rsidRPr="00D66479">
        <w:rPr>
          <w:i/>
          <w:iCs/>
          <w:color w:val="000000"/>
          <w:sz w:val="20"/>
        </w:rPr>
        <w:t>, atsižvelgiant ir į šio įstatymo 43 straipsnio, jeigu jis taikomas, nuostatas“.</w:t>
      </w:r>
    </w:p>
  </w:footnote>
  <w:footnote w:id="20">
    <w:p w14:paraId="78781414" w14:textId="6E460A25" w:rsidR="00785E09" w:rsidRDefault="00785E09" w:rsidP="00D66479">
      <w:pPr>
        <w:pStyle w:val="FootnoteText"/>
        <w:jc w:val="both"/>
      </w:pPr>
      <w:r w:rsidRPr="00D66479">
        <w:rPr>
          <w:rStyle w:val="FootnoteReference"/>
          <w:i/>
          <w:iCs/>
        </w:rPr>
        <w:footnoteRef/>
      </w:r>
      <w:r w:rsidRPr="00D66479">
        <w:rPr>
          <w:i/>
          <w:iCs/>
        </w:rPr>
        <w:t xml:space="preserve"> </w:t>
      </w:r>
      <w:r w:rsidR="00D66479" w:rsidRPr="00D66479">
        <w:rPr>
          <w:i/>
          <w:iCs/>
        </w:rPr>
        <w:t>„</w:t>
      </w:r>
      <w:r w:rsidR="00D66479" w:rsidRPr="00D66479">
        <w:rPr>
          <w:i/>
          <w:iCs/>
          <w:color w:val="000000"/>
        </w:rPr>
        <w:t xml:space="preserve">Vadovaudamasi šio įstatymo 45 straipsnio 3 dalimi, perkančioji organizacija gali prašyti dalyvių patikslinti, papildyti arba paaiškinti savo pasiūlymus, tačiau ji </w:t>
      </w:r>
      <w:r w:rsidR="00D66479" w:rsidRPr="00D66479">
        <w:rPr>
          <w:b/>
          <w:bCs/>
          <w:i/>
          <w:iCs/>
          <w:color w:val="000000"/>
        </w:rPr>
        <w:t>negali prašyti</w:t>
      </w:r>
      <w:r w:rsidR="00D66479" w:rsidRPr="00D66479">
        <w:rPr>
          <w:i/>
          <w:iCs/>
          <w:color w:val="000000"/>
        </w:rPr>
        <w:t xml:space="preserve">, siūlyti arba leisti pakeisti pasiūlymo, pateikto atviro ar riboto konkurso metu, ar galutinio pasiūlymo, pateikto konkurencinio dialogo, skelbiamų derybų, neskelbiamų derybų ar inovacijų partnerystės metu, esmės – </w:t>
      </w:r>
      <w:r w:rsidR="00D66479" w:rsidRPr="00D077B1">
        <w:rPr>
          <w:b/>
          <w:bCs/>
          <w:i/>
          <w:iCs/>
          <w:color w:val="000000"/>
        </w:rPr>
        <w:t>pakeisti kainą</w:t>
      </w:r>
      <w:r w:rsidR="00D66479" w:rsidRPr="00D66479">
        <w:rPr>
          <w:i/>
          <w:iCs/>
          <w:color w:val="000000"/>
        </w:rPr>
        <w:t xml:space="preserve"> arba padaryti kitų pakeitimų, dėl kurių pirkimo dokumentų reikalavimų neatitinkantis pasiūlymas taptų atitinkantis pirkimo dokumentų reikalavimus.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footnote>
  <w:footnote w:id="21">
    <w:p w14:paraId="3E005065" w14:textId="78B33BBA" w:rsidR="006623B3" w:rsidRDefault="006623B3" w:rsidP="006623B3">
      <w:pPr>
        <w:pStyle w:val="FootnoteText"/>
        <w:jc w:val="both"/>
      </w:pPr>
      <w:r>
        <w:rPr>
          <w:rStyle w:val="FootnoteReference"/>
        </w:rPr>
        <w:footnoteRef/>
      </w:r>
      <w:r>
        <w:t xml:space="preserve"> </w:t>
      </w:r>
      <w:r w:rsidRPr="006623B3">
        <w:rPr>
          <w:i/>
          <w:iCs/>
        </w:rPr>
        <w:t xml:space="preserve">„&lt;...&gt; </w:t>
      </w:r>
      <w:r w:rsidRPr="006623B3">
        <w:rPr>
          <w:rFonts w:eastAsia="SimSun"/>
          <w:i/>
          <w:iCs/>
          <w:color w:val="000000" w:themeColor="text1"/>
          <w:kern w:val="1"/>
          <w:lang w:eastAsia="hi-IN" w:bidi="hi-IN"/>
        </w:rPr>
        <w:t xml:space="preserve">taikomas kainos apskaičiavimo būdas – fiksuotas įkainis (toliau – Įkainis). </w:t>
      </w:r>
      <w:r w:rsidRPr="006623B3">
        <w:rPr>
          <w:rFonts w:eastAsia="SimSun" w:cs="Tahoma"/>
          <w:i/>
          <w:iCs/>
          <w:color w:val="000000" w:themeColor="text1"/>
          <w:kern w:val="1"/>
          <w:lang w:eastAsia="hi-IN" w:bidi="hi-IN"/>
        </w:rPr>
        <w:t>Į Paslaugos įkainį įskaičiuojami visi mokesčiai ir visos su Paslaugos teikimu susijusios Tiekėjo išlaidos.</w:t>
      </w:r>
      <w:r w:rsidRPr="006623B3">
        <w:rPr>
          <w:i/>
          <w:iCs/>
          <w:color w:val="000000" w:themeColor="text1"/>
        </w:rPr>
        <w:t xml:space="preserve"> </w:t>
      </w:r>
      <w:r w:rsidRPr="006623B3">
        <w:rPr>
          <w:rFonts w:eastAsia="SimSun" w:cs="Tahoma"/>
          <w:i/>
          <w:iCs/>
          <w:color w:val="000000" w:themeColor="text1"/>
          <w:kern w:val="1"/>
          <w:lang w:eastAsia="hi-IN" w:bidi="hi-IN"/>
        </w:rPr>
        <w:t>Šioje Sutartyje numatytų Paslaugų kaina negali viršyti pradinės Sutarties vertė – 749 990,00 EUR be PVM. Paslaugos teikiamos tik pagal Kliento užsakymą. Klientas neįsipareigoja išpirkti viso maksimalaus Paslaugų kiekio“.</w:t>
      </w:r>
    </w:p>
  </w:footnote>
  <w:footnote w:id="22">
    <w:p w14:paraId="27E4512B" w14:textId="60081DAC" w:rsidR="002A7CD8" w:rsidRDefault="002A7CD8" w:rsidP="00C83311">
      <w:pPr>
        <w:pStyle w:val="FootnoteText"/>
        <w:jc w:val="both"/>
      </w:pPr>
      <w:r>
        <w:rPr>
          <w:rStyle w:val="FootnoteReference"/>
        </w:rPr>
        <w:footnoteRef/>
      </w:r>
      <w:hyperlink r:id="rId1" w:history="1">
        <w:r w:rsidR="00C83311" w:rsidRPr="00A72E5F">
          <w:rPr>
            <w:rStyle w:val="Hyperlink"/>
          </w:rPr>
          <w:t>https://klausk.vpt.lt/hc/lt/articles/4411120378258-Kaip-vertinti-gautus-pasi%C5%ABlymus-fiksuoto-%C4%AFkainio-atveju-kai-tiek%C4%97jai-pateik%C4%97-%C4%AFkainius-su-trimis-keturiais-skai%C4%8Diais-po-kablelio-nors-pirkimo-dokumentuose-ai%C5%A1kiai-buvo-nurodyta-kad-visi-%C4%AFkainiai-kainos-teikiami-suapvalinus-iki-dviej%C5%B3-skai%C4%8Di%C5%B3</w:t>
        </w:r>
      </w:hyperlink>
      <w:r>
        <w:t xml:space="preserve"> </w:t>
      </w:r>
    </w:p>
  </w:footnote>
  <w:footnote w:id="23">
    <w:p w14:paraId="7D2CB88A" w14:textId="77777777" w:rsidR="003E63A1" w:rsidRDefault="003E63A1" w:rsidP="003E63A1">
      <w:pPr>
        <w:pStyle w:val="FootnoteText"/>
        <w:jc w:val="both"/>
      </w:pPr>
      <w:r>
        <w:rPr>
          <w:rStyle w:val="FootnoteReference"/>
        </w:rPr>
        <w:footnoteRef/>
      </w:r>
      <w:r>
        <w:rPr>
          <w:i/>
          <w:iCs/>
          <w:color w:val="000000"/>
          <w:szCs w:val="24"/>
        </w:rPr>
        <w:t>„</w:t>
      </w:r>
      <w:r w:rsidRPr="00457D03">
        <w:rPr>
          <w:i/>
          <w:iCs/>
          <w:color w:val="000000"/>
          <w:szCs w:val="24"/>
        </w:rPr>
        <w:t xml:space="preserve">perkančioji organizacija, pasiūlymų vertinimo metu radusi pasiūlyme nurodytos kainos apskaičiavimo klaidų, privalo paprašyti dalyvių per jos nurodytą terminą ištaisyti pasiūlyme pastebėtas aritmetines klaidas, </w:t>
      </w:r>
      <w:r w:rsidRPr="00457D03">
        <w:rPr>
          <w:b/>
          <w:bCs/>
          <w:i/>
          <w:iCs/>
          <w:color w:val="000000"/>
          <w:szCs w:val="24"/>
        </w:rPr>
        <w:t>nekeičiant vokų su pasiūlymais atplėšimo posėdžio metu paskelbtos kainos</w:t>
      </w:r>
      <w:r w:rsidRPr="00457D03">
        <w:rPr>
          <w:i/>
          <w:iCs/>
          <w:color w:val="000000"/>
          <w:szCs w:val="24"/>
        </w:rPr>
        <w:t>, reiškia dalyvio teisę taisyti ar pildyti atskirus pasiūlymo duomenis siekiant ištaisyti akivaizdžias redakcinio pobūdžio klaidas, </w:t>
      </w:r>
      <w:r w:rsidRPr="00457D03">
        <w:rPr>
          <w:b/>
          <w:bCs/>
          <w:i/>
          <w:iCs/>
          <w:color w:val="000000"/>
          <w:szCs w:val="24"/>
        </w:rPr>
        <w:t>jei dėl šio pakeitimo faktiškai nepateikiamas naujas pasiūlymas</w:t>
      </w:r>
      <w:r w:rsidRPr="00457D03">
        <w:rPr>
          <w:i/>
          <w:iCs/>
          <w:color w:val="000000"/>
          <w:szCs w:val="24"/>
        </w:rPr>
        <w:t xml:space="preserve">. Taigi aritmetinė klaida VPĮ 39 straipsnio 1 dalies taikymo prasme yra akivaizdus skaičiavimo apsirikimas, </w:t>
      </w:r>
      <w:r w:rsidRPr="00457D03">
        <w:rPr>
          <w:b/>
          <w:bCs/>
          <w:i/>
          <w:iCs/>
          <w:color w:val="000000"/>
          <w:szCs w:val="24"/>
        </w:rPr>
        <w:t>kurio ištaisymas nekeičia pasiūlymo kainos</w:t>
      </w:r>
      <w:r>
        <w:rPr>
          <w:i/>
          <w:iCs/>
          <w:color w:val="000000"/>
          <w:szCs w:val="24"/>
        </w:rPr>
        <w:t>“</w:t>
      </w:r>
      <w:r w:rsidRPr="00457D03">
        <w:rPr>
          <w:i/>
          <w:iCs/>
          <w:color w:val="000000"/>
          <w:szCs w:val="24"/>
        </w:rPr>
        <w:t>.</w:t>
      </w:r>
    </w:p>
  </w:footnote>
  <w:footnote w:id="24">
    <w:p w14:paraId="1E0B08A4" w14:textId="77777777" w:rsidR="00437455" w:rsidRPr="00652FA2" w:rsidRDefault="00437455" w:rsidP="00437455">
      <w:pPr>
        <w:shd w:val="clear" w:color="auto" w:fill="FFFFFF"/>
        <w:jc w:val="both"/>
        <w:rPr>
          <w:i/>
          <w:iCs/>
          <w:color w:val="000000"/>
          <w:sz w:val="20"/>
        </w:rPr>
      </w:pPr>
      <w:r w:rsidRPr="00652FA2">
        <w:rPr>
          <w:rStyle w:val="FootnoteReference"/>
          <w:sz w:val="20"/>
        </w:rPr>
        <w:footnoteRef/>
      </w:r>
      <w:r w:rsidRPr="00652FA2">
        <w:rPr>
          <w:sz w:val="20"/>
        </w:rPr>
        <w:t xml:space="preserve"> </w:t>
      </w:r>
      <w:r w:rsidRPr="00652FA2">
        <w:rPr>
          <w:color w:val="000000"/>
          <w:sz w:val="20"/>
        </w:rPr>
        <w:t xml:space="preserve">2019 m. birželio 20 d. byla Nr. 2-58-3-00232-2018-6. </w:t>
      </w:r>
      <w:r w:rsidRPr="00652FA2">
        <w:rPr>
          <w:i/>
          <w:iCs/>
          <w:color w:val="000000"/>
          <w:sz w:val="20"/>
        </w:rPr>
        <w:t>„VPĮ 55 straipsnio 9 dalies turinys iš esmės nesiskiria nuo anksčiau galiojusios redakcijos VPĮ 39 straipsnio 1 dalies nuostatų, todėl, taikant ginčui aktualios redakcijos VPĮ 55 straipsnio 9 dalies nuostatas, </w:t>
      </w:r>
      <w:proofErr w:type="spellStart"/>
      <w:r w:rsidRPr="00652FA2">
        <w:rPr>
          <w:i/>
          <w:iCs/>
          <w:color w:val="000000"/>
          <w:sz w:val="20"/>
        </w:rPr>
        <w:t>remtinasi</w:t>
      </w:r>
      <w:proofErr w:type="spellEnd"/>
      <w:r w:rsidRPr="00652FA2">
        <w:rPr>
          <w:i/>
          <w:iCs/>
          <w:color w:val="000000"/>
          <w:sz w:val="20"/>
        </w:rPr>
        <w:t xml:space="preserve"> kasacinio teismo suformuota VPĮ 39 straipsnio 1 dalies aiškinimo ir taikymo praktika &lt;...&gt;„kasacinio teismo praktikoje laikomasi pozicijos, kad viešųjų pirkimų teisiniame reguliavime ,,pasiūlymo“ terminas vartojamas dvejopa prasme: pirma, kaip tiekėjo perkančiajai organizacijai pateiktų dokumentų visuma &lt;...&gt; antra, </w:t>
      </w:r>
      <w:r w:rsidRPr="00652FA2">
        <w:rPr>
          <w:b/>
          <w:bCs/>
          <w:i/>
          <w:iCs/>
          <w:color w:val="000000"/>
          <w:sz w:val="20"/>
        </w:rPr>
        <w:t>pasiūlymas siaurąja prasme – pasiūlymo dalis, kuria tiekėjas siūlo</w:t>
      </w:r>
      <w:r w:rsidRPr="00652FA2">
        <w:rPr>
          <w:i/>
          <w:iCs/>
          <w:color w:val="000000"/>
          <w:sz w:val="20"/>
        </w:rPr>
        <w:t xml:space="preserve"> viešojo pirkimo sutarties objektą, nurodo jo savybes, </w:t>
      </w:r>
      <w:r w:rsidRPr="00652FA2">
        <w:rPr>
          <w:b/>
          <w:bCs/>
          <w:i/>
          <w:iCs/>
          <w:color w:val="000000"/>
          <w:sz w:val="20"/>
        </w:rPr>
        <w:t>kainą</w:t>
      </w:r>
      <w:r w:rsidRPr="00652FA2">
        <w:rPr>
          <w:i/>
          <w:iCs/>
          <w:color w:val="000000"/>
          <w:sz w:val="20"/>
        </w:rPr>
        <w:t>, sutarties vykdymo aplinkybes. Šis sąvokų atskyrimas reikšmingas, be kita ko, sprendžiant dėl tiekėjo teisės taisyti ar aiškinti pasiūlymą apimties ir atitinkamų perkančiosios organizacijos pareigų &lt;...&gt; Kasacinis teismas dėl pasiūlymo siaurąja prasme vertinimo yra konstatavęs, kad </w:t>
      </w:r>
      <w:r w:rsidRPr="00652FA2">
        <w:rPr>
          <w:b/>
          <w:bCs/>
          <w:i/>
          <w:iCs/>
          <w:color w:val="000000"/>
          <w:sz w:val="20"/>
        </w:rPr>
        <w:t>tais atvejais, kai tiekėjo pasiūlyme siaurąja prasme nustatomi reikšmingi trūkumai</w:t>
      </w:r>
      <w:r w:rsidRPr="00652FA2">
        <w:rPr>
          <w:i/>
          <w:iCs/>
          <w:color w:val="000000"/>
          <w:sz w:val="20"/>
        </w:rPr>
        <w:t xml:space="preserve"> ir kai net pagal turiningojo vertinimo principą (</w:t>
      </w:r>
      <w:proofErr w:type="spellStart"/>
      <w:r w:rsidRPr="00652FA2">
        <w:rPr>
          <w:i/>
          <w:iCs/>
          <w:color w:val="000000"/>
          <w:sz w:val="20"/>
        </w:rPr>
        <w:t>inter</w:t>
      </w:r>
      <w:proofErr w:type="spellEnd"/>
      <w:r w:rsidRPr="00652FA2">
        <w:rPr>
          <w:i/>
          <w:iCs/>
          <w:color w:val="000000"/>
          <w:sz w:val="20"/>
        </w:rPr>
        <w:t xml:space="preserve"> alia (be kita ko), atsižvelgiant į dokumentų visumą) perkančiosios organizacijos negali konstatuoti jo atitikties iškeltiems reikalavimams, tuomet </w:t>
      </w:r>
      <w:r w:rsidRPr="00652FA2">
        <w:rPr>
          <w:b/>
          <w:bCs/>
          <w:i/>
          <w:iCs/>
          <w:color w:val="000000"/>
          <w:sz w:val="20"/>
        </w:rPr>
        <w:t>tiekėjo paaiškinimai kaip keičiantys pasiūlymą iš esmės yra nepriimtini ir toks pasiūlymas atmestinas</w:t>
      </w:r>
      <w:r w:rsidRPr="00652FA2">
        <w:rPr>
          <w:i/>
          <w:iCs/>
          <w:color w:val="000000"/>
          <w:sz w:val="20"/>
        </w:rPr>
        <w:t>&lt;...&gt; VPĮ 39 straipsnio 1 dalies reguliavimas, aiškintinas ir taikytinas siaurai, apima tik išskirtines situacijas, todėl tais atvejais, kai perkančioji organizacija nustato, jog tiekėjo pasiūlyme yra tokio pobūdžio trūkumų, kuriuos leidžiama paaiškinti ar patikslinti, nekeičiant pasiūlymo esmės, ji (pirkėja) privalo kreiptis į tiekėją jam siūlydama (prašydama) paaiškinti redakcinio pobūdžio, objektyviai nustatytinus, paprastai ištaisytinus ar paaiškintinus netikslumus. Perkančiosios organizacijos </w:t>
      </w:r>
      <w:proofErr w:type="spellStart"/>
      <w:r w:rsidRPr="00652FA2">
        <w:rPr>
          <w:i/>
          <w:iCs/>
          <w:color w:val="000000"/>
          <w:sz w:val="20"/>
        </w:rPr>
        <w:t>diskrecija</w:t>
      </w:r>
      <w:proofErr w:type="spellEnd"/>
      <w:r w:rsidRPr="00652FA2">
        <w:rPr>
          <w:i/>
          <w:iCs/>
          <w:color w:val="000000"/>
          <w:sz w:val="20"/>
        </w:rPr>
        <w:t xml:space="preserve"> taikant VPĮ 39 straipsnio 1 dalies nuostatas iš esmės reiškiasi ne sprendimu leisti arba ne tiekėjui paaiškinti pasiūlymą, o </w:t>
      </w:r>
      <w:r w:rsidRPr="00652FA2">
        <w:rPr>
          <w:b/>
          <w:bCs/>
          <w:i/>
          <w:iCs/>
          <w:color w:val="000000"/>
          <w:sz w:val="20"/>
        </w:rPr>
        <w:t>įvertinimu, ar pasiūlymo trūkumo pobūdis leidžia jį pataisyt</w:t>
      </w:r>
      <w:r w:rsidRPr="00652FA2">
        <w:rPr>
          <w:i/>
          <w:iCs/>
          <w:color w:val="000000"/>
          <w:sz w:val="20"/>
        </w:rPr>
        <w:t>i&lt;...&gt;</w:t>
      </w:r>
      <w:r w:rsidRPr="00652FA2">
        <w:rPr>
          <w:i/>
          <w:iCs/>
          <w:color w:val="000000"/>
          <w:sz w:val="20"/>
          <w:shd w:val="clear" w:color="auto" w:fill="FFFFFF"/>
        </w:rPr>
        <w:t xml:space="preserve"> Be to, pripažintina, kad </w:t>
      </w:r>
      <w:r w:rsidRPr="00652FA2">
        <w:rPr>
          <w:b/>
          <w:bCs/>
          <w:i/>
          <w:iCs/>
          <w:color w:val="000000"/>
          <w:sz w:val="20"/>
          <w:shd w:val="clear" w:color="auto" w:fill="FFFFFF"/>
        </w:rPr>
        <w:t>nei pats trūkumas, nei jo taisymas nepasižymi objektyvumu, jei jo ištaisymo rezultatas priklauso nuo tai atliekančio subjekto</w:t>
      </w:r>
      <w:r w:rsidRPr="00652FA2">
        <w:rPr>
          <w:i/>
          <w:iCs/>
          <w:color w:val="000000"/>
          <w:sz w:val="20"/>
          <w:shd w:val="clear" w:color="auto" w:fill="FFFFFF"/>
        </w:rPr>
        <w:t xml:space="preserve"> &lt;...&gt;“.</w:t>
      </w:r>
    </w:p>
  </w:footnote>
  <w:footnote w:id="25">
    <w:p w14:paraId="6C09DA03" w14:textId="77777777" w:rsidR="00AB531F" w:rsidRPr="00FE7CC9" w:rsidRDefault="00AB531F" w:rsidP="00AB531F">
      <w:pPr>
        <w:pStyle w:val="FootnoteText"/>
        <w:rPr>
          <w:i/>
          <w:iCs/>
        </w:rPr>
      </w:pPr>
      <w:r>
        <w:rPr>
          <w:rStyle w:val="FootnoteReference"/>
        </w:rPr>
        <w:footnoteRef/>
      </w:r>
      <w:r>
        <w:t xml:space="preserve"> </w:t>
      </w:r>
      <w:r w:rsidRPr="00FE7CC9">
        <w:rPr>
          <w:i/>
          <w:iCs/>
        </w:rPr>
        <w:t xml:space="preserve">„ &lt;...&gt; </w:t>
      </w:r>
      <w:r w:rsidRPr="00FE7CC9">
        <w:rPr>
          <w:i/>
          <w:iCs/>
          <w:color w:val="000000"/>
        </w:rPr>
        <w:t xml:space="preserve">suvestinė turi būti paskelbta kiekvienais metais ne vėliau kaip iki kovo 15 dienos, o </w:t>
      </w:r>
      <w:r w:rsidRPr="00FE7CC9">
        <w:rPr>
          <w:b/>
          <w:bCs/>
          <w:i/>
          <w:iCs/>
          <w:color w:val="000000"/>
        </w:rPr>
        <w:t>patikslinus planuojamų atlikti einamaisiais kalendoriniais metais pirkimų planus, – ne vėliau kaip per 5 darbo dienas</w:t>
      </w:r>
      <w:r w:rsidRPr="00FE7CC9">
        <w:rPr>
          <w:i/>
          <w:iCs/>
          <w:color w:val="000000"/>
        </w:rPr>
        <w:t>“.</w:t>
      </w:r>
    </w:p>
  </w:footnote>
  <w:footnote w:id="26">
    <w:p w14:paraId="671CA360" w14:textId="00448BD8" w:rsidR="005A0F1F" w:rsidRDefault="005A0F1F" w:rsidP="005A0F1F">
      <w:pPr>
        <w:pStyle w:val="FootnoteText"/>
        <w:jc w:val="both"/>
      </w:pPr>
      <w:r>
        <w:rPr>
          <w:rStyle w:val="FootnoteReference"/>
        </w:rPr>
        <w:footnoteRef/>
      </w:r>
      <w:r>
        <w:t xml:space="preserve"> </w:t>
      </w:r>
      <w:r w:rsidRPr="005A0F1F">
        <w:rPr>
          <w:i/>
          <w:iCs/>
        </w:rPr>
        <w:t>„</w:t>
      </w:r>
      <w:r w:rsidRPr="005A0F1F">
        <w:rPr>
          <w:b/>
          <w:bCs/>
          <w:i/>
          <w:iCs/>
          <w:color w:val="000000"/>
        </w:rPr>
        <w:t>Susipažinimo su paraiškomis ar pasiūlymais procedūros rezultatus Komisija įformina protokolu</w:t>
      </w:r>
      <w:r w:rsidRPr="005A0F1F">
        <w:rPr>
          <w:i/>
          <w:iCs/>
          <w:color w:val="000000"/>
        </w:rPr>
        <w:t xml:space="preserve">, išskyrus atvejus, kai, vadovaujantis šio įstatymo 22 straipsnio 2 dalimi, su paraiškomis ar pasiūlymais susipažįstama naudojantis centrinės perkančiosios organizacijos siūlomomis elektroninėmis priemonėmis. </w:t>
      </w:r>
      <w:r w:rsidRPr="005A0F1F">
        <w:rPr>
          <w:b/>
          <w:bCs/>
          <w:i/>
          <w:iCs/>
          <w:color w:val="000000"/>
        </w:rPr>
        <w:t>Susipažinimo su pasiūlymais procedūros protokolo privalomuosius rekvizitus nustato Viešųjų pirkimų tarnyba</w:t>
      </w:r>
      <w:r w:rsidRPr="005A0F1F">
        <w:rPr>
          <w:i/>
          <w:iCs/>
          <w:color w:val="000000"/>
        </w:rPr>
        <w:t>“.</w:t>
      </w:r>
    </w:p>
  </w:footnote>
  <w:footnote w:id="27">
    <w:p w14:paraId="43476F2B" w14:textId="2EE838C8" w:rsidR="00AB531F" w:rsidRDefault="00AB531F" w:rsidP="00805952">
      <w:pPr>
        <w:jc w:val="both"/>
      </w:pPr>
      <w:r w:rsidRPr="00FE7CC9">
        <w:rPr>
          <w:rStyle w:val="FootnoteReference"/>
          <w:i/>
          <w:iCs/>
          <w:sz w:val="20"/>
        </w:rPr>
        <w:footnoteRef/>
      </w:r>
      <w:r w:rsidRPr="00FE7CC9">
        <w:rPr>
          <w:i/>
          <w:iCs/>
          <w:sz w:val="20"/>
        </w:rPr>
        <w:t xml:space="preserve"> </w:t>
      </w:r>
      <w:r w:rsidRPr="00FE7CC9">
        <w:rPr>
          <w:i/>
          <w:iCs/>
          <w:sz w:val="20"/>
        </w:rPr>
        <w:t>„</w:t>
      </w:r>
      <w:r w:rsidRPr="00FE7CC9">
        <w:rPr>
          <w:i/>
          <w:iCs/>
          <w:color w:val="000000"/>
          <w:sz w:val="20"/>
        </w:rPr>
        <w:t xml:space="preserve">Perkančioji organizacija Centrinės viešųjų pirkimų informacinės sistemos priemonėmis Viešųjų pirkimų tarnybai pateikia:1) </w:t>
      </w:r>
      <w:r w:rsidRPr="00FE7CC9">
        <w:rPr>
          <w:b/>
          <w:bCs/>
          <w:i/>
          <w:iCs/>
          <w:color w:val="000000"/>
          <w:sz w:val="20"/>
        </w:rPr>
        <w:t>kiekvienų pirkimo procedūrų</w:t>
      </w:r>
      <w:r w:rsidRPr="00FE7CC9">
        <w:rPr>
          <w:i/>
          <w:iCs/>
          <w:color w:val="000000"/>
          <w:sz w:val="20"/>
        </w:rPr>
        <w:t xml:space="preserve">, įskaitant ir pirkimo procedūras, kurių metu sudaroma preliminarioji sutartis ar jos pagrindu sudaroma pirkimo sutartis, sukuriama dinaminė pirkimo sistema ar jos pagrindu sudaroma pirkimo sutartis, </w:t>
      </w:r>
      <w:r w:rsidRPr="00FE7CC9">
        <w:rPr>
          <w:b/>
          <w:bCs/>
          <w:i/>
          <w:iCs/>
          <w:color w:val="000000"/>
          <w:sz w:val="20"/>
        </w:rPr>
        <w:t>ataskaitą per 15 dienų pasibaigus pirkimo procedūroms</w:t>
      </w:r>
      <w:r w:rsidRPr="00FE7CC9">
        <w:rPr>
          <w:i/>
          <w:iCs/>
          <w:color w:val="000000"/>
          <w:sz w:val="20"/>
        </w:rPr>
        <w:t>, bet ne vėliau kaip iki pirmojo mokėjimo pagal sudarytą pirkimo sutartį pradžios. Ši ataskaita neteikiama, kai pirkimo sutartis sudaroma pagal šio įstatymo 72 straipsnio 3 dalį atlikus supaprastintą pirkimą, preliminariosios sutarties pagrindu pagal šio įstatymo 78 straipsnio 4 dalį ar 78 straipsnio 5 dalies 1 punktą, atliekant pirkimą pagal šio įstatymo 82 straipsnio 1 dalį ar atliekant šio įstatymo 25 straipsnio 3 ir 4 dalyse nurodytą pirkimą ir mažos vertės pirkimą;“.</w:t>
      </w:r>
    </w:p>
  </w:footnote>
  <w:footnote w:id="28">
    <w:p w14:paraId="1950335B" w14:textId="77777777" w:rsidR="00C83311" w:rsidRDefault="00C83311" w:rsidP="00C83311">
      <w:pPr>
        <w:pStyle w:val="FootnoteText"/>
      </w:pPr>
      <w:r>
        <w:rPr>
          <w:rStyle w:val="FootnoteReference"/>
        </w:rPr>
        <w:footnoteRef/>
      </w:r>
      <w:r>
        <w:t xml:space="preserve"> </w:t>
      </w:r>
      <w:hyperlink r:id="rId2" w:history="1">
        <w:r w:rsidRPr="00A72E5F">
          <w:rPr>
            <w:rStyle w:val="Hyperlink"/>
          </w:rPr>
          <w:t>https://vpt.lrv.lt/uploads/vpt/documents/files/mp/pasiulymu_vertinimas.pdf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B40F" w14:textId="77777777" w:rsidR="00E52954" w:rsidRDefault="00E52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2E44" w14:textId="77777777" w:rsidR="00E52954" w:rsidRDefault="00E52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3701F5F"/>
    <w:multiLevelType w:val="hybridMultilevel"/>
    <w:tmpl w:val="D93A2770"/>
    <w:lvl w:ilvl="0" w:tplc="F4E8F210">
      <w:start w:val="1"/>
      <w:numFmt w:val="decimal"/>
      <w:lvlText w:val="%1)"/>
      <w:lvlJc w:val="left"/>
      <w:pPr>
        <w:ind w:left="1241" w:hanging="360"/>
      </w:pPr>
      <w:rPr>
        <w:rFonts w:hint="default"/>
      </w:r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2"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3" w15:restartNumberingAfterBreak="0">
    <w:nsid w:val="1CE944C5"/>
    <w:multiLevelType w:val="hybridMultilevel"/>
    <w:tmpl w:val="A3625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0B644C"/>
    <w:multiLevelType w:val="hybridMultilevel"/>
    <w:tmpl w:val="6C50C6D0"/>
    <w:lvl w:ilvl="0" w:tplc="9F702D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85D25AD"/>
    <w:multiLevelType w:val="hybridMultilevel"/>
    <w:tmpl w:val="A3625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2E14E7"/>
    <w:multiLevelType w:val="hybridMultilevel"/>
    <w:tmpl w:val="2D80D9CE"/>
    <w:lvl w:ilvl="0" w:tplc="39643C62">
      <w:start w:val="1"/>
      <w:numFmt w:val="decimal"/>
      <w:lvlText w:val="%1)"/>
      <w:lvlJc w:val="left"/>
      <w:pPr>
        <w:ind w:left="720" w:hanging="360"/>
      </w:pPr>
      <w:rPr>
        <w:rFonts w:eastAsia="Calibri"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106D07"/>
    <w:multiLevelType w:val="hybridMultilevel"/>
    <w:tmpl w:val="A11AD67E"/>
    <w:lvl w:ilvl="0" w:tplc="1F92A8E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15:restartNumberingAfterBreak="0">
    <w:nsid w:val="738D4838"/>
    <w:multiLevelType w:val="hybridMultilevel"/>
    <w:tmpl w:val="2D80D9CE"/>
    <w:lvl w:ilvl="0" w:tplc="39643C62">
      <w:start w:val="1"/>
      <w:numFmt w:val="decimal"/>
      <w:lvlText w:val="%1)"/>
      <w:lvlJc w:val="left"/>
      <w:pPr>
        <w:ind w:left="720" w:hanging="360"/>
      </w:pPr>
      <w:rPr>
        <w:rFonts w:eastAsia="Calibri"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FB0230"/>
    <w:multiLevelType w:val="hybridMultilevel"/>
    <w:tmpl w:val="A3625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8"/>
  </w:num>
  <w:num w:numId="6">
    <w:abstractNumId w:val="6"/>
  </w:num>
  <w:num w:numId="7">
    <w:abstractNumId w:val="9"/>
  </w:num>
  <w:num w:numId="8">
    <w:abstractNumId w:val="3"/>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1C0F"/>
    <w:rsid w:val="00002C5B"/>
    <w:rsid w:val="0000375F"/>
    <w:rsid w:val="00003CA5"/>
    <w:rsid w:val="0000414E"/>
    <w:rsid w:val="0000501D"/>
    <w:rsid w:val="00005320"/>
    <w:rsid w:val="000054C0"/>
    <w:rsid w:val="0000592D"/>
    <w:rsid w:val="00006320"/>
    <w:rsid w:val="00007F44"/>
    <w:rsid w:val="00010F78"/>
    <w:rsid w:val="0001104A"/>
    <w:rsid w:val="00011494"/>
    <w:rsid w:val="000114CB"/>
    <w:rsid w:val="00012B6C"/>
    <w:rsid w:val="00012ECA"/>
    <w:rsid w:val="00012FA6"/>
    <w:rsid w:val="0001300E"/>
    <w:rsid w:val="00013728"/>
    <w:rsid w:val="00013AAC"/>
    <w:rsid w:val="000147DF"/>
    <w:rsid w:val="00014A31"/>
    <w:rsid w:val="00015535"/>
    <w:rsid w:val="0001648A"/>
    <w:rsid w:val="00017EC1"/>
    <w:rsid w:val="00020116"/>
    <w:rsid w:val="000206F6"/>
    <w:rsid w:val="00020ADF"/>
    <w:rsid w:val="00020F00"/>
    <w:rsid w:val="00021B6A"/>
    <w:rsid w:val="00021C6C"/>
    <w:rsid w:val="00021FB0"/>
    <w:rsid w:val="000227E2"/>
    <w:rsid w:val="00023284"/>
    <w:rsid w:val="00023AE8"/>
    <w:rsid w:val="00024877"/>
    <w:rsid w:val="00024C6E"/>
    <w:rsid w:val="00025CF6"/>
    <w:rsid w:val="00026023"/>
    <w:rsid w:val="00026219"/>
    <w:rsid w:val="000264B7"/>
    <w:rsid w:val="00026507"/>
    <w:rsid w:val="00026830"/>
    <w:rsid w:val="00026A74"/>
    <w:rsid w:val="000277E5"/>
    <w:rsid w:val="00027C2C"/>
    <w:rsid w:val="00031B0D"/>
    <w:rsid w:val="00031CEB"/>
    <w:rsid w:val="00032019"/>
    <w:rsid w:val="000325FF"/>
    <w:rsid w:val="00033350"/>
    <w:rsid w:val="00034956"/>
    <w:rsid w:val="00034E22"/>
    <w:rsid w:val="000361FD"/>
    <w:rsid w:val="00042B81"/>
    <w:rsid w:val="00042EF4"/>
    <w:rsid w:val="00043859"/>
    <w:rsid w:val="00046734"/>
    <w:rsid w:val="00047316"/>
    <w:rsid w:val="00047BFD"/>
    <w:rsid w:val="00050650"/>
    <w:rsid w:val="000517FB"/>
    <w:rsid w:val="00052B06"/>
    <w:rsid w:val="00052D62"/>
    <w:rsid w:val="000538CE"/>
    <w:rsid w:val="000545F1"/>
    <w:rsid w:val="00054E7C"/>
    <w:rsid w:val="00054FD9"/>
    <w:rsid w:val="0005505C"/>
    <w:rsid w:val="00056506"/>
    <w:rsid w:val="00056EEC"/>
    <w:rsid w:val="000571BD"/>
    <w:rsid w:val="00060682"/>
    <w:rsid w:val="00060812"/>
    <w:rsid w:val="00062434"/>
    <w:rsid w:val="00065205"/>
    <w:rsid w:val="00066179"/>
    <w:rsid w:val="000668E6"/>
    <w:rsid w:val="00066EEE"/>
    <w:rsid w:val="00067132"/>
    <w:rsid w:val="0006726B"/>
    <w:rsid w:val="0006738B"/>
    <w:rsid w:val="00072361"/>
    <w:rsid w:val="00072699"/>
    <w:rsid w:val="00073C54"/>
    <w:rsid w:val="000746CE"/>
    <w:rsid w:val="00074C07"/>
    <w:rsid w:val="00076843"/>
    <w:rsid w:val="00077064"/>
    <w:rsid w:val="00077557"/>
    <w:rsid w:val="0007757E"/>
    <w:rsid w:val="000776AC"/>
    <w:rsid w:val="0007777A"/>
    <w:rsid w:val="00077CDF"/>
    <w:rsid w:val="000802F8"/>
    <w:rsid w:val="000803A3"/>
    <w:rsid w:val="00082E44"/>
    <w:rsid w:val="0008323A"/>
    <w:rsid w:val="000837BC"/>
    <w:rsid w:val="000850EE"/>
    <w:rsid w:val="00086F43"/>
    <w:rsid w:val="0008725E"/>
    <w:rsid w:val="00087775"/>
    <w:rsid w:val="00087B20"/>
    <w:rsid w:val="00087F21"/>
    <w:rsid w:val="000910B3"/>
    <w:rsid w:val="00091562"/>
    <w:rsid w:val="000918E2"/>
    <w:rsid w:val="00091C45"/>
    <w:rsid w:val="000924AE"/>
    <w:rsid w:val="000926A3"/>
    <w:rsid w:val="00092EA3"/>
    <w:rsid w:val="00094C40"/>
    <w:rsid w:val="0009531E"/>
    <w:rsid w:val="00095E2D"/>
    <w:rsid w:val="00096AC6"/>
    <w:rsid w:val="00096B8E"/>
    <w:rsid w:val="00097B97"/>
    <w:rsid w:val="000A05B6"/>
    <w:rsid w:val="000A0D20"/>
    <w:rsid w:val="000A0D94"/>
    <w:rsid w:val="000A0FCA"/>
    <w:rsid w:val="000A1436"/>
    <w:rsid w:val="000A17FE"/>
    <w:rsid w:val="000A3B48"/>
    <w:rsid w:val="000A3F61"/>
    <w:rsid w:val="000A4CE7"/>
    <w:rsid w:val="000A50E9"/>
    <w:rsid w:val="000A5FBA"/>
    <w:rsid w:val="000A7C99"/>
    <w:rsid w:val="000B0746"/>
    <w:rsid w:val="000B07B2"/>
    <w:rsid w:val="000B11AB"/>
    <w:rsid w:val="000B11EA"/>
    <w:rsid w:val="000B13B9"/>
    <w:rsid w:val="000B1495"/>
    <w:rsid w:val="000B1B03"/>
    <w:rsid w:val="000B2FB6"/>
    <w:rsid w:val="000B41EB"/>
    <w:rsid w:val="000B587D"/>
    <w:rsid w:val="000B5A7B"/>
    <w:rsid w:val="000B5EA6"/>
    <w:rsid w:val="000B65F8"/>
    <w:rsid w:val="000B6636"/>
    <w:rsid w:val="000B6799"/>
    <w:rsid w:val="000B6921"/>
    <w:rsid w:val="000B720B"/>
    <w:rsid w:val="000B7B46"/>
    <w:rsid w:val="000C281B"/>
    <w:rsid w:val="000C387E"/>
    <w:rsid w:val="000C3BD7"/>
    <w:rsid w:val="000C4B42"/>
    <w:rsid w:val="000C594E"/>
    <w:rsid w:val="000C5A35"/>
    <w:rsid w:val="000C5AD8"/>
    <w:rsid w:val="000C7E15"/>
    <w:rsid w:val="000D0A28"/>
    <w:rsid w:val="000D1F64"/>
    <w:rsid w:val="000D222C"/>
    <w:rsid w:val="000D3408"/>
    <w:rsid w:val="000D36FE"/>
    <w:rsid w:val="000D37F6"/>
    <w:rsid w:val="000D3A5E"/>
    <w:rsid w:val="000D3A75"/>
    <w:rsid w:val="000D4FF4"/>
    <w:rsid w:val="000D57B6"/>
    <w:rsid w:val="000D645F"/>
    <w:rsid w:val="000D65F6"/>
    <w:rsid w:val="000D6E31"/>
    <w:rsid w:val="000D749D"/>
    <w:rsid w:val="000D792E"/>
    <w:rsid w:val="000D7E98"/>
    <w:rsid w:val="000E008F"/>
    <w:rsid w:val="000E02E2"/>
    <w:rsid w:val="000E0B95"/>
    <w:rsid w:val="000E11B4"/>
    <w:rsid w:val="000E1354"/>
    <w:rsid w:val="000E13DA"/>
    <w:rsid w:val="000E37D7"/>
    <w:rsid w:val="000E38C5"/>
    <w:rsid w:val="000E533B"/>
    <w:rsid w:val="000E55AC"/>
    <w:rsid w:val="000E57FE"/>
    <w:rsid w:val="000E67D6"/>
    <w:rsid w:val="000F08E6"/>
    <w:rsid w:val="000F0A4C"/>
    <w:rsid w:val="000F0D11"/>
    <w:rsid w:val="000F0DC2"/>
    <w:rsid w:val="000F1A98"/>
    <w:rsid w:val="000F1BA4"/>
    <w:rsid w:val="000F1CAE"/>
    <w:rsid w:val="000F23B6"/>
    <w:rsid w:val="000F24CC"/>
    <w:rsid w:val="000F29FF"/>
    <w:rsid w:val="000F2F06"/>
    <w:rsid w:val="000F412C"/>
    <w:rsid w:val="000F4848"/>
    <w:rsid w:val="000F5336"/>
    <w:rsid w:val="000F58D7"/>
    <w:rsid w:val="000F653B"/>
    <w:rsid w:val="000F6B4A"/>
    <w:rsid w:val="000F70E4"/>
    <w:rsid w:val="001000BD"/>
    <w:rsid w:val="0010015F"/>
    <w:rsid w:val="001017D2"/>
    <w:rsid w:val="001017DD"/>
    <w:rsid w:val="00101BB8"/>
    <w:rsid w:val="00102733"/>
    <w:rsid w:val="00102762"/>
    <w:rsid w:val="00103CB1"/>
    <w:rsid w:val="00105A12"/>
    <w:rsid w:val="00105FAE"/>
    <w:rsid w:val="00106705"/>
    <w:rsid w:val="00106B32"/>
    <w:rsid w:val="00106E17"/>
    <w:rsid w:val="001110C5"/>
    <w:rsid w:val="001124DA"/>
    <w:rsid w:val="0011395D"/>
    <w:rsid w:val="00115950"/>
    <w:rsid w:val="00116902"/>
    <w:rsid w:val="00120FD2"/>
    <w:rsid w:val="001213C8"/>
    <w:rsid w:val="00122A2B"/>
    <w:rsid w:val="0012332D"/>
    <w:rsid w:val="00124369"/>
    <w:rsid w:val="001251AC"/>
    <w:rsid w:val="00126000"/>
    <w:rsid w:val="001269B2"/>
    <w:rsid w:val="00126D94"/>
    <w:rsid w:val="0012705F"/>
    <w:rsid w:val="001303FF"/>
    <w:rsid w:val="001304B4"/>
    <w:rsid w:val="00130687"/>
    <w:rsid w:val="00130D2E"/>
    <w:rsid w:val="0013114F"/>
    <w:rsid w:val="001315F1"/>
    <w:rsid w:val="00131B42"/>
    <w:rsid w:val="00131B8A"/>
    <w:rsid w:val="00132A2C"/>
    <w:rsid w:val="00132FD4"/>
    <w:rsid w:val="001343C8"/>
    <w:rsid w:val="00134A27"/>
    <w:rsid w:val="001352ED"/>
    <w:rsid w:val="001357BF"/>
    <w:rsid w:val="00135F24"/>
    <w:rsid w:val="0013759C"/>
    <w:rsid w:val="00140D42"/>
    <w:rsid w:val="00141373"/>
    <w:rsid w:val="001419D9"/>
    <w:rsid w:val="00141EE6"/>
    <w:rsid w:val="0014299F"/>
    <w:rsid w:val="00142C43"/>
    <w:rsid w:val="00142F7D"/>
    <w:rsid w:val="0014345B"/>
    <w:rsid w:val="00145448"/>
    <w:rsid w:val="0014683E"/>
    <w:rsid w:val="00146995"/>
    <w:rsid w:val="00146A60"/>
    <w:rsid w:val="001475C5"/>
    <w:rsid w:val="00147B99"/>
    <w:rsid w:val="00150CD0"/>
    <w:rsid w:val="00155111"/>
    <w:rsid w:val="00155151"/>
    <w:rsid w:val="00155679"/>
    <w:rsid w:val="001556FB"/>
    <w:rsid w:val="00156721"/>
    <w:rsid w:val="00156945"/>
    <w:rsid w:val="00157ADC"/>
    <w:rsid w:val="00157DC7"/>
    <w:rsid w:val="0016028F"/>
    <w:rsid w:val="0016251B"/>
    <w:rsid w:val="00162D68"/>
    <w:rsid w:val="00163DAD"/>
    <w:rsid w:val="001647E0"/>
    <w:rsid w:val="00164CA6"/>
    <w:rsid w:val="001651EB"/>
    <w:rsid w:val="001654B7"/>
    <w:rsid w:val="00166811"/>
    <w:rsid w:val="0016764C"/>
    <w:rsid w:val="00167D58"/>
    <w:rsid w:val="00170308"/>
    <w:rsid w:val="001707E8"/>
    <w:rsid w:val="00170BEA"/>
    <w:rsid w:val="00171EC9"/>
    <w:rsid w:val="0017228E"/>
    <w:rsid w:val="001726BB"/>
    <w:rsid w:val="00172E88"/>
    <w:rsid w:val="00172F43"/>
    <w:rsid w:val="001741EC"/>
    <w:rsid w:val="00174D9A"/>
    <w:rsid w:val="0017501A"/>
    <w:rsid w:val="00175431"/>
    <w:rsid w:val="0017545C"/>
    <w:rsid w:val="00175CC7"/>
    <w:rsid w:val="00175FA5"/>
    <w:rsid w:val="0017704E"/>
    <w:rsid w:val="00181A7B"/>
    <w:rsid w:val="001831D9"/>
    <w:rsid w:val="001836A5"/>
    <w:rsid w:val="001837E3"/>
    <w:rsid w:val="00185285"/>
    <w:rsid w:val="0018559A"/>
    <w:rsid w:val="0018559C"/>
    <w:rsid w:val="001861E6"/>
    <w:rsid w:val="00186293"/>
    <w:rsid w:val="00186BD6"/>
    <w:rsid w:val="00191D8D"/>
    <w:rsid w:val="00192A89"/>
    <w:rsid w:val="00192CD2"/>
    <w:rsid w:val="00192E42"/>
    <w:rsid w:val="0019391C"/>
    <w:rsid w:val="00193C5F"/>
    <w:rsid w:val="00193F3B"/>
    <w:rsid w:val="0019736E"/>
    <w:rsid w:val="001A0300"/>
    <w:rsid w:val="001A0649"/>
    <w:rsid w:val="001A189E"/>
    <w:rsid w:val="001A1AF2"/>
    <w:rsid w:val="001A204A"/>
    <w:rsid w:val="001A316D"/>
    <w:rsid w:val="001A4941"/>
    <w:rsid w:val="001A581F"/>
    <w:rsid w:val="001A706B"/>
    <w:rsid w:val="001A745F"/>
    <w:rsid w:val="001A75CD"/>
    <w:rsid w:val="001A7A08"/>
    <w:rsid w:val="001A7B1B"/>
    <w:rsid w:val="001A7B66"/>
    <w:rsid w:val="001A7EB4"/>
    <w:rsid w:val="001B0922"/>
    <w:rsid w:val="001B1E35"/>
    <w:rsid w:val="001B1F27"/>
    <w:rsid w:val="001B21C0"/>
    <w:rsid w:val="001B42C0"/>
    <w:rsid w:val="001B4339"/>
    <w:rsid w:val="001B4DB0"/>
    <w:rsid w:val="001B7E45"/>
    <w:rsid w:val="001C022B"/>
    <w:rsid w:val="001C1ED8"/>
    <w:rsid w:val="001C217E"/>
    <w:rsid w:val="001C31B9"/>
    <w:rsid w:val="001C46E2"/>
    <w:rsid w:val="001C47D8"/>
    <w:rsid w:val="001C4C74"/>
    <w:rsid w:val="001C5CBA"/>
    <w:rsid w:val="001C5F99"/>
    <w:rsid w:val="001C771A"/>
    <w:rsid w:val="001D019D"/>
    <w:rsid w:val="001D06B8"/>
    <w:rsid w:val="001D1D92"/>
    <w:rsid w:val="001D3917"/>
    <w:rsid w:val="001D65FE"/>
    <w:rsid w:val="001D6D9C"/>
    <w:rsid w:val="001D72F7"/>
    <w:rsid w:val="001D7589"/>
    <w:rsid w:val="001E0862"/>
    <w:rsid w:val="001E0D45"/>
    <w:rsid w:val="001E106D"/>
    <w:rsid w:val="001E2CB4"/>
    <w:rsid w:val="001E2D81"/>
    <w:rsid w:val="001E3500"/>
    <w:rsid w:val="001E3E79"/>
    <w:rsid w:val="001E4541"/>
    <w:rsid w:val="001E5F65"/>
    <w:rsid w:val="001E79F4"/>
    <w:rsid w:val="001F2736"/>
    <w:rsid w:val="001F35FD"/>
    <w:rsid w:val="001F3D7B"/>
    <w:rsid w:val="001F43A0"/>
    <w:rsid w:val="001F4FD3"/>
    <w:rsid w:val="001F563C"/>
    <w:rsid w:val="001F5B2A"/>
    <w:rsid w:val="001F5F1E"/>
    <w:rsid w:val="001F78D6"/>
    <w:rsid w:val="00200CF5"/>
    <w:rsid w:val="00202634"/>
    <w:rsid w:val="00202712"/>
    <w:rsid w:val="002033F1"/>
    <w:rsid w:val="002038BD"/>
    <w:rsid w:val="00204515"/>
    <w:rsid w:val="00204C36"/>
    <w:rsid w:val="0020670A"/>
    <w:rsid w:val="00206844"/>
    <w:rsid w:val="00207EB5"/>
    <w:rsid w:val="002111DD"/>
    <w:rsid w:val="00211753"/>
    <w:rsid w:val="002137A5"/>
    <w:rsid w:val="00214259"/>
    <w:rsid w:val="0021427A"/>
    <w:rsid w:val="0021451F"/>
    <w:rsid w:val="00214BFD"/>
    <w:rsid w:val="002151FA"/>
    <w:rsid w:val="002165E7"/>
    <w:rsid w:val="00216718"/>
    <w:rsid w:val="00217FA2"/>
    <w:rsid w:val="002214A4"/>
    <w:rsid w:val="00221D98"/>
    <w:rsid w:val="0022241D"/>
    <w:rsid w:val="00223119"/>
    <w:rsid w:val="0022436C"/>
    <w:rsid w:val="00224AC3"/>
    <w:rsid w:val="00226110"/>
    <w:rsid w:val="00230566"/>
    <w:rsid w:val="00230BD5"/>
    <w:rsid w:val="00231B9E"/>
    <w:rsid w:val="00232325"/>
    <w:rsid w:val="00232922"/>
    <w:rsid w:val="00233E01"/>
    <w:rsid w:val="0023499F"/>
    <w:rsid w:val="0024039D"/>
    <w:rsid w:val="002408E6"/>
    <w:rsid w:val="0024320D"/>
    <w:rsid w:val="00243372"/>
    <w:rsid w:val="002447D9"/>
    <w:rsid w:val="00244F67"/>
    <w:rsid w:val="002453FC"/>
    <w:rsid w:val="002458F7"/>
    <w:rsid w:val="00245BA6"/>
    <w:rsid w:val="00245F1C"/>
    <w:rsid w:val="00247096"/>
    <w:rsid w:val="0024738D"/>
    <w:rsid w:val="0024753A"/>
    <w:rsid w:val="002477F5"/>
    <w:rsid w:val="00247F27"/>
    <w:rsid w:val="00247F32"/>
    <w:rsid w:val="0025094E"/>
    <w:rsid w:val="00251147"/>
    <w:rsid w:val="002512CC"/>
    <w:rsid w:val="002515C5"/>
    <w:rsid w:val="00251B79"/>
    <w:rsid w:val="00252884"/>
    <w:rsid w:val="00252E65"/>
    <w:rsid w:val="00253A29"/>
    <w:rsid w:val="00253DB8"/>
    <w:rsid w:val="00253F0B"/>
    <w:rsid w:val="00254394"/>
    <w:rsid w:val="00254585"/>
    <w:rsid w:val="0025570A"/>
    <w:rsid w:val="00256A80"/>
    <w:rsid w:val="00256E12"/>
    <w:rsid w:val="00260B4A"/>
    <w:rsid w:val="00261BF8"/>
    <w:rsid w:val="002624B7"/>
    <w:rsid w:val="0026276B"/>
    <w:rsid w:val="00262E12"/>
    <w:rsid w:val="0026378A"/>
    <w:rsid w:val="00263AFF"/>
    <w:rsid w:val="00263B69"/>
    <w:rsid w:val="002649E6"/>
    <w:rsid w:val="00264C69"/>
    <w:rsid w:val="00266093"/>
    <w:rsid w:val="00266287"/>
    <w:rsid w:val="0026752B"/>
    <w:rsid w:val="0026771D"/>
    <w:rsid w:val="002702CC"/>
    <w:rsid w:val="00270889"/>
    <w:rsid w:val="00270D06"/>
    <w:rsid w:val="00270DB6"/>
    <w:rsid w:val="0027186C"/>
    <w:rsid w:val="002724CA"/>
    <w:rsid w:val="00274357"/>
    <w:rsid w:val="00274688"/>
    <w:rsid w:val="0027496A"/>
    <w:rsid w:val="00275455"/>
    <w:rsid w:val="002755BA"/>
    <w:rsid w:val="00275CC9"/>
    <w:rsid w:val="00276A5A"/>
    <w:rsid w:val="002820F5"/>
    <w:rsid w:val="0028328C"/>
    <w:rsid w:val="002848CD"/>
    <w:rsid w:val="002866A6"/>
    <w:rsid w:val="00287011"/>
    <w:rsid w:val="002875C6"/>
    <w:rsid w:val="002877AC"/>
    <w:rsid w:val="00290DD7"/>
    <w:rsid w:val="0029188B"/>
    <w:rsid w:val="002918AB"/>
    <w:rsid w:val="002919D3"/>
    <w:rsid w:val="00294E21"/>
    <w:rsid w:val="00295A21"/>
    <w:rsid w:val="00295C59"/>
    <w:rsid w:val="002960C0"/>
    <w:rsid w:val="00296500"/>
    <w:rsid w:val="00296787"/>
    <w:rsid w:val="002A05F1"/>
    <w:rsid w:val="002A07F4"/>
    <w:rsid w:val="002A0DFA"/>
    <w:rsid w:val="002A1877"/>
    <w:rsid w:val="002A4320"/>
    <w:rsid w:val="002A49D7"/>
    <w:rsid w:val="002A4E9E"/>
    <w:rsid w:val="002A53F3"/>
    <w:rsid w:val="002A62C5"/>
    <w:rsid w:val="002A7987"/>
    <w:rsid w:val="002A7CD8"/>
    <w:rsid w:val="002A7D60"/>
    <w:rsid w:val="002B1449"/>
    <w:rsid w:val="002B264C"/>
    <w:rsid w:val="002B604B"/>
    <w:rsid w:val="002B6BEF"/>
    <w:rsid w:val="002B7D72"/>
    <w:rsid w:val="002B7E5B"/>
    <w:rsid w:val="002C0529"/>
    <w:rsid w:val="002C08A9"/>
    <w:rsid w:val="002C0E0D"/>
    <w:rsid w:val="002C27E4"/>
    <w:rsid w:val="002C288F"/>
    <w:rsid w:val="002C2A4E"/>
    <w:rsid w:val="002C31F1"/>
    <w:rsid w:val="002C37F3"/>
    <w:rsid w:val="002C383C"/>
    <w:rsid w:val="002C46B7"/>
    <w:rsid w:val="002C5380"/>
    <w:rsid w:val="002C7E7C"/>
    <w:rsid w:val="002D12DD"/>
    <w:rsid w:val="002D16C1"/>
    <w:rsid w:val="002D24C9"/>
    <w:rsid w:val="002D32D8"/>
    <w:rsid w:val="002D3332"/>
    <w:rsid w:val="002D3DA6"/>
    <w:rsid w:val="002D45FA"/>
    <w:rsid w:val="002D50DD"/>
    <w:rsid w:val="002D6965"/>
    <w:rsid w:val="002E08E4"/>
    <w:rsid w:val="002E113A"/>
    <w:rsid w:val="002E1783"/>
    <w:rsid w:val="002E1FBE"/>
    <w:rsid w:val="002E38EB"/>
    <w:rsid w:val="002E463A"/>
    <w:rsid w:val="002E6304"/>
    <w:rsid w:val="002E6980"/>
    <w:rsid w:val="002E710D"/>
    <w:rsid w:val="002E7C7F"/>
    <w:rsid w:val="002F054F"/>
    <w:rsid w:val="002F1193"/>
    <w:rsid w:val="002F14E1"/>
    <w:rsid w:val="002F1559"/>
    <w:rsid w:val="002F1E82"/>
    <w:rsid w:val="002F28E2"/>
    <w:rsid w:val="002F29EB"/>
    <w:rsid w:val="002F3233"/>
    <w:rsid w:val="002F3281"/>
    <w:rsid w:val="002F40E2"/>
    <w:rsid w:val="002F54AC"/>
    <w:rsid w:val="002F652E"/>
    <w:rsid w:val="002F6C81"/>
    <w:rsid w:val="002F6D25"/>
    <w:rsid w:val="002F6FEC"/>
    <w:rsid w:val="002F76D3"/>
    <w:rsid w:val="002F7814"/>
    <w:rsid w:val="003007F9"/>
    <w:rsid w:val="003008F7"/>
    <w:rsid w:val="00301207"/>
    <w:rsid w:val="0030230D"/>
    <w:rsid w:val="00302671"/>
    <w:rsid w:val="00303855"/>
    <w:rsid w:val="00303C51"/>
    <w:rsid w:val="003042B1"/>
    <w:rsid w:val="0030573D"/>
    <w:rsid w:val="0030644F"/>
    <w:rsid w:val="003064F2"/>
    <w:rsid w:val="00306EEC"/>
    <w:rsid w:val="00306F91"/>
    <w:rsid w:val="0030730D"/>
    <w:rsid w:val="0030770C"/>
    <w:rsid w:val="003101C0"/>
    <w:rsid w:val="0031041E"/>
    <w:rsid w:val="00310B20"/>
    <w:rsid w:val="003112C9"/>
    <w:rsid w:val="00311966"/>
    <w:rsid w:val="00312963"/>
    <w:rsid w:val="00313F62"/>
    <w:rsid w:val="00314383"/>
    <w:rsid w:val="003144BF"/>
    <w:rsid w:val="003147F0"/>
    <w:rsid w:val="0031553B"/>
    <w:rsid w:val="00315BE8"/>
    <w:rsid w:val="00315C80"/>
    <w:rsid w:val="00316296"/>
    <w:rsid w:val="00316D9F"/>
    <w:rsid w:val="0031752D"/>
    <w:rsid w:val="0031765A"/>
    <w:rsid w:val="00320FB0"/>
    <w:rsid w:val="0032160E"/>
    <w:rsid w:val="00321BCF"/>
    <w:rsid w:val="00322E7B"/>
    <w:rsid w:val="00323101"/>
    <w:rsid w:val="003242BD"/>
    <w:rsid w:val="003249F6"/>
    <w:rsid w:val="00325A3B"/>
    <w:rsid w:val="003262CD"/>
    <w:rsid w:val="00326C0D"/>
    <w:rsid w:val="00327C46"/>
    <w:rsid w:val="0033063A"/>
    <w:rsid w:val="00330F32"/>
    <w:rsid w:val="00331A0D"/>
    <w:rsid w:val="003328C2"/>
    <w:rsid w:val="00332E30"/>
    <w:rsid w:val="00335060"/>
    <w:rsid w:val="003351A0"/>
    <w:rsid w:val="00335F5D"/>
    <w:rsid w:val="00337AD0"/>
    <w:rsid w:val="00340507"/>
    <w:rsid w:val="0034180F"/>
    <w:rsid w:val="00341818"/>
    <w:rsid w:val="0034222C"/>
    <w:rsid w:val="003424EF"/>
    <w:rsid w:val="003426F9"/>
    <w:rsid w:val="00342763"/>
    <w:rsid w:val="00342848"/>
    <w:rsid w:val="00342F5B"/>
    <w:rsid w:val="00343024"/>
    <w:rsid w:val="00344EBC"/>
    <w:rsid w:val="003454A0"/>
    <w:rsid w:val="003455A9"/>
    <w:rsid w:val="00345C07"/>
    <w:rsid w:val="00345D1B"/>
    <w:rsid w:val="003462CA"/>
    <w:rsid w:val="00346AB7"/>
    <w:rsid w:val="00347E4B"/>
    <w:rsid w:val="00350F87"/>
    <w:rsid w:val="00352AC9"/>
    <w:rsid w:val="00353E5C"/>
    <w:rsid w:val="00354234"/>
    <w:rsid w:val="00356EE0"/>
    <w:rsid w:val="00356F1D"/>
    <w:rsid w:val="00357039"/>
    <w:rsid w:val="00357F62"/>
    <w:rsid w:val="00360C76"/>
    <w:rsid w:val="00360CF3"/>
    <w:rsid w:val="003625BC"/>
    <w:rsid w:val="00362C59"/>
    <w:rsid w:val="00362DC0"/>
    <w:rsid w:val="00364D6F"/>
    <w:rsid w:val="00365696"/>
    <w:rsid w:val="00365AA8"/>
    <w:rsid w:val="0037018D"/>
    <w:rsid w:val="00370348"/>
    <w:rsid w:val="00370428"/>
    <w:rsid w:val="00370608"/>
    <w:rsid w:val="0037169E"/>
    <w:rsid w:val="003717FC"/>
    <w:rsid w:val="00371E5F"/>
    <w:rsid w:val="00371FF1"/>
    <w:rsid w:val="003722FF"/>
    <w:rsid w:val="0037339F"/>
    <w:rsid w:val="00373D9B"/>
    <w:rsid w:val="003745CD"/>
    <w:rsid w:val="00374B98"/>
    <w:rsid w:val="003760AC"/>
    <w:rsid w:val="003768C0"/>
    <w:rsid w:val="0037739F"/>
    <w:rsid w:val="00377473"/>
    <w:rsid w:val="0038087D"/>
    <w:rsid w:val="003819F4"/>
    <w:rsid w:val="003820AD"/>
    <w:rsid w:val="00383004"/>
    <w:rsid w:val="00383113"/>
    <w:rsid w:val="0038458E"/>
    <w:rsid w:val="00384C0C"/>
    <w:rsid w:val="00385BF9"/>
    <w:rsid w:val="00385D6B"/>
    <w:rsid w:val="003862A6"/>
    <w:rsid w:val="00386708"/>
    <w:rsid w:val="003875EC"/>
    <w:rsid w:val="00387F9D"/>
    <w:rsid w:val="00390F32"/>
    <w:rsid w:val="003927D5"/>
    <w:rsid w:val="003951A3"/>
    <w:rsid w:val="00396820"/>
    <w:rsid w:val="0039770C"/>
    <w:rsid w:val="00397A2B"/>
    <w:rsid w:val="00397F1E"/>
    <w:rsid w:val="003A01A0"/>
    <w:rsid w:val="003A0209"/>
    <w:rsid w:val="003A056D"/>
    <w:rsid w:val="003A065A"/>
    <w:rsid w:val="003A0CFD"/>
    <w:rsid w:val="003A201F"/>
    <w:rsid w:val="003A2C4D"/>
    <w:rsid w:val="003A52B5"/>
    <w:rsid w:val="003A5E8E"/>
    <w:rsid w:val="003A666A"/>
    <w:rsid w:val="003A6DE2"/>
    <w:rsid w:val="003A72B6"/>
    <w:rsid w:val="003A74C7"/>
    <w:rsid w:val="003A7C72"/>
    <w:rsid w:val="003B02EB"/>
    <w:rsid w:val="003B0FF7"/>
    <w:rsid w:val="003B1011"/>
    <w:rsid w:val="003B184B"/>
    <w:rsid w:val="003B1D0F"/>
    <w:rsid w:val="003B34BC"/>
    <w:rsid w:val="003B4257"/>
    <w:rsid w:val="003B42DC"/>
    <w:rsid w:val="003B4C75"/>
    <w:rsid w:val="003B4D24"/>
    <w:rsid w:val="003B4DE0"/>
    <w:rsid w:val="003B55A9"/>
    <w:rsid w:val="003B5670"/>
    <w:rsid w:val="003B57E5"/>
    <w:rsid w:val="003C1ED2"/>
    <w:rsid w:val="003C1F64"/>
    <w:rsid w:val="003C20C0"/>
    <w:rsid w:val="003C28AE"/>
    <w:rsid w:val="003C38E6"/>
    <w:rsid w:val="003C3A36"/>
    <w:rsid w:val="003C43BD"/>
    <w:rsid w:val="003C476F"/>
    <w:rsid w:val="003C4844"/>
    <w:rsid w:val="003C4970"/>
    <w:rsid w:val="003C5166"/>
    <w:rsid w:val="003C6685"/>
    <w:rsid w:val="003C74BB"/>
    <w:rsid w:val="003C7948"/>
    <w:rsid w:val="003D0BF0"/>
    <w:rsid w:val="003D15C5"/>
    <w:rsid w:val="003D1736"/>
    <w:rsid w:val="003D1AEF"/>
    <w:rsid w:val="003D1F78"/>
    <w:rsid w:val="003D3ED5"/>
    <w:rsid w:val="003D3F2B"/>
    <w:rsid w:val="003D4CC6"/>
    <w:rsid w:val="003D613D"/>
    <w:rsid w:val="003D69EE"/>
    <w:rsid w:val="003D6FDE"/>
    <w:rsid w:val="003D7E48"/>
    <w:rsid w:val="003D7EA4"/>
    <w:rsid w:val="003E0232"/>
    <w:rsid w:val="003E024B"/>
    <w:rsid w:val="003E0574"/>
    <w:rsid w:val="003E11D7"/>
    <w:rsid w:val="003E18F6"/>
    <w:rsid w:val="003E1910"/>
    <w:rsid w:val="003E1F94"/>
    <w:rsid w:val="003E2D68"/>
    <w:rsid w:val="003E2F74"/>
    <w:rsid w:val="003E35CD"/>
    <w:rsid w:val="003E3D85"/>
    <w:rsid w:val="003E5321"/>
    <w:rsid w:val="003E5E13"/>
    <w:rsid w:val="003E6258"/>
    <w:rsid w:val="003E63A1"/>
    <w:rsid w:val="003E6B34"/>
    <w:rsid w:val="003E79CD"/>
    <w:rsid w:val="003E7AD2"/>
    <w:rsid w:val="003E7C5D"/>
    <w:rsid w:val="003F1003"/>
    <w:rsid w:val="003F1188"/>
    <w:rsid w:val="003F1829"/>
    <w:rsid w:val="003F1D11"/>
    <w:rsid w:val="003F2389"/>
    <w:rsid w:val="003F2F10"/>
    <w:rsid w:val="003F6133"/>
    <w:rsid w:val="003F6C0D"/>
    <w:rsid w:val="003F6D75"/>
    <w:rsid w:val="003F6EDB"/>
    <w:rsid w:val="00400D59"/>
    <w:rsid w:val="00401CDC"/>
    <w:rsid w:val="004025A0"/>
    <w:rsid w:val="00402641"/>
    <w:rsid w:val="00402A4B"/>
    <w:rsid w:val="004049FC"/>
    <w:rsid w:val="00405ED0"/>
    <w:rsid w:val="004066AC"/>
    <w:rsid w:val="004068A2"/>
    <w:rsid w:val="004100D1"/>
    <w:rsid w:val="00410BF9"/>
    <w:rsid w:val="00411355"/>
    <w:rsid w:val="00411672"/>
    <w:rsid w:val="00413C12"/>
    <w:rsid w:val="004142E4"/>
    <w:rsid w:val="0041473A"/>
    <w:rsid w:val="00414950"/>
    <w:rsid w:val="00415537"/>
    <w:rsid w:val="00416079"/>
    <w:rsid w:val="0041633D"/>
    <w:rsid w:val="00416565"/>
    <w:rsid w:val="00417795"/>
    <w:rsid w:val="00417C03"/>
    <w:rsid w:val="00420929"/>
    <w:rsid w:val="004216C7"/>
    <w:rsid w:val="00422232"/>
    <w:rsid w:val="004228B8"/>
    <w:rsid w:val="00422BB5"/>
    <w:rsid w:val="00423B8F"/>
    <w:rsid w:val="004243EA"/>
    <w:rsid w:val="00424C31"/>
    <w:rsid w:val="004253DC"/>
    <w:rsid w:val="004259A0"/>
    <w:rsid w:val="0042654E"/>
    <w:rsid w:val="004265D7"/>
    <w:rsid w:val="00426A25"/>
    <w:rsid w:val="00426C79"/>
    <w:rsid w:val="00427654"/>
    <w:rsid w:val="00427941"/>
    <w:rsid w:val="0043026B"/>
    <w:rsid w:val="00430409"/>
    <w:rsid w:val="0043044F"/>
    <w:rsid w:val="00430646"/>
    <w:rsid w:val="0043066A"/>
    <w:rsid w:val="00431317"/>
    <w:rsid w:val="0043268B"/>
    <w:rsid w:val="004333E2"/>
    <w:rsid w:val="00433415"/>
    <w:rsid w:val="00433D2F"/>
    <w:rsid w:val="00436D41"/>
    <w:rsid w:val="00437455"/>
    <w:rsid w:val="00437843"/>
    <w:rsid w:val="00437C88"/>
    <w:rsid w:val="00437E29"/>
    <w:rsid w:val="00440673"/>
    <w:rsid w:val="0044224C"/>
    <w:rsid w:val="00443121"/>
    <w:rsid w:val="00443C13"/>
    <w:rsid w:val="00444AF4"/>
    <w:rsid w:val="00445498"/>
    <w:rsid w:val="00445B96"/>
    <w:rsid w:val="00446537"/>
    <w:rsid w:val="004467D1"/>
    <w:rsid w:val="0044747D"/>
    <w:rsid w:val="004500F6"/>
    <w:rsid w:val="0045128F"/>
    <w:rsid w:val="004514A3"/>
    <w:rsid w:val="0045285F"/>
    <w:rsid w:val="0045434D"/>
    <w:rsid w:val="0045504E"/>
    <w:rsid w:val="00455742"/>
    <w:rsid w:val="00455DD8"/>
    <w:rsid w:val="004564A8"/>
    <w:rsid w:val="004567B1"/>
    <w:rsid w:val="00456AA7"/>
    <w:rsid w:val="00457411"/>
    <w:rsid w:val="00457BFC"/>
    <w:rsid w:val="00457D03"/>
    <w:rsid w:val="004601DF"/>
    <w:rsid w:val="00460515"/>
    <w:rsid w:val="0046060D"/>
    <w:rsid w:val="00461617"/>
    <w:rsid w:val="004616D0"/>
    <w:rsid w:val="00461C7F"/>
    <w:rsid w:val="00461D77"/>
    <w:rsid w:val="004644FF"/>
    <w:rsid w:val="0046633A"/>
    <w:rsid w:val="004666A2"/>
    <w:rsid w:val="00467513"/>
    <w:rsid w:val="004678CE"/>
    <w:rsid w:val="00470A0D"/>
    <w:rsid w:val="00470A0E"/>
    <w:rsid w:val="00470B38"/>
    <w:rsid w:val="00471575"/>
    <w:rsid w:val="004718B8"/>
    <w:rsid w:val="00471C5C"/>
    <w:rsid w:val="0047262D"/>
    <w:rsid w:val="00473469"/>
    <w:rsid w:val="00473DD8"/>
    <w:rsid w:val="00473F2C"/>
    <w:rsid w:val="0047457C"/>
    <w:rsid w:val="00474D6C"/>
    <w:rsid w:val="0047690A"/>
    <w:rsid w:val="00476C96"/>
    <w:rsid w:val="00476D99"/>
    <w:rsid w:val="00476E92"/>
    <w:rsid w:val="004771DB"/>
    <w:rsid w:val="00477DD1"/>
    <w:rsid w:val="0048001A"/>
    <w:rsid w:val="00480265"/>
    <w:rsid w:val="00483832"/>
    <w:rsid w:val="00483BA8"/>
    <w:rsid w:val="00485399"/>
    <w:rsid w:val="0048551F"/>
    <w:rsid w:val="00485557"/>
    <w:rsid w:val="004865C5"/>
    <w:rsid w:val="0048710F"/>
    <w:rsid w:val="0049127F"/>
    <w:rsid w:val="00492B0D"/>
    <w:rsid w:val="00495EF2"/>
    <w:rsid w:val="0049670B"/>
    <w:rsid w:val="00496E0F"/>
    <w:rsid w:val="004970A0"/>
    <w:rsid w:val="00497CCA"/>
    <w:rsid w:val="004A114B"/>
    <w:rsid w:val="004A234C"/>
    <w:rsid w:val="004A2BE6"/>
    <w:rsid w:val="004A3DF1"/>
    <w:rsid w:val="004A4221"/>
    <w:rsid w:val="004A4238"/>
    <w:rsid w:val="004A5136"/>
    <w:rsid w:val="004A6375"/>
    <w:rsid w:val="004A6667"/>
    <w:rsid w:val="004A7407"/>
    <w:rsid w:val="004B0790"/>
    <w:rsid w:val="004B1220"/>
    <w:rsid w:val="004B1D01"/>
    <w:rsid w:val="004B2041"/>
    <w:rsid w:val="004B2199"/>
    <w:rsid w:val="004B28BB"/>
    <w:rsid w:val="004B2A44"/>
    <w:rsid w:val="004B31A8"/>
    <w:rsid w:val="004B33C3"/>
    <w:rsid w:val="004B69F9"/>
    <w:rsid w:val="004B7D0A"/>
    <w:rsid w:val="004C0240"/>
    <w:rsid w:val="004C072B"/>
    <w:rsid w:val="004C211E"/>
    <w:rsid w:val="004C2177"/>
    <w:rsid w:val="004C276D"/>
    <w:rsid w:val="004C3633"/>
    <w:rsid w:val="004C38C9"/>
    <w:rsid w:val="004C40FE"/>
    <w:rsid w:val="004C476E"/>
    <w:rsid w:val="004C5A8F"/>
    <w:rsid w:val="004C637A"/>
    <w:rsid w:val="004C6B77"/>
    <w:rsid w:val="004C7868"/>
    <w:rsid w:val="004C7A77"/>
    <w:rsid w:val="004D04C1"/>
    <w:rsid w:val="004D0DEB"/>
    <w:rsid w:val="004D0FD7"/>
    <w:rsid w:val="004D1DF3"/>
    <w:rsid w:val="004D37C7"/>
    <w:rsid w:val="004D45F2"/>
    <w:rsid w:val="004D5B3C"/>
    <w:rsid w:val="004D5D23"/>
    <w:rsid w:val="004D5F68"/>
    <w:rsid w:val="004D60B3"/>
    <w:rsid w:val="004D62DC"/>
    <w:rsid w:val="004D6770"/>
    <w:rsid w:val="004D67E6"/>
    <w:rsid w:val="004D7927"/>
    <w:rsid w:val="004D7F2B"/>
    <w:rsid w:val="004E0C13"/>
    <w:rsid w:val="004E18F1"/>
    <w:rsid w:val="004E2138"/>
    <w:rsid w:val="004E2493"/>
    <w:rsid w:val="004E33C2"/>
    <w:rsid w:val="004E3BD3"/>
    <w:rsid w:val="004E3ED2"/>
    <w:rsid w:val="004E519C"/>
    <w:rsid w:val="004E5350"/>
    <w:rsid w:val="004E57CC"/>
    <w:rsid w:val="004E590F"/>
    <w:rsid w:val="004E5FFE"/>
    <w:rsid w:val="004E6247"/>
    <w:rsid w:val="004E6529"/>
    <w:rsid w:val="004E69FA"/>
    <w:rsid w:val="004E737B"/>
    <w:rsid w:val="004E7E28"/>
    <w:rsid w:val="004E7F5F"/>
    <w:rsid w:val="004F0DC1"/>
    <w:rsid w:val="004F29B0"/>
    <w:rsid w:val="004F5B93"/>
    <w:rsid w:val="004F724F"/>
    <w:rsid w:val="004F74A3"/>
    <w:rsid w:val="004F7DE0"/>
    <w:rsid w:val="004F7EA2"/>
    <w:rsid w:val="00501D26"/>
    <w:rsid w:val="00501DB5"/>
    <w:rsid w:val="00501FFF"/>
    <w:rsid w:val="00502110"/>
    <w:rsid w:val="005022D0"/>
    <w:rsid w:val="005022D7"/>
    <w:rsid w:val="00504B96"/>
    <w:rsid w:val="005072A0"/>
    <w:rsid w:val="00507788"/>
    <w:rsid w:val="005106F5"/>
    <w:rsid w:val="00511245"/>
    <w:rsid w:val="00511373"/>
    <w:rsid w:val="005114E3"/>
    <w:rsid w:val="005123B7"/>
    <w:rsid w:val="0051263E"/>
    <w:rsid w:val="00512F63"/>
    <w:rsid w:val="0051321A"/>
    <w:rsid w:val="0051391E"/>
    <w:rsid w:val="00514F2C"/>
    <w:rsid w:val="0051531D"/>
    <w:rsid w:val="00516574"/>
    <w:rsid w:val="00516D17"/>
    <w:rsid w:val="00517061"/>
    <w:rsid w:val="0051717F"/>
    <w:rsid w:val="00517B01"/>
    <w:rsid w:val="00517EB2"/>
    <w:rsid w:val="00517FD0"/>
    <w:rsid w:val="00520ECE"/>
    <w:rsid w:val="00521063"/>
    <w:rsid w:val="005211D3"/>
    <w:rsid w:val="00521849"/>
    <w:rsid w:val="00522601"/>
    <w:rsid w:val="005228AE"/>
    <w:rsid w:val="00522C37"/>
    <w:rsid w:val="00523EBA"/>
    <w:rsid w:val="00523FC5"/>
    <w:rsid w:val="005245DA"/>
    <w:rsid w:val="0052494B"/>
    <w:rsid w:val="00524CAA"/>
    <w:rsid w:val="00524D37"/>
    <w:rsid w:val="005267EC"/>
    <w:rsid w:val="00526B7B"/>
    <w:rsid w:val="0052719B"/>
    <w:rsid w:val="0053036D"/>
    <w:rsid w:val="005326CF"/>
    <w:rsid w:val="0053273F"/>
    <w:rsid w:val="00533542"/>
    <w:rsid w:val="00534533"/>
    <w:rsid w:val="005348B1"/>
    <w:rsid w:val="00535306"/>
    <w:rsid w:val="0053554C"/>
    <w:rsid w:val="005401F5"/>
    <w:rsid w:val="005402BC"/>
    <w:rsid w:val="00540333"/>
    <w:rsid w:val="0054033E"/>
    <w:rsid w:val="00540596"/>
    <w:rsid w:val="00540B85"/>
    <w:rsid w:val="0054131D"/>
    <w:rsid w:val="0054159A"/>
    <w:rsid w:val="00541840"/>
    <w:rsid w:val="0054354A"/>
    <w:rsid w:val="005438C5"/>
    <w:rsid w:val="00543A03"/>
    <w:rsid w:val="00544934"/>
    <w:rsid w:val="00545AB0"/>
    <w:rsid w:val="00546902"/>
    <w:rsid w:val="005474D2"/>
    <w:rsid w:val="00547AF2"/>
    <w:rsid w:val="00547DE3"/>
    <w:rsid w:val="00547E0B"/>
    <w:rsid w:val="00547FD2"/>
    <w:rsid w:val="00550872"/>
    <w:rsid w:val="00551FA4"/>
    <w:rsid w:val="00554E5E"/>
    <w:rsid w:val="00554F21"/>
    <w:rsid w:val="00554F52"/>
    <w:rsid w:val="005563D3"/>
    <w:rsid w:val="005603BC"/>
    <w:rsid w:val="00560A4F"/>
    <w:rsid w:val="00561080"/>
    <w:rsid w:val="0056136B"/>
    <w:rsid w:val="00561770"/>
    <w:rsid w:val="0056193C"/>
    <w:rsid w:val="00561E7A"/>
    <w:rsid w:val="00562938"/>
    <w:rsid w:val="00562D2E"/>
    <w:rsid w:val="00563511"/>
    <w:rsid w:val="0056393C"/>
    <w:rsid w:val="00563F0E"/>
    <w:rsid w:val="00564972"/>
    <w:rsid w:val="00565AB1"/>
    <w:rsid w:val="00565EE8"/>
    <w:rsid w:val="005675BE"/>
    <w:rsid w:val="005677A9"/>
    <w:rsid w:val="0057036C"/>
    <w:rsid w:val="005730EF"/>
    <w:rsid w:val="005741DA"/>
    <w:rsid w:val="005764E0"/>
    <w:rsid w:val="005771A4"/>
    <w:rsid w:val="00577E17"/>
    <w:rsid w:val="00577FBE"/>
    <w:rsid w:val="005807A8"/>
    <w:rsid w:val="00580BD2"/>
    <w:rsid w:val="00581126"/>
    <w:rsid w:val="00581EC8"/>
    <w:rsid w:val="00582D45"/>
    <w:rsid w:val="00582E5D"/>
    <w:rsid w:val="00582FB4"/>
    <w:rsid w:val="00583447"/>
    <w:rsid w:val="005838D4"/>
    <w:rsid w:val="005840D3"/>
    <w:rsid w:val="00584DFB"/>
    <w:rsid w:val="00584E33"/>
    <w:rsid w:val="005856D6"/>
    <w:rsid w:val="005866A2"/>
    <w:rsid w:val="00590913"/>
    <w:rsid w:val="00591651"/>
    <w:rsid w:val="0059194E"/>
    <w:rsid w:val="0059209E"/>
    <w:rsid w:val="005929AE"/>
    <w:rsid w:val="00592B13"/>
    <w:rsid w:val="00593B37"/>
    <w:rsid w:val="00593D72"/>
    <w:rsid w:val="00594553"/>
    <w:rsid w:val="00595791"/>
    <w:rsid w:val="00595BAF"/>
    <w:rsid w:val="00595C5D"/>
    <w:rsid w:val="00597800"/>
    <w:rsid w:val="00597D4E"/>
    <w:rsid w:val="00597F8E"/>
    <w:rsid w:val="005A0044"/>
    <w:rsid w:val="005A091B"/>
    <w:rsid w:val="005A0F1F"/>
    <w:rsid w:val="005A1190"/>
    <w:rsid w:val="005A2887"/>
    <w:rsid w:val="005A2FC7"/>
    <w:rsid w:val="005A32A7"/>
    <w:rsid w:val="005A34DD"/>
    <w:rsid w:val="005A55E3"/>
    <w:rsid w:val="005A5837"/>
    <w:rsid w:val="005A636F"/>
    <w:rsid w:val="005A6518"/>
    <w:rsid w:val="005A6D2D"/>
    <w:rsid w:val="005A6E59"/>
    <w:rsid w:val="005B05D1"/>
    <w:rsid w:val="005B1FB3"/>
    <w:rsid w:val="005B2F22"/>
    <w:rsid w:val="005B2F2A"/>
    <w:rsid w:val="005B3855"/>
    <w:rsid w:val="005B42E6"/>
    <w:rsid w:val="005B440C"/>
    <w:rsid w:val="005B53A4"/>
    <w:rsid w:val="005B6FBB"/>
    <w:rsid w:val="005B7683"/>
    <w:rsid w:val="005B777C"/>
    <w:rsid w:val="005B7BF1"/>
    <w:rsid w:val="005B7CE6"/>
    <w:rsid w:val="005C09DD"/>
    <w:rsid w:val="005C0A15"/>
    <w:rsid w:val="005C366F"/>
    <w:rsid w:val="005C3776"/>
    <w:rsid w:val="005C4948"/>
    <w:rsid w:val="005C54E7"/>
    <w:rsid w:val="005C54EA"/>
    <w:rsid w:val="005C5908"/>
    <w:rsid w:val="005C63B0"/>
    <w:rsid w:val="005C6731"/>
    <w:rsid w:val="005C6C3B"/>
    <w:rsid w:val="005D0AF4"/>
    <w:rsid w:val="005D17BD"/>
    <w:rsid w:val="005D1A98"/>
    <w:rsid w:val="005D2733"/>
    <w:rsid w:val="005D33DC"/>
    <w:rsid w:val="005D38E6"/>
    <w:rsid w:val="005D3A80"/>
    <w:rsid w:val="005D3CA3"/>
    <w:rsid w:val="005D4324"/>
    <w:rsid w:val="005D542A"/>
    <w:rsid w:val="005D76F6"/>
    <w:rsid w:val="005D7DC9"/>
    <w:rsid w:val="005E044E"/>
    <w:rsid w:val="005E054D"/>
    <w:rsid w:val="005E0F00"/>
    <w:rsid w:val="005E1D26"/>
    <w:rsid w:val="005E1F62"/>
    <w:rsid w:val="005E31BD"/>
    <w:rsid w:val="005E3D38"/>
    <w:rsid w:val="005E489E"/>
    <w:rsid w:val="005E4FE5"/>
    <w:rsid w:val="005E55C7"/>
    <w:rsid w:val="005E5A72"/>
    <w:rsid w:val="005E5B36"/>
    <w:rsid w:val="005E5C5D"/>
    <w:rsid w:val="005E660E"/>
    <w:rsid w:val="005F16C0"/>
    <w:rsid w:val="005F1F05"/>
    <w:rsid w:val="005F231E"/>
    <w:rsid w:val="005F2B72"/>
    <w:rsid w:val="005F362B"/>
    <w:rsid w:val="005F44FD"/>
    <w:rsid w:val="005F5140"/>
    <w:rsid w:val="005F5481"/>
    <w:rsid w:val="005F62C3"/>
    <w:rsid w:val="005F7768"/>
    <w:rsid w:val="005F7ABC"/>
    <w:rsid w:val="005F7C7D"/>
    <w:rsid w:val="005F7DC3"/>
    <w:rsid w:val="00600402"/>
    <w:rsid w:val="00600886"/>
    <w:rsid w:val="00601595"/>
    <w:rsid w:val="0060234B"/>
    <w:rsid w:val="0060254F"/>
    <w:rsid w:val="00602BE0"/>
    <w:rsid w:val="00602EE7"/>
    <w:rsid w:val="00603249"/>
    <w:rsid w:val="00603EDA"/>
    <w:rsid w:val="006051D1"/>
    <w:rsid w:val="0060568E"/>
    <w:rsid w:val="00606603"/>
    <w:rsid w:val="00606763"/>
    <w:rsid w:val="00606FB0"/>
    <w:rsid w:val="00607032"/>
    <w:rsid w:val="00607FF3"/>
    <w:rsid w:val="006109A4"/>
    <w:rsid w:val="006113E0"/>
    <w:rsid w:val="0061184B"/>
    <w:rsid w:val="00611CD0"/>
    <w:rsid w:val="00612759"/>
    <w:rsid w:val="00612CBB"/>
    <w:rsid w:val="00614014"/>
    <w:rsid w:val="0061451F"/>
    <w:rsid w:val="00614BFD"/>
    <w:rsid w:val="006154D5"/>
    <w:rsid w:val="0061609B"/>
    <w:rsid w:val="00620034"/>
    <w:rsid w:val="006205F2"/>
    <w:rsid w:val="00620763"/>
    <w:rsid w:val="0062170F"/>
    <w:rsid w:val="00621A74"/>
    <w:rsid w:val="0062368A"/>
    <w:rsid w:val="00623B7E"/>
    <w:rsid w:val="00623CDA"/>
    <w:rsid w:val="00623EA3"/>
    <w:rsid w:val="0062406E"/>
    <w:rsid w:val="006255D1"/>
    <w:rsid w:val="006261B0"/>
    <w:rsid w:val="006264FB"/>
    <w:rsid w:val="00626620"/>
    <w:rsid w:val="00630088"/>
    <w:rsid w:val="00631072"/>
    <w:rsid w:val="00632698"/>
    <w:rsid w:val="00633223"/>
    <w:rsid w:val="006334FC"/>
    <w:rsid w:val="00633D25"/>
    <w:rsid w:val="006340A9"/>
    <w:rsid w:val="00634DB2"/>
    <w:rsid w:val="00635EAA"/>
    <w:rsid w:val="00637237"/>
    <w:rsid w:val="00637A07"/>
    <w:rsid w:val="006419F1"/>
    <w:rsid w:val="00641F52"/>
    <w:rsid w:val="006427FD"/>
    <w:rsid w:val="0064454D"/>
    <w:rsid w:val="006453B6"/>
    <w:rsid w:val="00645B28"/>
    <w:rsid w:val="0064672C"/>
    <w:rsid w:val="006472DE"/>
    <w:rsid w:val="00650CA0"/>
    <w:rsid w:val="006515BD"/>
    <w:rsid w:val="006517CD"/>
    <w:rsid w:val="00652FA2"/>
    <w:rsid w:val="006544B7"/>
    <w:rsid w:val="00654989"/>
    <w:rsid w:val="00654CC2"/>
    <w:rsid w:val="0065523F"/>
    <w:rsid w:val="00655574"/>
    <w:rsid w:val="006566A7"/>
    <w:rsid w:val="00656872"/>
    <w:rsid w:val="00657681"/>
    <w:rsid w:val="00657F31"/>
    <w:rsid w:val="0066162F"/>
    <w:rsid w:val="00661ADB"/>
    <w:rsid w:val="006623B3"/>
    <w:rsid w:val="006637DA"/>
    <w:rsid w:val="00664067"/>
    <w:rsid w:val="006644C3"/>
    <w:rsid w:val="00664934"/>
    <w:rsid w:val="0066519C"/>
    <w:rsid w:val="00665C78"/>
    <w:rsid w:val="00665C83"/>
    <w:rsid w:val="006667F9"/>
    <w:rsid w:val="00667511"/>
    <w:rsid w:val="00667C50"/>
    <w:rsid w:val="00670D5B"/>
    <w:rsid w:val="00671D60"/>
    <w:rsid w:val="00671FF6"/>
    <w:rsid w:val="006720D7"/>
    <w:rsid w:val="006721B1"/>
    <w:rsid w:val="00672F51"/>
    <w:rsid w:val="00674390"/>
    <w:rsid w:val="00674DE2"/>
    <w:rsid w:val="00675951"/>
    <w:rsid w:val="00675CA9"/>
    <w:rsid w:val="006763B0"/>
    <w:rsid w:val="0067672D"/>
    <w:rsid w:val="006770A5"/>
    <w:rsid w:val="00680153"/>
    <w:rsid w:val="00680208"/>
    <w:rsid w:val="00680790"/>
    <w:rsid w:val="0068155D"/>
    <w:rsid w:val="006823B9"/>
    <w:rsid w:val="006829BB"/>
    <w:rsid w:val="00683FCE"/>
    <w:rsid w:val="00685AB4"/>
    <w:rsid w:val="00686115"/>
    <w:rsid w:val="0068702D"/>
    <w:rsid w:val="00690AF2"/>
    <w:rsid w:val="00690FB6"/>
    <w:rsid w:val="00691514"/>
    <w:rsid w:val="00691558"/>
    <w:rsid w:val="006921E8"/>
    <w:rsid w:val="006922EF"/>
    <w:rsid w:val="006929E4"/>
    <w:rsid w:val="00692AE2"/>
    <w:rsid w:val="0069308E"/>
    <w:rsid w:val="006940D3"/>
    <w:rsid w:val="00695B29"/>
    <w:rsid w:val="00695D67"/>
    <w:rsid w:val="00696265"/>
    <w:rsid w:val="00696573"/>
    <w:rsid w:val="00696C1D"/>
    <w:rsid w:val="00696FA7"/>
    <w:rsid w:val="00697E3C"/>
    <w:rsid w:val="006A039B"/>
    <w:rsid w:val="006A08A9"/>
    <w:rsid w:val="006A1A71"/>
    <w:rsid w:val="006A27D7"/>
    <w:rsid w:val="006A27FC"/>
    <w:rsid w:val="006A2E0A"/>
    <w:rsid w:val="006A2E3C"/>
    <w:rsid w:val="006A3129"/>
    <w:rsid w:val="006A3C82"/>
    <w:rsid w:val="006A4962"/>
    <w:rsid w:val="006A4B28"/>
    <w:rsid w:val="006A4DDE"/>
    <w:rsid w:val="006A5274"/>
    <w:rsid w:val="006A7B20"/>
    <w:rsid w:val="006B0059"/>
    <w:rsid w:val="006B02E9"/>
    <w:rsid w:val="006B0595"/>
    <w:rsid w:val="006B100C"/>
    <w:rsid w:val="006B2069"/>
    <w:rsid w:val="006B2881"/>
    <w:rsid w:val="006B2AED"/>
    <w:rsid w:val="006B2E10"/>
    <w:rsid w:val="006B2F7E"/>
    <w:rsid w:val="006B42B9"/>
    <w:rsid w:val="006B4DD7"/>
    <w:rsid w:val="006B5536"/>
    <w:rsid w:val="006B59EE"/>
    <w:rsid w:val="006B641B"/>
    <w:rsid w:val="006B6988"/>
    <w:rsid w:val="006C1FA2"/>
    <w:rsid w:val="006C257C"/>
    <w:rsid w:val="006C2E7D"/>
    <w:rsid w:val="006C4FFB"/>
    <w:rsid w:val="006C501A"/>
    <w:rsid w:val="006C516E"/>
    <w:rsid w:val="006C704D"/>
    <w:rsid w:val="006C70C6"/>
    <w:rsid w:val="006C743A"/>
    <w:rsid w:val="006D14D2"/>
    <w:rsid w:val="006D19A5"/>
    <w:rsid w:val="006D1EE9"/>
    <w:rsid w:val="006D2539"/>
    <w:rsid w:val="006D281F"/>
    <w:rsid w:val="006D2CCE"/>
    <w:rsid w:val="006D44E0"/>
    <w:rsid w:val="006D4D69"/>
    <w:rsid w:val="006D5064"/>
    <w:rsid w:val="006D5F32"/>
    <w:rsid w:val="006D63ED"/>
    <w:rsid w:val="006D648A"/>
    <w:rsid w:val="006D6831"/>
    <w:rsid w:val="006E0212"/>
    <w:rsid w:val="006E05D6"/>
    <w:rsid w:val="006E0A61"/>
    <w:rsid w:val="006E1126"/>
    <w:rsid w:val="006E18DC"/>
    <w:rsid w:val="006E33CD"/>
    <w:rsid w:val="006E3BE1"/>
    <w:rsid w:val="006E4E89"/>
    <w:rsid w:val="006E55C4"/>
    <w:rsid w:val="006E5750"/>
    <w:rsid w:val="006E5EBD"/>
    <w:rsid w:val="006E78D9"/>
    <w:rsid w:val="006F039D"/>
    <w:rsid w:val="006F03B2"/>
    <w:rsid w:val="006F18F0"/>
    <w:rsid w:val="006F1B97"/>
    <w:rsid w:val="006F2333"/>
    <w:rsid w:val="006F23C2"/>
    <w:rsid w:val="006F24F5"/>
    <w:rsid w:val="006F26D9"/>
    <w:rsid w:val="006F2DED"/>
    <w:rsid w:val="006F3125"/>
    <w:rsid w:val="006F3843"/>
    <w:rsid w:val="006F3D88"/>
    <w:rsid w:val="006F40BB"/>
    <w:rsid w:val="006F4562"/>
    <w:rsid w:val="006F49CC"/>
    <w:rsid w:val="006F6147"/>
    <w:rsid w:val="006F6F5D"/>
    <w:rsid w:val="006F70A2"/>
    <w:rsid w:val="00700054"/>
    <w:rsid w:val="007006FB"/>
    <w:rsid w:val="007010E2"/>
    <w:rsid w:val="00701E67"/>
    <w:rsid w:val="007025FE"/>
    <w:rsid w:val="0070302E"/>
    <w:rsid w:val="00704573"/>
    <w:rsid w:val="0070459D"/>
    <w:rsid w:val="0070482F"/>
    <w:rsid w:val="00704B10"/>
    <w:rsid w:val="00704B17"/>
    <w:rsid w:val="0070527A"/>
    <w:rsid w:val="00705580"/>
    <w:rsid w:val="00706DCC"/>
    <w:rsid w:val="00707132"/>
    <w:rsid w:val="007071E0"/>
    <w:rsid w:val="00707387"/>
    <w:rsid w:val="00711B60"/>
    <w:rsid w:val="00711DDD"/>
    <w:rsid w:val="0071442D"/>
    <w:rsid w:val="00714EA2"/>
    <w:rsid w:val="00715573"/>
    <w:rsid w:val="007167C5"/>
    <w:rsid w:val="00720D01"/>
    <w:rsid w:val="007218A5"/>
    <w:rsid w:val="00721E1D"/>
    <w:rsid w:val="00722E91"/>
    <w:rsid w:val="00724135"/>
    <w:rsid w:val="00724829"/>
    <w:rsid w:val="00724A82"/>
    <w:rsid w:val="00726558"/>
    <w:rsid w:val="00726E13"/>
    <w:rsid w:val="00727BF7"/>
    <w:rsid w:val="00727FAA"/>
    <w:rsid w:val="00730150"/>
    <w:rsid w:val="0073150D"/>
    <w:rsid w:val="00732144"/>
    <w:rsid w:val="00732F43"/>
    <w:rsid w:val="00734E0B"/>
    <w:rsid w:val="007350CE"/>
    <w:rsid w:val="0073610C"/>
    <w:rsid w:val="0073667A"/>
    <w:rsid w:val="0073691F"/>
    <w:rsid w:val="00736AFC"/>
    <w:rsid w:val="00736B20"/>
    <w:rsid w:val="00737E28"/>
    <w:rsid w:val="007413DA"/>
    <w:rsid w:val="007437F3"/>
    <w:rsid w:val="00743C1F"/>
    <w:rsid w:val="00743F93"/>
    <w:rsid w:val="007440FB"/>
    <w:rsid w:val="00744F15"/>
    <w:rsid w:val="0074517A"/>
    <w:rsid w:val="00746480"/>
    <w:rsid w:val="00746921"/>
    <w:rsid w:val="00750329"/>
    <w:rsid w:val="007504C1"/>
    <w:rsid w:val="00750F91"/>
    <w:rsid w:val="00750F9D"/>
    <w:rsid w:val="007521AC"/>
    <w:rsid w:val="00752307"/>
    <w:rsid w:val="00753A32"/>
    <w:rsid w:val="00753CBD"/>
    <w:rsid w:val="00754990"/>
    <w:rsid w:val="007563F5"/>
    <w:rsid w:val="00757590"/>
    <w:rsid w:val="00760232"/>
    <w:rsid w:val="00760712"/>
    <w:rsid w:val="00760FA5"/>
    <w:rsid w:val="007612AC"/>
    <w:rsid w:val="00761461"/>
    <w:rsid w:val="00761A6C"/>
    <w:rsid w:val="00761CF4"/>
    <w:rsid w:val="00761D39"/>
    <w:rsid w:val="00762B8C"/>
    <w:rsid w:val="007631AB"/>
    <w:rsid w:val="00763B7F"/>
    <w:rsid w:val="00764B2F"/>
    <w:rsid w:val="00764E2E"/>
    <w:rsid w:val="00765001"/>
    <w:rsid w:val="007655F4"/>
    <w:rsid w:val="007659DF"/>
    <w:rsid w:val="0076674D"/>
    <w:rsid w:val="007673B6"/>
    <w:rsid w:val="00767703"/>
    <w:rsid w:val="00770089"/>
    <w:rsid w:val="00770623"/>
    <w:rsid w:val="0077080C"/>
    <w:rsid w:val="007715C2"/>
    <w:rsid w:val="00771CC1"/>
    <w:rsid w:val="00772A06"/>
    <w:rsid w:val="007732B0"/>
    <w:rsid w:val="0077361D"/>
    <w:rsid w:val="007763DA"/>
    <w:rsid w:val="00776FF0"/>
    <w:rsid w:val="00777829"/>
    <w:rsid w:val="00780522"/>
    <w:rsid w:val="007813D4"/>
    <w:rsid w:val="00781B4E"/>
    <w:rsid w:val="007821C5"/>
    <w:rsid w:val="00782AB8"/>
    <w:rsid w:val="0078374A"/>
    <w:rsid w:val="00784092"/>
    <w:rsid w:val="00784A0F"/>
    <w:rsid w:val="007853F6"/>
    <w:rsid w:val="00785E09"/>
    <w:rsid w:val="00786364"/>
    <w:rsid w:val="0078683D"/>
    <w:rsid w:val="00786BAF"/>
    <w:rsid w:val="00786DE3"/>
    <w:rsid w:val="00786E56"/>
    <w:rsid w:val="00787846"/>
    <w:rsid w:val="00790437"/>
    <w:rsid w:val="00792402"/>
    <w:rsid w:val="007924B3"/>
    <w:rsid w:val="00794933"/>
    <w:rsid w:val="007964F0"/>
    <w:rsid w:val="007966DD"/>
    <w:rsid w:val="007A095D"/>
    <w:rsid w:val="007A1072"/>
    <w:rsid w:val="007A1B13"/>
    <w:rsid w:val="007A2508"/>
    <w:rsid w:val="007A445F"/>
    <w:rsid w:val="007A4D98"/>
    <w:rsid w:val="007A5AE8"/>
    <w:rsid w:val="007A79CD"/>
    <w:rsid w:val="007A7A06"/>
    <w:rsid w:val="007B15CB"/>
    <w:rsid w:val="007B17AF"/>
    <w:rsid w:val="007B206C"/>
    <w:rsid w:val="007B24ED"/>
    <w:rsid w:val="007B4522"/>
    <w:rsid w:val="007B5165"/>
    <w:rsid w:val="007B5343"/>
    <w:rsid w:val="007B607F"/>
    <w:rsid w:val="007B65DB"/>
    <w:rsid w:val="007B7745"/>
    <w:rsid w:val="007B77F7"/>
    <w:rsid w:val="007B7C80"/>
    <w:rsid w:val="007C017C"/>
    <w:rsid w:val="007C0AC7"/>
    <w:rsid w:val="007C1AF3"/>
    <w:rsid w:val="007C2005"/>
    <w:rsid w:val="007C25EB"/>
    <w:rsid w:val="007C2AFE"/>
    <w:rsid w:val="007C2D09"/>
    <w:rsid w:val="007C3F11"/>
    <w:rsid w:val="007C42F1"/>
    <w:rsid w:val="007C437E"/>
    <w:rsid w:val="007C651E"/>
    <w:rsid w:val="007D1F47"/>
    <w:rsid w:val="007D220A"/>
    <w:rsid w:val="007D277E"/>
    <w:rsid w:val="007D38B9"/>
    <w:rsid w:val="007D390F"/>
    <w:rsid w:val="007D4921"/>
    <w:rsid w:val="007D50D2"/>
    <w:rsid w:val="007D5105"/>
    <w:rsid w:val="007D5A97"/>
    <w:rsid w:val="007D5B6F"/>
    <w:rsid w:val="007D7EEC"/>
    <w:rsid w:val="007E0DD8"/>
    <w:rsid w:val="007E5A3F"/>
    <w:rsid w:val="007E61C7"/>
    <w:rsid w:val="007E6306"/>
    <w:rsid w:val="007E6934"/>
    <w:rsid w:val="007E6D35"/>
    <w:rsid w:val="007E77CC"/>
    <w:rsid w:val="007E794C"/>
    <w:rsid w:val="007F0C16"/>
    <w:rsid w:val="007F0D3B"/>
    <w:rsid w:val="007F1C95"/>
    <w:rsid w:val="007F2011"/>
    <w:rsid w:val="007F2103"/>
    <w:rsid w:val="007F29A9"/>
    <w:rsid w:val="007F2D0A"/>
    <w:rsid w:val="007F329C"/>
    <w:rsid w:val="007F383C"/>
    <w:rsid w:val="007F3ED0"/>
    <w:rsid w:val="007F496A"/>
    <w:rsid w:val="007F4A70"/>
    <w:rsid w:val="007F578C"/>
    <w:rsid w:val="007F5D3E"/>
    <w:rsid w:val="007F5F41"/>
    <w:rsid w:val="007F65A7"/>
    <w:rsid w:val="007F7D20"/>
    <w:rsid w:val="00800497"/>
    <w:rsid w:val="008006B5"/>
    <w:rsid w:val="0080150F"/>
    <w:rsid w:val="00801D00"/>
    <w:rsid w:val="008024CB"/>
    <w:rsid w:val="008048AD"/>
    <w:rsid w:val="00805952"/>
    <w:rsid w:val="00805BD6"/>
    <w:rsid w:val="008070ED"/>
    <w:rsid w:val="00807C9C"/>
    <w:rsid w:val="00810306"/>
    <w:rsid w:val="0081030C"/>
    <w:rsid w:val="008108A0"/>
    <w:rsid w:val="00810943"/>
    <w:rsid w:val="00811376"/>
    <w:rsid w:val="00811666"/>
    <w:rsid w:val="00811EB7"/>
    <w:rsid w:val="00812619"/>
    <w:rsid w:val="0081312B"/>
    <w:rsid w:val="00813A9B"/>
    <w:rsid w:val="00814917"/>
    <w:rsid w:val="00814DD4"/>
    <w:rsid w:val="00815E25"/>
    <w:rsid w:val="00816E7F"/>
    <w:rsid w:val="008173BB"/>
    <w:rsid w:val="0081795F"/>
    <w:rsid w:val="0082009C"/>
    <w:rsid w:val="0082038D"/>
    <w:rsid w:val="00820CBF"/>
    <w:rsid w:val="00820DA2"/>
    <w:rsid w:val="00821A9D"/>
    <w:rsid w:val="00821BC2"/>
    <w:rsid w:val="00823080"/>
    <w:rsid w:val="008232FB"/>
    <w:rsid w:val="00823591"/>
    <w:rsid w:val="0082477D"/>
    <w:rsid w:val="008247A2"/>
    <w:rsid w:val="00824942"/>
    <w:rsid w:val="00824B8F"/>
    <w:rsid w:val="008270CC"/>
    <w:rsid w:val="00827350"/>
    <w:rsid w:val="0082765D"/>
    <w:rsid w:val="008276D1"/>
    <w:rsid w:val="008303BF"/>
    <w:rsid w:val="00830963"/>
    <w:rsid w:val="008317AD"/>
    <w:rsid w:val="00831E1F"/>
    <w:rsid w:val="0083252D"/>
    <w:rsid w:val="008338C9"/>
    <w:rsid w:val="00833BFE"/>
    <w:rsid w:val="00834452"/>
    <w:rsid w:val="008355E0"/>
    <w:rsid w:val="008355EE"/>
    <w:rsid w:val="00835F53"/>
    <w:rsid w:val="0083632B"/>
    <w:rsid w:val="00837059"/>
    <w:rsid w:val="00837079"/>
    <w:rsid w:val="008370B3"/>
    <w:rsid w:val="00840ECB"/>
    <w:rsid w:val="00843F70"/>
    <w:rsid w:val="00844D55"/>
    <w:rsid w:val="008456BD"/>
    <w:rsid w:val="008464C3"/>
    <w:rsid w:val="00846643"/>
    <w:rsid w:val="008471CC"/>
    <w:rsid w:val="00851A11"/>
    <w:rsid w:val="0085239E"/>
    <w:rsid w:val="00852979"/>
    <w:rsid w:val="008537B6"/>
    <w:rsid w:val="00853800"/>
    <w:rsid w:val="008549C0"/>
    <w:rsid w:val="008555DD"/>
    <w:rsid w:val="008569BC"/>
    <w:rsid w:val="00857843"/>
    <w:rsid w:val="008609EA"/>
    <w:rsid w:val="008633EA"/>
    <w:rsid w:val="008634FD"/>
    <w:rsid w:val="00864EE7"/>
    <w:rsid w:val="00865791"/>
    <w:rsid w:val="00865B3A"/>
    <w:rsid w:val="00866E5E"/>
    <w:rsid w:val="00867E0E"/>
    <w:rsid w:val="008703EB"/>
    <w:rsid w:val="008715BD"/>
    <w:rsid w:val="008725BC"/>
    <w:rsid w:val="008726D2"/>
    <w:rsid w:val="008734FD"/>
    <w:rsid w:val="0087366D"/>
    <w:rsid w:val="00873754"/>
    <w:rsid w:val="008743BA"/>
    <w:rsid w:val="00875373"/>
    <w:rsid w:val="00875F0F"/>
    <w:rsid w:val="00875FE0"/>
    <w:rsid w:val="00877485"/>
    <w:rsid w:val="00877EEE"/>
    <w:rsid w:val="0088080B"/>
    <w:rsid w:val="00880952"/>
    <w:rsid w:val="00880D44"/>
    <w:rsid w:val="00880E70"/>
    <w:rsid w:val="00881889"/>
    <w:rsid w:val="00881F5D"/>
    <w:rsid w:val="00882317"/>
    <w:rsid w:val="00882492"/>
    <w:rsid w:val="00882BF8"/>
    <w:rsid w:val="00883014"/>
    <w:rsid w:val="00883AF8"/>
    <w:rsid w:val="00884729"/>
    <w:rsid w:val="00886486"/>
    <w:rsid w:val="00886B81"/>
    <w:rsid w:val="00887028"/>
    <w:rsid w:val="00887576"/>
    <w:rsid w:val="0089077B"/>
    <w:rsid w:val="008908C6"/>
    <w:rsid w:val="00890D3D"/>
    <w:rsid w:val="00890EC1"/>
    <w:rsid w:val="00891410"/>
    <w:rsid w:val="008916A9"/>
    <w:rsid w:val="0089173D"/>
    <w:rsid w:val="008932EA"/>
    <w:rsid w:val="0089361D"/>
    <w:rsid w:val="008939D7"/>
    <w:rsid w:val="00893AA7"/>
    <w:rsid w:val="00893C32"/>
    <w:rsid w:val="008940A6"/>
    <w:rsid w:val="008943AD"/>
    <w:rsid w:val="008947ED"/>
    <w:rsid w:val="0089504D"/>
    <w:rsid w:val="0089534E"/>
    <w:rsid w:val="00895E70"/>
    <w:rsid w:val="00896544"/>
    <w:rsid w:val="00896BFA"/>
    <w:rsid w:val="0089716C"/>
    <w:rsid w:val="008A1BFD"/>
    <w:rsid w:val="008A36AE"/>
    <w:rsid w:val="008A387C"/>
    <w:rsid w:val="008A3B2A"/>
    <w:rsid w:val="008A3C68"/>
    <w:rsid w:val="008A4110"/>
    <w:rsid w:val="008A4A18"/>
    <w:rsid w:val="008A4AF5"/>
    <w:rsid w:val="008A4C99"/>
    <w:rsid w:val="008A4E32"/>
    <w:rsid w:val="008A5C69"/>
    <w:rsid w:val="008A6FA4"/>
    <w:rsid w:val="008A71FB"/>
    <w:rsid w:val="008A7ED5"/>
    <w:rsid w:val="008B358A"/>
    <w:rsid w:val="008B3987"/>
    <w:rsid w:val="008B3A75"/>
    <w:rsid w:val="008B5ABF"/>
    <w:rsid w:val="008B5CB6"/>
    <w:rsid w:val="008B62CB"/>
    <w:rsid w:val="008B69E0"/>
    <w:rsid w:val="008B7556"/>
    <w:rsid w:val="008C01D2"/>
    <w:rsid w:val="008C0391"/>
    <w:rsid w:val="008C2842"/>
    <w:rsid w:val="008C3801"/>
    <w:rsid w:val="008C3B87"/>
    <w:rsid w:val="008C3E17"/>
    <w:rsid w:val="008C48B2"/>
    <w:rsid w:val="008C48E1"/>
    <w:rsid w:val="008C4A27"/>
    <w:rsid w:val="008C4AAE"/>
    <w:rsid w:val="008C56C9"/>
    <w:rsid w:val="008C5BB9"/>
    <w:rsid w:val="008C66F9"/>
    <w:rsid w:val="008C67FB"/>
    <w:rsid w:val="008C689D"/>
    <w:rsid w:val="008C6BC8"/>
    <w:rsid w:val="008D0317"/>
    <w:rsid w:val="008D05FA"/>
    <w:rsid w:val="008D0C24"/>
    <w:rsid w:val="008D0F00"/>
    <w:rsid w:val="008D1198"/>
    <w:rsid w:val="008D141A"/>
    <w:rsid w:val="008D15E0"/>
    <w:rsid w:val="008D1B53"/>
    <w:rsid w:val="008D1F48"/>
    <w:rsid w:val="008D3DC6"/>
    <w:rsid w:val="008D4904"/>
    <w:rsid w:val="008D5934"/>
    <w:rsid w:val="008E15B2"/>
    <w:rsid w:val="008E1B4B"/>
    <w:rsid w:val="008E1D70"/>
    <w:rsid w:val="008E1DB3"/>
    <w:rsid w:val="008E2BAD"/>
    <w:rsid w:val="008E307C"/>
    <w:rsid w:val="008E36E2"/>
    <w:rsid w:val="008E56A8"/>
    <w:rsid w:val="008E6938"/>
    <w:rsid w:val="008E6B73"/>
    <w:rsid w:val="008E7171"/>
    <w:rsid w:val="008F0DD1"/>
    <w:rsid w:val="008F1601"/>
    <w:rsid w:val="008F2D19"/>
    <w:rsid w:val="008F374E"/>
    <w:rsid w:val="008F44E5"/>
    <w:rsid w:val="008F5398"/>
    <w:rsid w:val="008F5C22"/>
    <w:rsid w:val="008F7381"/>
    <w:rsid w:val="008F7482"/>
    <w:rsid w:val="008F7FA0"/>
    <w:rsid w:val="009007B6"/>
    <w:rsid w:val="00900C72"/>
    <w:rsid w:val="00902CF8"/>
    <w:rsid w:val="00903272"/>
    <w:rsid w:val="00903352"/>
    <w:rsid w:val="009042C8"/>
    <w:rsid w:val="00905F7C"/>
    <w:rsid w:val="00906B82"/>
    <w:rsid w:val="00907334"/>
    <w:rsid w:val="009108C4"/>
    <w:rsid w:val="00910B0D"/>
    <w:rsid w:val="00912430"/>
    <w:rsid w:val="009124AF"/>
    <w:rsid w:val="009159E0"/>
    <w:rsid w:val="00915B05"/>
    <w:rsid w:val="00916274"/>
    <w:rsid w:val="00916F66"/>
    <w:rsid w:val="00917AEE"/>
    <w:rsid w:val="00917CD3"/>
    <w:rsid w:val="009204C3"/>
    <w:rsid w:val="009205F7"/>
    <w:rsid w:val="00920D30"/>
    <w:rsid w:val="009214BF"/>
    <w:rsid w:val="00921679"/>
    <w:rsid w:val="0092193C"/>
    <w:rsid w:val="009223AA"/>
    <w:rsid w:val="00922449"/>
    <w:rsid w:val="0092289F"/>
    <w:rsid w:val="00922DEC"/>
    <w:rsid w:val="00923665"/>
    <w:rsid w:val="00923772"/>
    <w:rsid w:val="00923A49"/>
    <w:rsid w:val="00923EEA"/>
    <w:rsid w:val="00924171"/>
    <w:rsid w:val="0092417B"/>
    <w:rsid w:val="009244F8"/>
    <w:rsid w:val="00925135"/>
    <w:rsid w:val="00925B67"/>
    <w:rsid w:val="00930304"/>
    <w:rsid w:val="00931301"/>
    <w:rsid w:val="00932139"/>
    <w:rsid w:val="0093280C"/>
    <w:rsid w:val="00932C4E"/>
    <w:rsid w:val="0093306F"/>
    <w:rsid w:val="00935AA7"/>
    <w:rsid w:val="00935C92"/>
    <w:rsid w:val="009400F2"/>
    <w:rsid w:val="00940A57"/>
    <w:rsid w:val="00940F3F"/>
    <w:rsid w:val="00941B4B"/>
    <w:rsid w:val="00941BE2"/>
    <w:rsid w:val="00941F44"/>
    <w:rsid w:val="00942C69"/>
    <w:rsid w:val="00942C87"/>
    <w:rsid w:val="0094316C"/>
    <w:rsid w:val="00943431"/>
    <w:rsid w:val="009438FD"/>
    <w:rsid w:val="009456E2"/>
    <w:rsid w:val="009456F5"/>
    <w:rsid w:val="0094592F"/>
    <w:rsid w:val="00945F3E"/>
    <w:rsid w:val="00947675"/>
    <w:rsid w:val="009508B9"/>
    <w:rsid w:val="00950AE4"/>
    <w:rsid w:val="00950E9C"/>
    <w:rsid w:val="00951595"/>
    <w:rsid w:val="0095177F"/>
    <w:rsid w:val="00951840"/>
    <w:rsid w:val="00951F7A"/>
    <w:rsid w:val="00954D08"/>
    <w:rsid w:val="00955309"/>
    <w:rsid w:val="0095541C"/>
    <w:rsid w:val="00955748"/>
    <w:rsid w:val="0095588B"/>
    <w:rsid w:val="00955AF6"/>
    <w:rsid w:val="00957F65"/>
    <w:rsid w:val="00960099"/>
    <w:rsid w:val="00960149"/>
    <w:rsid w:val="009606E6"/>
    <w:rsid w:val="0096078A"/>
    <w:rsid w:val="00961093"/>
    <w:rsid w:val="00961DC9"/>
    <w:rsid w:val="0096263E"/>
    <w:rsid w:val="00962D41"/>
    <w:rsid w:val="00963E61"/>
    <w:rsid w:val="00964CAF"/>
    <w:rsid w:val="00964DE4"/>
    <w:rsid w:val="009658AD"/>
    <w:rsid w:val="0096601B"/>
    <w:rsid w:val="0096621F"/>
    <w:rsid w:val="0096626F"/>
    <w:rsid w:val="00966273"/>
    <w:rsid w:val="00966B74"/>
    <w:rsid w:val="009679D1"/>
    <w:rsid w:val="00970650"/>
    <w:rsid w:val="009714A3"/>
    <w:rsid w:val="009714FC"/>
    <w:rsid w:val="00971589"/>
    <w:rsid w:val="00971713"/>
    <w:rsid w:val="009727E0"/>
    <w:rsid w:val="00972B5F"/>
    <w:rsid w:val="00973745"/>
    <w:rsid w:val="00974675"/>
    <w:rsid w:val="00974CA6"/>
    <w:rsid w:val="009756B0"/>
    <w:rsid w:val="00976D1C"/>
    <w:rsid w:val="009771DE"/>
    <w:rsid w:val="00977D56"/>
    <w:rsid w:val="00980792"/>
    <w:rsid w:val="00980884"/>
    <w:rsid w:val="00980F3F"/>
    <w:rsid w:val="00981926"/>
    <w:rsid w:val="00981C70"/>
    <w:rsid w:val="00981FC1"/>
    <w:rsid w:val="009820B5"/>
    <w:rsid w:val="00982686"/>
    <w:rsid w:val="009833D5"/>
    <w:rsid w:val="00983535"/>
    <w:rsid w:val="009839C9"/>
    <w:rsid w:val="00983ACD"/>
    <w:rsid w:val="00983E1A"/>
    <w:rsid w:val="00984D04"/>
    <w:rsid w:val="0099094E"/>
    <w:rsid w:val="00990C66"/>
    <w:rsid w:val="00990E42"/>
    <w:rsid w:val="009914BB"/>
    <w:rsid w:val="00991938"/>
    <w:rsid w:val="00991FE0"/>
    <w:rsid w:val="00992E21"/>
    <w:rsid w:val="00993A01"/>
    <w:rsid w:val="009955C5"/>
    <w:rsid w:val="009955D0"/>
    <w:rsid w:val="00996373"/>
    <w:rsid w:val="00996DFF"/>
    <w:rsid w:val="009970AA"/>
    <w:rsid w:val="00997767"/>
    <w:rsid w:val="009A08AE"/>
    <w:rsid w:val="009A13E0"/>
    <w:rsid w:val="009A18A4"/>
    <w:rsid w:val="009A1E6E"/>
    <w:rsid w:val="009A1F59"/>
    <w:rsid w:val="009A2150"/>
    <w:rsid w:val="009A2971"/>
    <w:rsid w:val="009A34A8"/>
    <w:rsid w:val="009A3B68"/>
    <w:rsid w:val="009A4DBE"/>
    <w:rsid w:val="009A5570"/>
    <w:rsid w:val="009A569B"/>
    <w:rsid w:val="009A5B0B"/>
    <w:rsid w:val="009A5F1B"/>
    <w:rsid w:val="009B419C"/>
    <w:rsid w:val="009B4823"/>
    <w:rsid w:val="009B49D0"/>
    <w:rsid w:val="009B4CDD"/>
    <w:rsid w:val="009B4EC2"/>
    <w:rsid w:val="009B57D7"/>
    <w:rsid w:val="009B5BCD"/>
    <w:rsid w:val="009B666E"/>
    <w:rsid w:val="009B6963"/>
    <w:rsid w:val="009B6A83"/>
    <w:rsid w:val="009B6AE3"/>
    <w:rsid w:val="009B749E"/>
    <w:rsid w:val="009B7923"/>
    <w:rsid w:val="009C03E9"/>
    <w:rsid w:val="009C0B6F"/>
    <w:rsid w:val="009C1917"/>
    <w:rsid w:val="009C1AC7"/>
    <w:rsid w:val="009C1B2F"/>
    <w:rsid w:val="009C294F"/>
    <w:rsid w:val="009C2971"/>
    <w:rsid w:val="009C3C64"/>
    <w:rsid w:val="009C3F61"/>
    <w:rsid w:val="009C515C"/>
    <w:rsid w:val="009C56DC"/>
    <w:rsid w:val="009C5F3A"/>
    <w:rsid w:val="009C6025"/>
    <w:rsid w:val="009C6A45"/>
    <w:rsid w:val="009C6D16"/>
    <w:rsid w:val="009C71FB"/>
    <w:rsid w:val="009C72D0"/>
    <w:rsid w:val="009C7C91"/>
    <w:rsid w:val="009D0606"/>
    <w:rsid w:val="009D0E72"/>
    <w:rsid w:val="009D0FFA"/>
    <w:rsid w:val="009D138B"/>
    <w:rsid w:val="009D20A5"/>
    <w:rsid w:val="009D2294"/>
    <w:rsid w:val="009D2534"/>
    <w:rsid w:val="009D26E3"/>
    <w:rsid w:val="009D2892"/>
    <w:rsid w:val="009D370E"/>
    <w:rsid w:val="009D441B"/>
    <w:rsid w:val="009D52F7"/>
    <w:rsid w:val="009D5CD1"/>
    <w:rsid w:val="009D6256"/>
    <w:rsid w:val="009D6688"/>
    <w:rsid w:val="009D6F28"/>
    <w:rsid w:val="009E0EEA"/>
    <w:rsid w:val="009E107E"/>
    <w:rsid w:val="009E133D"/>
    <w:rsid w:val="009E2FD5"/>
    <w:rsid w:val="009E4694"/>
    <w:rsid w:val="009E47D5"/>
    <w:rsid w:val="009E57B1"/>
    <w:rsid w:val="009E755B"/>
    <w:rsid w:val="009E77BF"/>
    <w:rsid w:val="009E77E2"/>
    <w:rsid w:val="009E78F7"/>
    <w:rsid w:val="009E79C6"/>
    <w:rsid w:val="009F01E3"/>
    <w:rsid w:val="009F2F6B"/>
    <w:rsid w:val="009F6232"/>
    <w:rsid w:val="009F6DBB"/>
    <w:rsid w:val="009F7DBA"/>
    <w:rsid w:val="00A005F6"/>
    <w:rsid w:val="00A01F1D"/>
    <w:rsid w:val="00A026C7"/>
    <w:rsid w:val="00A02F8F"/>
    <w:rsid w:val="00A031F2"/>
    <w:rsid w:val="00A03AE8"/>
    <w:rsid w:val="00A065BB"/>
    <w:rsid w:val="00A06AFC"/>
    <w:rsid w:val="00A075B6"/>
    <w:rsid w:val="00A07806"/>
    <w:rsid w:val="00A10380"/>
    <w:rsid w:val="00A1049A"/>
    <w:rsid w:val="00A10E23"/>
    <w:rsid w:val="00A10F5D"/>
    <w:rsid w:val="00A13521"/>
    <w:rsid w:val="00A13F75"/>
    <w:rsid w:val="00A1430F"/>
    <w:rsid w:val="00A14930"/>
    <w:rsid w:val="00A15030"/>
    <w:rsid w:val="00A1551D"/>
    <w:rsid w:val="00A15D26"/>
    <w:rsid w:val="00A16E24"/>
    <w:rsid w:val="00A16FF9"/>
    <w:rsid w:val="00A17551"/>
    <w:rsid w:val="00A2051B"/>
    <w:rsid w:val="00A20662"/>
    <w:rsid w:val="00A224FC"/>
    <w:rsid w:val="00A22CAF"/>
    <w:rsid w:val="00A2487C"/>
    <w:rsid w:val="00A27119"/>
    <w:rsid w:val="00A331A8"/>
    <w:rsid w:val="00A333EE"/>
    <w:rsid w:val="00A34B5F"/>
    <w:rsid w:val="00A35613"/>
    <w:rsid w:val="00A36516"/>
    <w:rsid w:val="00A36AC1"/>
    <w:rsid w:val="00A36E00"/>
    <w:rsid w:val="00A40B74"/>
    <w:rsid w:val="00A4194C"/>
    <w:rsid w:val="00A41CC8"/>
    <w:rsid w:val="00A42445"/>
    <w:rsid w:val="00A427CB"/>
    <w:rsid w:val="00A427FB"/>
    <w:rsid w:val="00A43D1C"/>
    <w:rsid w:val="00A44D2A"/>
    <w:rsid w:val="00A4502A"/>
    <w:rsid w:val="00A4608E"/>
    <w:rsid w:val="00A461A8"/>
    <w:rsid w:val="00A4657B"/>
    <w:rsid w:val="00A46628"/>
    <w:rsid w:val="00A472FA"/>
    <w:rsid w:val="00A52970"/>
    <w:rsid w:val="00A52C17"/>
    <w:rsid w:val="00A52C47"/>
    <w:rsid w:val="00A52C50"/>
    <w:rsid w:val="00A53260"/>
    <w:rsid w:val="00A535C8"/>
    <w:rsid w:val="00A5407E"/>
    <w:rsid w:val="00A54DD2"/>
    <w:rsid w:val="00A56911"/>
    <w:rsid w:val="00A56C30"/>
    <w:rsid w:val="00A56E1D"/>
    <w:rsid w:val="00A57450"/>
    <w:rsid w:val="00A57D51"/>
    <w:rsid w:val="00A60027"/>
    <w:rsid w:val="00A60AA8"/>
    <w:rsid w:val="00A60C51"/>
    <w:rsid w:val="00A62210"/>
    <w:rsid w:val="00A643FD"/>
    <w:rsid w:val="00A64600"/>
    <w:rsid w:val="00A64634"/>
    <w:rsid w:val="00A648C4"/>
    <w:rsid w:val="00A6500E"/>
    <w:rsid w:val="00A65989"/>
    <w:rsid w:val="00A65B83"/>
    <w:rsid w:val="00A65D4A"/>
    <w:rsid w:val="00A6623F"/>
    <w:rsid w:val="00A6698A"/>
    <w:rsid w:val="00A66CA6"/>
    <w:rsid w:val="00A66EFC"/>
    <w:rsid w:val="00A67835"/>
    <w:rsid w:val="00A67868"/>
    <w:rsid w:val="00A70F76"/>
    <w:rsid w:val="00A714E3"/>
    <w:rsid w:val="00A7199A"/>
    <w:rsid w:val="00A72CED"/>
    <w:rsid w:val="00A72D28"/>
    <w:rsid w:val="00A74137"/>
    <w:rsid w:val="00A75601"/>
    <w:rsid w:val="00A7644C"/>
    <w:rsid w:val="00A76F56"/>
    <w:rsid w:val="00A772FB"/>
    <w:rsid w:val="00A7748A"/>
    <w:rsid w:val="00A77651"/>
    <w:rsid w:val="00A80508"/>
    <w:rsid w:val="00A805B9"/>
    <w:rsid w:val="00A81ABC"/>
    <w:rsid w:val="00A82621"/>
    <w:rsid w:val="00A82994"/>
    <w:rsid w:val="00A82A49"/>
    <w:rsid w:val="00A83205"/>
    <w:rsid w:val="00A83677"/>
    <w:rsid w:val="00A85859"/>
    <w:rsid w:val="00A85C28"/>
    <w:rsid w:val="00A85D17"/>
    <w:rsid w:val="00A86034"/>
    <w:rsid w:val="00A862D0"/>
    <w:rsid w:val="00A86683"/>
    <w:rsid w:val="00A868EA"/>
    <w:rsid w:val="00A86B3F"/>
    <w:rsid w:val="00A87622"/>
    <w:rsid w:val="00A90367"/>
    <w:rsid w:val="00A91652"/>
    <w:rsid w:val="00A9239E"/>
    <w:rsid w:val="00A92747"/>
    <w:rsid w:val="00A93AB6"/>
    <w:rsid w:val="00A93E6E"/>
    <w:rsid w:val="00A95959"/>
    <w:rsid w:val="00A96430"/>
    <w:rsid w:val="00A9668B"/>
    <w:rsid w:val="00A966F4"/>
    <w:rsid w:val="00A967A2"/>
    <w:rsid w:val="00AA16D3"/>
    <w:rsid w:val="00AA1762"/>
    <w:rsid w:val="00AA1C3F"/>
    <w:rsid w:val="00AA2D33"/>
    <w:rsid w:val="00AA327D"/>
    <w:rsid w:val="00AA3475"/>
    <w:rsid w:val="00AA633E"/>
    <w:rsid w:val="00AA6AE3"/>
    <w:rsid w:val="00AA767C"/>
    <w:rsid w:val="00AA7C5C"/>
    <w:rsid w:val="00AB09AE"/>
    <w:rsid w:val="00AB2066"/>
    <w:rsid w:val="00AB306E"/>
    <w:rsid w:val="00AB3173"/>
    <w:rsid w:val="00AB363F"/>
    <w:rsid w:val="00AB3AD0"/>
    <w:rsid w:val="00AB3BB0"/>
    <w:rsid w:val="00AB3F2A"/>
    <w:rsid w:val="00AB44F4"/>
    <w:rsid w:val="00AB48B4"/>
    <w:rsid w:val="00AB4A13"/>
    <w:rsid w:val="00AB50DA"/>
    <w:rsid w:val="00AB531F"/>
    <w:rsid w:val="00AB5633"/>
    <w:rsid w:val="00AB57C7"/>
    <w:rsid w:val="00AB665A"/>
    <w:rsid w:val="00AC0584"/>
    <w:rsid w:val="00AC135F"/>
    <w:rsid w:val="00AC1548"/>
    <w:rsid w:val="00AC1D4E"/>
    <w:rsid w:val="00AC36CB"/>
    <w:rsid w:val="00AC466D"/>
    <w:rsid w:val="00AC47AE"/>
    <w:rsid w:val="00AC48B1"/>
    <w:rsid w:val="00AC6491"/>
    <w:rsid w:val="00AC6D7A"/>
    <w:rsid w:val="00AC7B02"/>
    <w:rsid w:val="00AD0E3B"/>
    <w:rsid w:val="00AD14AF"/>
    <w:rsid w:val="00AD44EE"/>
    <w:rsid w:val="00AD64A3"/>
    <w:rsid w:val="00AD79B8"/>
    <w:rsid w:val="00AE0F90"/>
    <w:rsid w:val="00AE11A0"/>
    <w:rsid w:val="00AE3D8A"/>
    <w:rsid w:val="00AE3FEB"/>
    <w:rsid w:val="00AE4AF7"/>
    <w:rsid w:val="00AE5080"/>
    <w:rsid w:val="00AE531C"/>
    <w:rsid w:val="00AE57A9"/>
    <w:rsid w:val="00AE5F85"/>
    <w:rsid w:val="00AE5FAA"/>
    <w:rsid w:val="00AE6D3D"/>
    <w:rsid w:val="00AE7AB8"/>
    <w:rsid w:val="00AF228A"/>
    <w:rsid w:val="00AF3E7F"/>
    <w:rsid w:val="00AF4193"/>
    <w:rsid w:val="00AF4227"/>
    <w:rsid w:val="00AF44A6"/>
    <w:rsid w:val="00AF4A1D"/>
    <w:rsid w:val="00AF4A2C"/>
    <w:rsid w:val="00AF54A8"/>
    <w:rsid w:val="00AF652F"/>
    <w:rsid w:val="00AF6FC3"/>
    <w:rsid w:val="00AF7E13"/>
    <w:rsid w:val="00B00CA3"/>
    <w:rsid w:val="00B013F9"/>
    <w:rsid w:val="00B02340"/>
    <w:rsid w:val="00B05203"/>
    <w:rsid w:val="00B0539F"/>
    <w:rsid w:val="00B05BF6"/>
    <w:rsid w:val="00B06302"/>
    <w:rsid w:val="00B064D6"/>
    <w:rsid w:val="00B07EF0"/>
    <w:rsid w:val="00B10659"/>
    <w:rsid w:val="00B110BA"/>
    <w:rsid w:val="00B1130C"/>
    <w:rsid w:val="00B12A79"/>
    <w:rsid w:val="00B132B7"/>
    <w:rsid w:val="00B13AE3"/>
    <w:rsid w:val="00B13DB3"/>
    <w:rsid w:val="00B14032"/>
    <w:rsid w:val="00B1474D"/>
    <w:rsid w:val="00B14C19"/>
    <w:rsid w:val="00B1500D"/>
    <w:rsid w:val="00B15AE8"/>
    <w:rsid w:val="00B205FA"/>
    <w:rsid w:val="00B20C0E"/>
    <w:rsid w:val="00B2134A"/>
    <w:rsid w:val="00B21709"/>
    <w:rsid w:val="00B21BA7"/>
    <w:rsid w:val="00B220D5"/>
    <w:rsid w:val="00B222B0"/>
    <w:rsid w:val="00B23DD5"/>
    <w:rsid w:val="00B2442A"/>
    <w:rsid w:val="00B24911"/>
    <w:rsid w:val="00B24A95"/>
    <w:rsid w:val="00B24B43"/>
    <w:rsid w:val="00B24EC4"/>
    <w:rsid w:val="00B2583D"/>
    <w:rsid w:val="00B26179"/>
    <w:rsid w:val="00B26AC9"/>
    <w:rsid w:val="00B27C00"/>
    <w:rsid w:val="00B301C8"/>
    <w:rsid w:val="00B307D2"/>
    <w:rsid w:val="00B30B47"/>
    <w:rsid w:val="00B31434"/>
    <w:rsid w:val="00B33653"/>
    <w:rsid w:val="00B34051"/>
    <w:rsid w:val="00B34374"/>
    <w:rsid w:val="00B34467"/>
    <w:rsid w:val="00B3549C"/>
    <w:rsid w:val="00B375E7"/>
    <w:rsid w:val="00B377E0"/>
    <w:rsid w:val="00B40267"/>
    <w:rsid w:val="00B40C6D"/>
    <w:rsid w:val="00B4180D"/>
    <w:rsid w:val="00B41B31"/>
    <w:rsid w:val="00B42298"/>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25DE"/>
    <w:rsid w:val="00B53246"/>
    <w:rsid w:val="00B534E5"/>
    <w:rsid w:val="00B54243"/>
    <w:rsid w:val="00B55F44"/>
    <w:rsid w:val="00B56D95"/>
    <w:rsid w:val="00B5794C"/>
    <w:rsid w:val="00B60815"/>
    <w:rsid w:val="00B60E72"/>
    <w:rsid w:val="00B6216D"/>
    <w:rsid w:val="00B622A7"/>
    <w:rsid w:val="00B635F6"/>
    <w:rsid w:val="00B64134"/>
    <w:rsid w:val="00B6609C"/>
    <w:rsid w:val="00B66D1F"/>
    <w:rsid w:val="00B67AEB"/>
    <w:rsid w:val="00B70CC0"/>
    <w:rsid w:val="00B71442"/>
    <w:rsid w:val="00B722E2"/>
    <w:rsid w:val="00B72496"/>
    <w:rsid w:val="00B729E0"/>
    <w:rsid w:val="00B72CD5"/>
    <w:rsid w:val="00B72F3C"/>
    <w:rsid w:val="00B72F7D"/>
    <w:rsid w:val="00B742D4"/>
    <w:rsid w:val="00B7562F"/>
    <w:rsid w:val="00B757CC"/>
    <w:rsid w:val="00B75CCD"/>
    <w:rsid w:val="00B76E69"/>
    <w:rsid w:val="00B76F58"/>
    <w:rsid w:val="00B7759E"/>
    <w:rsid w:val="00B80B99"/>
    <w:rsid w:val="00B81CA9"/>
    <w:rsid w:val="00B8202A"/>
    <w:rsid w:val="00B8208C"/>
    <w:rsid w:val="00B828E9"/>
    <w:rsid w:val="00B82F9A"/>
    <w:rsid w:val="00B833E1"/>
    <w:rsid w:val="00B83A3C"/>
    <w:rsid w:val="00B85700"/>
    <w:rsid w:val="00B85705"/>
    <w:rsid w:val="00B859EE"/>
    <w:rsid w:val="00B85C58"/>
    <w:rsid w:val="00B8769B"/>
    <w:rsid w:val="00B903C8"/>
    <w:rsid w:val="00B904A1"/>
    <w:rsid w:val="00B90D40"/>
    <w:rsid w:val="00B91216"/>
    <w:rsid w:val="00B91B6A"/>
    <w:rsid w:val="00B92A37"/>
    <w:rsid w:val="00B92E7B"/>
    <w:rsid w:val="00B92EE2"/>
    <w:rsid w:val="00B93269"/>
    <w:rsid w:val="00B93740"/>
    <w:rsid w:val="00B939EE"/>
    <w:rsid w:val="00B942CE"/>
    <w:rsid w:val="00B944FC"/>
    <w:rsid w:val="00B95640"/>
    <w:rsid w:val="00B95BB0"/>
    <w:rsid w:val="00B96008"/>
    <w:rsid w:val="00B96090"/>
    <w:rsid w:val="00B96563"/>
    <w:rsid w:val="00B97143"/>
    <w:rsid w:val="00B97230"/>
    <w:rsid w:val="00B9765A"/>
    <w:rsid w:val="00B97A10"/>
    <w:rsid w:val="00B97D4D"/>
    <w:rsid w:val="00BA09C3"/>
    <w:rsid w:val="00BA0FA2"/>
    <w:rsid w:val="00BA18A1"/>
    <w:rsid w:val="00BA2DCE"/>
    <w:rsid w:val="00BA32F1"/>
    <w:rsid w:val="00BA35E4"/>
    <w:rsid w:val="00BA36A3"/>
    <w:rsid w:val="00BA438E"/>
    <w:rsid w:val="00BA5850"/>
    <w:rsid w:val="00BA64B5"/>
    <w:rsid w:val="00BA73B7"/>
    <w:rsid w:val="00BA7A59"/>
    <w:rsid w:val="00BA7EA6"/>
    <w:rsid w:val="00BB0980"/>
    <w:rsid w:val="00BB09A2"/>
    <w:rsid w:val="00BB0AD4"/>
    <w:rsid w:val="00BB1D05"/>
    <w:rsid w:val="00BB230B"/>
    <w:rsid w:val="00BB2D12"/>
    <w:rsid w:val="00BB2F31"/>
    <w:rsid w:val="00BB36CF"/>
    <w:rsid w:val="00BB374D"/>
    <w:rsid w:val="00BB387C"/>
    <w:rsid w:val="00BB3BCA"/>
    <w:rsid w:val="00BB3C0F"/>
    <w:rsid w:val="00BB3C63"/>
    <w:rsid w:val="00BB474D"/>
    <w:rsid w:val="00BB6568"/>
    <w:rsid w:val="00BB68AB"/>
    <w:rsid w:val="00BB7696"/>
    <w:rsid w:val="00BB76EC"/>
    <w:rsid w:val="00BB7731"/>
    <w:rsid w:val="00BB7BFE"/>
    <w:rsid w:val="00BC0D3C"/>
    <w:rsid w:val="00BC13D2"/>
    <w:rsid w:val="00BC1645"/>
    <w:rsid w:val="00BC1A17"/>
    <w:rsid w:val="00BC2332"/>
    <w:rsid w:val="00BC301A"/>
    <w:rsid w:val="00BC41E3"/>
    <w:rsid w:val="00BC42E2"/>
    <w:rsid w:val="00BC496B"/>
    <w:rsid w:val="00BC4C87"/>
    <w:rsid w:val="00BC4FE4"/>
    <w:rsid w:val="00BC6172"/>
    <w:rsid w:val="00BC6B36"/>
    <w:rsid w:val="00BC715C"/>
    <w:rsid w:val="00BC726B"/>
    <w:rsid w:val="00BC7925"/>
    <w:rsid w:val="00BC7943"/>
    <w:rsid w:val="00BD0503"/>
    <w:rsid w:val="00BD0617"/>
    <w:rsid w:val="00BD0C5F"/>
    <w:rsid w:val="00BD1DFC"/>
    <w:rsid w:val="00BD2AC4"/>
    <w:rsid w:val="00BD666E"/>
    <w:rsid w:val="00BD70D4"/>
    <w:rsid w:val="00BD73C5"/>
    <w:rsid w:val="00BE05F0"/>
    <w:rsid w:val="00BE072D"/>
    <w:rsid w:val="00BE17A8"/>
    <w:rsid w:val="00BE2845"/>
    <w:rsid w:val="00BE2B03"/>
    <w:rsid w:val="00BE5105"/>
    <w:rsid w:val="00BE5B6B"/>
    <w:rsid w:val="00BE5E58"/>
    <w:rsid w:val="00BE7FC6"/>
    <w:rsid w:val="00BF08AA"/>
    <w:rsid w:val="00BF1B5E"/>
    <w:rsid w:val="00BF1F51"/>
    <w:rsid w:val="00BF2109"/>
    <w:rsid w:val="00BF2348"/>
    <w:rsid w:val="00BF24C6"/>
    <w:rsid w:val="00BF3B20"/>
    <w:rsid w:val="00BF4030"/>
    <w:rsid w:val="00BF4053"/>
    <w:rsid w:val="00BF489F"/>
    <w:rsid w:val="00C0112C"/>
    <w:rsid w:val="00C01B0B"/>
    <w:rsid w:val="00C02C19"/>
    <w:rsid w:val="00C03122"/>
    <w:rsid w:val="00C033CC"/>
    <w:rsid w:val="00C03F7B"/>
    <w:rsid w:val="00C04D2B"/>
    <w:rsid w:val="00C050CC"/>
    <w:rsid w:val="00C05E47"/>
    <w:rsid w:val="00C06A94"/>
    <w:rsid w:val="00C1047D"/>
    <w:rsid w:val="00C10535"/>
    <w:rsid w:val="00C1085A"/>
    <w:rsid w:val="00C12165"/>
    <w:rsid w:val="00C126D2"/>
    <w:rsid w:val="00C12AA8"/>
    <w:rsid w:val="00C13368"/>
    <w:rsid w:val="00C13A9D"/>
    <w:rsid w:val="00C14017"/>
    <w:rsid w:val="00C1445A"/>
    <w:rsid w:val="00C149C4"/>
    <w:rsid w:val="00C153FE"/>
    <w:rsid w:val="00C16C9B"/>
    <w:rsid w:val="00C209B5"/>
    <w:rsid w:val="00C22385"/>
    <w:rsid w:val="00C223EB"/>
    <w:rsid w:val="00C24B07"/>
    <w:rsid w:val="00C25460"/>
    <w:rsid w:val="00C25BBB"/>
    <w:rsid w:val="00C260C8"/>
    <w:rsid w:val="00C26462"/>
    <w:rsid w:val="00C26CA6"/>
    <w:rsid w:val="00C27163"/>
    <w:rsid w:val="00C30263"/>
    <w:rsid w:val="00C30C5C"/>
    <w:rsid w:val="00C30E2B"/>
    <w:rsid w:val="00C312A5"/>
    <w:rsid w:val="00C322F7"/>
    <w:rsid w:val="00C333A1"/>
    <w:rsid w:val="00C33C76"/>
    <w:rsid w:val="00C34266"/>
    <w:rsid w:val="00C34489"/>
    <w:rsid w:val="00C34809"/>
    <w:rsid w:val="00C35631"/>
    <w:rsid w:val="00C3575A"/>
    <w:rsid w:val="00C36831"/>
    <w:rsid w:val="00C36B7C"/>
    <w:rsid w:val="00C36FD5"/>
    <w:rsid w:val="00C37035"/>
    <w:rsid w:val="00C3754A"/>
    <w:rsid w:val="00C40060"/>
    <w:rsid w:val="00C413E7"/>
    <w:rsid w:val="00C42215"/>
    <w:rsid w:val="00C42904"/>
    <w:rsid w:val="00C43B77"/>
    <w:rsid w:val="00C43CB0"/>
    <w:rsid w:val="00C44217"/>
    <w:rsid w:val="00C44B90"/>
    <w:rsid w:val="00C45030"/>
    <w:rsid w:val="00C4550E"/>
    <w:rsid w:val="00C45CC1"/>
    <w:rsid w:val="00C46B4F"/>
    <w:rsid w:val="00C47032"/>
    <w:rsid w:val="00C50702"/>
    <w:rsid w:val="00C525BE"/>
    <w:rsid w:val="00C52D0C"/>
    <w:rsid w:val="00C52E4D"/>
    <w:rsid w:val="00C53716"/>
    <w:rsid w:val="00C53AC2"/>
    <w:rsid w:val="00C5463D"/>
    <w:rsid w:val="00C54B46"/>
    <w:rsid w:val="00C54F4E"/>
    <w:rsid w:val="00C558A1"/>
    <w:rsid w:val="00C55B3C"/>
    <w:rsid w:val="00C562BC"/>
    <w:rsid w:val="00C5702F"/>
    <w:rsid w:val="00C57F9E"/>
    <w:rsid w:val="00C609CF"/>
    <w:rsid w:val="00C60B04"/>
    <w:rsid w:val="00C6175B"/>
    <w:rsid w:val="00C61860"/>
    <w:rsid w:val="00C61884"/>
    <w:rsid w:val="00C61A6F"/>
    <w:rsid w:val="00C623CE"/>
    <w:rsid w:val="00C63090"/>
    <w:rsid w:val="00C630EE"/>
    <w:rsid w:val="00C6325D"/>
    <w:rsid w:val="00C63277"/>
    <w:rsid w:val="00C632EA"/>
    <w:rsid w:val="00C634F6"/>
    <w:rsid w:val="00C66564"/>
    <w:rsid w:val="00C666E4"/>
    <w:rsid w:val="00C66793"/>
    <w:rsid w:val="00C66A5E"/>
    <w:rsid w:val="00C66CB0"/>
    <w:rsid w:val="00C66F4B"/>
    <w:rsid w:val="00C67077"/>
    <w:rsid w:val="00C70907"/>
    <w:rsid w:val="00C70A76"/>
    <w:rsid w:val="00C71931"/>
    <w:rsid w:val="00C728AA"/>
    <w:rsid w:val="00C72C09"/>
    <w:rsid w:val="00C74180"/>
    <w:rsid w:val="00C745AD"/>
    <w:rsid w:val="00C74753"/>
    <w:rsid w:val="00C76433"/>
    <w:rsid w:val="00C76961"/>
    <w:rsid w:val="00C76B34"/>
    <w:rsid w:val="00C80213"/>
    <w:rsid w:val="00C80508"/>
    <w:rsid w:val="00C8101A"/>
    <w:rsid w:val="00C810C7"/>
    <w:rsid w:val="00C8137F"/>
    <w:rsid w:val="00C81E3C"/>
    <w:rsid w:val="00C8212A"/>
    <w:rsid w:val="00C831AB"/>
    <w:rsid w:val="00C83311"/>
    <w:rsid w:val="00C834F1"/>
    <w:rsid w:val="00C84501"/>
    <w:rsid w:val="00C84815"/>
    <w:rsid w:val="00C85BF1"/>
    <w:rsid w:val="00C85DC3"/>
    <w:rsid w:val="00C86239"/>
    <w:rsid w:val="00C86FB7"/>
    <w:rsid w:val="00C871BB"/>
    <w:rsid w:val="00C91025"/>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7835"/>
    <w:rsid w:val="00C97F86"/>
    <w:rsid w:val="00CA071C"/>
    <w:rsid w:val="00CA128E"/>
    <w:rsid w:val="00CA1439"/>
    <w:rsid w:val="00CA169E"/>
    <w:rsid w:val="00CA19A0"/>
    <w:rsid w:val="00CA46F0"/>
    <w:rsid w:val="00CA5061"/>
    <w:rsid w:val="00CA5192"/>
    <w:rsid w:val="00CA55A5"/>
    <w:rsid w:val="00CA6419"/>
    <w:rsid w:val="00CA6A1E"/>
    <w:rsid w:val="00CA6B05"/>
    <w:rsid w:val="00CA7B06"/>
    <w:rsid w:val="00CB08B5"/>
    <w:rsid w:val="00CB0905"/>
    <w:rsid w:val="00CB1419"/>
    <w:rsid w:val="00CB1A6E"/>
    <w:rsid w:val="00CB1CEC"/>
    <w:rsid w:val="00CB39E5"/>
    <w:rsid w:val="00CB4636"/>
    <w:rsid w:val="00CB4AD6"/>
    <w:rsid w:val="00CB66A1"/>
    <w:rsid w:val="00CB6763"/>
    <w:rsid w:val="00CC068D"/>
    <w:rsid w:val="00CC0DA6"/>
    <w:rsid w:val="00CC10A2"/>
    <w:rsid w:val="00CC1530"/>
    <w:rsid w:val="00CC1C3D"/>
    <w:rsid w:val="00CC1C8B"/>
    <w:rsid w:val="00CC2421"/>
    <w:rsid w:val="00CC24FC"/>
    <w:rsid w:val="00CC424D"/>
    <w:rsid w:val="00CC4E54"/>
    <w:rsid w:val="00CC52C7"/>
    <w:rsid w:val="00CC5F76"/>
    <w:rsid w:val="00CC7794"/>
    <w:rsid w:val="00CD0B4B"/>
    <w:rsid w:val="00CD0E2A"/>
    <w:rsid w:val="00CD2F98"/>
    <w:rsid w:val="00CD3B8B"/>
    <w:rsid w:val="00CD400B"/>
    <w:rsid w:val="00CD41EC"/>
    <w:rsid w:val="00CD4725"/>
    <w:rsid w:val="00CD4982"/>
    <w:rsid w:val="00CD600C"/>
    <w:rsid w:val="00CE0117"/>
    <w:rsid w:val="00CE05AA"/>
    <w:rsid w:val="00CE070D"/>
    <w:rsid w:val="00CE0921"/>
    <w:rsid w:val="00CE0B6F"/>
    <w:rsid w:val="00CE0F83"/>
    <w:rsid w:val="00CE1157"/>
    <w:rsid w:val="00CE1309"/>
    <w:rsid w:val="00CE1524"/>
    <w:rsid w:val="00CE18D7"/>
    <w:rsid w:val="00CE1D13"/>
    <w:rsid w:val="00CE267C"/>
    <w:rsid w:val="00CE31F6"/>
    <w:rsid w:val="00CE49E5"/>
    <w:rsid w:val="00CE4DFC"/>
    <w:rsid w:val="00CE76B7"/>
    <w:rsid w:val="00CE790A"/>
    <w:rsid w:val="00CF0251"/>
    <w:rsid w:val="00CF0EA3"/>
    <w:rsid w:val="00CF1FCD"/>
    <w:rsid w:val="00CF2425"/>
    <w:rsid w:val="00CF3694"/>
    <w:rsid w:val="00CF3D1E"/>
    <w:rsid w:val="00CF440D"/>
    <w:rsid w:val="00CF54D5"/>
    <w:rsid w:val="00CF6A0F"/>
    <w:rsid w:val="00CF796E"/>
    <w:rsid w:val="00D003C8"/>
    <w:rsid w:val="00D00967"/>
    <w:rsid w:val="00D02AD0"/>
    <w:rsid w:val="00D02DD4"/>
    <w:rsid w:val="00D033A5"/>
    <w:rsid w:val="00D0350A"/>
    <w:rsid w:val="00D0374B"/>
    <w:rsid w:val="00D03B71"/>
    <w:rsid w:val="00D05DB6"/>
    <w:rsid w:val="00D06213"/>
    <w:rsid w:val="00D06F6F"/>
    <w:rsid w:val="00D077B1"/>
    <w:rsid w:val="00D07D10"/>
    <w:rsid w:val="00D10655"/>
    <w:rsid w:val="00D10E3F"/>
    <w:rsid w:val="00D10F32"/>
    <w:rsid w:val="00D1154F"/>
    <w:rsid w:val="00D123DA"/>
    <w:rsid w:val="00D12866"/>
    <w:rsid w:val="00D13BD6"/>
    <w:rsid w:val="00D140FF"/>
    <w:rsid w:val="00D14ADD"/>
    <w:rsid w:val="00D14C20"/>
    <w:rsid w:val="00D1581E"/>
    <w:rsid w:val="00D15E6B"/>
    <w:rsid w:val="00D1618B"/>
    <w:rsid w:val="00D17C6D"/>
    <w:rsid w:val="00D17FB6"/>
    <w:rsid w:val="00D20387"/>
    <w:rsid w:val="00D20F01"/>
    <w:rsid w:val="00D2115D"/>
    <w:rsid w:val="00D2199E"/>
    <w:rsid w:val="00D22AB2"/>
    <w:rsid w:val="00D23625"/>
    <w:rsid w:val="00D24E4F"/>
    <w:rsid w:val="00D24F1F"/>
    <w:rsid w:val="00D25CAA"/>
    <w:rsid w:val="00D25D2A"/>
    <w:rsid w:val="00D26698"/>
    <w:rsid w:val="00D26E71"/>
    <w:rsid w:val="00D271AC"/>
    <w:rsid w:val="00D31D3C"/>
    <w:rsid w:val="00D328EE"/>
    <w:rsid w:val="00D32BA8"/>
    <w:rsid w:val="00D33096"/>
    <w:rsid w:val="00D3393E"/>
    <w:rsid w:val="00D34934"/>
    <w:rsid w:val="00D35226"/>
    <w:rsid w:val="00D36E5F"/>
    <w:rsid w:val="00D37404"/>
    <w:rsid w:val="00D377A4"/>
    <w:rsid w:val="00D37A17"/>
    <w:rsid w:val="00D37F1B"/>
    <w:rsid w:val="00D41372"/>
    <w:rsid w:val="00D41AE3"/>
    <w:rsid w:val="00D42165"/>
    <w:rsid w:val="00D43655"/>
    <w:rsid w:val="00D439CF"/>
    <w:rsid w:val="00D446A4"/>
    <w:rsid w:val="00D45DBA"/>
    <w:rsid w:val="00D46F11"/>
    <w:rsid w:val="00D46FBC"/>
    <w:rsid w:val="00D476DD"/>
    <w:rsid w:val="00D506F4"/>
    <w:rsid w:val="00D50A64"/>
    <w:rsid w:val="00D525FC"/>
    <w:rsid w:val="00D52673"/>
    <w:rsid w:val="00D538B1"/>
    <w:rsid w:val="00D55283"/>
    <w:rsid w:val="00D5577B"/>
    <w:rsid w:val="00D56EFA"/>
    <w:rsid w:val="00D60242"/>
    <w:rsid w:val="00D62663"/>
    <w:rsid w:val="00D62FC2"/>
    <w:rsid w:val="00D63ED5"/>
    <w:rsid w:val="00D64ED0"/>
    <w:rsid w:val="00D6506F"/>
    <w:rsid w:val="00D65304"/>
    <w:rsid w:val="00D65F20"/>
    <w:rsid w:val="00D66479"/>
    <w:rsid w:val="00D66769"/>
    <w:rsid w:val="00D667DD"/>
    <w:rsid w:val="00D66820"/>
    <w:rsid w:val="00D67435"/>
    <w:rsid w:val="00D70F34"/>
    <w:rsid w:val="00D710EE"/>
    <w:rsid w:val="00D72B3F"/>
    <w:rsid w:val="00D73EED"/>
    <w:rsid w:val="00D74518"/>
    <w:rsid w:val="00D750B2"/>
    <w:rsid w:val="00D752C1"/>
    <w:rsid w:val="00D758E8"/>
    <w:rsid w:val="00D7671B"/>
    <w:rsid w:val="00D7685D"/>
    <w:rsid w:val="00D771F4"/>
    <w:rsid w:val="00D771FA"/>
    <w:rsid w:val="00D77308"/>
    <w:rsid w:val="00D802D2"/>
    <w:rsid w:val="00D812C3"/>
    <w:rsid w:val="00D813A4"/>
    <w:rsid w:val="00D81487"/>
    <w:rsid w:val="00D8174E"/>
    <w:rsid w:val="00D8247E"/>
    <w:rsid w:val="00D82A0B"/>
    <w:rsid w:val="00D83B72"/>
    <w:rsid w:val="00D84F7E"/>
    <w:rsid w:val="00D85159"/>
    <w:rsid w:val="00D85255"/>
    <w:rsid w:val="00D87150"/>
    <w:rsid w:val="00D9069A"/>
    <w:rsid w:val="00D91938"/>
    <w:rsid w:val="00D91FA1"/>
    <w:rsid w:val="00D92B70"/>
    <w:rsid w:val="00D93BDF"/>
    <w:rsid w:val="00D93F3E"/>
    <w:rsid w:val="00D955DD"/>
    <w:rsid w:val="00D96CED"/>
    <w:rsid w:val="00D9717D"/>
    <w:rsid w:val="00DA0D64"/>
    <w:rsid w:val="00DA3118"/>
    <w:rsid w:val="00DA6DBD"/>
    <w:rsid w:val="00DA7ED7"/>
    <w:rsid w:val="00DB051C"/>
    <w:rsid w:val="00DB1AFF"/>
    <w:rsid w:val="00DB1DAF"/>
    <w:rsid w:val="00DB22AC"/>
    <w:rsid w:val="00DB2CE4"/>
    <w:rsid w:val="00DB32B8"/>
    <w:rsid w:val="00DB3F8B"/>
    <w:rsid w:val="00DB4A8D"/>
    <w:rsid w:val="00DB4C16"/>
    <w:rsid w:val="00DB65FB"/>
    <w:rsid w:val="00DB6E54"/>
    <w:rsid w:val="00DB6F4C"/>
    <w:rsid w:val="00DC05A3"/>
    <w:rsid w:val="00DC14D2"/>
    <w:rsid w:val="00DC168C"/>
    <w:rsid w:val="00DC201F"/>
    <w:rsid w:val="00DC238F"/>
    <w:rsid w:val="00DC240E"/>
    <w:rsid w:val="00DC57AE"/>
    <w:rsid w:val="00DC5967"/>
    <w:rsid w:val="00DC5FD8"/>
    <w:rsid w:val="00DC7284"/>
    <w:rsid w:val="00DC745C"/>
    <w:rsid w:val="00DD1E01"/>
    <w:rsid w:val="00DD38A1"/>
    <w:rsid w:val="00DD3C24"/>
    <w:rsid w:val="00DD47ED"/>
    <w:rsid w:val="00DD5D4D"/>
    <w:rsid w:val="00DD628C"/>
    <w:rsid w:val="00DD67A4"/>
    <w:rsid w:val="00DD6A07"/>
    <w:rsid w:val="00DD6BB3"/>
    <w:rsid w:val="00DD6EAF"/>
    <w:rsid w:val="00DD72BB"/>
    <w:rsid w:val="00DD7386"/>
    <w:rsid w:val="00DD75D9"/>
    <w:rsid w:val="00DE0328"/>
    <w:rsid w:val="00DE17F4"/>
    <w:rsid w:val="00DE36AD"/>
    <w:rsid w:val="00DE4598"/>
    <w:rsid w:val="00DE45DE"/>
    <w:rsid w:val="00DE5663"/>
    <w:rsid w:val="00DE5815"/>
    <w:rsid w:val="00DE70DA"/>
    <w:rsid w:val="00DE75FC"/>
    <w:rsid w:val="00DE7650"/>
    <w:rsid w:val="00DF05D4"/>
    <w:rsid w:val="00DF0825"/>
    <w:rsid w:val="00DF09BA"/>
    <w:rsid w:val="00DF10A9"/>
    <w:rsid w:val="00DF1238"/>
    <w:rsid w:val="00DF148C"/>
    <w:rsid w:val="00DF2AA6"/>
    <w:rsid w:val="00DF3E6F"/>
    <w:rsid w:val="00DF45B1"/>
    <w:rsid w:val="00DF4E36"/>
    <w:rsid w:val="00DF52EA"/>
    <w:rsid w:val="00DF6D18"/>
    <w:rsid w:val="00DF794E"/>
    <w:rsid w:val="00E00383"/>
    <w:rsid w:val="00E00957"/>
    <w:rsid w:val="00E01004"/>
    <w:rsid w:val="00E0110E"/>
    <w:rsid w:val="00E01ECB"/>
    <w:rsid w:val="00E01FCE"/>
    <w:rsid w:val="00E0484F"/>
    <w:rsid w:val="00E04ECB"/>
    <w:rsid w:val="00E06528"/>
    <w:rsid w:val="00E06D95"/>
    <w:rsid w:val="00E0747F"/>
    <w:rsid w:val="00E11682"/>
    <w:rsid w:val="00E11D0F"/>
    <w:rsid w:val="00E11ED8"/>
    <w:rsid w:val="00E13C42"/>
    <w:rsid w:val="00E14BA4"/>
    <w:rsid w:val="00E151B9"/>
    <w:rsid w:val="00E15907"/>
    <w:rsid w:val="00E204D7"/>
    <w:rsid w:val="00E20B2F"/>
    <w:rsid w:val="00E21D83"/>
    <w:rsid w:val="00E2276D"/>
    <w:rsid w:val="00E22B93"/>
    <w:rsid w:val="00E23ADD"/>
    <w:rsid w:val="00E24658"/>
    <w:rsid w:val="00E248FD"/>
    <w:rsid w:val="00E24E00"/>
    <w:rsid w:val="00E25546"/>
    <w:rsid w:val="00E25988"/>
    <w:rsid w:val="00E26759"/>
    <w:rsid w:val="00E26BC5"/>
    <w:rsid w:val="00E2741E"/>
    <w:rsid w:val="00E308E3"/>
    <w:rsid w:val="00E309D5"/>
    <w:rsid w:val="00E32FF8"/>
    <w:rsid w:val="00E33530"/>
    <w:rsid w:val="00E347E5"/>
    <w:rsid w:val="00E35725"/>
    <w:rsid w:val="00E35859"/>
    <w:rsid w:val="00E3586D"/>
    <w:rsid w:val="00E36566"/>
    <w:rsid w:val="00E36CD6"/>
    <w:rsid w:val="00E37649"/>
    <w:rsid w:val="00E376A0"/>
    <w:rsid w:val="00E37826"/>
    <w:rsid w:val="00E37B2F"/>
    <w:rsid w:val="00E40A58"/>
    <w:rsid w:val="00E421F4"/>
    <w:rsid w:val="00E42410"/>
    <w:rsid w:val="00E4376D"/>
    <w:rsid w:val="00E43BC9"/>
    <w:rsid w:val="00E4418C"/>
    <w:rsid w:val="00E45527"/>
    <w:rsid w:val="00E46378"/>
    <w:rsid w:val="00E46595"/>
    <w:rsid w:val="00E467A7"/>
    <w:rsid w:val="00E46A33"/>
    <w:rsid w:val="00E46AE4"/>
    <w:rsid w:val="00E47178"/>
    <w:rsid w:val="00E509E5"/>
    <w:rsid w:val="00E527C9"/>
    <w:rsid w:val="00E52954"/>
    <w:rsid w:val="00E53308"/>
    <w:rsid w:val="00E54AE5"/>
    <w:rsid w:val="00E553DC"/>
    <w:rsid w:val="00E5577D"/>
    <w:rsid w:val="00E56522"/>
    <w:rsid w:val="00E606EB"/>
    <w:rsid w:val="00E61590"/>
    <w:rsid w:val="00E62232"/>
    <w:rsid w:val="00E63666"/>
    <w:rsid w:val="00E64721"/>
    <w:rsid w:val="00E6473A"/>
    <w:rsid w:val="00E708E7"/>
    <w:rsid w:val="00E73CF7"/>
    <w:rsid w:val="00E74AE1"/>
    <w:rsid w:val="00E753E8"/>
    <w:rsid w:val="00E7665E"/>
    <w:rsid w:val="00E76FB1"/>
    <w:rsid w:val="00E778A9"/>
    <w:rsid w:val="00E801FA"/>
    <w:rsid w:val="00E817F4"/>
    <w:rsid w:val="00E81B59"/>
    <w:rsid w:val="00E82DF2"/>
    <w:rsid w:val="00E832BC"/>
    <w:rsid w:val="00E83F37"/>
    <w:rsid w:val="00E8440B"/>
    <w:rsid w:val="00E8472B"/>
    <w:rsid w:val="00E85061"/>
    <w:rsid w:val="00E858DD"/>
    <w:rsid w:val="00E85919"/>
    <w:rsid w:val="00E85BAC"/>
    <w:rsid w:val="00E8644F"/>
    <w:rsid w:val="00E901FF"/>
    <w:rsid w:val="00E90235"/>
    <w:rsid w:val="00E90562"/>
    <w:rsid w:val="00E90914"/>
    <w:rsid w:val="00E90A3E"/>
    <w:rsid w:val="00E91C87"/>
    <w:rsid w:val="00E9298C"/>
    <w:rsid w:val="00E92A78"/>
    <w:rsid w:val="00E92BEC"/>
    <w:rsid w:val="00E93D18"/>
    <w:rsid w:val="00E95805"/>
    <w:rsid w:val="00E959B4"/>
    <w:rsid w:val="00E96544"/>
    <w:rsid w:val="00E967EA"/>
    <w:rsid w:val="00E97A54"/>
    <w:rsid w:val="00EA0924"/>
    <w:rsid w:val="00EA0F27"/>
    <w:rsid w:val="00EA18BD"/>
    <w:rsid w:val="00EA231F"/>
    <w:rsid w:val="00EA2915"/>
    <w:rsid w:val="00EA4B45"/>
    <w:rsid w:val="00EA4E48"/>
    <w:rsid w:val="00EA515B"/>
    <w:rsid w:val="00EA5402"/>
    <w:rsid w:val="00EA575C"/>
    <w:rsid w:val="00EA5D71"/>
    <w:rsid w:val="00EA6BB5"/>
    <w:rsid w:val="00EB06A6"/>
    <w:rsid w:val="00EB3AD7"/>
    <w:rsid w:val="00EB4FD8"/>
    <w:rsid w:val="00EB578B"/>
    <w:rsid w:val="00EB6588"/>
    <w:rsid w:val="00EB6D1F"/>
    <w:rsid w:val="00EC0A6E"/>
    <w:rsid w:val="00EC132C"/>
    <w:rsid w:val="00EC1D3F"/>
    <w:rsid w:val="00EC3122"/>
    <w:rsid w:val="00EC341A"/>
    <w:rsid w:val="00EC4288"/>
    <w:rsid w:val="00EC6658"/>
    <w:rsid w:val="00EC6C87"/>
    <w:rsid w:val="00EC71BE"/>
    <w:rsid w:val="00EC72B5"/>
    <w:rsid w:val="00EC791A"/>
    <w:rsid w:val="00ED05B4"/>
    <w:rsid w:val="00ED1D78"/>
    <w:rsid w:val="00ED205C"/>
    <w:rsid w:val="00ED2E51"/>
    <w:rsid w:val="00ED3316"/>
    <w:rsid w:val="00ED36FE"/>
    <w:rsid w:val="00ED37C0"/>
    <w:rsid w:val="00ED41A3"/>
    <w:rsid w:val="00ED425F"/>
    <w:rsid w:val="00ED49A2"/>
    <w:rsid w:val="00ED6563"/>
    <w:rsid w:val="00ED704B"/>
    <w:rsid w:val="00ED7BF4"/>
    <w:rsid w:val="00EE18A3"/>
    <w:rsid w:val="00EE1BF1"/>
    <w:rsid w:val="00EE1CEF"/>
    <w:rsid w:val="00EE3314"/>
    <w:rsid w:val="00EE4E35"/>
    <w:rsid w:val="00EE533D"/>
    <w:rsid w:val="00EE549F"/>
    <w:rsid w:val="00EE6033"/>
    <w:rsid w:val="00EE6532"/>
    <w:rsid w:val="00EE6984"/>
    <w:rsid w:val="00EE7179"/>
    <w:rsid w:val="00EE7335"/>
    <w:rsid w:val="00EE77A0"/>
    <w:rsid w:val="00EF10CC"/>
    <w:rsid w:val="00EF1AF2"/>
    <w:rsid w:val="00EF1DF5"/>
    <w:rsid w:val="00EF1EBC"/>
    <w:rsid w:val="00EF2887"/>
    <w:rsid w:val="00EF3C21"/>
    <w:rsid w:val="00EF526C"/>
    <w:rsid w:val="00EF54BC"/>
    <w:rsid w:val="00EF6BED"/>
    <w:rsid w:val="00EF7112"/>
    <w:rsid w:val="00EF72E2"/>
    <w:rsid w:val="00EF78E1"/>
    <w:rsid w:val="00F005D1"/>
    <w:rsid w:val="00F008B0"/>
    <w:rsid w:val="00F01A7E"/>
    <w:rsid w:val="00F0511C"/>
    <w:rsid w:val="00F05382"/>
    <w:rsid w:val="00F06BFC"/>
    <w:rsid w:val="00F07124"/>
    <w:rsid w:val="00F077E3"/>
    <w:rsid w:val="00F104F2"/>
    <w:rsid w:val="00F1119A"/>
    <w:rsid w:val="00F1134F"/>
    <w:rsid w:val="00F11A26"/>
    <w:rsid w:val="00F139B8"/>
    <w:rsid w:val="00F13EDF"/>
    <w:rsid w:val="00F15929"/>
    <w:rsid w:val="00F1608C"/>
    <w:rsid w:val="00F173EC"/>
    <w:rsid w:val="00F17CA9"/>
    <w:rsid w:val="00F202C7"/>
    <w:rsid w:val="00F202D1"/>
    <w:rsid w:val="00F20E39"/>
    <w:rsid w:val="00F20E3B"/>
    <w:rsid w:val="00F21AC8"/>
    <w:rsid w:val="00F21C9A"/>
    <w:rsid w:val="00F21E47"/>
    <w:rsid w:val="00F21FFB"/>
    <w:rsid w:val="00F223D2"/>
    <w:rsid w:val="00F22CBB"/>
    <w:rsid w:val="00F2404E"/>
    <w:rsid w:val="00F267E1"/>
    <w:rsid w:val="00F27605"/>
    <w:rsid w:val="00F315D4"/>
    <w:rsid w:val="00F32D2A"/>
    <w:rsid w:val="00F33A01"/>
    <w:rsid w:val="00F33BFC"/>
    <w:rsid w:val="00F35DE7"/>
    <w:rsid w:val="00F3615E"/>
    <w:rsid w:val="00F3647D"/>
    <w:rsid w:val="00F36803"/>
    <w:rsid w:val="00F369BD"/>
    <w:rsid w:val="00F36C44"/>
    <w:rsid w:val="00F37151"/>
    <w:rsid w:val="00F411ED"/>
    <w:rsid w:val="00F420F0"/>
    <w:rsid w:val="00F45147"/>
    <w:rsid w:val="00F452A6"/>
    <w:rsid w:val="00F45C0F"/>
    <w:rsid w:val="00F47317"/>
    <w:rsid w:val="00F47734"/>
    <w:rsid w:val="00F50218"/>
    <w:rsid w:val="00F503D6"/>
    <w:rsid w:val="00F51227"/>
    <w:rsid w:val="00F516F2"/>
    <w:rsid w:val="00F51B67"/>
    <w:rsid w:val="00F51D46"/>
    <w:rsid w:val="00F5227F"/>
    <w:rsid w:val="00F52BD1"/>
    <w:rsid w:val="00F533EE"/>
    <w:rsid w:val="00F53849"/>
    <w:rsid w:val="00F53DFC"/>
    <w:rsid w:val="00F543E8"/>
    <w:rsid w:val="00F54601"/>
    <w:rsid w:val="00F5496E"/>
    <w:rsid w:val="00F55BD8"/>
    <w:rsid w:val="00F55C83"/>
    <w:rsid w:val="00F56A7E"/>
    <w:rsid w:val="00F56A9B"/>
    <w:rsid w:val="00F572C0"/>
    <w:rsid w:val="00F609EB"/>
    <w:rsid w:val="00F61F10"/>
    <w:rsid w:val="00F62108"/>
    <w:rsid w:val="00F64455"/>
    <w:rsid w:val="00F645BE"/>
    <w:rsid w:val="00F646D0"/>
    <w:rsid w:val="00F650AA"/>
    <w:rsid w:val="00F6525C"/>
    <w:rsid w:val="00F65DDF"/>
    <w:rsid w:val="00F65FC3"/>
    <w:rsid w:val="00F665DA"/>
    <w:rsid w:val="00F6797A"/>
    <w:rsid w:val="00F67D3D"/>
    <w:rsid w:val="00F7098C"/>
    <w:rsid w:val="00F72A20"/>
    <w:rsid w:val="00F72B7F"/>
    <w:rsid w:val="00F752C5"/>
    <w:rsid w:val="00F7638C"/>
    <w:rsid w:val="00F76996"/>
    <w:rsid w:val="00F76EF1"/>
    <w:rsid w:val="00F774EB"/>
    <w:rsid w:val="00F77521"/>
    <w:rsid w:val="00F777C8"/>
    <w:rsid w:val="00F81673"/>
    <w:rsid w:val="00F81B4B"/>
    <w:rsid w:val="00F837B6"/>
    <w:rsid w:val="00F83F84"/>
    <w:rsid w:val="00F8466A"/>
    <w:rsid w:val="00F84764"/>
    <w:rsid w:val="00F847DE"/>
    <w:rsid w:val="00F84A42"/>
    <w:rsid w:val="00F84F0D"/>
    <w:rsid w:val="00F84F47"/>
    <w:rsid w:val="00F86705"/>
    <w:rsid w:val="00F86780"/>
    <w:rsid w:val="00F87138"/>
    <w:rsid w:val="00F876B2"/>
    <w:rsid w:val="00F91746"/>
    <w:rsid w:val="00F91F0F"/>
    <w:rsid w:val="00F91F54"/>
    <w:rsid w:val="00F9231B"/>
    <w:rsid w:val="00F92721"/>
    <w:rsid w:val="00F92B59"/>
    <w:rsid w:val="00F92F5C"/>
    <w:rsid w:val="00F93433"/>
    <w:rsid w:val="00F934C2"/>
    <w:rsid w:val="00F935F4"/>
    <w:rsid w:val="00F93CEF"/>
    <w:rsid w:val="00F93FDC"/>
    <w:rsid w:val="00F943A0"/>
    <w:rsid w:val="00F945A6"/>
    <w:rsid w:val="00F94D34"/>
    <w:rsid w:val="00F951EB"/>
    <w:rsid w:val="00F95C8D"/>
    <w:rsid w:val="00F96A99"/>
    <w:rsid w:val="00F96F09"/>
    <w:rsid w:val="00F97E2E"/>
    <w:rsid w:val="00F97FF0"/>
    <w:rsid w:val="00FA01A7"/>
    <w:rsid w:val="00FA02CD"/>
    <w:rsid w:val="00FA0AD1"/>
    <w:rsid w:val="00FA0B35"/>
    <w:rsid w:val="00FA1C08"/>
    <w:rsid w:val="00FA291C"/>
    <w:rsid w:val="00FA35EE"/>
    <w:rsid w:val="00FA370D"/>
    <w:rsid w:val="00FA6E1E"/>
    <w:rsid w:val="00FA7EF7"/>
    <w:rsid w:val="00FB0730"/>
    <w:rsid w:val="00FB0EE3"/>
    <w:rsid w:val="00FB0F10"/>
    <w:rsid w:val="00FB13E1"/>
    <w:rsid w:val="00FB1506"/>
    <w:rsid w:val="00FB17F8"/>
    <w:rsid w:val="00FB1C66"/>
    <w:rsid w:val="00FB24ED"/>
    <w:rsid w:val="00FB283B"/>
    <w:rsid w:val="00FB29F8"/>
    <w:rsid w:val="00FB2B1A"/>
    <w:rsid w:val="00FB37F4"/>
    <w:rsid w:val="00FB4414"/>
    <w:rsid w:val="00FB4475"/>
    <w:rsid w:val="00FB58E0"/>
    <w:rsid w:val="00FC0BFD"/>
    <w:rsid w:val="00FC2483"/>
    <w:rsid w:val="00FC334E"/>
    <w:rsid w:val="00FC4157"/>
    <w:rsid w:val="00FC574E"/>
    <w:rsid w:val="00FC5DF2"/>
    <w:rsid w:val="00FC75AD"/>
    <w:rsid w:val="00FC761D"/>
    <w:rsid w:val="00FD0D8E"/>
    <w:rsid w:val="00FD2163"/>
    <w:rsid w:val="00FD3040"/>
    <w:rsid w:val="00FD3216"/>
    <w:rsid w:val="00FD32AD"/>
    <w:rsid w:val="00FD3637"/>
    <w:rsid w:val="00FD442D"/>
    <w:rsid w:val="00FD4ED8"/>
    <w:rsid w:val="00FD516B"/>
    <w:rsid w:val="00FD58F0"/>
    <w:rsid w:val="00FD5BCF"/>
    <w:rsid w:val="00FD609A"/>
    <w:rsid w:val="00FD66EF"/>
    <w:rsid w:val="00FE0041"/>
    <w:rsid w:val="00FE0588"/>
    <w:rsid w:val="00FE1FE9"/>
    <w:rsid w:val="00FE2019"/>
    <w:rsid w:val="00FE3FCC"/>
    <w:rsid w:val="00FE5F40"/>
    <w:rsid w:val="00FE6439"/>
    <w:rsid w:val="00FE78D9"/>
    <w:rsid w:val="00FE7A31"/>
    <w:rsid w:val="00FE7CC9"/>
    <w:rsid w:val="00FE7DA1"/>
    <w:rsid w:val="00FF0439"/>
    <w:rsid w:val="00FF0F3A"/>
    <w:rsid w:val="00FF1B79"/>
    <w:rsid w:val="00FF238F"/>
    <w:rsid w:val="00FF277B"/>
    <w:rsid w:val="00FF2B03"/>
    <w:rsid w:val="00FF37A8"/>
    <w:rsid w:val="00FF38A6"/>
    <w:rsid w:val="00FF3EAE"/>
    <w:rsid w:val="00FF59BC"/>
    <w:rsid w:val="00FF5F01"/>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Footnote,Char1,Char"/>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Footnote Char,Char1 Char,Char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semiHidden/>
    <w:unhideWhenUsed/>
    <w:rsid w:val="003112C9"/>
    <w:rPr>
      <w:sz w:val="16"/>
      <w:szCs w:val="16"/>
    </w:rPr>
  </w:style>
  <w:style w:type="paragraph" w:styleId="CommentText">
    <w:name w:val="annotation text"/>
    <w:aliases w:val=" Diagrama Diagrama Diagrama, Diagrama Diagrama"/>
    <w:basedOn w:val="Normal"/>
    <w:link w:val="CommentTextChar"/>
    <w:uiPriority w:val="99"/>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uiPriority w:val="99"/>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customStyle="1" w:styleId="xmsonormal">
    <w:name w:val="x_msonormal"/>
    <w:basedOn w:val="Normal"/>
    <w:rsid w:val="002C2A4E"/>
    <w:rPr>
      <w:rFonts w:ascii="Calibri" w:eastAsiaTheme="minorHAnsi" w:hAnsi="Calibri" w:cs="Calibri"/>
      <w:sz w:val="22"/>
      <w:szCs w:val="22"/>
      <w:lang w:val="en-GB" w:eastAsia="en-GB"/>
    </w:rPr>
  </w:style>
  <w:style w:type="paragraph" w:styleId="Revision">
    <w:name w:val="Revision"/>
    <w:hidden/>
    <w:uiPriority w:val="99"/>
    <w:semiHidden/>
    <w:rsid w:val="00DB051C"/>
    <w:pPr>
      <w:spacing w:after="0" w:line="240" w:lineRule="auto"/>
    </w:pPr>
    <w:rPr>
      <w:rFonts w:ascii="Times New Roman" w:eastAsia="Times New Roman" w:hAnsi="Times New Roman" w:cs="Times New Roman"/>
      <w:sz w:val="24"/>
      <w:szCs w:val="20"/>
    </w:rPr>
  </w:style>
  <w:style w:type="character" w:customStyle="1" w:styleId="CharStyle5">
    <w:name w:val="CharStyle5"/>
    <w:basedOn w:val="DefaultParagraphFont"/>
    <w:rsid w:val="007504C1"/>
    <w:rPr>
      <w:rFonts w:ascii="Times New Roman" w:eastAsia="Times New Roman" w:hAnsi="Times New Roman" w:cs="Times New Roman" w:hint="default"/>
      <w:b w:val="0"/>
      <w:bCs w:val="0"/>
      <w:i/>
      <w:iCs/>
      <w:strike w:val="0"/>
      <w:dstrike w:val="0"/>
      <w:color w:val="000000"/>
      <w:spacing w:val="0"/>
      <w:w w:val="100"/>
      <w:position w:val="0"/>
      <w:sz w:val="22"/>
      <w:szCs w:val="22"/>
      <w:u w:val="none"/>
      <w:effect w:val="none"/>
      <w:vertAlign w:val="baseline"/>
      <w:lang w:val="lt-LT" w:eastAsia="lt-LT" w:bidi="lt-LT"/>
    </w:rPr>
  </w:style>
  <w:style w:type="table" w:styleId="TableGrid">
    <w:name w:val="Table Grid"/>
    <w:basedOn w:val="TableNormal"/>
    <w:uiPriority w:val="39"/>
    <w:rsid w:val="00F2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F5B9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
    <w:name w:val="Grid Table 6 Colorful"/>
    <w:basedOn w:val="TableNormal"/>
    <w:uiPriority w:val="51"/>
    <w:rsid w:val="004F5B9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4F5B93"/>
    <w:pPr>
      <w:spacing w:after="0" w:line="240" w:lineRule="auto"/>
    </w:pPr>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4944385">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8123800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1324129">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09403740">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392570">
      <w:bodyDiv w:val="1"/>
      <w:marLeft w:val="0"/>
      <w:marRight w:val="0"/>
      <w:marTop w:val="0"/>
      <w:marBottom w:val="0"/>
      <w:divBdr>
        <w:top w:val="none" w:sz="0" w:space="0" w:color="auto"/>
        <w:left w:val="none" w:sz="0" w:space="0" w:color="auto"/>
        <w:bottom w:val="none" w:sz="0" w:space="0" w:color="auto"/>
        <w:right w:val="none" w:sz="0" w:space="0" w:color="auto"/>
      </w:divBdr>
      <w:divsChild>
        <w:div w:id="1846700974">
          <w:marLeft w:val="0"/>
          <w:marRight w:val="0"/>
          <w:marTop w:val="0"/>
          <w:marBottom w:val="0"/>
          <w:divBdr>
            <w:top w:val="none" w:sz="0" w:space="0" w:color="auto"/>
            <w:left w:val="none" w:sz="0" w:space="0" w:color="auto"/>
            <w:bottom w:val="none" w:sz="0" w:space="0" w:color="auto"/>
            <w:right w:val="none" w:sz="0" w:space="0" w:color="auto"/>
          </w:divBdr>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6338221">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63239331">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23664820">
      <w:bodyDiv w:val="1"/>
      <w:marLeft w:val="0"/>
      <w:marRight w:val="0"/>
      <w:marTop w:val="0"/>
      <w:marBottom w:val="0"/>
      <w:divBdr>
        <w:top w:val="none" w:sz="0" w:space="0" w:color="auto"/>
        <w:left w:val="none" w:sz="0" w:space="0" w:color="auto"/>
        <w:bottom w:val="none" w:sz="0" w:space="0" w:color="auto"/>
        <w:right w:val="none" w:sz="0" w:space="0" w:color="auto"/>
      </w:divBdr>
    </w:div>
    <w:div w:id="842282887">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06382738">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939408343">
      <w:bodyDiv w:val="1"/>
      <w:marLeft w:val="0"/>
      <w:marRight w:val="0"/>
      <w:marTop w:val="0"/>
      <w:marBottom w:val="0"/>
      <w:divBdr>
        <w:top w:val="none" w:sz="0" w:space="0" w:color="auto"/>
        <w:left w:val="none" w:sz="0" w:space="0" w:color="auto"/>
        <w:bottom w:val="none" w:sz="0" w:space="0" w:color="auto"/>
        <w:right w:val="none" w:sz="0" w:space="0" w:color="auto"/>
      </w:divBdr>
    </w:div>
    <w:div w:id="976379752">
      <w:bodyDiv w:val="1"/>
      <w:marLeft w:val="0"/>
      <w:marRight w:val="0"/>
      <w:marTop w:val="0"/>
      <w:marBottom w:val="0"/>
      <w:divBdr>
        <w:top w:val="none" w:sz="0" w:space="0" w:color="auto"/>
        <w:left w:val="none" w:sz="0" w:space="0" w:color="auto"/>
        <w:bottom w:val="none" w:sz="0" w:space="0" w:color="auto"/>
        <w:right w:val="none" w:sz="0" w:space="0" w:color="auto"/>
      </w:divBdr>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199583129">
      <w:bodyDiv w:val="1"/>
      <w:marLeft w:val="0"/>
      <w:marRight w:val="0"/>
      <w:marTop w:val="0"/>
      <w:marBottom w:val="0"/>
      <w:divBdr>
        <w:top w:val="none" w:sz="0" w:space="0" w:color="auto"/>
        <w:left w:val="none" w:sz="0" w:space="0" w:color="auto"/>
        <w:bottom w:val="none" w:sz="0" w:space="0" w:color="auto"/>
        <w:right w:val="none" w:sz="0" w:space="0" w:color="auto"/>
      </w:divBdr>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7134">
      <w:bodyDiv w:val="1"/>
      <w:marLeft w:val="0"/>
      <w:marRight w:val="0"/>
      <w:marTop w:val="0"/>
      <w:marBottom w:val="0"/>
      <w:divBdr>
        <w:top w:val="none" w:sz="0" w:space="0" w:color="auto"/>
        <w:left w:val="none" w:sz="0" w:space="0" w:color="auto"/>
        <w:bottom w:val="none" w:sz="0" w:space="0" w:color="auto"/>
        <w:right w:val="none" w:sz="0" w:space="0" w:color="auto"/>
      </w:divBdr>
    </w:div>
    <w:div w:id="1370952533">
      <w:bodyDiv w:val="1"/>
      <w:marLeft w:val="0"/>
      <w:marRight w:val="0"/>
      <w:marTop w:val="0"/>
      <w:marBottom w:val="0"/>
      <w:divBdr>
        <w:top w:val="none" w:sz="0" w:space="0" w:color="auto"/>
        <w:left w:val="none" w:sz="0" w:space="0" w:color="auto"/>
        <w:bottom w:val="none" w:sz="0" w:space="0" w:color="auto"/>
        <w:right w:val="none" w:sz="0" w:space="0" w:color="auto"/>
      </w:divBdr>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70441580">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605920046">
      <w:bodyDiv w:val="1"/>
      <w:marLeft w:val="0"/>
      <w:marRight w:val="0"/>
      <w:marTop w:val="0"/>
      <w:marBottom w:val="0"/>
      <w:divBdr>
        <w:top w:val="none" w:sz="0" w:space="0" w:color="auto"/>
        <w:left w:val="none" w:sz="0" w:space="0" w:color="auto"/>
        <w:bottom w:val="none" w:sz="0" w:space="0" w:color="auto"/>
        <w:right w:val="none" w:sz="0" w:space="0" w:color="auto"/>
      </w:divBdr>
    </w:div>
    <w:div w:id="1623147433">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4645534">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779180976">
      <w:bodyDiv w:val="1"/>
      <w:marLeft w:val="0"/>
      <w:marRight w:val="0"/>
      <w:marTop w:val="0"/>
      <w:marBottom w:val="0"/>
      <w:divBdr>
        <w:top w:val="none" w:sz="0" w:space="0" w:color="auto"/>
        <w:left w:val="none" w:sz="0" w:space="0" w:color="auto"/>
        <w:bottom w:val="none" w:sz="0" w:space="0" w:color="auto"/>
        <w:right w:val="none" w:sz="0" w:space="0" w:color="auto"/>
      </w:divBdr>
      <w:divsChild>
        <w:div w:id="822115233">
          <w:marLeft w:val="0"/>
          <w:marRight w:val="0"/>
          <w:marTop w:val="0"/>
          <w:marBottom w:val="0"/>
          <w:divBdr>
            <w:top w:val="none" w:sz="0" w:space="0" w:color="auto"/>
            <w:left w:val="none" w:sz="0" w:space="0" w:color="auto"/>
            <w:bottom w:val="none" w:sz="0" w:space="0" w:color="auto"/>
            <w:right w:val="none" w:sz="0" w:space="0" w:color="auto"/>
          </w:divBdr>
        </w:div>
      </w:divsChild>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13134947">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53855429">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4624991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763496">
      <w:bodyDiv w:val="1"/>
      <w:marLeft w:val="0"/>
      <w:marRight w:val="0"/>
      <w:marTop w:val="0"/>
      <w:marBottom w:val="0"/>
      <w:divBdr>
        <w:top w:val="none" w:sz="0" w:space="0" w:color="auto"/>
        <w:left w:val="none" w:sz="0" w:space="0" w:color="auto"/>
        <w:bottom w:val="none" w:sz="0" w:space="0" w:color="auto"/>
        <w:right w:val="none" w:sz="0" w:space="0" w:color="auto"/>
      </w:divBdr>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lytus.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alstybeskontrole.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sa.zymontiene@amrc.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amrc.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mp/pasiulymu_vertinimas.pdf" TargetMode="External"/><Relationship Id="rId1" Type="http://schemas.openxmlformats.org/officeDocument/2006/relationships/hyperlink" Target="https://klausk.vpt.lt/hc/lt/articles/4411120378258-Kaip-vertinti-gautus-pasi%C5%ABlymus-fiksuoto-%C4%AFkainio-atveju-kai-tiek%C4%97jai-pateik%C4%97-%C4%AFkainius-su-trimis-keturiais-skai%C4%8Diais-po-kablelio-nors-pirkimo-dokumentuose-ai%C5%A1kiai-buvo-nurodyta-kad-visi-%C4%AFkainiai-kainos-teikiami-suapvalinus-iki-dviej%C5%B3-skai%C4%8Di%C5%B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3161</Words>
  <Characters>18024</Characters>
  <Application>Microsoft Office Word</Application>
  <DocSecurity>0</DocSecurity>
  <Lines>150</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Deimantė Skeberdė</cp:lastModifiedBy>
  <cp:revision>6</cp:revision>
  <cp:lastPrinted>2020-01-29T07:54:00Z</cp:lastPrinted>
  <dcterms:created xsi:type="dcterms:W3CDTF">2022-03-09T07:17:00Z</dcterms:created>
  <dcterms:modified xsi:type="dcterms:W3CDTF">2022-03-09T12:00:00Z</dcterms:modified>
</cp:coreProperties>
</file>