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314F" w14:textId="77777777" w:rsidR="00FC5CFE" w:rsidRPr="000745A7" w:rsidRDefault="00FC5CFE" w:rsidP="00823BD8">
      <w:pPr>
        <w:suppressAutoHyphens/>
        <w:textAlignment w:val="center"/>
        <w:rPr>
          <w:rFonts w:eastAsia="Calibri"/>
          <w:b/>
          <w:szCs w:val="24"/>
          <w:lang w:eastAsia="lt-LT"/>
        </w:rPr>
      </w:pPr>
    </w:p>
    <w:p w14:paraId="1E63F4F4" w14:textId="77777777" w:rsidR="0083730F" w:rsidRPr="000745A7" w:rsidRDefault="0083730F" w:rsidP="0083730F">
      <w:pPr>
        <w:spacing w:line="254" w:lineRule="auto"/>
        <w:ind w:right="49"/>
        <w:jc w:val="center"/>
        <w:rPr>
          <w:b/>
          <w:szCs w:val="24"/>
        </w:rPr>
      </w:pPr>
      <w:r w:rsidRPr="000745A7">
        <w:rPr>
          <w:rFonts w:eastAsia="Calibri"/>
          <w:noProof/>
          <w:szCs w:val="24"/>
          <w:lang w:eastAsia="lt-LT"/>
        </w:rPr>
        <w:drawing>
          <wp:inline distT="0" distB="0" distL="0" distR="0" wp14:anchorId="54308DD1" wp14:editId="65BD636A">
            <wp:extent cx="561975" cy="561975"/>
            <wp:effectExtent l="0" t="0" r="9525" b="9525"/>
            <wp:docPr id="1" name="Paveikslėlis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7BB8F78C" w14:textId="77777777" w:rsidR="0083730F" w:rsidRPr="000745A7" w:rsidRDefault="0083730F" w:rsidP="0083730F">
      <w:pPr>
        <w:spacing w:line="254" w:lineRule="auto"/>
        <w:ind w:right="49"/>
        <w:jc w:val="center"/>
        <w:rPr>
          <w:b/>
          <w:sz w:val="16"/>
          <w:szCs w:val="16"/>
        </w:rPr>
      </w:pPr>
    </w:p>
    <w:p w14:paraId="01FDBDEF" w14:textId="77777777" w:rsidR="0083730F" w:rsidRPr="000745A7" w:rsidRDefault="0083730F" w:rsidP="0083730F">
      <w:pPr>
        <w:tabs>
          <w:tab w:val="left" w:pos="709"/>
        </w:tabs>
        <w:spacing w:line="259" w:lineRule="auto"/>
        <w:ind w:right="3" w:firstLine="426"/>
        <w:jc w:val="center"/>
        <w:rPr>
          <w:b/>
          <w:szCs w:val="24"/>
        </w:rPr>
      </w:pPr>
      <w:r w:rsidRPr="000745A7">
        <w:rPr>
          <w:b/>
          <w:szCs w:val="24"/>
        </w:rPr>
        <w:t>VIEŠŲJŲ PIRKIMŲ TARNYBA</w:t>
      </w:r>
    </w:p>
    <w:p w14:paraId="7E6C27E7" w14:textId="77777777" w:rsidR="0083730F" w:rsidRPr="000745A7" w:rsidRDefault="0083730F" w:rsidP="0083730F">
      <w:pPr>
        <w:tabs>
          <w:tab w:val="left" w:pos="709"/>
        </w:tabs>
        <w:spacing w:line="259" w:lineRule="auto"/>
        <w:ind w:right="3" w:firstLine="426"/>
        <w:jc w:val="center"/>
        <w:rPr>
          <w:szCs w:val="24"/>
          <w:vertAlign w:val="superscript"/>
        </w:rPr>
      </w:pPr>
    </w:p>
    <w:tbl>
      <w:tblPr>
        <w:tblW w:w="11406" w:type="dxa"/>
        <w:tblLayout w:type="fixed"/>
        <w:tblLook w:val="0000" w:firstRow="0" w:lastRow="0" w:firstColumn="0" w:lastColumn="0" w:noHBand="0" w:noVBand="0"/>
      </w:tblPr>
      <w:tblGrid>
        <w:gridCol w:w="5387"/>
        <w:gridCol w:w="1701"/>
        <w:gridCol w:w="2835"/>
        <w:gridCol w:w="1483"/>
      </w:tblGrid>
      <w:tr w:rsidR="0083730F" w:rsidRPr="000745A7" w14:paraId="071B5230" w14:textId="77777777" w:rsidTr="0083730F">
        <w:trPr>
          <w:cantSplit/>
          <w:trHeight w:val="3407"/>
        </w:trPr>
        <w:tc>
          <w:tcPr>
            <w:tcW w:w="5387" w:type="dxa"/>
          </w:tcPr>
          <w:p w14:paraId="2C96410F" w14:textId="77777777" w:rsidR="00DD644A" w:rsidRPr="000745A7" w:rsidRDefault="00DD644A" w:rsidP="00DD644A">
            <w:pPr>
              <w:tabs>
                <w:tab w:val="left" w:pos="900"/>
              </w:tabs>
              <w:ind w:left="-87"/>
              <w:rPr>
                <w:szCs w:val="24"/>
              </w:rPr>
            </w:pPr>
            <w:r w:rsidRPr="000745A7">
              <w:rPr>
                <w:szCs w:val="24"/>
              </w:rPr>
              <w:t>VšĮ Centrinei projektų valdymo agentūrai</w:t>
            </w:r>
          </w:p>
          <w:p w14:paraId="1B4AAA74" w14:textId="77777777" w:rsidR="00DD644A" w:rsidRPr="000745A7" w:rsidRDefault="00DD644A" w:rsidP="00DD644A">
            <w:pPr>
              <w:tabs>
                <w:tab w:val="left" w:pos="900"/>
              </w:tabs>
              <w:ind w:left="-87"/>
              <w:rPr>
                <w:szCs w:val="24"/>
              </w:rPr>
            </w:pPr>
            <w:r w:rsidRPr="000745A7">
              <w:rPr>
                <w:szCs w:val="24"/>
              </w:rPr>
              <w:t>S. Konarskio g. 13</w:t>
            </w:r>
          </w:p>
          <w:p w14:paraId="1A79DAFE" w14:textId="77777777" w:rsidR="00DD644A" w:rsidRPr="000745A7" w:rsidRDefault="00DD644A" w:rsidP="00DD644A">
            <w:pPr>
              <w:tabs>
                <w:tab w:val="left" w:pos="900"/>
              </w:tabs>
              <w:ind w:left="-87"/>
              <w:rPr>
                <w:szCs w:val="24"/>
              </w:rPr>
            </w:pPr>
            <w:r w:rsidRPr="000745A7">
              <w:rPr>
                <w:szCs w:val="24"/>
              </w:rPr>
              <w:t>03109 Vilnius</w:t>
            </w:r>
          </w:p>
          <w:p w14:paraId="4FD2F440" w14:textId="3BBC6DF9" w:rsidR="00DD644A" w:rsidRPr="000745A7" w:rsidRDefault="00DD644A" w:rsidP="00DD644A">
            <w:pPr>
              <w:tabs>
                <w:tab w:val="left" w:pos="900"/>
              </w:tabs>
              <w:ind w:left="-87"/>
              <w:rPr>
                <w:szCs w:val="24"/>
              </w:rPr>
            </w:pPr>
            <w:r w:rsidRPr="000745A7">
              <w:rPr>
                <w:szCs w:val="24"/>
              </w:rPr>
              <w:t xml:space="preserve">El. p.: </w:t>
            </w:r>
            <w:hyperlink r:id="rId9" w:history="1">
              <w:r w:rsidRPr="000745A7">
                <w:rPr>
                  <w:rStyle w:val="Hyperlink"/>
                  <w:szCs w:val="24"/>
                </w:rPr>
                <w:t>info@cpva.lt</w:t>
              </w:r>
            </w:hyperlink>
          </w:p>
          <w:p w14:paraId="66F44C06" w14:textId="6D594C81" w:rsidR="00C54216" w:rsidRPr="000745A7" w:rsidRDefault="00DD644A" w:rsidP="00C54216">
            <w:pPr>
              <w:tabs>
                <w:tab w:val="left" w:pos="900"/>
              </w:tabs>
              <w:ind w:left="-87"/>
              <w:rPr>
                <w:szCs w:val="24"/>
                <w:lang w:val="en-US"/>
              </w:rPr>
            </w:pPr>
            <w:r w:rsidRPr="000745A7">
              <w:rPr>
                <w:szCs w:val="24"/>
              </w:rPr>
              <w:t xml:space="preserve">           </w:t>
            </w:r>
            <w:hyperlink r:id="rId10" w:history="1">
              <w:r w:rsidR="006875BC" w:rsidRPr="003C3469">
                <w:rPr>
                  <w:rStyle w:val="Hyperlink"/>
                  <w:szCs w:val="24"/>
                </w:rPr>
                <w:t>v.cesnaite</w:t>
              </w:r>
              <w:r w:rsidR="006875BC" w:rsidRPr="003C3469">
                <w:rPr>
                  <w:rStyle w:val="Hyperlink"/>
                  <w:szCs w:val="24"/>
                  <w:lang w:val="en-US"/>
                </w:rPr>
                <w:t>@cpva.lt</w:t>
              </w:r>
            </w:hyperlink>
          </w:p>
          <w:p w14:paraId="6499A262" w14:textId="77777777" w:rsidR="00C54216" w:rsidRPr="000745A7" w:rsidRDefault="00C54216" w:rsidP="00C54216">
            <w:pPr>
              <w:tabs>
                <w:tab w:val="left" w:pos="900"/>
              </w:tabs>
              <w:ind w:left="-87"/>
              <w:rPr>
                <w:szCs w:val="24"/>
              </w:rPr>
            </w:pPr>
          </w:p>
          <w:p w14:paraId="27AF1562" w14:textId="039C6795" w:rsidR="00DF7614" w:rsidRPr="000745A7" w:rsidRDefault="006875BC" w:rsidP="00C54216">
            <w:pPr>
              <w:tabs>
                <w:tab w:val="left" w:pos="900"/>
              </w:tabs>
              <w:ind w:left="-87"/>
              <w:rPr>
                <w:szCs w:val="24"/>
              </w:rPr>
            </w:pPr>
            <w:r>
              <w:rPr>
                <w:szCs w:val="24"/>
              </w:rPr>
              <w:t>Pagėgių</w:t>
            </w:r>
            <w:r w:rsidR="006E1801" w:rsidRPr="000745A7">
              <w:rPr>
                <w:szCs w:val="24"/>
              </w:rPr>
              <w:t xml:space="preserve"> savivaldybės administracija</w:t>
            </w:r>
            <w:r w:rsidR="003475F1" w:rsidRPr="00D65599">
              <w:rPr>
                <w:szCs w:val="24"/>
              </w:rPr>
              <w:t>i</w:t>
            </w:r>
          </w:p>
          <w:p w14:paraId="10031D77" w14:textId="20A4483D" w:rsidR="006875BC" w:rsidRDefault="006875BC" w:rsidP="00C54216">
            <w:pPr>
              <w:tabs>
                <w:tab w:val="left" w:pos="900"/>
              </w:tabs>
              <w:ind w:left="-87"/>
              <w:rPr>
                <w:bCs/>
                <w:szCs w:val="24"/>
              </w:rPr>
            </w:pPr>
            <w:r>
              <w:rPr>
                <w:bCs/>
                <w:szCs w:val="24"/>
              </w:rPr>
              <w:t>Vilniaus g. 9</w:t>
            </w:r>
          </w:p>
          <w:p w14:paraId="40980B4C" w14:textId="7E6CFDFB" w:rsidR="006E1801" w:rsidRPr="000745A7" w:rsidRDefault="006875BC" w:rsidP="00C54216">
            <w:pPr>
              <w:tabs>
                <w:tab w:val="left" w:pos="900"/>
              </w:tabs>
              <w:ind w:left="-87"/>
              <w:rPr>
                <w:szCs w:val="24"/>
              </w:rPr>
            </w:pPr>
            <w:r>
              <w:rPr>
                <w:bCs/>
                <w:szCs w:val="24"/>
              </w:rPr>
              <w:t>99288</w:t>
            </w:r>
            <w:r w:rsidR="006E1801" w:rsidRPr="000745A7">
              <w:rPr>
                <w:bCs/>
                <w:szCs w:val="24"/>
              </w:rPr>
              <w:t xml:space="preserve"> </w:t>
            </w:r>
            <w:r>
              <w:rPr>
                <w:bCs/>
                <w:szCs w:val="24"/>
              </w:rPr>
              <w:t>Pagėgiai</w:t>
            </w:r>
          </w:p>
          <w:p w14:paraId="3486146E" w14:textId="15B2BB3F" w:rsidR="00C54216" w:rsidRPr="000745A7" w:rsidRDefault="00C54216" w:rsidP="00C54216">
            <w:pPr>
              <w:tabs>
                <w:tab w:val="left" w:pos="900"/>
              </w:tabs>
              <w:ind w:left="-87"/>
              <w:rPr>
                <w:szCs w:val="24"/>
              </w:rPr>
            </w:pPr>
            <w:r w:rsidRPr="000745A7">
              <w:rPr>
                <w:szCs w:val="24"/>
              </w:rPr>
              <w:t xml:space="preserve">El. p.: </w:t>
            </w:r>
            <w:hyperlink r:id="rId11" w:history="1">
              <w:r w:rsidR="006875BC" w:rsidRPr="003C3469">
                <w:rPr>
                  <w:rStyle w:val="Hyperlink"/>
                  <w:szCs w:val="24"/>
                </w:rPr>
                <w:t>info@pagegiai.lt</w:t>
              </w:r>
            </w:hyperlink>
          </w:p>
          <w:p w14:paraId="59F6A3D4" w14:textId="0FF10D57" w:rsidR="00C54216" w:rsidRPr="000745A7" w:rsidRDefault="00C54216" w:rsidP="00C54216">
            <w:pPr>
              <w:tabs>
                <w:tab w:val="left" w:pos="900"/>
              </w:tabs>
              <w:ind w:left="-87"/>
              <w:rPr>
                <w:szCs w:val="24"/>
              </w:rPr>
            </w:pPr>
            <w:r w:rsidRPr="000745A7">
              <w:rPr>
                <w:szCs w:val="24"/>
              </w:rPr>
              <w:t xml:space="preserve">    </w:t>
            </w:r>
            <w:r w:rsidR="006E1801" w:rsidRPr="000745A7">
              <w:rPr>
                <w:szCs w:val="24"/>
              </w:rPr>
              <w:t xml:space="preserve">   </w:t>
            </w:r>
            <w:r w:rsidRPr="000745A7">
              <w:rPr>
                <w:szCs w:val="24"/>
              </w:rPr>
              <w:t xml:space="preserve">  </w:t>
            </w:r>
          </w:p>
          <w:p w14:paraId="200D67B6" w14:textId="45157E43" w:rsidR="00C54216" w:rsidRPr="000745A7" w:rsidRDefault="00C54216" w:rsidP="00C54216">
            <w:pPr>
              <w:tabs>
                <w:tab w:val="left" w:pos="900"/>
              </w:tabs>
              <w:ind w:left="-87"/>
              <w:rPr>
                <w:szCs w:val="24"/>
              </w:rPr>
            </w:pPr>
          </w:p>
        </w:tc>
        <w:tc>
          <w:tcPr>
            <w:tcW w:w="1701" w:type="dxa"/>
          </w:tcPr>
          <w:p w14:paraId="3892616A" w14:textId="109A1F75" w:rsidR="0083730F" w:rsidRPr="000745A7" w:rsidRDefault="0083730F" w:rsidP="0083730F">
            <w:pPr>
              <w:rPr>
                <w:szCs w:val="24"/>
              </w:rPr>
            </w:pPr>
            <w:r w:rsidRPr="000745A7">
              <w:rPr>
                <w:szCs w:val="24"/>
              </w:rPr>
              <w:t>202</w:t>
            </w:r>
            <w:r w:rsidR="006875BC">
              <w:rPr>
                <w:szCs w:val="24"/>
              </w:rPr>
              <w:t>3</w:t>
            </w:r>
            <w:r w:rsidRPr="000745A7">
              <w:rPr>
                <w:szCs w:val="24"/>
              </w:rPr>
              <w:t>-</w:t>
            </w:r>
            <w:r w:rsidR="006875BC">
              <w:rPr>
                <w:szCs w:val="24"/>
              </w:rPr>
              <w:t>01</w:t>
            </w:r>
            <w:r w:rsidR="00BE6AB9" w:rsidRPr="000745A7">
              <w:rPr>
                <w:szCs w:val="24"/>
              </w:rPr>
              <w:t>-</w:t>
            </w:r>
          </w:p>
          <w:p w14:paraId="62AFE929" w14:textId="285E90CB" w:rsidR="0083730F" w:rsidRPr="000745A7" w:rsidRDefault="0083730F" w:rsidP="0083730F">
            <w:pPr>
              <w:rPr>
                <w:szCs w:val="24"/>
              </w:rPr>
            </w:pPr>
            <w:r w:rsidRPr="000745A7">
              <w:rPr>
                <w:szCs w:val="24"/>
              </w:rPr>
              <w:t>Į 202</w:t>
            </w:r>
            <w:r w:rsidR="006875BC">
              <w:rPr>
                <w:szCs w:val="24"/>
              </w:rPr>
              <w:t>3</w:t>
            </w:r>
            <w:r w:rsidRPr="000745A7">
              <w:rPr>
                <w:szCs w:val="24"/>
              </w:rPr>
              <w:t>-</w:t>
            </w:r>
            <w:r w:rsidR="006875BC">
              <w:rPr>
                <w:szCs w:val="24"/>
              </w:rPr>
              <w:t>0</w:t>
            </w:r>
            <w:r w:rsidR="00DF7614" w:rsidRPr="000745A7">
              <w:rPr>
                <w:szCs w:val="24"/>
              </w:rPr>
              <w:t>1</w:t>
            </w:r>
            <w:r w:rsidR="004A2E05" w:rsidRPr="000745A7">
              <w:rPr>
                <w:szCs w:val="24"/>
              </w:rPr>
              <w:t>-</w:t>
            </w:r>
            <w:r w:rsidR="006875BC">
              <w:rPr>
                <w:szCs w:val="24"/>
              </w:rPr>
              <w:t>03</w:t>
            </w:r>
          </w:p>
          <w:p w14:paraId="01945D47" w14:textId="77777777" w:rsidR="008305EB" w:rsidRPr="000745A7" w:rsidRDefault="008305EB" w:rsidP="0083730F">
            <w:pPr>
              <w:rPr>
                <w:szCs w:val="24"/>
              </w:rPr>
            </w:pPr>
          </w:p>
          <w:p w14:paraId="55A4CF8B" w14:textId="77777777" w:rsidR="008305EB" w:rsidRPr="000745A7" w:rsidRDefault="008305EB" w:rsidP="0083730F">
            <w:pPr>
              <w:rPr>
                <w:szCs w:val="24"/>
              </w:rPr>
            </w:pPr>
          </w:p>
          <w:p w14:paraId="0906230C" w14:textId="77777777" w:rsidR="008305EB" w:rsidRPr="000745A7" w:rsidRDefault="008305EB" w:rsidP="0083730F">
            <w:pPr>
              <w:rPr>
                <w:szCs w:val="24"/>
              </w:rPr>
            </w:pPr>
          </w:p>
          <w:p w14:paraId="13A5E04F" w14:textId="77777777" w:rsidR="008305EB" w:rsidRPr="000745A7" w:rsidRDefault="008305EB" w:rsidP="0083730F">
            <w:pPr>
              <w:rPr>
                <w:szCs w:val="24"/>
              </w:rPr>
            </w:pPr>
          </w:p>
          <w:p w14:paraId="374254E0" w14:textId="77777777" w:rsidR="008305EB" w:rsidRPr="000745A7" w:rsidRDefault="008305EB" w:rsidP="0083730F">
            <w:pPr>
              <w:rPr>
                <w:szCs w:val="24"/>
              </w:rPr>
            </w:pPr>
          </w:p>
          <w:p w14:paraId="5104A352" w14:textId="27BE8EEC" w:rsidR="0083730F" w:rsidRPr="000745A7" w:rsidRDefault="00385546" w:rsidP="00F92A17">
            <w:pPr>
              <w:tabs>
                <w:tab w:val="left" w:pos="900"/>
              </w:tabs>
              <w:ind w:right="-513"/>
              <w:rPr>
                <w:szCs w:val="24"/>
              </w:rPr>
            </w:pPr>
            <w:r w:rsidRPr="000745A7">
              <w:rPr>
                <w:szCs w:val="24"/>
              </w:rPr>
              <w:t xml:space="preserve">         </w:t>
            </w:r>
          </w:p>
        </w:tc>
        <w:tc>
          <w:tcPr>
            <w:tcW w:w="2835" w:type="dxa"/>
          </w:tcPr>
          <w:p w14:paraId="39FA5C21" w14:textId="08CCEB66" w:rsidR="0083730F" w:rsidRPr="000745A7" w:rsidRDefault="0083730F" w:rsidP="00F92A17">
            <w:pPr>
              <w:tabs>
                <w:tab w:val="left" w:pos="900"/>
              </w:tabs>
              <w:rPr>
                <w:szCs w:val="24"/>
              </w:rPr>
            </w:pPr>
            <w:r w:rsidRPr="000745A7">
              <w:rPr>
                <w:szCs w:val="24"/>
              </w:rPr>
              <w:t xml:space="preserve">Nr. </w:t>
            </w:r>
            <w:r w:rsidR="00CB4C6A" w:rsidRPr="000745A7">
              <w:rPr>
                <w:szCs w:val="24"/>
              </w:rPr>
              <w:t>4S-</w:t>
            </w:r>
            <w:r w:rsidRPr="000745A7">
              <w:rPr>
                <w:szCs w:val="24"/>
              </w:rPr>
              <w:t xml:space="preserve">           (7.4Mr)</w:t>
            </w:r>
          </w:p>
          <w:p w14:paraId="54AD2193" w14:textId="4370299B" w:rsidR="0083730F" w:rsidRPr="000745A7" w:rsidRDefault="00385546" w:rsidP="00F92A17">
            <w:pPr>
              <w:tabs>
                <w:tab w:val="left" w:pos="900"/>
              </w:tabs>
              <w:ind w:right="-513"/>
              <w:rPr>
                <w:szCs w:val="24"/>
              </w:rPr>
            </w:pPr>
            <w:r w:rsidRPr="000745A7">
              <w:rPr>
                <w:szCs w:val="24"/>
              </w:rPr>
              <w:t xml:space="preserve">Nr. </w:t>
            </w:r>
            <w:r w:rsidR="006875BC">
              <w:rPr>
                <w:szCs w:val="24"/>
              </w:rPr>
              <w:t>2023/2-46</w:t>
            </w:r>
          </w:p>
          <w:p w14:paraId="47DE2EBC" w14:textId="77777777" w:rsidR="008305EB" w:rsidRPr="000745A7" w:rsidRDefault="008305EB" w:rsidP="00F92A17">
            <w:pPr>
              <w:tabs>
                <w:tab w:val="left" w:pos="900"/>
              </w:tabs>
              <w:rPr>
                <w:szCs w:val="24"/>
              </w:rPr>
            </w:pPr>
          </w:p>
          <w:p w14:paraId="6B6E7236" w14:textId="77777777" w:rsidR="008305EB" w:rsidRPr="000745A7" w:rsidRDefault="008305EB" w:rsidP="00F92A17">
            <w:pPr>
              <w:tabs>
                <w:tab w:val="left" w:pos="900"/>
              </w:tabs>
              <w:rPr>
                <w:szCs w:val="24"/>
              </w:rPr>
            </w:pPr>
          </w:p>
          <w:p w14:paraId="7328E9B6" w14:textId="77777777" w:rsidR="008305EB" w:rsidRPr="000745A7" w:rsidRDefault="008305EB" w:rsidP="00F92A17">
            <w:pPr>
              <w:tabs>
                <w:tab w:val="left" w:pos="900"/>
              </w:tabs>
              <w:rPr>
                <w:szCs w:val="24"/>
              </w:rPr>
            </w:pPr>
          </w:p>
          <w:p w14:paraId="478EFE7B" w14:textId="77777777" w:rsidR="0083730F" w:rsidRPr="000745A7" w:rsidRDefault="0083730F" w:rsidP="00F92A17">
            <w:pPr>
              <w:tabs>
                <w:tab w:val="left" w:pos="900"/>
              </w:tabs>
              <w:rPr>
                <w:szCs w:val="24"/>
              </w:rPr>
            </w:pPr>
          </w:p>
          <w:p w14:paraId="5AC055F5" w14:textId="77777777" w:rsidR="00C54216" w:rsidRPr="000745A7" w:rsidRDefault="00C54216" w:rsidP="00C54216">
            <w:pPr>
              <w:rPr>
                <w:szCs w:val="24"/>
              </w:rPr>
            </w:pPr>
          </w:p>
          <w:p w14:paraId="0F880CCE" w14:textId="59AC0055" w:rsidR="00C54216" w:rsidRPr="000745A7" w:rsidRDefault="00C54216" w:rsidP="00C54216">
            <w:pPr>
              <w:rPr>
                <w:szCs w:val="24"/>
              </w:rPr>
            </w:pPr>
          </w:p>
        </w:tc>
        <w:tc>
          <w:tcPr>
            <w:tcW w:w="1483" w:type="dxa"/>
          </w:tcPr>
          <w:p w14:paraId="715FE684" w14:textId="77777777" w:rsidR="0083730F" w:rsidRPr="000745A7" w:rsidRDefault="0083730F" w:rsidP="00F92A17">
            <w:pPr>
              <w:tabs>
                <w:tab w:val="left" w:pos="1422"/>
              </w:tabs>
              <w:ind w:left="-108"/>
              <w:rPr>
                <w:szCs w:val="24"/>
              </w:rPr>
            </w:pPr>
          </w:p>
        </w:tc>
      </w:tr>
    </w:tbl>
    <w:p w14:paraId="3E2CB535" w14:textId="77777777" w:rsidR="0083730F" w:rsidRPr="000745A7" w:rsidRDefault="0083730F" w:rsidP="0083730F">
      <w:pPr>
        <w:jc w:val="center"/>
        <w:rPr>
          <w:b/>
          <w:bCs/>
          <w:szCs w:val="24"/>
        </w:rPr>
      </w:pPr>
      <w:r w:rsidRPr="000745A7">
        <w:rPr>
          <w:b/>
          <w:bCs/>
          <w:szCs w:val="24"/>
        </w:rPr>
        <w:t>VERTINIMO IŠVADA</w:t>
      </w:r>
    </w:p>
    <w:p w14:paraId="7B5D7F54" w14:textId="77777777" w:rsidR="00FC5CFE" w:rsidRPr="000745A7" w:rsidRDefault="00FC5CFE">
      <w:pPr>
        <w:ind w:right="49"/>
        <w:jc w:val="center"/>
        <w:rPr>
          <w:b/>
          <w:color w:val="000000"/>
          <w:szCs w:val="24"/>
          <w:lang w:eastAsia="lt-LT"/>
        </w:rPr>
      </w:pPr>
    </w:p>
    <w:p w14:paraId="05DCB1C5" w14:textId="529032EE" w:rsidR="00183555" w:rsidRPr="000745A7" w:rsidRDefault="003B0A68" w:rsidP="00183555">
      <w:pPr>
        <w:jc w:val="both"/>
        <w:rPr>
          <w:bCs/>
          <w:szCs w:val="24"/>
          <w:lang w:eastAsia="lt-LT"/>
        </w:rPr>
      </w:pPr>
      <w:r w:rsidRPr="000745A7">
        <w:rPr>
          <w:bCs/>
          <w:szCs w:val="24"/>
          <w:lang w:eastAsia="lt-LT"/>
        </w:rPr>
        <w:t xml:space="preserve">         </w:t>
      </w:r>
      <w:r w:rsidR="00183555" w:rsidRPr="000745A7">
        <w:rPr>
          <w:bCs/>
          <w:szCs w:val="24"/>
          <w:lang w:eastAsia="lt-LT"/>
        </w:rPr>
        <w:t xml:space="preserve">Viešųjų pirkimų tarnyba (toliau – Tarnyba), vadovaudamasi </w:t>
      </w:r>
      <w:r w:rsidR="00567BDF" w:rsidRPr="000745A7">
        <w:rPr>
          <w:bCs/>
          <w:szCs w:val="24"/>
          <w:lang w:eastAsia="lt-LT"/>
        </w:rPr>
        <w:t>Lietuvos Respublikos viešųjų pirkimų įstatymo (toliau – Įstatymas) 95 straipsnio 1 dalies 2 punktu ir Pirkimų ir koncesijų priežiūros taisyklėmis, patvirtintomis Tarnybos direktoriaus 2019 m. vasario 1 d. įsakymu Nr. 1S-25</w:t>
      </w:r>
      <w:r w:rsidR="009A67D5" w:rsidRPr="000745A7">
        <w:rPr>
          <w:bCs/>
          <w:szCs w:val="24"/>
          <w:lang w:eastAsia="lt-LT"/>
        </w:rPr>
        <w:t>,</w:t>
      </w:r>
      <w:r w:rsidR="00183555" w:rsidRPr="000745A7">
        <w:rPr>
          <w:bCs/>
          <w:szCs w:val="24"/>
          <w:lang w:eastAsia="lt-LT"/>
        </w:rPr>
        <w:t xml:space="preserve"> bei </w:t>
      </w:r>
      <w:r w:rsidR="00F364E4" w:rsidRPr="000745A7">
        <w:rPr>
          <w:bCs/>
          <w:szCs w:val="24"/>
          <w:lang w:eastAsia="lt-LT"/>
        </w:rPr>
        <w:t>vykdy</w:t>
      </w:r>
      <w:r w:rsidR="00183555" w:rsidRPr="000745A7">
        <w:rPr>
          <w:bCs/>
          <w:szCs w:val="24"/>
          <w:lang w:eastAsia="lt-LT"/>
        </w:rPr>
        <w:t xml:space="preserve">dama </w:t>
      </w:r>
      <w:r w:rsidR="006E1801" w:rsidRPr="000745A7">
        <w:rPr>
          <w:bCs/>
          <w:szCs w:val="24"/>
          <w:lang w:eastAsia="lt-LT"/>
        </w:rPr>
        <w:t xml:space="preserve">VšĮ Centrinės projektų valdymo agentūros </w:t>
      </w:r>
      <w:r w:rsidR="00183555" w:rsidRPr="000745A7">
        <w:rPr>
          <w:bCs/>
          <w:szCs w:val="24"/>
          <w:lang w:eastAsia="lt-LT"/>
        </w:rPr>
        <w:t xml:space="preserve">(toliau – </w:t>
      </w:r>
      <w:r w:rsidR="006E1801" w:rsidRPr="000745A7">
        <w:rPr>
          <w:bCs/>
          <w:szCs w:val="24"/>
          <w:lang w:eastAsia="lt-LT"/>
        </w:rPr>
        <w:t>CPVA</w:t>
      </w:r>
      <w:r w:rsidR="00183555" w:rsidRPr="000745A7">
        <w:rPr>
          <w:bCs/>
          <w:szCs w:val="24"/>
          <w:lang w:eastAsia="lt-LT"/>
        </w:rPr>
        <w:t>) prašymą</w:t>
      </w:r>
      <w:r w:rsidR="00183555" w:rsidRPr="000745A7">
        <w:rPr>
          <w:bCs/>
          <w:szCs w:val="24"/>
          <w:vertAlign w:val="superscript"/>
          <w:lang w:eastAsia="lt-LT"/>
        </w:rPr>
        <w:footnoteReference w:id="1"/>
      </w:r>
      <w:r w:rsidR="00183555" w:rsidRPr="000745A7">
        <w:rPr>
          <w:bCs/>
          <w:szCs w:val="24"/>
          <w:lang w:eastAsia="lt-LT"/>
        </w:rPr>
        <w:t>, atliko</w:t>
      </w:r>
      <w:r w:rsidR="00567BDF" w:rsidRPr="000745A7">
        <w:rPr>
          <w:bCs/>
          <w:szCs w:val="24"/>
          <w:lang w:eastAsia="lt-LT"/>
        </w:rPr>
        <w:t xml:space="preserve"> </w:t>
      </w:r>
      <w:r w:rsidR="00B428CC">
        <w:rPr>
          <w:bCs/>
          <w:szCs w:val="24"/>
          <w:lang w:eastAsia="lt-LT"/>
        </w:rPr>
        <w:t>Pagėgių</w:t>
      </w:r>
      <w:r w:rsidR="006E1801" w:rsidRPr="000745A7">
        <w:rPr>
          <w:bCs/>
          <w:szCs w:val="24"/>
          <w:lang w:eastAsia="lt-LT"/>
        </w:rPr>
        <w:t xml:space="preserve"> savivaldybės administracijos</w:t>
      </w:r>
      <w:r w:rsidR="00567BDF" w:rsidRPr="000745A7">
        <w:rPr>
          <w:bCs/>
          <w:szCs w:val="24"/>
          <w:lang w:eastAsia="lt-LT"/>
        </w:rPr>
        <w:t xml:space="preserve"> </w:t>
      </w:r>
      <w:r w:rsidR="00183555" w:rsidRPr="000745A7">
        <w:rPr>
          <w:bCs/>
          <w:szCs w:val="24"/>
          <w:lang w:eastAsia="lt-LT"/>
        </w:rPr>
        <w:t>(toliau – Perkan</w:t>
      </w:r>
      <w:r w:rsidR="00EE6479" w:rsidRPr="000745A7">
        <w:rPr>
          <w:bCs/>
          <w:szCs w:val="24"/>
          <w:lang w:eastAsia="lt-LT"/>
        </w:rPr>
        <w:t>č</w:t>
      </w:r>
      <w:r w:rsidR="00567BDF" w:rsidRPr="000745A7">
        <w:rPr>
          <w:bCs/>
          <w:szCs w:val="24"/>
          <w:lang w:eastAsia="lt-LT"/>
        </w:rPr>
        <w:t>ioji organizacija</w:t>
      </w:r>
      <w:r w:rsidR="00183555" w:rsidRPr="000745A7">
        <w:rPr>
          <w:bCs/>
          <w:szCs w:val="24"/>
          <w:lang w:eastAsia="lt-LT"/>
        </w:rPr>
        <w:t>) vykdyto viešojo pirkimo dalinį vertinimą.</w:t>
      </w:r>
    </w:p>
    <w:p w14:paraId="009540B0" w14:textId="7E9C85BD" w:rsidR="003B0A68" w:rsidRPr="000745A7" w:rsidRDefault="003B0A68" w:rsidP="003B0A68">
      <w:pPr>
        <w:jc w:val="both"/>
        <w:rPr>
          <w:szCs w:val="24"/>
          <w:lang w:eastAsia="lt-LT"/>
        </w:rPr>
      </w:pPr>
    </w:p>
    <w:p w14:paraId="0EFE1C88" w14:textId="551A80FB" w:rsidR="00FC5CFE" w:rsidRPr="000745A7" w:rsidRDefault="006970CE">
      <w:pPr>
        <w:jc w:val="center"/>
        <w:rPr>
          <w:b/>
          <w:szCs w:val="24"/>
          <w:lang w:eastAsia="lt-LT"/>
        </w:rPr>
      </w:pPr>
      <w:r w:rsidRPr="000745A7">
        <w:rPr>
          <w:b/>
          <w:szCs w:val="24"/>
          <w:lang w:eastAsia="lt-LT"/>
        </w:rPr>
        <w:t>I dalis. Bendra informacija</w:t>
      </w:r>
    </w:p>
    <w:p w14:paraId="74D2FF69" w14:textId="77777777" w:rsidR="001C3CEF" w:rsidRPr="000745A7" w:rsidRDefault="001C3CEF">
      <w:pPr>
        <w:jc w:val="center"/>
        <w:rPr>
          <w:szCs w:val="24"/>
          <w:lang w:eastAsia="lt-LT"/>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7"/>
        <w:gridCol w:w="5104"/>
      </w:tblGrid>
      <w:tr w:rsidR="001C3CEF" w:rsidRPr="000745A7" w14:paraId="5AF98010" w14:textId="77777777" w:rsidTr="001C3CEF">
        <w:tc>
          <w:tcPr>
            <w:tcW w:w="4677" w:type="dxa"/>
            <w:tcBorders>
              <w:top w:val="single" w:sz="4" w:space="0" w:color="auto"/>
              <w:left w:val="single" w:sz="4" w:space="0" w:color="auto"/>
              <w:bottom w:val="single" w:sz="4" w:space="0" w:color="auto"/>
              <w:right w:val="single" w:sz="4" w:space="0" w:color="auto"/>
            </w:tcBorders>
            <w:hideMark/>
          </w:tcPr>
          <w:p w14:paraId="642C3B8B" w14:textId="512F3377" w:rsidR="001C3CEF" w:rsidRPr="000745A7" w:rsidRDefault="001C3CEF" w:rsidP="00F92A17">
            <w:pPr>
              <w:jc w:val="both"/>
              <w:rPr>
                <w:szCs w:val="24"/>
              </w:rPr>
            </w:pPr>
            <w:r w:rsidRPr="000745A7">
              <w:rPr>
                <w:szCs w:val="24"/>
              </w:rPr>
              <w:t>Pirkimo* pavadinimas, numeris (jeigu skelbtas), pirkimo paskelbimo (kvietimo pateikti paraišką/pasiūlymą) data/sutarties pavadinimas, data, numeris</w:t>
            </w:r>
          </w:p>
        </w:tc>
        <w:tc>
          <w:tcPr>
            <w:tcW w:w="5104" w:type="dxa"/>
            <w:tcBorders>
              <w:top w:val="single" w:sz="4" w:space="0" w:color="auto"/>
              <w:left w:val="single" w:sz="4" w:space="0" w:color="auto"/>
              <w:bottom w:val="single" w:sz="4" w:space="0" w:color="auto"/>
              <w:right w:val="single" w:sz="4" w:space="0" w:color="auto"/>
            </w:tcBorders>
          </w:tcPr>
          <w:p w14:paraId="2C412A1E" w14:textId="230F7AC6" w:rsidR="00267217" w:rsidRPr="000745A7" w:rsidRDefault="00267217" w:rsidP="00AA44E3">
            <w:pPr>
              <w:spacing w:line="254" w:lineRule="auto"/>
              <w:jc w:val="both"/>
              <w:rPr>
                <w:szCs w:val="24"/>
              </w:rPr>
            </w:pPr>
            <w:r w:rsidRPr="000745A7">
              <w:rPr>
                <w:szCs w:val="24"/>
              </w:rPr>
              <w:t xml:space="preserve"> </w:t>
            </w:r>
            <w:r w:rsidR="00EE6479" w:rsidRPr="000745A7">
              <w:rPr>
                <w:bCs/>
                <w:i/>
                <w:iCs/>
                <w:szCs w:val="24"/>
              </w:rPr>
              <w:t>„</w:t>
            </w:r>
            <w:bookmarkStart w:id="0" w:name="_Hlk123117624"/>
            <w:r w:rsidR="002569FD" w:rsidRPr="002569FD">
              <w:rPr>
                <w:bCs/>
                <w:i/>
                <w:iCs/>
                <w:szCs w:val="24"/>
              </w:rPr>
              <w:t>Gyvenamosios paskirties (grupinio gyvenimo namų) Ateities g. 1, Pagėgių m., Pagėgių sav., statybos darbų pirkimas</w:t>
            </w:r>
            <w:r w:rsidR="00EE6479" w:rsidRPr="000745A7">
              <w:rPr>
                <w:bCs/>
                <w:i/>
                <w:iCs/>
                <w:szCs w:val="24"/>
              </w:rPr>
              <w:t>“</w:t>
            </w:r>
            <w:r w:rsidR="003B0A68" w:rsidRPr="000745A7">
              <w:rPr>
                <w:bCs/>
                <w:szCs w:val="24"/>
              </w:rPr>
              <w:t xml:space="preserve"> </w:t>
            </w:r>
            <w:r w:rsidR="002E6441" w:rsidRPr="000745A7">
              <w:rPr>
                <w:bCs/>
                <w:szCs w:val="24"/>
              </w:rPr>
              <w:t>(</w:t>
            </w:r>
            <w:r w:rsidR="00EE6479" w:rsidRPr="000745A7">
              <w:rPr>
                <w:bCs/>
                <w:szCs w:val="24"/>
              </w:rPr>
              <w:t>Centrinėje viešųjų pirkimų informacinėje sistemoje (toliau – CVP IS) skelbtas 202</w:t>
            </w:r>
            <w:r w:rsidR="002569FD">
              <w:rPr>
                <w:bCs/>
                <w:szCs w:val="24"/>
              </w:rPr>
              <w:t>2</w:t>
            </w:r>
            <w:r w:rsidR="00EE6479" w:rsidRPr="000745A7">
              <w:rPr>
                <w:bCs/>
                <w:szCs w:val="24"/>
              </w:rPr>
              <w:t xml:space="preserve"> m. </w:t>
            </w:r>
            <w:r w:rsidR="002569FD">
              <w:rPr>
                <w:bCs/>
                <w:szCs w:val="24"/>
              </w:rPr>
              <w:t xml:space="preserve">balandžio 29 </w:t>
            </w:r>
            <w:r w:rsidR="00EE6479" w:rsidRPr="000745A7">
              <w:rPr>
                <w:bCs/>
                <w:szCs w:val="24"/>
              </w:rPr>
              <w:t xml:space="preserve">d., pirkimo Nr. </w:t>
            </w:r>
            <w:r w:rsidR="002569FD">
              <w:rPr>
                <w:bCs/>
                <w:szCs w:val="24"/>
              </w:rPr>
              <w:t>598682</w:t>
            </w:r>
            <w:r w:rsidR="00EE6479" w:rsidRPr="000745A7">
              <w:rPr>
                <w:bCs/>
                <w:szCs w:val="24"/>
              </w:rPr>
              <w:t>)</w:t>
            </w:r>
            <w:bookmarkEnd w:id="0"/>
            <w:r w:rsidR="00EE6479" w:rsidRPr="000745A7">
              <w:rPr>
                <w:bCs/>
                <w:szCs w:val="24"/>
              </w:rPr>
              <w:t xml:space="preserve"> (toliau – Pirkimas)</w:t>
            </w:r>
            <w:r w:rsidR="00AA44E3" w:rsidRPr="000745A7">
              <w:rPr>
                <w:bCs/>
                <w:szCs w:val="24"/>
              </w:rPr>
              <w:t>/</w:t>
            </w:r>
            <w:r w:rsidR="00EE6479" w:rsidRPr="000745A7">
              <w:rPr>
                <w:bCs/>
                <w:szCs w:val="24"/>
              </w:rPr>
              <w:t xml:space="preserve"> </w:t>
            </w:r>
            <w:r w:rsidR="00AA44E3" w:rsidRPr="000745A7">
              <w:rPr>
                <w:bCs/>
                <w:szCs w:val="24"/>
              </w:rPr>
              <w:t>202</w:t>
            </w:r>
            <w:r w:rsidR="002569FD">
              <w:rPr>
                <w:bCs/>
                <w:szCs w:val="24"/>
              </w:rPr>
              <w:t>2</w:t>
            </w:r>
            <w:r w:rsidR="00AA44E3" w:rsidRPr="000745A7">
              <w:rPr>
                <w:bCs/>
                <w:szCs w:val="24"/>
              </w:rPr>
              <w:t xml:space="preserve"> m. </w:t>
            </w:r>
            <w:r w:rsidR="002569FD">
              <w:rPr>
                <w:bCs/>
                <w:szCs w:val="24"/>
              </w:rPr>
              <w:t>liepos</w:t>
            </w:r>
            <w:r w:rsidR="00AA44E3" w:rsidRPr="000745A7">
              <w:rPr>
                <w:bCs/>
                <w:szCs w:val="24"/>
              </w:rPr>
              <w:t xml:space="preserve"> </w:t>
            </w:r>
            <w:r w:rsidR="006E1801" w:rsidRPr="000745A7">
              <w:rPr>
                <w:bCs/>
                <w:szCs w:val="24"/>
              </w:rPr>
              <w:t>1</w:t>
            </w:r>
            <w:r w:rsidR="002569FD">
              <w:rPr>
                <w:bCs/>
                <w:szCs w:val="24"/>
              </w:rPr>
              <w:t>9</w:t>
            </w:r>
            <w:r w:rsidR="00AA44E3" w:rsidRPr="000745A7">
              <w:rPr>
                <w:bCs/>
                <w:szCs w:val="24"/>
              </w:rPr>
              <w:t xml:space="preserve"> d. </w:t>
            </w:r>
            <w:r w:rsidR="002569FD">
              <w:rPr>
                <w:bCs/>
                <w:szCs w:val="24"/>
              </w:rPr>
              <w:t>Pirkimo sutartis</w:t>
            </w:r>
            <w:r w:rsidR="00AA44E3" w:rsidRPr="000745A7">
              <w:rPr>
                <w:bCs/>
                <w:szCs w:val="24"/>
              </w:rPr>
              <w:t xml:space="preserve"> Nr.</w:t>
            </w:r>
            <w:r w:rsidR="00F364E4" w:rsidRPr="000745A7">
              <w:rPr>
                <w:bCs/>
                <w:szCs w:val="24"/>
              </w:rPr>
              <w:t> </w:t>
            </w:r>
            <w:r w:rsidR="002569FD">
              <w:rPr>
                <w:bCs/>
                <w:szCs w:val="24"/>
              </w:rPr>
              <w:t>A3-165</w:t>
            </w:r>
          </w:p>
        </w:tc>
      </w:tr>
      <w:tr w:rsidR="001C3CEF" w:rsidRPr="000745A7" w14:paraId="6D98611B" w14:textId="77777777" w:rsidTr="001C3CEF">
        <w:tc>
          <w:tcPr>
            <w:tcW w:w="4677" w:type="dxa"/>
            <w:tcBorders>
              <w:top w:val="single" w:sz="4" w:space="0" w:color="auto"/>
              <w:left w:val="single" w:sz="4" w:space="0" w:color="auto"/>
              <w:bottom w:val="single" w:sz="4" w:space="0" w:color="auto"/>
              <w:right w:val="single" w:sz="4" w:space="0" w:color="auto"/>
            </w:tcBorders>
          </w:tcPr>
          <w:p w14:paraId="30B2C460" w14:textId="7605946E" w:rsidR="001C3CEF" w:rsidRPr="000745A7" w:rsidRDefault="001C3CEF" w:rsidP="00F92A17">
            <w:pPr>
              <w:jc w:val="both"/>
              <w:rPr>
                <w:szCs w:val="24"/>
              </w:rPr>
            </w:pPr>
            <w:r w:rsidRPr="000745A7">
              <w:rPr>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tcPr>
          <w:p w14:paraId="55245331" w14:textId="4BAE650C" w:rsidR="005D2529" w:rsidRPr="000745A7" w:rsidRDefault="005D2529" w:rsidP="00F92A17">
            <w:pPr>
              <w:spacing w:line="254" w:lineRule="auto"/>
              <w:jc w:val="both"/>
              <w:rPr>
                <w:szCs w:val="24"/>
              </w:rPr>
            </w:pPr>
            <w:r w:rsidRPr="000745A7">
              <w:rPr>
                <w:szCs w:val="24"/>
              </w:rPr>
              <w:t>Įstatymas (</w:t>
            </w:r>
            <w:r w:rsidR="00D66814" w:rsidRPr="000745A7">
              <w:rPr>
                <w:szCs w:val="24"/>
              </w:rPr>
              <w:t>redakcija galiojusi n</w:t>
            </w:r>
            <w:r w:rsidR="003F4A7F" w:rsidRPr="000745A7">
              <w:rPr>
                <w:szCs w:val="24"/>
              </w:rPr>
              <w:t xml:space="preserve">uo </w:t>
            </w:r>
            <w:r w:rsidRPr="000745A7">
              <w:rPr>
                <w:szCs w:val="24"/>
              </w:rPr>
              <w:t>20</w:t>
            </w:r>
            <w:r w:rsidR="002922F3">
              <w:rPr>
                <w:szCs w:val="24"/>
              </w:rPr>
              <w:t>22</w:t>
            </w:r>
            <w:r w:rsidRPr="000745A7">
              <w:rPr>
                <w:szCs w:val="24"/>
              </w:rPr>
              <w:t xml:space="preserve"> m.</w:t>
            </w:r>
            <w:r w:rsidR="003F4A7F" w:rsidRPr="000745A7">
              <w:rPr>
                <w:szCs w:val="24"/>
              </w:rPr>
              <w:t xml:space="preserve"> </w:t>
            </w:r>
            <w:r w:rsidR="002922F3">
              <w:rPr>
                <w:szCs w:val="24"/>
              </w:rPr>
              <w:t>balandžio</w:t>
            </w:r>
            <w:r w:rsidR="003F4A7F" w:rsidRPr="000745A7">
              <w:rPr>
                <w:szCs w:val="24"/>
              </w:rPr>
              <w:t xml:space="preserve"> </w:t>
            </w:r>
            <w:r w:rsidRPr="000745A7">
              <w:rPr>
                <w:szCs w:val="24"/>
              </w:rPr>
              <w:t>1</w:t>
            </w:r>
            <w:r w:rsidR="009A67D5" w:rsidRPr="000745A7">
              <w:rPr>
                <w:szCs w:val="24"/>
              </w:rPr>
              <w:t> </w:t>
            </w:r>
            <w:r w:rsidRPr="000745A7">
              <w:rPr>
                <w:szCs w:val="24"/>
              </w:rPr>
              <w:t xml:space="preserve">d. </w:t>
            </w:r>
            <w:r w:rsidR="00675CDB" w:rsidRPr="000745A7">
              <w:rPr>
                <w:szCs w:val="24"/>
              </w:rPr>
              <w:t xml:space="preserve">iki </w:t>
            </w:r>
            <w:r w:rsidRPr="000745A7">
              <w:rPr>
                <w:szCs w:val="24"/>
              </w:rPr>
              <w:t>20</w:t>
            </w:r>
            <w:r w:rsidR="002922F3">
              <w:rPr>
                <w:szCs w:val="24"/>
              </w:rPr>
              <w:t>22</w:t>
            </w:r>
            <w:r w:rsidRPr="000745A7">
              <w:rPr>
                <w:szCs w:val="24"/>
              </w:rPr>
              <w:t xml:space="preserve"> m. </w:t>
            </w:r>
            <w:r w:rsidR="002922F3">
              <w:rPr>
                <w:szCs w:val="24"/>
              </w:rPr>
              <w:t>balandžio 30</w:t>
            </w:r>
            <w:r w:rsidRPr="000745A7">
              <w:rPr>
                <w:szCs w:val="24"/>
              </w:rPr>
              <w:t xml:space="preserve"> d.)</w:t>
            </w:r>
            <w:r w:rsidR="00711EC7">
              <w:rPr>
                <w:szCs w:val="24"/>
              </w:rPr>
              <w:t>.</w:t>
            </w:r>
          </w:p>
        </w:tc>
      </w:tr>
      <w:tr w:rsidR="001C3CEF" w:rsidRPr="000745A7" w14:paraId="33455D96" w14:textId="77777777" w:rsidTr="001C3CEF">
        <w:tc>
          <w:tcPr>
            <w:tcW w:w="4677" w:type="dxa"/>
            <w:tcBorders>
              <w:top w:val="single" w:sz="4" w:space="0" w:color="auto"/>
              <w:left w:val="single" w:sz="4" w:space="0" w:color="auto"/>
              <w:bottom w:val="single" w:sz="4" w:space="0" w:color="auto"/>
              <w:right w:val="single" w:sz="4" w:space="0" w:color="auto"/>
            </w:tcBorders>
          </w:tcPr>
          <w:p w14:paraId="09D22EA4" w14:textId="5C81E3C2" w:rsidR="001C3CEF" w:rsidRPr="000745A7" w:rsidRDefault="001C3CEF" w:rsidP="00F92A17">
            <w:pPr>
              <w:jc w:val="both"/>
              <w:rPr>
                <w:rFonts w:eastAsia="Calibri"/>
                <w:szCs w:val="24"/>
              </w:rPr>
            </w:pPr>
            <w:r w:rsidRPr="000745A7">
              <w:rPr>
                <w:rFonts w:eastAsia="Calibri"/>
                <w:szCs w:val="24"/>
              </w:rPr>
              <w:t>Pirkimo rūšis pagal vertės ribas ir pirkimo būdas</w:t>
            </w:r>
          </w:p>
        </w:tc>
        <w:tc>
          <w:tcPr>
            <w:tcW w:w="5104" w:type="dxa"/>
            <w:tcBorders>
              <w:top w:val="single" w:sz="4" w:space="0" w:color="auto"/>
              <w:left w:val="single" w:sz="4" w:space="0" w:color="auto"/>
              <w:bottom w:val="single" w:sz="4" w:space="0" w:color="auto"/>
              <w:right w:val="single" w:sz="4" w:space="0" w:color="auto"/>
            </w:tcBorders>
            <w:vAlign w:val="center"/>
          </w:tcPr>
          <w:p w14:paraId="5F53F75C" w14:textId="1768DEAC" w:rsidR="001C3CEF" w:rsidRPr="000745A7" w:rsidRDefault="00892D01" w:rsidP="00F92A17">
            <w:pPr>
              <w:rPr>
                <w:szCs w:val="24"/>
              </w:rPr>
            </w:pPr>
            <w:r w:rsidRPr="000745A7">
              <w:rPr>
                <w:szCs w:val="24"/>
              </w:rPr>
              <w:t>Supaprastintas</w:t>
            </w:r>
            <w:r w:rsidR="003B0A68" w:rsidRPr="000745A7">
              <w:rPr>
                <w:szCs w:val="24"/>
              </w:rPr>
              <w:t xml:space="preserve"> pirkimas, atviras konkursas</w:t>
            </w:r>
            <w:r w:rsidR="00711EC7">
              <w:rPr>
                <w:szCs w:val="24"/>
              </w:rPr>
              <w:t>.</w:t>
            </w:r>
          </w:p>
        </w:tc>
      </w:tr>
      <w:tr w:rsidR="001C3CEF" w:rsidRPr="000745A7" w14:paraId="5B1BA613" w14:textId="77777777" w:rsidTr="001C3CEF">
        <w:tc>
          <w:tcPr>
            <w:tcW w:w="4677" w:type="dxa"/>
            <w:tcBorders>
              <w:top w:val="single" w:sz="4" w:space="0" w:color="auto"/>
              <w:left w:val="single" w:sz="4" w:space="0" w:color="auto"/>
              <w:bottom w:val="single" w:sz="4" w:space="0" w:color="auto"/>
              <w:right w:val="single" w:sz="4" w:space="0" w:color="auto"/>
            </w:tcBorders>
          </w:tcPr>
          <w:p w14:paraId="0724232E" w14:textId="653E74F1" w:rsidR="001C3CEF" w:rsidRPr="000745A7" w:rsidRDefault="001C3CEF" w:rsidP="00F92A17">
            <w:pPr>
              <w:jc w:val="both"/>
              <w:rPr>
                <w:rFonts w:eastAsia="Calibri"/>
                <w:szCs w:val="24"/>
              </w:rPr>
            </w:pPr>
            <w:r w:rsidRPr="000745A7">
              <w:rPr>
                <w:rFonts w:eastAsia="Calibri"/>
                <w:szCs w:val="24"/>
              </w:rPr>
              <w:t>Planuota (nenurodoma, jeigu pirkimas vertinamas iki vokų su pasiūlymais atplėšimo procedūros) ir faktinė pirkimo/sutarties vertė Eur be PVM</w:t>
            </w:r>
          </w:p>
        </w:tc>
        <w:tc>
          <w:tcPr>
            <w:tcW w:w="5104" w:type="dxa"/>
            <w:tcBorders>
              <w:top w:val="single" w:sz="4" w:space="0" w:color="auto"/>
              <w:left w:val="single" w:sz="4" w:space="0" w:color="auto"/>
              <w:bottom w:val="single" w:sz="4" w:space="0" w:color="auto"/>
              <w:right w:val="single" w:sz="4" w:space="0" w:color="auto"/>
            </w:tcBorders>
          </w:tcPr>
          <w:p w14:paraId="58E7E622" w14:textId="32191C93" w:rsidR="00EE6479" w:rsidRPr="000745A7" w:rsidRDefault="00EE6479" w:rsidP="00EE6479">
            <w:pPr>
              <w:jc w:val="both"/>
              <w:rPr>
                <w:szCs w:val="24"/>
              </w:rPr>
            </w:pPr>
            <w:r w:rsidRPr="000745A7">
              <w:rPr>
                <w:szCs w:val="24"/>
              </w:rPr>
              <w:t xml:space="preserve">Planuota Pirkimo vertė – </w:t>
            </w:r>
            <w:r w:rsidR="002922F3" w:rsidRPr="002922F3">
              <w:rPr>
                <w:szCs w:val="24"/>
              </w:rPr>
              <w:t>355</w:t>
            </w:r>
            <w:r w:rsidR="002922F3">
              <w:rPr>
                <w:szCs w:val="24"/>
              </w:rPr>
              <w:t xml:space="preserve"> </w:t>
            </w:r>
            <w:r w:rsidR="002922F3" w:rsidRPr="002922F3">
              <w:rPr>
                <w:szCs w:val="24"/>
              </w:rPr>
              <w:t xml:space="preserve">371,90 </w:t>
            </w:r>
            <w:r w:rsidRPr="000745A7">
              <w:rPr>
                <w:szCs w:val="24"/>
              </w:rPr>
              <w:t>Eur be PVM</w:t>
            </w:r>
            <w:r w:rsidR="00892D01" w:rsidRPr="000745A7">
              <w:rPr>
                <w:szCs w:val="24"/>
              </w:rPr>
              <w:t xml:space="preserve"> / </w:t>
            </w:r>
            <w:r w:rsidR="002922F3">
              <w:rPr>
                <w:szCs w:val="24"/>
              </w:rPr>
              <w:t xml:space="preserve">430 000,00 </w:t>
            </w:r>
            <w:r w:rsidR="00892D01" w:rsidRPr="000745A7">
              <w:rPr>
                <w:szCs w:val="24"/>
              </w:rPr>
              <w:t>Eur su PVM</w:t>
            </w:r>
            <w:r w:rsidR="002E6441" w:rsidRPr="000745A7">
              <w:rPr>
                <w:szCs w:val="24"/>
              </w:rPr>
              <w:t>;</w:t>
            </w:r>
            <w:r w:rsidRPr="000745A7">
              <w:rPr>
                <w:szCs w:val="24"/>
              </w:rPr>
              <w:t xml:space="preserve"> </w:t>
            </w:r>
          </w:p>
          <w:p w14:paraId="276199DE" w14:textId="71A2A277" w:rsidR="00EE6479" w:rsidRPr="000745A7" w:rsidRDefault="00EE6479" w:rsidP="00EE6479">
            <w:pPr>
              <w:jc w:val="both"/>
              <w:rPr>
                <w:szCs w:val="24"/>
              </w:rPr>
            </w:pPr>
            <w:r w:rsidRPr="000745A7">
              <w:rPr>
                <w:szCs w:val="24"/>
              </w:rPr>
              <w:t>Sutarties vertė –</w:t>
            </w:r>
            <w:r w:rsidR="00254BBE" w:rsidRPr="000745A7">
              <w:rPr>
                <w:szCs w:val="24"/>
              </w:rPr>
              <w:t xml:space="preserve"> </w:t>
            </w:r>
            <w:r w:rsidR="002922F3">
              <w:rPr>
                <w:szCs w:val="24"/>
              </w:rPr>
              <w:t xml:space="preserve">398 386,28 </w:t>
            </w:r>
            <w:r w:rsidRPr="000745A7">
              <w:rPr>
                <w:szCs w:val="24"/>
              </w:rPr>
              <w:t xml:space="preserve">Eur </w:t>
            </w:r>
            <w:r w:rsidR="00892D01" w:rsidRPr="000745A7">
              <w:rPr>
                <w:szCs w:val="24"/>
              </w:rPr>
              <w:t>su</w:t>
            </w:r>
            <w:r w:rsidRPr="000745A7">
              <w:rPr>
                <w:szCs w:val="24"/>
              </w:rPr>
              <w:t xml:space="preserve"> PVM </w:t>
            </w:r>
            <w:r w:rsidR="00711EC7">
              <w:rPr>
                <w:szCs w:val="24"/>
              </w:rPr>
              <w:t>.</w:t>
            </w:r>
          </w:p>
          <w:p w14:paraId="3FB69916" w14:textId="0E09F1B5" w:rsidR="00960FAE" w:rsidRPr="000745A7" w:rsidRDefault="00960FAE" w:rsidP="00F92A17">
            <w:pPr>
              <w:jc w:val="both"/>
              <w:rPr>
                <w:szCs w:val="24"/>
              </w:rPr>
            </w:pPr>
          </w:p>
        </w:tc>
      </w:tr>
      <w:tr w:rsidR="001C3CEF" w:rsidRPr="000745A7" w14:paraId="2FAA8198" w14:textId="77777777" w:rsidTr="001C3CEF">
        <w:tc>
          <w:tcPr>
            <w:tcW w:w="4677" w:type="dxa"/>
            <w:tcBorders>
              <w:top w:val="single" w:sz="4" w:space="0" w:color="auto"/>
              <w:left w:val="single" w:sz="4" w:space="0" w:color="auto"/>
              <w:bottom w:val="single" w:sz="4" w:space="0" w:color="auto"/>
              <w:right w:val="single" w:sz="4" w:space="0" w:color="auto"/>
            </w:tcBorders>
          </w:tcPr>
          <w:p w14:paraId="4EBF12E0" w14:textId="50B7396C" w:rsidR="001C3CEF" w:rsidRPr="000745A7" w:rsidRDefault="001C3CEF" w:rsidP="00F92A17">
            <w:pPr>
              <w:jc w:val="both"/>
              <w:rPr>
                <w:szCs w:val="24"/>
              </w:rPr>
            </w:pPr>
            <w:r w:rsidRPr="000745A7">
              <w:rPr>
                <w:szCs w:val="24"/>
              </w:rPr>
              <w:t>Tiekėjas/koncesijos dalyvis/koncesininkas, juridinio asmens (su kuriuo sudaryta sutartis) kodas</w:t>
            </w:r>
          </w:p>
        </w:tc>
        <w:tc>
          <w:tcPr>
            <w:tcW w:w="5104" w:type="dxa"/>
            <w:tcBorders>
              <w:top w:val="single" w:sz="4" w:space="0" w:color="auto"/>
              <w:left w:val="single" w:sz="4" w:space="0" w:color="auto"/>
              <w:bottom w:val="single" w:sz="4" w:space="0" w:color="auto"/>
              <w:right w:val="single" w:sz="4" w:space="0" w:color="auto"/>
            </w:tcBorders>
            <w:vAlign w:val="center"/>
          </w:tcPr>
          <w:p w14:paraId="4711CAB5" w14:textId="0459BAB7" w:rsidR="0012197C" w:rsidRPr="000745A7" w:rsidRDefault="0012197C" w:rsidP="00F92A17">
            <w:pPr>
              <w:jc w:val="both"/>
              <w:rPr>
                <w:szCs w:val="24"/>
              </w:rPr>
            </w:pPr>
            <w:r w:rsidRPr="000745A7">
              <w:rPr>
                <w:szCs w:val="24"/>
              </w:rPr>
              <w:t xml:space="preserve">UAB </w:t>
            </w:r>
            <w:r w:rsidR="009A67D5" w:rsidRPr="000745A7">
              <w:rPr>
                <w:szCs w:val="24"/>
              </w:rPr>
              <w:t>„</w:t>
            </w:r>
            <w:proofErr w:type="spellStart"/>
            <w:r w:rsidR="002922F3">
              <w:rPr>
                <w:szCs w:val="24"/>
              </w:rPr>
              <w:t>Proplanas</w:t>
            </w:r>
            <w:proofErr w:type="spellEnd"/>
            <w:r w:rsidR="002922F3">
              <w:rPr>
                <w:szCs w:val="24"/>
              </w:rPr>
              <w:t xml:space="preserve"> LT</w:t>
            </w:r>
            <w:r w:rsidR="009A67D5" w:rsidRPr="000745A7">
              <w:rPr>
                <w:szCs w:val="24"/>
              </w:rPr>
              <w:t>“</w:t>
            </w:r>
            <w:r w:rsidRPr="000745A7">
              <w:rPr>
                <w:szCs w:val="24"/>
              </w:rPr>
              <w:t xml:space="preserve"> </w:t>
            </w:r>
            <w:r w:rsidR="00254BBE" w:rsidRPr="000745A7">
              <w:rPr>
                <w:szCs w:val="24"/>
              </w:rPr>
              <w:t>(</w:t>
            </w:r>
            <w:r w:rsidR="00F364E4" w:rsidRPr="000745A7">
              <w:rPr>
                <w:szCs w:val="24"/>
              </w:rPr>
              <w:t xml:space="preserve">juridinio asmens kodas – </w:t>
            </w:r>
            <w:r w:rsidR="00892D01" w:rsidRPr="000745A7">
              <w:rPr>
                <w:szCs w:val="24"/>
              </w:rPr>
              <w:t>30</w:t>
            </w:r>
            <w:r w:rsidR="002922F3">
              <w:rPr>
                <w:szCs w:val="24"/>
              </w:rPr>
              <w:t>5563475</w:t>
            </w:r>
            <w:r w:rsidR="00254BBE" w:rsidRPr="000745A7">
              <w:rPr>
                <w:szCs w:val="24"/>
              </w:rPr>
              <w:t>)</w:t>
            </w:r>
            <w:r w:rsidR="00711EC7">
              <w:rPr>
                <w:szCs w:val="24"/>
              </w:rPr>
              <w:t>.</w:t>
            </w:r>
          </w:p>
          <w:p w14:paraId="1343EB67" w14:textId="46D9C6AF" w:rsidR="001C3CEF" w:rsidRPr="000745A7" w:rsidRDefault="001C3CEF" w:rsidP="00F92A17">
            <w:pPr>
              <w:jc w:val="both"/>
              <w:rPr>
                <w:szCs w:val="24"/>
              </w:rPr>
            </w:pPr>
          </w:p>
        </w:tc>
      </w:tr>
      <w:tr w:rsidR="001C3CEF" w:rsidRPr="000745A7" w14:paraId="388A6C43" w14:textId="77777777" w:rsidTr="001C3CEF">
        <w:tc>
          <w:tcPr>
            <w:tcW w:w="4677" w:type="dxa"/>
            <w:tcBorders>
              <w:top w:val="single" w:sz="4" w:space="0" w:color="auto"/>
              <w:left w:val="single" w:sz="4" w:space="0" w:color="auto"/>
              <w:bottom w:val="single" w:sz="4" w:space="0" w:color="auto"/>
              <w:right w:val="single" w:sz="4" w:space="0" w:color="auto"/>
            </w:tcBorders>
          </w:tcPr>
          <w:p w14:paraId="3B3A8062" w14:textId="49F795EA" w:rsidR="001C3CEF" w:rsidRPr="000745A7" w:rsidRDefault="001C3CEF" w:rsidP="00F92A17">
            <w:pPr>
              <w:jc w:val="both"/>
              <w:rPr>
                <w:rFonts w:eastAsia="Calibri"/>
                <w:szCs w:val="24"/>
              </w:rPr>
            </w:pPr>
            <w:r w:rsidRPr="000745A7">
              <w:rPr>
                <w:rFonts w:eastAsia="Calibri"/>
                <w:szCs w:val="24"/>
              </w:rPr>
              <w:lastRenderedPageBreak/>
              <w:t>Pirkimo/sutarties vertinimo apimtys/etapas</w:t>
            </w:r>
          </w:p>
        </w:tc>
        <w:tc>
          <w:tcPr>
            <w:tcW w:w="5104" w:type="dxa"/>
            <w:tcBorders>
              <w:top w:val="single" w:sz="4" w:space="0" w:color="auto"/>
              <w:left w:val="single" w:sz="4" w:space="0" w:color="auto"/>
              <w:bottom w:val="single" w:sz="4" w:space="0" w:color="auto"/>
              <w:right w:val="single" w:sz="4" w:space="0" w:color="auto"/>
            </w:tcBorders>
          </w:tcPr>
          <w:p w14:paraId="4E5BF31D" w14:textId="6D689397" w:rsidR="001C3CEF" w:rsidRPr="000745A7" w:rsidRDefault="009E63D6" w:rsidP="0025755E">
            <w:pPr>
              <w:spacing w:line="254" w:lineRule="auto"/>
              <w:jc w:val="both"/>
              <w:rPr>
                <w:szCs w:val="24"/>
              </w:rPr>
            </w:pPr>
            <w:r w:rsidRPr="000745A7">
              <w:rPr>
                <w:szCs w:val="24"/>
              </w:rPr>
              <w:t>Dalinis vertinimas</w:t>
            </w:r>
            <w:r w:rsidR="001B4895" w:rsidRPr="000745A7">
              <w:rPr>
                <w:szCs w:val="24"/>
              </w:rPr>
              <w:t xml:space="preserve"> </w:t>
            </w:r>
            <w:r w:rsidR="00535DCD" w:rsidRPr="000745A7">
              <w:rPr>
                <w:szCs w:val="24"/>
              </w:rPr>
              <w:t>CPVA</w:t>
            </w:r>
            <w:r w:rsidR="001B4895" w:rsidRPr="000745A7">
              <w:rPr>
                <w:szCs w:val="24"/>
              </w:rPr>
              <w:t xml:space="preserve"> prašyme</w:t>
            </w:r>
            <w:r w:rsidR="001B4895" w:rsidRPr="000745A7">
              <w:rPr>
                <w:rStyle w:val="FootnoteReference"/>
                <w:szCs w:val="24"/>
              </w:rPr>
              <w:footnoteReference w:id="2"/>
            </w:r>
            <w:r w:rsidR="001B4895" w:rsidRPr="000745A7">
              <w:rPr>
                <w:szCs w:val="24"/>
              </w:rPr>
              <w:t xml:space="preserve"> nurodytais aspektais</w:t>
            </w:r>
            <w:r w:rsidR="0025755E">
              <w:rPr>
                <w:szCs w:val="24"/>
              </w:rPr>
              <w:t xml:space="preserve">: 1) </w:t>
            </w:r>
            <w:r w:rsidR="0025755E" w:rsidRPr="001747B9">
              <w:rPr>
                <w:bCs/>
                <w:szCs w:val="24"/>
              </w:rPr>
              <w:t>ar kvalifikacijos reikalavimo pakeitimas yra esminis Pirkimo sąlygų pakeitimas</w:t>
            </w:r>
            <w:r w:rsidR="0025755E" w:rsidRPr="001747B9">
              <w:rPr>
                <w:bCs/>
                <w:szCs w:val="24"/>
              </w:rPr>
              <w:t xml:space="preserve">; 2) ar Perkančioji organizacija </w:t>
            </w:r>
            <w:r w:rsidR="0025755E" w:rsidRPr="001747B9">
              <w:rPr>
                <w:bCs/>
                <w:szCs w:val="24"/>
              </w:rPr>
              <w:t>norėdama pakeisti kvalifikacijos reikalavimą, turėjo nutraukti Pirkimą ir skelbti jį iš nauj</w:t>
            </w:r>
            <w:r w:rsidR="0025755E" w:rsidRPr="001747B9">
              <w:rPr>
                <w:bCs/>
                <w:szCs w:val="24"/>
              </w:rPr>
              <w:t>o</w:t>
            </w:r>
            <w:r w:rsidRPr="0025755E">
              <w:rPr>
                <w:szCs w:val="24"/>
              </w:rPr>
              <w:t>/</w:t>
            </w:r>
            <w:r w:rsidRPr="000745A7">
              <w:rPr>
                <w:szCs w:val="24"/>
              </w:rPr>
              <w:t xml:space="preserve"> Pirkimo vertin</w:t>
            </w:r>
            <w:r w:rsidR="000250F8" w:rsidRPr="000745A7">
              <w:rPr>
                <w:szCs w:val="24"/>
              </w:rPr>
              <w:t>i</w:t>
            </w:r>
            <w:r w:rsidRPr="000745A7">
              <w:rPr>
                <w:szCs w:val="24"/>
              </w:rPr>
              <w:t xml:space="preserve">mas po sutarties </w:t>
            </w:r>
            <w:r w:rsidR="00764343">
              <w:rPr>
                <w:szCs w:val="24"/>
              </w:rPr>
              <w:t>įvy</w:t>
            </w:r>
            <w:r w:rsidR="002922F3">
              <w:rPr>
                <w:szCs w:val="24"/>
              </w:rPr>
              <w:t>k</w:t>
            </w:r>
            <w:r w:rsidR="00764343">
              <w:rPr>
                <w:szCs w:val="24"/>
              </w:rPr>
              <w:t>dy</w:t>
            </w:r>
            <w:r w:rsidR="00825D11" w:rsidRPr="000745A7">
              <w:rPr>
                <w:szCs w:val="24"/>
              </w:rPr>
              <w:t>mo</w:t>
            </w:r>
            <w:r w:rsidRPr="000745A7">
              <w:rPr>
                <w:szCs w:val="24"/>
              </w:rPr>
              <w:t>.</w:t>
            </w:r>
          </w:p>
        </w:tc>
      </w:tr>
      <w:tr w:rsidR="001C3CEF" w:rsidRPr="000745A7" w14:paraId="377A892C" w14:textId="77777777" w:rsidTr="001C3CEF">
        <w:tc>
          <w:tcPr>
            <w:tcW w:w="4677" w:type="dxa"/>
            <w:tcBorders>
              <w:top w:val="single" w:sz="4" w:space="0" w:color="auto"/>
              <w:left w:val="single" w:sz="4" w:space="0" w:color="auto"/>
              <w:bottom w:val="single" w:sz="4" w:space="0" w:color="auto"/>
              <w:right w:val="single" w:sz="4" w:space="0" w:color="auto"/>
            </w:tcBorders>
          </w:tcPr>
          <w:p w14:paraId="48092D41" w14:textId="3877DC83" w:rsidR="001C3CEF" w:rsidRPr="000745A7" w:rsidRDefault="001C3CEF" w:rsidP="00F92A17">
            <w:pPr>
              <w:rPr>
                <w:szCs w:val="24"/>
              </w:rPr>
            </w:pPr>
            <w:r w:rsidRPr="000745A7">
              <w:rPr>
                <w:szCs w:val="24"/>
              </w:rPr>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vAlign w:val="center"/>
          </w:tcPr>
          <w:p w14:paraId="2319FFE4" w14:textId="625C38C6" w:rsidR="001C3CEF" w:rsidRPr="000745A7" w:rsidRDefault="002922F3" w:rsidP="00F92A17">
            <w:pPr>
              <w:jc w:val="both"/>
              <w:rPr>
                <w:szCs w:val="24"/>
              </w:rPr>
            </w:pPr>
            <w:r w:rsidRPr="002922F3">
              <w:rPr>
                <w:szCs w:val="24"/>
              </w:rPr>
              <w:t>Projektas „Bendruomeninių apgyvendinimo ir užimtumo paslaugų asmenims su proto ir (arba) psichikos negalia plėtra Tauragės regione, Pagėgių savivaldybėje“ Nr. 08.1.1-CPVA-V-427-12-0004</w:t>
            </w:r>
            <w:r>
              <w:rPr>
                <w:szCs w:val="24"/>
              </w:rPr>
              <w:t>.</w:t>
            </w:r>
          </w:p>
        </w:tc>
      </w:tr>
      <w:tr w:rsidR="001C3CEF" w:rsidRPr="000745A7" w14:paraId="0E1C56DE" w14:textId="77777777" w:rsidTr="00F92A17">
        <w:tc>
          <w:tcPr>
            <w:tcW w:w="9781" w:type="dxa"/>
            <w:gridSpan w:val="2"/>
            <w:shd w:val="clear" w:color="auto" w:fill="auto"/>
            <w:vAlign w:val="center"/>
          </w:tcPr>
          <w:p w14:paraId="362D9791" w14:textId="61B03D29" w:rsidR="001C3CEF" w:rsidRPr="000745A7" w:rsidRDefault="001C3CEF" w:rsidP="00F92A17">
            <w:pPr>
              <w:jc w:val="both"/>
              <w:rPr>
                <w:szCs w:val="24"/>
              </w:rPr>
            </w:pPr>
            <w:r w:rsidRPr="000745A7">
              <w:rPr>
                <w:szCs w:val="24"/>
              </w:rPr>
              <w:t xml:space="preserve">Jei dėl pirkimo/sutarties vyksta teismo procesas, nurodyti ieškinio (skundo) dalyką, bylos šalių pavadinimus, ar taikomos laikinosios apsaugos priemonės, teisminio nagrinėjimo stadiją: </w:t>
            </w:r>
            <w:r w:rsidR="00D423FF" w:rsidRPr="000745A7">
              <w:rPr>
                <w:szCs w:val="24"/>
              </w:rPr>
              <w:t>-.</w:t>
            </w:r>
          </w:p>
        </w:tc>
      </w:tr>
    </w:tbl>
    <w:p w14:paraId="393CA7B5" w14:textId="77777777" w:rsidR="00FC5CFE" w:rsidRPr="000745A7" w:rsidRDefault="006970CE" w:rsidP="009A4F8B">
      <w:pPr>
        <w:jc w:val="both"/>
        <w:rPr>
          <w:szCs w:val="24"/>
          <w:lang w:eastAsia="lt-LT"/>
        </w:rPr>
      </w:pPr>
      <w:r w:rsidRPr="000745A7">
        <w:rPr>
          <w:szCs w:val="24"/>
          <w:lang w:eastAsia="lt-LT"/>
        </w:rPr>
        <w:t>*</w:t>
      </w:r>
      <w:r w:rsidRPr="001747B9">
        <w:rPr>
          <w:sz w:val="20"/>
          <w:lang w:eastAsia="lt-LT"/>
        </w:rPr>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66FA96F4" w14:textId="77777777" w:rsidR="00FC5CFE" w:rsidRPr="000745A7" w:rsidRDefault="00FC5CFE">
      <w:pPr>
        <w:jc w:val="center"/>
        <w:rPr>
          <w:b/>
          <w:szCs w:val="24"/>
          <w:lang w:eastAsia="lt-LT"/>
        </w:rPr>
      </w:pPr>
    </w:p>
    <w:p w14:paraId="367E046E" w14:textId="6E98AB3C" w:rsidR="00FC5CFE" w:rsidRPr="000745A7" w:rsidRDefault="006970CE">
      <w:pPr>
        <w:jc w:val="center"/>
        <w:rPr>
          <w:b/>
          <w:szCs w:val="24"/>
          <w:lang w:eastAsia="lt-LT"/>
        </w:rPr>
      </w:pPr>
      <w:r w:rsidRPr="000745A7">
        <w:rPr>
          <w:b/>
          <w:szCs w:val="24"/>
          <w:lang w:eastAsia="lt-LT"/>
        </w:rPr>
        <w:t>II dalis. Vertinimo apimtyje nustatyti pažeidimai</w:t>
      </w:r>
    </w:p>
    <w:p w14:paraId="71EE0432" w14:textId="4DC8A389" w:rsidR="0074149F" w:rsidRPr="000745A7" w:rsidRDefault="0074149F">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245BA0" w:rsidRPr="000745A7" w14:paraId="3B9B638B" w14:textId="77777777" w:rsidTr="00F92A17">
        <w:tc>
          <w:tcPr>
            <w:tcW w:w="421" w:type="dxa"/>
            <w:tcBorders>
              <w:top w:val="single" w:sz="4" w:space="0" w:color="auto"/>
              <w:left w:val="single" w:sz="4" w:space="0" w:color="auto"/>
              <w:bottom w:val="single" w:sz="4" w:space="0" w:color="auto"/>
              <w:right w:val="single" w:sz="4" w:space="0" w:color="auto"/>
            </w:tcBorders>
            <w:shd w:val="clear" w:color="auto" w:fill="auto"/>
          </w:tcPr>
          <w:p w14:paraId="7BB23881" w14:textId="77777777" w:rsidR="00245BA0" w:rsidRPr="000745A7" w:rsidRDefault="00245BA0" w:rsidP="00245BA0">
            <w:pPr>
              <w:rPr>
                <w:bCs/>
                <w:szCs w:val="24"/>
                <w:lang w:eastAsia="lt-LT"/>
              </w:rPr>
            </w:pPr>
            <w:r w:rsidRPr="000745A7">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vAlign w:val="center"/>
          </w:tcPr>
          <w:p w14:paraId="7F2EA5CB" w14:textId="633CED4A" w:rsidR="00245BA0" w:rsidRPr="000745A7" w:rsidRDefault="00EB5E49" w:rsidP="00245BA0">
            <w:pPr>
              <w:rPr>
                <w:bCs/>
                <w:iCs/>
                <w:szCs w:val="24"/>
                <w:lang w:eastAsia="lt-LT"/>
              </w:rPr>
            </w:pPr>
            <w:r>
              <w:rPr>
                <w:bCs/>
                <w:iCs/>
                <w:szCs w:val="24"/>
                <w:lang w:eastAsia="lt-LT"/>
              </w:rPr>
              <w:t>-</w:t>
            </w:r>
          </w:p>
        </w:tc>
      </w:tr>
      <w:tr w:rsidR="00245BA0" w:rsidRPr="000745A7" w14:paraId="56F434EA" w14:textId="77777777" w:rsidTr="00F92A17">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469CA5" w14:textId="230F6DE1" w:rsidR="00D8085D" w:rsidRPr="000745A7" w:rsidRDefault="00D8085D" w:rsidP="00D8085D">
            <w:pPr>
              <w:jc w:val="both"/>
              <w:rPr>
                <w:b/>
                <w:szCs w:val="24"/>
                <w:lang w:eastAsia="lt-LT"/>
              </w:rPr>
            </w:pPr>
          </w:p>
        </w:tc>
      </w:tr>
    </w:tbl>
    <w:p w14:paraId="253690F8" w14:textId="041A00B3" w:rsidR="0074149F" w:rsidRPr="000745A7" w:rsidRDefault="0074149F">
      <w:pPr>
        <w:jc w:val="center"/>
        <w:rPr>
          <w:b/>
          <w:szCs w:val="24"/>
          <w:lang w:eastAsia="lt-LT"/>
        </w:rPr>
      </w:pPr>
    </w:p>
    <w:p w14:paraId="6E328CA4" w14:textId="77777777" w:rsidR="00F62560" w:rsidRPr="000745A7" w:rsidRDefault="00F62560" w:rsidP="00F62560">
      <w:pPr>
        <w:jc w:val="center"/>
        <w:rPr>
          <w:b/>
          <w:szCs w:val="24"/>
          <w:lang w:eastAsia="lt-LT"/>
        </w:rPr>
      </w:pPr>
      <w:r w:rsidRPr="000745A7">
        <w:rPr>
          <w:b/>
          <w:szCs w:val="24"/>
          <w:lang w:eastAsia="lt-LT"/>
        </w:rPr>
        <w:t>III dalis. Kiti nustatyti pažeidimai</w:t>
      </w:r>
    </w:p>
    <w:p w14:paraId="244A6465" w14:textId="7FE19731" w:rsidR="00F62560" w:rsidRPr="000745A7" w:rsidRDefault="00F62560" w:rsidP="00F62560">
      <w:pPr>
        <w:jc w:val="center"/>
        <w:rPr>
          <w:b/>
          <w:szCs w:val="24"/>
          <w:lang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9213"/>
      </w:tblGrid>
      <w:tr w:rsidR="00F62560" w:rsidRPr="000745A7" w14:paraId="2DC47594" w14:textId="77777777" w:rsidTr="00C803B6">
        <w:tc>
          <w:tcPr>
            <w:tcW w:w="421" w:type="dxa"/>
            <w:tcBorders>
              <w:top w:val="single" w:sz="4" w:space="0" w:color="auto"/>
              <w:left w:val="single" w:sz="4" w:space="0" w:color="auto"/>
              <w:bottom w:val="single" w:sz="4" w:space="0" w:color="auto"/>
              <w:right w:val="single" w:sz="4" w:space="0" w:color="auto"/>
            </w:tcBorders>
            <w:shd w:val="clear" w:color="auto" w:fill="auto"/>
          </w:tcPr>
          <w:p w14:paraId="54FA310F" w14:textId="1521A2FC" w:rsidR="00F62560" w:rsidRPr="000745A7" w:rsidRDefault="00711EC7" w:rsidP="00C803B6">
            <w:pPr>
              <w:rPr>
                <w:bCs/>
                <w:szCs w:val="24"/>
                <w:lang w:eastAsia="lt-LT"/>
              </w:rPr>
            </w:pPr>
            <w:bookmarkStart w:id="1" w:name="_Hlk98485144"/>
            <w:r>
              <w:rPr>
                <w:bCs/>
                <w:szCs w:val="24"/>
                <w:lang w:eastAsia="lt-LT"/>
              </w:rPr>
              <w:t>1.</w:t>
            </w:r>
          </w:p>
        </w:tc>
        <w:tc>
          <w:tcPr>
            <w:tcW w:w="9213" w:type="dxa"/>
            <w:tcBorders>
              <w:top w:val="single" w:sz="4" w:space="0" w:color="auto"/>
              <w:left w:val="single" w:sz="4" w:space="0" w:color="auto"/>
              <w:bottom w:val="single" w:sz="4" w:space="0" w:color="auto"/>
              <w:right w:val="single" w:sz="4" w:space="0" w:color="auto"/>
            </w:tcBorders>
            <w:shd w:val="clear" w:color="auto" w:fill="auto"/>
          </w:tcPr>
          <w:p w14:paraId="1D38F966" w14:textId="7B8C5162" w:rsidR="00F62560" w:rsidRPr="000745A7" w:rsidRDefault="00FC586E" w:rsidP="00C803B6">
            <w:pPr>
              <w:rPr>
                <w:bCs/>
                <w:iCs/>
                <w:szCs w:val="24"/>
                <w:lang w:eastAsia="lt-LT"/>
              </w:rPr>
            </w:pPr>
            <w:r w:rsidRPr="000745A7">
              <w:rPr>
                <w:bCs/>
                <w:iCs/>
                <w:szCs w:val="24"/>
                <w:lang w:eastAsia="lt-LT"/>
              </w:rPr>
              <w:t xml:space="preserve"> -</w:t>
            </w:r>
          </w:p>
        </w:tc>
      </w:tr>
      <w:tr w:rsidR="00F62560" w:rsidRPr="000745A7" w14:paraId="6C356EC0" w14:textId="77777777" w:rsidTr="00F92A17">
        <w:tblPrEx>
          <w:tblCellMar>
            <w:left w:w="108" w:type="dxa"/>
            <w:right w:w="108" w:type="dxa"/>
          </w:tblCellMar>
        </w:tblPrEx>
        <w:tc>
          <w:tcPr>
            <w:tcW w:w="96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DF7918" w14:textId="77FEB65C" w:rsidR="005E2AC1" w:rsidRPr="000745A7" w:rsidRDefault="005E2AC1" w:rsidP="00245BA0">
            <w:pPr>
              <w:jc w:val="both"/>
              <w:rPr>
                <w:bCs/>
                <w:szCs w:val="24"/>
                <w:lang w:eastAsia="lt-LT"/>
              </w:rPr>
            </w:pPr>
          </w:p>
        </w:tc>
      </w:tr>
      <w:bookmarkEnd w:id="1"/>
    </w:tbl>
    <w:p w14:paraId="1B7CB81F" w14:textId="5323E57A" w:rsidR="00FC5CFE" w:rsidRPr="000745A7" w:rsidRDefault="00FC5CFE">
      <w:pPr>
        <w:jc w:val="center"/>
        <w:rPr>
          <w:b/>
          <w:szCs w:val="24"/>
          <w:lang w:eastAsia="lt-LT"/>
        </w:rPr>
      </w:pPr>
    </w:p>
    <w:p w14:paraId="23276824" w14:textId="75A230D9" w:rsidR="0074149F" w:rsidRPr="000745A7" w:rsidRDefault="00F62560">
      <w:pPr>
        <w:jc w:val="center"/>
        <w:rPr>
          <w:b/>
          <w:szCs w:val="24"/>
          <w:lang w:eastAsia="lt-LT"/>
        </w:rPr>
      </w:pPr>
      <w:r w:rsidRPr="000745A7">
        <w:rPr>
          <w:b/>
          <w:szCs w:val="24"/>
          <w:lang w:eastAsia="lt-LT"/>
        </w:rPr>
        <w:t>IV dalis. Sprendimas</w:t>
      </w:r>
    </w:p>
    <w:p w14:paraId="6A38ED51" w14:textId="77777777" w:rsidR="00F62560" w:rsidRPr="000745A7" w:rsidRDefault="00F62560">
      <w:pPr>
        <w:jc w:val="center"/>
        <w:rPr>
          <w:b/>
          <w:szCs w:val="24"/>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7"/>
      </w:tblGrid>
      <w:tr w:rsidR="00BD48AC" w:rsidRPr="000745A7" w14:paraId="20AAD6EF" w14:textId="77777777" w:rsidTr="00F62560">
        <w:tc>
          <w:tcPr>
            <w:tcW w:w="9637" w:type="dxa"/>
            <w:tcBorders>
              <w:top w:val="single" w:sz="4" w:space="0" w:color="auto"/>
              <w:left w:val="single" w:sz="4" w:space="0" w:color="auto"/>
              <w:bottom w:val="single" w:sz="4" w:space="0" w:color="auto"/>
              <w:right w:val="single" w:sz="4" w:space="0" w:color="auto"/>
            </w:tcBorders>
            <w:shd w:val="clear" w:color="auto" w:fill="auto"/>
            <w:vAlign w:val="center"/>
          </w:tcPr>
          <w:p w14:paraId="3FD90964" w14:textId="2FBC3270" w:rsidR="00BD48AC" w:rsidRPr="00334E3F" w:rsidRDefault="00BD48AC" w:rsidP="00BD48AC">
            <w:pPr>
              <w:jc w:val="both"/>
              <w:rPr>
                <w:bCs/>
                <w:i/>
                <w:iCs/>
                <w:szCs w:val="24"/>
                <w:lang w:eastAsia="lt-LT"/>
              </w:rPr>
            </w:pPr>
            <w:r>
              <w:rPr>
                <w:b/>
                <w:szCs w:val="24"/>
                <w:lang w:eastAsia="lt-LT"/>
              </w:rPr>
              <w:t xml:space="preserve">     </w:t>
            </w:r>
            <w:r w:rsidRPr="006B331F">
              <w:rPr>
                <w:bCs/>
                <w:szCs w:val="24"/>
                <w:lang w:eastAsia="lt-LT"/>
              </w:rPr>
              <w:t xml:space="preserve">CPVA prašo atlikti dalinį </w:t>
            </w:r>
            <w:r w:rsidR="00F71A89">
              <w:rPr>
                <w:bCs/>
                <w:szCs w:val="24"/>
                <w:lang w:eastAsia="lt-LT"/>
              </w:rPr>
              <w:t xml:space="preserve">Pirkimo </w:t>
            </w:r>
            <w:r w:rsidRPr="006B331F">
              <w:rPr>
                <w:bCs/>
                <w:szCs w:val="24"/>
                <w:lang w:eastAsia="lt-LT"/>
              </w:rPr>
              <w:t>vertinimą</w:t>
            </w:r>
            <w:r>
              <w:rPr>
                <w:bCs/>
                <w:szCs w:val="24"/>
                <w:lang w:eastAsia="lt-LT"/>
              </w:rPr>
              <w:t xml:space="preserve"> ir pateikti atsakymus į klausimus: </w:t>
            </w:r>
            <w:r w:rsidRPr="009D3496">
              <w:rPr>
                <w:bCs/>
                <w:i/>
                <w:iCs/>
                <w:szCs w:val="24"/>
                <w:lang w:eastAsia="lt-LT"/>
              </w:rPr>
              <w:t xml:space="preserve">„- ar kvalifikacijos reikalavimo pakeitimas yra esminis Pirkimo sąlygų pakeitimas; - tuo atveju, jei kvalifikacijos reikalavimo pakeitimas yra vertinamas kaip esminis Pirkimo sąlygų pakeitimas, ar, Perkančioji organizacija, įvertinusi šią aplinkybę, turėjo neatsižvelgti į VPT raštą, kuriame aiškiai ir konkrečiai nurodoma, jog atlikus kvalifikacijos reikalavimo pakeitimą, turi būti pratęstas pasiūlymų pateikimo terminas, ir norėdama pakeisti kvalifikacijos reikalavimą, turėjo nutraukti </w:t>
            </w:r>
            <w:r w:rsidRPr="00334E3F">
              <w:rPr>
                <w:bCs/>
                <w:i/>
                <w:iCs/>
                <w:szCs w:val="24"/>
                <w:lang w:eastAsia="lt-LT"/>
              </w:rPr>
              <w:t>Pirkimą ir skelbti jį iš naujo“.</w:t>
            </w:r>
          </w:p>
          <w:p w14:paraId="044A273C" w14:textId="51C2F025" w:rsidR="00BD48AC" w:rsidRPr="006B331F" w:rsidRDefault="00BD48AC" w:rsidP="00BD48AC">
            <w:pPr>
              <w:jc w:val="both"/>
              <w:rPr>
                <w:bCs/>
                <w:szCs w:val="24"/>
                <w:lang w:eastAsia="lt-LT"/>
              </w:rPr>
            </w:pPr>
            <w:r w:rsidRPr="00334E3F">
              <w:rPr>
                <w:bCs/>
                <w:szCs w:val="24"/>
                <w:lang w:eastAsia="lt-LT"/>
              </w:rPr>
              <w:t xml:space="preserve">     Vertinimo metu nustatyta, kad Pirkimą vykdė Perkančiosios organizacijos direktoriaus 202</w:t>
            </w:r>
            <w:r w:rsidR="00DE66D9" w:rsidRPr="00334E3F">
              <w:rPr>
                <w:bCs/>
                <w:szCs w:val="24"/>
                <w:lang w:eastAsia="lt-LT"/>
              </w:rPr>
              <w:t>2</w:t>
            </w:r>
            <w:r w:rsidRPr="00334E3F">
              <w:rPr>
                <w:bCs/>
                <w:szCs w:val="24"/>
                <w:lang w:eastAsia="lt-LT"/>
              </w:rPr>
              <w:t xml:space="preserve"> m. </w:t>
            </w:r>
            <w:r w:rsidR="00DE66D9" w:rsidRPr="00334E3F">
              <w:rPr>
                <w:bCs/>
                <w:szCs w:val="24"/>
                <w:lang w:eastAsia="lt-LT"/>
              </w:rPr>
              <w:t>balandžio 25</w:t>
            </w:r>
            <w:r w:rsidRPr="00334E3F">
              <w:rPr>
                <w:bCs/>
                <w:szCs w:val="24"/>
                <w:lang w:eastAsia="lt-LT"/>
              </w:rPr>
              <w:t xml:space="preserve"> d. įsakymu Nr.</w:t>
            </w:r>
            <w:r w:rsidR="00DE66D9" w:rsidRPr="00334E3F">
              <w:rPr>
                <w:bCs/>
                <w:szCs w:val="24"/>
                <w:lang w:eastAsia="lt-LT"/>
              </w:rPr>
              <w:t xml:space="preserve"> A1-383</w:t>
            </w:r>
            <w:r w:rsidRPr="00334E3F">
              <w:rPr>
                <w:bCs/>
                <w:szCs w:val="24"/>
                <w:lang w:eastAsia="lt-LT"/>
              </w:rPr>
              <w:t xml:space="preserve"> sudaryta viešųjų pirkimų komisija. </w:t>
            </w:r>
            <w:r w:rsidR="002F3918" w:rsidRPr="00334E3F">
              <w:rPr>
                <w:bCs/>
                <w:szCs w:val="24"/>
                <w:lang w:eastAsia="lt-LT"/>
              </w:rPr>
              <w:t xml:space="preserve">Pirkimo komisija 2022 m. balandžio 25 d. protokolu Nr. 1 pritarė Pirkimo sąlygoms. Pirkimo sąlygas patvirtino </w:t>
            </w:r>
            <w:r w:rsidR="00DE66D9" w:rsidRPr="00334E3F">
              <w:rPr>
                <w:bCs/>
                <w:szCs w:val="24"/>
                <w:lang w:eastAsia="lt-LT"/>
              </w:rPr>
              <w:t xml:space="preserve"> Perkančiosios organizacijos administracijos direktorius</w:t>
            </w:r>
            <w:r w:rsidR="002F3918" w:rsidRPr="00334E3F">
              <w:rPr>
                <w:bCs/>
                <w:szCs w:val="24"/>
                <w:lang w:eastAsia="lt-LT"/>
              </w:rPr>
              <w:t>.</w:t>
            </w:r>
          </w:p>
          <w:p w14:paraId="2BCFDD79" w14:textId="77777777" w:rsidR="00BD48AC" w:rsidRDefault="00BD48AC" w:rsidP="00BD48AC">
            <w:pPr>
              <w:jc w:val="both"/>
              <w:rPr>
                <w:bCs/>
                <w:szCs w:val="24"/>
                <w:lang w:eastAsia="lt-LT"/>
              </w:rPr>
            </w:pPr>
            <w:r w:rsidRPr="006B331F">
              <w:rPr>
                <w:bCs/>
                <w:szCs w:val="24"/>
                <w:lang w:eastAsia="lt-LT"/>
              </w:rPr>
              <w:t xml:space="preserve">      </w:t>
            </w:r>
            <w:r>
              <w:rPr>
                <w:bCs/>
                <w:szCs w:val="24"/>
                <w:lang w:eastAsia="lt-LT"/>
              </w:rPr>
              <w:t xml:space="preserve">Pirkimo sąlygų 39.1 papunktyje nustatyta, kad </w:t>
            </w:r>
            <w:r w:rsidRPr="0075180B">
              <w:rPr>
                <w:bCs/>
                <w:i/>
                <w:iCs/>
                <w:szCs w:val="24"/>
                <w:lang w:eastAsia="lt-LT"/>
              </w:rPr>
              <w:t>„Tiekėjas, per paskutinius 5</w:t>
            </w:r>
            <w:r>
              <w:rPr>
                <w:bCs/>
                <w:i/>
                <w:iCs/>
                <w:szCs w:val="24"/>
                <w:lang w:eastAsia="lt-LT"/>
              </w:rPr>
              <w:t xml:space="preserve">* </w:t>
            </w:r>
            <w:r w:rsidRPr="0075180B">
              <w:rPr>
                <w:bCs/>
                <w:i/>
                <w:iCs/>
                <w:szCs w:val="24"/>
                <w:lang w:eastAsia="lt-LT"/>
              </w:rPr>
              <w:t xml:space="preserve">metus iki pasiūlymo pateikimo termino pabaigos pagal vieną ar daugiau sutarčių yra atlikęs gyvenamosios ir/arba negyvenamosios paskirties &lt;…&gt; </w:t>
            </w:r>
            <w:r w:rsidRPr="0075180B">
              <w:rPr>
                <w:bCs/>
                <w:i/>
                <w:iCs/>
                <w:szCs w:val="24"/>
                <w:u w:val="single"/>
                <w:lang w:eastAsia="lt-LT"/>
              </w:rPr>
              <w:t>naujos statybos arba kapitalinio remonto</w:t>
            </w:r>
            <w:r w:rsidRPr="0075180B">
              <w:rPr>
                <w:bCs/>
                <w:i/>
                <w:iCs/>
                <w:szCs w:val="24"/>
                <w:lang w:eastAsia="lt-LT"/>
              </w:rPr>
              <w:t>, kurių vertė ne mažesnė nei 120.000 Eur be PVM ir svarbiausių darbų atlikimas bei galutiniai rezultatai buvo tinkami</w:t>
            </w:r>
            <w:r>
              <w:rPr>
                <w:bCs/>
                <w:i/>
                <w:iCs/>
                <w:szCs w:val="24"/>
                <w:lang w:eastAsia="lt-LT"/>
              </w:rPr>
              <w:t xml:space="preserve"> &lt;..&gt;</w:t>
            </w:r>
            <w:r w:rsidRPr="0075180B">
              <w:rPr>
                <w:bCs/>
                <w:i/>
                <w:iCs/>
                <w:szCs w:val="24"/>
                <w:lang w:eastAsia="lt-LT"/>
              </w:rPr>
              <w:t>“</w:t>
            </w:r>
            <w:r>
              <w:rPr>
                <w:bCs/>
                <w:i/>
                <w:iCs/>
                <w:szCs w:val="24"/>
                <w:lang w:eastAsia="lt-LT"/>
              </w:rPr>
              <w:t xml:space="preserve"> (toliau – Kvalifikacinis reikalavimas). </w:t>
            </w:r>
          </w:p>
          <w:p w14:paraId="60703908" w14:textId="77777777" w:rsidR="00BD48AC" w:rsidRDefault="00BD48AC" w:rsidP="00BD48AC">
            <w:pPr>
              <w:jc w:val="both"/>
              <w:rPr>
                <w:bCs/>
                <w:szCs w:val="24"/>
                <w:lang w:eastAsia="lt-LT"/>
              </w:rPr>
            </w:pPr>
            <w:r>
              <w:rPr>
                <w:bCs/>
                <w:szCs w:val="24"/>
                <w:lang w:eastAsia="lt-LT"/>
              </w:rPr>
              <w:t xml:space="preserve">     Tarnyba, atlikusi Pirkimo prevencinę peržiūrą</w:t>
            </w:r>
            <w:r>
              <w:rPr>
                <w:rStyle w:val="FootnoteReference"/>
                <w:bCs/>
                <w:szCs w:val="24"/>
                <w:lang w:eastAsia="lt-LT"/>
              </w:rPr>
              <w:footnoteReference w:id="3"/>
            </w:r>
            <w:r>
              <w:rPr>
                <w:bCs/>
                <w:szCs w:val="24"/>
                <w:lang w:eastAsia="lt-LT"/>
              </w:rPr>
              <w:t xml:space="preserve">, pateikė rekomendaciją patikslinti Kvalifikacinį reikalavimą </w:t>
            </w:r>
            <w:r w:rsidRPr="00F012B0">
              <w:rPr>
                <w:bCs/>
                <w:szCs w:val="24"/>
                <w:lang w:eastAsia="lt-LT"/>
              </w:rPr>
              <w:t xml:space="preserve">bei nukelti pasiūlymų pateikimą terminą protingam laikotarpiui, per kurį potencialūs tiekėjai galėtų susipažinti su patikslintomis </w:t>
            </w:r>
            <w:r>
              <w:rPr>
                <w:bCs/>
                <w:szCs w:val="24"/>
                <w:lang w:eastAsia="lt-LT"/>
              </w:rPr>
              <w:t xml:space="preserve">Pirkimo </w:t>
            </w:r>
            <w:r w:rsidRPr="00F012B0">
              <w:rPr>
                <w:bCs/>
                <w:szCs w:val="24"/>
                <w:lang w:eastAsia="lt-LT"/>
              </w:rPr>
              <w:t xml:space="preserve">sąlygomis. </w:t>
            </w:r>
          </w:p>
          <w:p w14:paraId="4C48CC16" w14:textId="3A7A97B1" w:rsidR="00BD48AC" w:rsidRDefault="00BD48AC" w:rsidP="00BD48AC">
            <w:pPr>
              <w:jc w:val="both"/>
              <w:rPr>
                <w:bCs/>
                <w:szCs w:val="24"/>
                <w:lang w:eastAsia="lt-LT"/>
              </w:rPr>
            </w:pPr>
            <w:r>
              <w:rPr>
                <w:bCs/>
                <w:szCs w:val="24"/>
                <w:lang w:eastAsia="lt-LT"/>
              </w:rPr>
              <w:lastRenderedPageBreak/>
              <w:t xml:space="preserve">      Perkančioji organizacija 2022 m. gegužės 5 d. patikslino Kvalifikacinį reikalavimą, nustatydama, kad „</w:t>
            </w:r>
            <w:r w:rsidRPr="0099756A">
              <w:rPr>
                <w:bCs/>
                <w:i/>
                <w:iCs/>
                <w:szCs w:val="24"/>
                <w:lang w:eastAsia="lt-LT"/>
              </w:rPr>
              <w:t xml:space="preserve">Tiekėjas, per paskutinius 5* metus iki pasiūlymo pateikimo termino pabaigos pagal vieną ar daugiau sutarčių yra atlikęs gyvenamosios ir/arba negyvenamosios paskirties </w:t>
            </w:r>
            <w:r>
              <w:rPr>
                <w:bCs/>
                <w:i/>
                <w:iCs/>
                <w:szCs w:val="24"/>
                <w:lang w:eastAsia="lt-LT"/>
              </w:rPr>
              <w:t xml:space="preserve">&lt;..&gt; </w:t>
            </w:r>
            <w:r w:rsidRPr="0099756A">
              <w:rPr>
                <w:bCs/>
                <w:i/>
                <w:iCs/>
                <w:szCs w:val="24"/>
                <w:u w:val="single"/>
                <w:lang w:eastAsia="lt-LT"/>
              </w:rPr>
              <w:t xml:space="preserve">naujos statybos </w:t>
            </w:r>
            <w:r w:rsidRPr="0099756A">
              <w:rPr>
                <w:b/>
                <w:bCs/>
                <w:i/>
                <w:iCs/>
                <w:szCs w:val="24"/>
                <w:u w:val="single"/>
                <w:lang w:eastAsia="lt-LT"/>
              </w:rPr>
              <w:t>ir/arba rekonstravimo</w:t>
            </w:r>
            <w:r w:rsidRPr="0099756A">
              <w:rPr>
                <w:bCs/>
                <w:i/>
                <w:iCs/>
                <w:szCs w:val="24"/>
                <w:u w:val="single"/>
                <w:lang w:eastAsia="lt-LT"/>
              </w:rPr>
              <w:t xml:space="preserve"> ir</w:t>
            </w:r>
            <w:r w:rsidR="00F71A89">
              <w:rPr>
                <w:bCs/>
                <w:i/>
                <w:iCs/>
                <w:szCs w:val="24"/>
                <w:u w:val="single"/>
                <w:lang w:eastAsia="lt-LT"/>
              </w:rPr>
              <w:t>/</w:t>
            </w:r>
            <w:r w:rsidRPr="0099756A">
              <w:rPr>
                <w:bCs/>
                <w:i/>
                <w:iCs/>
                <w:szCs w:val="24"/>
                <w:u w:val="single"/>
                <w:lang w:eastAsia="lt-LT"/>
              </w:rPr>
              <w:t>arba kapitalinio remonto</w:t>
            </w:r>
            <w:r w:rsidRPr="0099756A">
              <w:rPr>
                <w:bCs/>
                <w:i/>
                <w:iCs/>
                <w:szCs w:val="24"/>
                <w:lang w:eastAsia="lt-LT"/>
              </w:rPr>
              <w:t>, kurių vertė ne mažesnė nei 120.000 Eur be PVM ir svarbiausių darbų atlikimas bei galutiniai rezultatai buvo tinkami</w:t>
            </w:r>
            <w:r>
              <w:rPr>
                <w:bCs/>
                <w:i/>
                <w:iCs/>
                <w:szCs w:val="24"/>
                <w:lang w:eastAsia="lt-LT"/>
              </w:rPr>
              <w:t xml:space="preserve"> &lt;..&gt;</w:t>
            </w:r>
            <w:r>
              <w:rPr>
                <w:bCs/>
                <w:szCs w:val="24"/>
                <w:lang w:eastAsia="lt-LT"/>
              </w:rPr>
              <w:t xml:space="preserve">“ ir </w:t>
            </w:r>
            <w:r w:rsidRPr="006B331F">
              <w:rPr>
                <w:bCs/>
                <w:szCs w:val="24"/>
                <w:lang w:eastAsia="lt-LT"/>
              </w:rPr>
              <w:t>CVP IS priemonėmis išsiuntė visiems prie Pirkimo prisijungusiems tiekėjams informacinį pranešimą</w:t>
            </w:r>
            <w:r w:rsidRPr="006B331F">
              <w:rPr>
                <w:bCs/>
                <w:szCs w:val="24"/>
                <w:vertAlign w:val="superscript"/>
                <w:lang w:eastAsia="lt-LT"/>
              </w:rPr>
              <w:footnoteReference w:id="4"/>
            </w:r>
            <w:r>
              <w:rPr>
                <w:bCs/>
                <w:szCs w:val="24"/>
                <w:lang w:eastAsia="lt-LT"/>
              </w:rPr>
              <w:t xml:space="preserve"> apie patikslintas Pirkimo sąlygas bei paskelbė jį viešai kartu su kitais Pirkimo dokumentais</w:t>
            </w:r>
            <w:r w:rsidR="00B25DD5">
              <w:rPr>
                <w:bCs/>
                <w:szCs w:val="24"/>
                <w:lang w:eastAsia="lt-LT"/>
              </w:rPr>
              <w:t xml:space="preserve"> CVP IS</w:t>
            </w:r>
            <w:r>
              <w:rPr>
                <w:bCs/>
                <w:szCs w:val="24"/>
                <w:lang w:eastAsia="lt-LT"/>
              </w:rPr>
              <w:t>.</w:t>
            </w:r>
          </w:p>
          <w:p w14:paraId="1FCA3C37" w14:textId="0A6BE4C3" w:rsidR="00BD48AC" w:rsidRPr="003240A7" w:rsidRDefault="00BD48AC" w:rsidP="00BD48AC">
            <w:pPr>
              <w:jc w:val="both"/>
              <w:rPr>
                <w:bCs/>
                <w:szCs w:val="24"/>
                <w:lang w:eastAsia="lt-LT"/>
              </w:rPr>
            </w:pPr>
            <w:r w:rsidRPr="006B331F">
              <w:rPr>
                <w:bCs/>
                <w:i/>
                <w:iCs/>
                <w:szCs w:val="24"/>
                <w:lang w:eastAsia="lt-LT"/>
              </w:rPr>
              <w:t xml:space="preserve">    </w:t>
            </w:r>
            <w:r w:rsidRPr="006B331F">
              <w:rPr>
                <w:bCs/>
                <w:szCs w:val="24"/>
                <w:lang w:eastAsia="lt-LT"/>
              </w:rPr>
              <w:t>Pažymėtina, kad viešai paskelbtame Tarnybos pranešime</w:t>
            </w:r>
            <w:r w:rsidRPr="006B331F">
              <w:rPr>
                <w:bCs/>
                <w:szCs w:val="24"/>
                <w:vertAlign w:val="superscript"/>
                <w:lang w:eastAsia="lt-LT"/>
              </w:rPr>
              <w:footnoteReference w:id="5"/>
            </w:r>
            <w:r w:rsidR="003240A7">
              <w:rPr>
                <w:bCs/>
                <w:szCs w:val="24"/>
                <w:lang w:eastAsia="lt-LT"/>
              </w:rPr>
              <w:t xml:space="preserve"> ir </w:t>
            </w:r>
            <w:r w:rsidR="003240A7" w:rsidRPr="003240A7">
              <w:rPr>
                <w:bCs/>
                <w:szCs w:val="24"/>
                <w:lang w:eastAsia="lt-LT"/>
              </w:rPr>
              <w:t xml:space="preserve">Europos Sąjungos Teisingumo Teismo (toliau </w:t>
            </w:r>
            <w:r w:rsidR="00DD1E6F">
              <w:rPr>
                <w:bCs/>
                <w:szCs w:val="24"/>
                <w:lang w:eastAsia="lt-LT"/>
              </w:rPr>
              <w:t xml:space="preserve">- </w:t>
            </w:r>
            <w:r w:rsidR="003240A7" w:rsidRPr="003240A7">
              <w:rPr>
                <w:bCs/>
                <w:szCs w:val="24"/>
                <w:lang w:eastAsia="lt-LT"/>
              </w:rPr>
              <w:t>ESTT)</w:t>
            </w:r>
            <w:r w:rsidR="003240A7">
              <w:rPr>
                <w:bCs/>
                <w:szCs w:val="24"/>
                <w:lang w:eastAsia="lt-LT"/>
              </w:rPr>
              <w:t xml:space="preserve"> sprendime</w:t>
            </w:r>
            <w:r w:rsidR="003240A7">
              <w:rPr>
                <w:rStyle w:val="FootnoteReference"/>
                <w:bCs/>
                <w:szCs w:val="24"/>
                <w:lang w:eastAsia="lt-LT"/>
              </w:rPr>
              <w:footnoteReference w:id="6"/>
            </w:r>
            <w:r w:rsidR="003240A7">
              <w:rPr>
                <w:bCs/>
                <w:szCs w:val="24"/>
                <w:lang w:eastAsia="lt-LT"/>
              </w:rPr>
              <w:t xml:space="preserve"> nurodyta</w:t>
            </w:r>
            <w:r w:rsidRPr="006B331F">
              <w:rPr>
                <w:bCs/>
                <w:szCs w:val="24"/>
                <w:lang w:eastAsia="lt-LT"/>
              </w:rPr>
              <w:t xml:space="preserve">, </w:t>
            </w:r>
            <w:r w:rsidRPr="003240A7">
              <w:rPr>
                <w:bCs/>
                <w:szCs w:val="24"/>
                <w:lang w:eastAsia="lt-LT"/>
              </w:rPr>
              <w:t>kad P</w:t>
            </w:r>
            <w:r w:rsidR="003240A7">
              <w:rPr>
                <w:bCs/>
                <w:szCs w:val="24"/>
                <w:lang w:eastAsia="lt-LT"/>
              </w:rPr>
              <w:t>e</w:t>
            </w:r>
            <w:r w:rsidRPr="003240A7">
              <w:rPr>
                <w:bCs/>
                <w:szCs w:val="24"/>
                <w:lang w:eastAsia="lt-LT"/>
              </w:rPr>
              <w:t>rk</w:t>
            </w:r>
            <w:r w:rsidR="003240A7">
              <w:rPr>
                <w:bCs/>
                <w:szCs w:val="24"/>
                <w:lang w:eastAsia="lt-LT"/>
              </w:rPr>
              <w:t>ančiajai organizacijai</w:t>
            </w:r>
            <w:r w:rsidRPr="003240A7">
              <w:rPr>
                <w:bCs/>
                <w:szCs w:val="24"/>
                <w:lang w:eastAsia="lt-LT"/>
              </w:rPr>
              <w:t xml:space="preserve"> leidžiama padaryti tam tikrus pirkimo sąlygų pakeitimus, kai paisoma nediskriminavimo ir vienodo požiūrio principų, taip pat skaidrumo pareigos. Šis reikalavimas reiškia, pirma, kad atitinkami pakeitimai, nors ir svarbūs, neturi būti tokie esminiai, kad pritrauktų potencialių dalyvių, kurie, jei šių pakeitimų nebūtų padaryta, nebūtų galėję pateikti pasiūlymo. Be kita ko, taip galėtų būti, kai dėl pakeitimų pirkimo pobūdis iš esmės pasikeičia, palyginti su tuo, kas buvo nustatyta iš pradžių. Antra, šis reikalavimas reiškia, kad apie šiuos pakeitimus turi būti tinkamai paskelbta, kad visi potencialūs pakankamai informuoti ir įprastai rūpestingi dalyviai galėtų su jais susipažinti tokiomis pačiomis sąlygomis ir tuo pačiu momentu. </w:t>
            </w:r>
            <w:bookmarkStart w:id="2" w:name="_Hlk125119006"/>
            <w:r w:rsidRPr="003240A7">
              <w:rPr>
                <w:bCs/>
                <w:szCs w:val="24"/>
                <w:lang w:eastAsia="lt-LT"/>
              </w:rPr>
              <w:t>Trečia, šis reikalavimas taip pat reiškia, viena vertus, kad tie pakeitimai turi būti daromi prieš dalyviams pateikiant pasiūlymus, ir, kita vertus, šių pasiūlymų pateikimo terminą reikia pratęsti, jeigu jie yra svarbūs, taip pat, kad šio pratęsimo trukmė turi atitikti pakeitimų svarbą ir būti pakankama tam, kad suinteresuotieji ūkio subjektai galėtų atitinkamai pritaikyti savo pasiūlymus.</w:t>
            </w:r>
          </w:p>
          <w:bookmarkEnd w:id="2"/>
          <w:p w14:paraId="2C74C3C0" w14:textId="2B63B9AE" w:rsidR="00BD48AC" w:rsidRPr="006B331F" w:rsidRDefault="00BD48AC" w:rsidP="00BD48AC">
            <w:pPr>
              <w:jc w:val="both"/>
              <w:rPr>
                <w:bCs/>
                <w:szCs w:val="24"/>
                <w:lang w:eastAsia="lt-LT"/>
              </w:rPr>
            </w:pPr>
            <w:r w:rsidRPr="006B331F">
              <w:rPr>
                <w:bCs/>
                <w:szCs w:val="24"/>
                <w:lang w:eastAsia="lt-LT"/>
              </w:rPr>
              <w:t xml:space="preserve">    Tarnybos vertinimu, Perkančioji organizacija patikslino Pirkimo sąlygas, tačiau šis pakeitimas nėra toks esminis, kad reiktų nutraukti Pirkimą, </w:t>
            </w:r>
            <w:r>
              <w:rPr>
                <w:bCs/>
                <w:szCs w:val="24"/>
                <w:lang w:eastAsia="lt-LT"/>
              </w:rPr>
              <w:t>kadangi</w:t>
            </w:r>
            <w:r w:rsidRPr="006B331F">
              <w:rPr>
                <w:bCs/>
                <w:szCs w:val="24"/>
                <w:lang w:eastAsia="lt-LT"/>
              </w:rPr>
              <w:t>:</w:t>
            </w:r>
          </w:p>
          <w:p w14:paraId="16867851" w14:textId="63112661" w:rsidR="00BD48AC" w:rsidRDefault="00BD48AC" w:rsidP="00BD48AC">
            <w:pPr>
              <w:jc w:val="both"/>
              <w:rPr>
                <w:bCs/>
                <w:szCs w:val="24"/>
                <w:lang w:eastAsia="lt-LT"/>
              </w:rPr>
            </w:pPr>
            <w:r w:rsidRPr="006B331F">
              <w:rPr>
                <w:bCs/>
                <w:szCs w:val="24"/>
                <w:lang w:eastAsia="lt-LT"/>
              </w:rPr>
              <w:t xml:space="preserve">     </w:t>
            </w:r>
            <w:r>
              <w:rPr>
                <w:bCs/>
                <w:szCs w:val="24"/>
                <w:lang w:eastAsia="lt-LT"/>
              </w:rPr>
              <w:t xml:space="preserve">1) Perkančioji organizacija, leidusi tiekėjams patirtį grįsti ne tik naujos statybos ir/arba kapitalinio remonto sutartimis, tačiau ir rekonstrukcijos darbų sutartimis, </w:t>
            </w:r>
            <w:r w:rsidRPr="00A91AAD">
              <w:rPr>
                <w:bCs/>
                <w:szCs w:val="24"/>
                <w:u w:val="single"/>
                <w:lang w:eastAsia="lt-LT"/>
              </w:rPr>
              <w:t>patikslino</w:t>
            </w:r>
            <w:r>
              <w:rPr>
                <w:bCs/>
                <w:szCs w:val="24"/>
                <w:lang w:eastAsia="lt-LT"/>
              </w:rPr>
              <w:t xml:space="preserve"> Kvalifikacinį reikalavimą</w:t>
            </w:r>
            <w:r w:rsidR="00700226">
              <w:rPr>
                <w:bCs/>
                <w:szCs w:val="24"/>
                <w:lang w:eastAsia="lt-LT"/>
              </w:rPr>
              <w:t>.</w:t>
            </w:r>
          </w:p>
          <w:p w14:paraId="3FC26D8E" w14:textId="164310C9" w:rsidR="00BD48AC" w:rsidRDefault="00BD48AC" w:rsidP="00BD48AC">
            <w:pPr>
              <w:jc w:val="both"/>
              <w:rPr>
                <w:bCs/>
                <w:i/>
                <w:iCs/>
                <w:szCs w:val="24"/>
                <w:lang w:eastAsia="lt-LT"/>
              </w:rPr>
            </w:pPr>
            <w:r w:rsidRPr="00BE0EB6">
              <w:rPr>
                <w:bCs/>
                <w:szCs w:val="24"/>
                <w:lang w:eastAsia="lt-LT"/>
              </w:rPr>
              <w:t xml:space="preserve">   Statybos įstatymo</w:t>
            </w:r>
            <w:r>
              <w:rPr>
                <w:rStyle w:val="FootnoteReference"/>
                <w:bCs/>
                <w:szCs w:val="24"/>
                <w:lang w:val="en-US" w:eastAsia="lt-LT"/>
              </w:rPr>
              <w:footnoteReference w:id="7"/>
            </w:r>
            <w:r w:rsidRPr="00BE0EB6">
              <w:rPr>
                <w:bCs/>
                <w:szCs w:val="24"/>
                <w:lang w:eastAsia="lt-LT"/>
              </w:rPr>
              <w:t xml:space="preserve"> 2 straips</w:t>
            </w:r>
            <w:r w:rsidR="000E4463">
              <w:rPr>
                <w:bCs/>
                <w:szCs w:val="24"/>
                <w:lang w:eastAsia="lt-LT"/>
              </w:rPr>
              <w:t>n</w:t>
            </w:r>
            <w:r w:rsidRPr="00BE0EB6">
              <w:rPr>
                <w:bCs/>
                <w:szCs w:val="24"/>
                <w:lang w:eastAsia="lt-LT"/>
              </w:rPr>
              <w:t>yje nurodytos pagrindin</w:t>
            </w:r>
            <w:r w:rsidRPr="00726BBB">
              <w:rPr>
                <w:bCs/>
                <w:szCs w:val="24"/>
                <w:lang w:eastAsia="lt-LT"/>
              </w:rPr>
              <w:t>ės sąvokos</w:t>
            </w:r>
            <w:r w:rsidR="000E4463">
              <w:rPr>
                <w:bCs/>
                <w:szCs w:val="24"/>
                <w:lang w:eastAsia="lt-LT"/>
              </w:rPr>
              <w:t>. Šio</w:t>
            </w:r>
            <w:r w:rsidRPr="00BE0EB6">
              <w:rPr>
                <w:bCs/>
                <w:szCs w:val="24"/>
                <w:lang w:eastAsia="lt-LT"/>
              </w:rPr>
              <w:t xml:space="preserve"> </w:t>
            </w:r>
            <w:r w:rsidR="00F71A89" w:rsidRPr="00BE0EB6">
              <w:rPr>
                <w:bCs/>
                <w:szCs w:val="24"/>
                <w:lang w:eastAsia="lt-LT"/>
              </w:rPr>
              <w:t xml:space="preserve">straipsnio </w:t>
            </w:r>
            <w:r w:rsidRPr="00BE0EB6">
              <w:rPr>
                <w:bCs/>
                <w:szCs w:val="24"/>
                <w:lang w:eastAsia="lt-LT"/>
              </w:rPr>
              <w:t xml:space="preserve">53 dalyje nustatyta, kad </w:t>
            </w:r>
            <w:r w:rsidRPr="00726BBB">
              <w:rPr>
                <w:bCs/>
                <w:i/>
                <w:iCs/>
                <w:szCs w:val="24"/>
                <w:lang w:eastAsia="lt-LT"/>
              </w:rPr>
              <w:t>„</w:t>
            </w:r>
            <w:r w:rsidRPr="00726BBB">
              <w:rPr>
                <w:b/>
                <w:bCs/>
                <w:i/>
                <w:iCs/>
                <w:szCs w:val="24"/>
                <w:lang w:eastAsia="lt-LT"/>
              </w:rPr>
              <w:t>Statinio kapitalinis remontas</w:t>
            </w:r>
            <w:r w:rsidRPr="00726BBB">
              <w:rPr>
                <w:bCs/>
                <w:i/>
                <w:iCs/>
                <w:szCs w:val="24"/>
                <w:lang w:eastAsia="lt-LT"/>
              </w:rPr>
              <w:t xml:space="preserve"> – statyba, kurios tikslas – </w:t>
            </w:r>
            <w:r w:rsidRPr="00EB5602">
              <w:rPr>
                <w:b/>
                <w:i/>
                <w:iCs/>
                <w:szCs w:val="24"/>
                <w:lang w:eastAsia="lt-LT"/>
              </w:rPr>
              <w:t>pertvarkyti</w:t>
            </w:r>
            <w:r w:rsidRPr="00726BBB">
              <w:rPr>
                <w:bCs/>
                <w:i/>
                <w:iCs/>
                <w:szCs w:val="24"/>
                <w:lang w:eastAsia="lt-LT"/>
              </w:rPr>
              <w:t xml:space="preserve"> statinį: </w:t>
            </w:r>
            <w:r w:rsidRPr="00E70B0F">
              <w:rPr>
                <w:b/>
                <w:i/>
                <w:iCs/>
                <w:szCs w:val="24"/>
                <w:u w:val="single"/>
                <w:lang w:eastAsia="lt-LT"/>
              </w:rPr>
              <w:t>pakeisti</w:t>
            </w:r>
            <w:r w:rsidRPr="00726BBB">
              <w:rPr>
                <w:bCs/>
                <w:i/>
                <w:iCs/>
                <w:szCs w:val="24"/>
                <w:u w:val="single"/>
                <w:lang w:eastAsia="lt-LT"/>
              </w:rPr>
              <w:t xml:space="preserve"> statinio laikančiąsias konstrukcijas, </w:t>
            </w:r>
            <w:r w:rsidRPr="00EB5602">
              <w:rPr>
                <w:b/>
                <w:i/>
                <w:iCs/>
                <w:szCs w:val="24"/>
                <w:u w:val="single"/>
                <w:lang w:eastAsia="lt-LT"/>
              </w:rPr>
              <w:t>nekeičiant</w:t>
            </w:r>
            <w:r w:rsidRPr="00726BBB">
              <w:rPr>
                <w:bCs/>
                <w:i/>
                <w:iCs/>
                <w:szCs w:val="24"/>
                <w:u w:val="single"/>
                <w:lang w:eastAsia="lt-LT"/>
              </w:rPr>
              <w:t xml:space="preserve"> statinio išorės matmenų (ilgio, pločio, aukščio ir pan.)</w:t>
            </w:r>
            <w:r w:rsidRPr="00726BBB">
              <w:rPr>
                <w:bCs/>
                <w:i/>
                <w:iCs/>
                <w:szCs w:val="24"/>
                <w:lang w:eastAsia="lt-LT"/>
              </w:rPr>
              <w:t xml:space="preserve">“, </w:t>
            </w:r>
            <w:r w:rsidRPr="00726BBB">
              <w:rPr>
                <w:bCs/>
                <w:szCs w:val="24"/>
                <w:lang w:eastAsia="lt-LT"/>
              </w:rPr>
              <w:t>o 73 dalyje nustatyta, kad</w:t>
            </w:r>
            <w:r w:rsidRPr="00726BBB">
              <w:rPr>
                <w:bCs/>
                <w:i/>
                <w:iCs/>
                <w:szCs w:val="24"/>
                <w:lang w:eastAsia="lt-LT"/>
              </w:rPr>
              <w:t xml:space="preserve"> „</w:t>
            </w:r>
            <w:r w:rsidRPr="00726BBB">
              <w:rPr>
                <w:b/>
                <w:bCs/>
                <w:i/>
                <w:iCs/>
                <w:szCs w:val="24"/>
                <w:lang w:eastAsia="lt-LT"/>
              </w:rPr>
              <w:t>Statinio rekonstravimas</w:t>
            </w:r>
            <w:r w:rsidRPr="00726BBB">
              <w:rPr>
                <w:bCs/>
                <w:i/>
                <w:iCs/>
                <w:szCs w:val="24"/>
                <w:lang w:eastAsia="lt-LT"/>
              </w:rPr>
              <w:t xml:space="preserve"> – statyba, kurios tikslas – </w:t>
            </w:r>
            <w:r w:rsidRPr="00EB5602">
              <w:rPr>
                <w:b/>
                <w:i/>
                <w:iCs/>
                <w:szCs w:val="24"/>
                <w:lang w:eastAsia="lt-LT"/>
              </w:rPr>
              <w:t>perstatyti</w:t>
            </w:r>
            <w:r w:rsidRPr="00726BBB">
              <w:rPr>
                <w:bCs/>
                <w:i/>
                <w:iCs/>
                <w:szCs w:val="24"/>
                <w:lang w:eastAsia="lt-LT"/>
              </w:rPr>
              <w:t xml:space="preserve"> statinį: </w:t>
            </w:r>
            <w:r w:rsidRPr="00E70B0F">
              <w:rPr>
                <w:b/>
                <w:i/>
                <w:iCs/>
                <w:szCs w:val="24"/>
                <w:u w:val="single"/>
                <w:lang w:eastAsia="lt-LT"/>
              </w:rPr>
              <w:t>pakeisti</w:t>
            </w:r>
            <w:r w:rsidRPr="00726BBB">
              <w:rPr>
                <w:bCs/>
                <w:i/>
                <w:iCs/>
                <w:szCs w:val="24"/>
                <w:u w:val="single"/>
                <w:lang w:eastAsia="lt-LT"/>
              </w:rPr>
              <w:t xml:space="preserve"> statinio laikančiąsias konstrukcijas, </w:t>
            </w:r>
            <w:r w:rsidRPr="00EB5602">
              <w:rPr>
                <w:b/>
                <w:i/>
                <w:iCs/>
                <w:szCs w:val="24"/>
                <w:u w:val="single"/>
                <w:lang w:eastAsia="lt-LT"/>
              </w:rPr>
              <w:t>pakeičiant</w:t>
            </w:r>
            <w:r w:rsidRPr="00726BBB">
              <w:rPr>
                <w:bCs/>
                <w:i/>
                <w:iCs/>
                <w:szCs w:val="24"/>
                <w:u w:val="single"/>
                <w:lang w:eastAsia="lt-LT"/>
              </w:rPr>
              <w:t xml:space="preserve"> statinio išorės matmenis (ilgį, plotį, aukštį ir pan.)“. </w:t>
            </w:r>
          </w:p>
          <w:p w14:paraId="20F1A7EB" w14:textId="71FF104A" w:rsidR="00BD48AC" w:rsidRDefault="00BD48AC" w:rsidP="00BD48AC">
            <w:pPr>
              <w:jc w:val="both"/>
            </w:pPr>
            <w:r>
              <w:rPr>
                <w:bCs/>
                <w:i/>
                <w:iCs/>
                <w:szCs w:val="24"/>
                <w:lang w:eastAsia="lt-LT"/>
              </w:rPr>
              <w:t xml:space="preserve">   </w:t>
            </w:r>
            <w:r w:rsidRPr="00726BBB">
              <w:rPr>
                <w:bCs/>
                <w:szCs w:val="24"/>
                <w:lang w:eastAsia="lt-LT"/>
              </w:rPr>
              <w:t xml:space="preserve">Pagrindinius principus, pagal kuriuos statybos darbai priskiriami atskiroms statybos rūšims, nustato </w:t>
            </w:r>
            <w:r w:rsidR="00F037E3">
              <w:rPr>
                <w:bCs/>
                <w:szCs w:val="24"/>
                <w:lang w:eastAsia="lt-LT"/>
              </w:rPr>
              <w:t>S</w:t>
            </w:r>
            <w:r w:rsidRPr="00726BBB">
              <w:rPr>
                <w:bCs/>
                <w:szCs w:val="24"/>
                <w:lang w:eastAsia="lt-LT"/>
              </w:rPr>
              <w:t xml:space="preserve">tatybos techninis reglamentas STR 1.01.08:2002 </w:t>
            </w:r>
            <w:r w:rsidRPr="00A30C92">
              <w:rPr>
                <w:bCs/>
                <w:szCs w:val="24"/>
                <w:lang w:eastAsia="lt-LT"/>
              </w:rPr>
              <w:t>„</w:t>
            </w:r>
            <w:r w:rsidRPr="00726BBB">
              <w:rPr>
                <w:bCs/>
                <w:szCs w:val="24"/>
                <w:lang w:eastAsia="lt-LT"/>
              </w:rPr>
              <w:t>Statinio statybos rūšys</w:t>
            </w:r>
            <w:r w:rsidRPr="00A30C92">
              <w:rPr>
                <w:bCs/>
                <w:szCs w:val="24"/>
                <w:lang w:eastAsia="lt-LT"/>
              </w:rPr>
              <w:t>“</w:t>
            </w:r>
            <w:r>
              <w:rPr>
                <w:rStyle w:val="FootnoteReference"/>
                <w:bCs/>
                <w:szCs w:val="24"/>
                <w:lang w:eastAsia="lt-LT"/>
              </w:rPr>
              <w:footnoteReference w:id="8"/>
            </w:r>
            <w:r w:rsidRPr="00726BBB">
              <w:rPr>
                <w:bCs/>
                <w:szCs w:val="24"/>
                <w:lang w:eastAsia="lt-LT"/>
              </w:rPr>
              <w:t xml:space="preserve"> (toliau - </w:t>
            </w:r>
            <w:r>
              <w:rPr>
                <w:bCs/>
                <w:szCs w:val="24"/>
                <w:lang w:eastAsia="lt-LT"/>
              </w:rPr>
              <w:t>R</w:t>
            </w:r>
            <w:r w:rsidRPr="00726BBB">
              <w:rPr>
                <w:bCs/>
                <w:szCs w:val="24"/>
                <w:lang w:eastAsia="lt-LT"/>
              </w:rPr>
              <w:t xml:space="preserve">eglamentas). </w:t>
            </w:r>
            <w:r w:rsidRPr="00EB5602">
              <w:rPr>
                <w:bCs/>
                <w:szCs w:val="24"/>
                <w:lang w:eastAsia="lt-LT"/>
              </w:rPr>
              <w:t xml:space="preserve">Reglamento 9 punkte nurodyta, kad </w:t>
            </w:r>
            <w:r w:rsidRPr="00EB5602">
              <w:rPr>
                <w:bCs/>
                <w:szCs w:val="24"/>
                <w:u w:val="single"/>
                <w:lang w:eastAsia="lt-LT"/>
              </w:rPr>
              <w:t>statinio rekonstravimo tikslas</w:t>
            </w:r>
            <w:r w:rsidRPr="00EB5602">
              <w:rPr>
                <w:bCs/>
                <w:szCs w:val="24"/>
                <w:lang w:eastAsia="lt-LT"/>
              </w:rPr>
              <w:t xml:space="preserve"> - </w:t>
            </w:r>
            <w:r w:rsidRPr="00A66836">
              <w:rPr>
                <w:b/>
                <w:szCs w:val="24"/>
                <w:lang w:eastAsia="lt-LT"/>
              </w:rPr>
              <w:t>perstatyti</w:t>
            </w:r>
            <w:r w:rsidRPr="00EB5602">
              <w:rPr>
                <w:bCs/>
                <w:szCs w:val="24"/>
                <w:lang w:eastAsia="lt-LT"/>
              </w:rPr>
              <w:t xml:space="preserve"> esamo statinio laikančiąsias konstrukcijas ir tuo </w:t>
            </w:r>
            <w:r w:rsidRPr="00A66836">
              <w:rPr>
                <w:b/>
                <w:szCs w:val="24"/>
                <w:lang w:eastAsia="lt-LT"/>
              </w:rPr>
              <w:t>pakeičiant</w:t>
            </w:r>
            <w:r w:rsidRPr="00EB5602">
              <w:rPr>
                <w:bCs/>
                <w:szCs w:val="24"/>
                <w:lang w:eastAsia="lt-LT"/>
              </w:rPr>
              <w:t xml:space="preserve"> (padidinant, sumažinant) bet</w:t>
            </w:r>
            <w:r w:rsidRPr="00726BBB">
              <w:rPr>
                <w:bCs/>
                <w:szCs w:val="24"/>
                <w:lang w:eastAsia="lt-LT"/>
              </w:rPr>
              <w:t xml:space="preserve"> kuriuos</w:t>
            </w:r>
            <w:r w:rsidRPr="00726BBB">
              <w:rPr>
                <w:b/>
                <w:bCs/>
                <w:szCs w:val="24"/>
                <w:lang w:eastAsia="lt-LT"/>
              </w:rPr>
              <w:t> </w:t>
            </w:r>
            <w:r w:rsidRPr="00726BBB">
              <w:rPr>
                <w:bCs/>
                <w:szCs w:val="24"/>
                <w:lang w:eastAsia="lt-LT"/>
              </w:rPr>
              <w:t xml:space="preserve">statinio </w:t>
            </w:r>
            <w:r w:rsidRPr="00A66836">
              <w:rPr>
                <w:b/>
                <w:szCs w:val="24"/>
                <w:lang w:eastAsia="lt-LT"/>
              </w:rPr>
              <w:t>išorės matmenis</w:t>
            </w:r>
            <w:r w:rsidRPr="00726BBB">
              <w:rPr>
                <w:bCs/>
                <w:szCs w:val="24"/>
                <w:lang w:eastAsia="lt-LT"/>
              </w:rPr>
              <w:t xml:space="preserve"> - ilgį, plotį, aukštį, skersmenį ir pan. </w:t>
            </w:r>
            <w:r w:rsidRPr="00A66836">
              <w:rPr>
                <w:bCs/>
                <w:szCs w:val="24"/>
                <w:lang w:eastAsia="lt-LT"/>
              </w:rPr>
              <w:t xml:space="preserve">Laikoma, kad laikančiosios konstrukcijos perstatomos, kai: </w:t>
            </w:r>
            <w:r w:rsidRPr="00EB5602">
              <w:rPr>
                <w:color w:val="000000"/>
              </w:rPr>
              <w:t>pastatomi nauji aukštai; įrengiamas naujas rūsys, praplečiamas esamas; nugriaunama dalis esamų aukštų; prie statinio pristatomas (ar pastatomas tarp gretimų statinių) priestatas, jei dėl šio priestato pristatymo keičiamos, silpninamos, stiprinamos ir pan. esamo statinio laikančiosios konstrukcijos; pakeičiamos bet kurios laikančiosios konstrukcijos kitomis</w:t>
            </w:r>
            <w:r w:rsidRPr="00EB5602">
              <w:rPr>
                <w:b/>
                <w:bCs/>
                <w:color w:val="000000"/>
              </w:rPr>
              <w:t xml:space="preserve"> </w:t>
            </w:r>
            <w:r w:rsidRPr="00EB5602">
              <w:rPr>
                <w:color w:val="000000"/>
              </w:rPr>
              <w:t>laikančiosiomis konstrukcijomis, įrengiamos naujos laikančiosios konstrukcijos, pašalinama dalis esančių laikančiųjų konstrukcijų.</w:t>
            </w:r>
            <w:r w:rsidRPr="00EB5602">
              <w:t xml:space="preserve"> Reglamento 10 punkte nurodyta, kad </w:t>
            </w:r>
            <w:r w:rsidRPr="00EB5602">
              <w:rPr>
                <w:u w:val="single"/>
              </w:rPr>
              <w:t>statinio kapitalinio remonto tikslas</w:t>
            </w:r>
            <w:r w:rsidRPr="00EB5602">
              <w:t xml:space="preserve"> - </w:t>
            </w:r>
            <w:r w:rsidRPr="00A66836">
              <w:rPr>
                <w:b/>
                <w:bCs/>
              </w:rPr>
              <w:t>pertvarkyti</w:t>
            </w:r>
            <w:r w:rsidRPr="00EB5602">
              <w:t xml:space="preserve"> statinio laikančiąsias konstrukcijas, </w:t>
            </w:r>
            <w:r w:rsidRPr="00EB5602">
              <w:rPr>
                <w:b/>
                <w:bCs/>
              </w:rPr>
              <w:t>nekeičiant statinio išorės matmenų</w:t>
            </w:r>
            <w:r w:rsidRPr="00EB5602">
              <w:t xml:space="preserve"> - ilgio, pločio, aukščio, skersmens ir pan. Laikoma, kad statinio laikančiosios </w:t>
            </w:r>
            <w:r w:rsidRPr="00EB5602">
              <w:lastRenderedPageBreak/>
              <w:t>konstrukcijos pertvarkomos, kai jos stiprinamos (išskyrus esamų angų užtaisymą), silpninamos, pakeičiamos (dalinai ar visos) to paties ar kito tipo laikančiomis konstrukcijomis.</w:t>
            </w:r>
          </w:p>
          <w:p w14:paraId="71C3B936" w14:textId="728A2E89" w:rsidR="00BD48AC" w:rsidRPr="00EB5602" w:rsidRDefault="00BD48AC" w:rsidP="00BD48AC">
            <w:pPr>
              <w:jc w:val="both"/>
              <w:rPr>
                <w:bCs/>
                <w:i/>
                <w:iCs/>
                <w:szCs w:val="24"/>
                <w:lang w:eastAsia="lt-LT"/>
              </w:rPr>
            </w:pPr>
            <w:r>
              <w:t xml:space="preserve">      </w:t>
            </w:r>
            <w:r w:rsidRPr="000E3EB7">
              <w:t>Apibendrin</w:t>
            </w:r>
            <w:r>
              <w:t>us</w:t>
            </w:r>
            <w:r w:rsidRPr="000E3EB7">
              <w:t xml:space="preserve"> nurodytas Statybos įstatymo ir </w:t>
            </w:r>
            <w:r>
              <w:t>R</w:t>
            </w:r>
            <w:r w:rsidRPr="000E3EB7">
              <w:t xml:space="preserve">eglamento nuostatas, </w:t>
            </w:r>
            <w:r>
              <w:t>matyti</w:t>
            </w:r>
            <w:r w:rsidRPr="000E3EB7">
              <w:t>, kad</w:t>
            </w:r>
            <w:r>
              <w:t xml:space="preserve"> statinio rekonstravimas yra sudėtingesnė statybos rūšis nei </w:t>
            </w:r>
            <w:r w:rsidR="00451A5F">
              <w:t xml:space="preserve">statinio </w:t>
            </w:r>
            <w:r>
              <w:t>kapitalin</w:t>
            </w:r>
            <w:r w:rsidR="00451A5F">
              <w:t>is</w:t>
            </w:r>
            <w:r>
              <w:t xml:space="preserve"> </w:t>
            </w:r>
            <w:r w:rsidR="00451A5F">
              <w:t>remontas</w:t>
            </w:r>
            <w:r>
              <w:t xml:space="preserve">, o </w:t>
            </w:r>
            <w:r w:rsidRPr="000E3EB7">
              <w:t xml:space="preserve">esminis skirtumas lemiantis statybos darbų priskyrimą kapitalinio remonto ar rekonstravimo statybos rūšiai yra tas, kad </w:t>
            </w:r>
            <w:r w:rsidR="00E70B0F">
              <w:t>pakeičian</w:t>
            </w:r>
            <w:r w:rsidRPr="000E3EB7">
              <w:t xml:space="preserve">t statinio laikančiąsias konstrukcijas kapitalinio remonto atveju jokie statinio išorės matmenys nesikeičia, o rekonstravimo atveju </w:t>
            </w:r>
            <w:r w:rsidR="007B0B57">
              <w:t>–</w:t>
            </w:r>
            <w:r w:rsidRPr="000E3EB7">
              <w:t xml:space="preserve"> pasikeičia bet kurie statinio išorės matmenys</w:t>
            </w:r>
            <w:r>
              <w:t xml:space="preserve">. </w:t>
            </w:r>
          </w:p>
          <w:p w14:paraId="7CA53A75" w14:textId="63D74532" w:rsidR="00BD48AC" w:rsidRPr="00BE0EB6" w:rsidRDefault="00BD48AC" w:rsidP="00BD48AC">
            <w:pPr>
              <w:jc w:val="both"/>
              <w:rPr>
                <w:bCs/>
                <w:szCs w:val="24"/>
                <w:lang w:eastAsia="lt-LT"/>
              </w:rPr>
            </w:pPr>
            <w:r w:rsidRPr="00BE0EB6">
              <w:rPr>
                <w:bCs/>
                <w:szCs w:val="24"/>
                <w:lang w:eastAsia="lt-LT"/>
              </w:rPr>
              <w:t xml:space="preserve">      Atsižvelgiant į pirmiau išdėstytą, </w:t>
            </w:r>
            <w:r w:rsidR="004956A5" w:rsidRPr="00BE0EB6">
              <w:rPr>
                <w:bCs/>
                <w:szCs w:val="24"/>
                <w:lang w:eastAsia="lt-LT"/>
              </w:rPr>
              <w:t xml:space="preserve">Tarnybos vertinimu, </w:t>
            </w:r>
            <w:r w:rsidRPr="00BE0EB6">
              <w:rPr>
                <w:bCs/>
                <w:szCs w:val="24"/>
                <w:lang w:eastAsia="lt-LT"/>
              </w:rPr>
              <w:t>Kvalifikacinis reikalavimas nebuvo pakeistas, o buvo tik patikslintas, kadangi tiekėjo patirtį</w:t>
            </w:r>
            <w:r w:rsidR="007B0B57">
              <w:rPr>
                <w:bCs/>
                <w:szCs w:val="24"/>
                <w:lang w:eastAsia="lt-LT"/>
              </w:rPr>
              <w:t>,</w:t>
            </w:r>
            <w:r w:rsidRPr="00BE0EB6">
              <w:rPr>
                <w:bCs/>
                <w:szCs w:val="24"/>
                <w:lang w:eastAsia="lt-LT"/>
              </w:rPr>
              <w:t xml:space="preserve"> įgytą vy</w:t>
            </w:r>
            <w:r w:rsidR="00F81D91" w:rsidRPr="00BE0EB6">
              <w:rPr>
                <w:bCs/>
                <w:szCs w:val="24"/>
                <w:lang w:eastAsia="lt-LT"/>
              </w:rPr>
              <w:t>k</w:t>
            </w:r>
            <w:r w:rsidRPr="00BE0EB6">
              <w:rPr>
                <w:bCs/>
                <w:szCs w:val="24"/>
                <w:lang w:eastAsia="lt-LT"/>
              </w:rPr>
              <w:t xml:space="preserve">dant </w:t>
            </w:r>
            <w:r w:rsidR="00451A5F" w:rsidRPr="00BE0EB6">
              <w:rPr>
                <w:bCs/>
                <w:szCs w:val="24"/>
                <w:lang w:eastAsia="lt-LT"/>
              </w:rPr>
              <w:t xml:space="preserve">statinio </w:t>
            </w:r>
            <w:r w:rsidRPr="00BE0EB6">
              <w:rPr>
                <w:bCs/>
                <w:szCs w:val="24"/>
                <w:lang w:eastAsia="lt-LT"/>
              </w:rPr>
              <w:t xml:space="preserve">rekonstrukcijos darbus Perkančioji organizacija turėtų/privalėtų pripažinti tinkama, </w:t>
            </w:r>
            <w:r w:rsidR="007B0B57">
              <w:rPr>
                <w:bCs/>
                <w:szCs w:val="24"/>
                <w:lang w:eastAsia="lt-LT"/>
              </w:rPr>
              <w:t>nes</w:t>
            </w:r>
            <w:r w:rsidRPr="00BE0EB6">
              <w:rPr>
                <w:bCs/>
                <w:szCs w:val="24"/>
                <w:lang w:eastAsia="lt-LT"/>
              </w:rPr>
              <w:t xml:space="preserve"> </w:t>
            </w:r>
            <w:r w:rsidR="00451A5F" w:rsidRPr="00BE0EB6">
              <w:rPr>
                <w:bCs/>
                <w:szCs w:val="24"/>
                <w:lang w:eastAsia="lt-LT"/>
              </w:rPr>
              <w:t xml:space="preserve">statinio rekonstrukcija yra </w:t>
            </w:r>
            <w:r w:rsidRPr="00BE0EB6">
              <w:rPr>
                <w:bCs/>
                <w:szCs w:val="24"/>
                <w:lang w:eastAsia="lt-LT"/>
              </w:rPr>
              <w:t xml:space="preserve">sudėtingesnė </w:t>
            </w:r>
            <w:r w:rsidR="00451A5F" w:rsidRPr="00BE0EB6">
              <w:rPr>
                <w:bCs/>
                <w:szCs w:val="24"/>
                <w:lang w:eastAsia="lt-LT"/>
              </w:rPr>
              <w:t xml:space="preserve">statybos rūšis </w:t>
            </w:r>
            <w:r w:rsidRPr="00BE0EB6">
              <w:rPr>
                <w:bCs/>
                <w:szCs w:val="24"/>
                <w:lang w:eastAsia="lt-LT"/>
              </w:rPr>
              <w:t xml:space="preserve">nei </w:t>
            </w:r>
            <w:r w:rsidR="00451A5F" w:rsidRPr="00BE0EB6">
              <w:rPr>
                <w:bCs/>
                <w:szCs w:val="24"/>
                <w:lang w:eastAsia="lt-LT"/>
              </w:rPr>
              <w:t>statinio kapitalinis remontas</w:t>
            </w:r>
            <w:r w:rsidRPr="00BE0EB6">
              <w:rPr>
                <w:bCs/>
                <w:szCs w:val="24"/>
                <w:lang w:eastAsia="lt-LT"/>
              </w:rPr>
              <w:t xml:space="preserve">, o tai reiškia, kad </w:t>
            </w:r>
            <w:r w:rsidR="0025755E">
              <w:rPr>
                <w:bCs/>
                <w:szCs w:val="24"/>
                <w:lang w:eastAsia="lt-LT"/>
              </w:rPr>
              <w:t>p</w:t>
            </w:r>
            <w:proofErr w:type="spellStart"/>
            <w:r w:rsidR="0025755E" w:rsidRPr="0025755E">
              <w:rPr>
                <w:bCs/>
                <w:szCs w:val="24"/>
                <w:lang w:val="en-US" w:eastAsia="lt-LT"/>
              </w:rPr>
              <w:t>atikslinus</w:t>
            </w:r>
            <w:proofErr w:type="spellEnd"/>
            <w:r w:rsidR="0025755E" w:rsidRPr="0025755E">
              <w:rPr>
                <w:bCs/>
                <w:szCs w:val="24"/>
                <w:lang w:val="en-US" w:eastAsia="lt-LT"/>
              </w:rPr>
              <w:t xml:space="preserve"> </w:t>
            </w:r>
            <w:proofErr w:type="spellStart"/>
            <w:r w:rsidR="001747B9">
              <w:rPr>
                <w:bCs/>
                <w:szCs w:val="24"/>
                <w:lang w:val="en-US" w:eastAsia="lt-LT"/>
              </w:rPr>
              <w:t>K</w:t>
            </w:r>
            <w:r w:rsidR="0025755E" w:rsidRPr="0025755E">
              <w:rPr>
                <w:bCs/>
                <w:szCs w:val="24"/>
                <w:lang w:val="en-US" w:eastAsia="lt-LT"/>
              </w:rPr>
              <w:t>val</w:t>
            </w:r>
            <w:r w:rsidR="0025755E">
              <w:rPr>
                <w:bCs/>
                <w:szCs w:val="24"/>
                <w:lang w:val="en-US" w:eastAsia="lt-LT"/>
              </w:rPr>
              <w:t>ifikacin</w:t>
            </w:r>
            <w:r w:rsidR="001747B9">
              <w:rPr>
                <w:bCs/>
                <w:szCs w:val="24"/>
                <w:lang w:val="en-US" w:eastAsia="lt-LT"/>
              </w:rPr>
              <w:t>į</w:t>
            </w:r>
            <w:proofErr w:type="spellEnd"/>
            <w:r w:rsidR="001747B9">
              <w:rPr>
                <w:bCs/>
                <w:szCs w:val="24"/>
                <w:lang w:val="en-US" w:eastAsia="lt-LT"/>
              </w:rPr>
              <w:t xml:space="preserve"> </w:t>
            </w:r>
            <w:r w:rsidR="0025755E" w:rsidRPr="0025755E">
              <w:rPr>
                <w:bCs/>
                <w:szCs w:val="24"/>
                <w:lang w:val="en-US" w:eastAsia="lt-LT"/>
              </w:rPr>
              <w:t xml:space="preserve"> </w:t>
            </w:r>
            <w:proofErr w:type="spellStart"/>
            <w:r w:rsidR="0025755E" w:rsidRPr="0025755E">
              <w:rPr>
                <w:bCs/>
                <w:szCs w:val="24"/>
                <w:lang w:val="en-US" w:eastAsia="lt-LT"/>
              </w:rPr>
              <w:t>reikalavimą</w:t>
            </w:r>
            <w:proofErr w:type="spellEnd"/>
            <w:r w:rsidR="0025755E" w:rsidRPr="0025755E">
              <w:rPr>
                <w:bCs/>
                <w:szCs w:val="24"/>
                <w:lang w:val="en-US" w:eastAsia="lt-LT"/>
              </w:rPr>
              <w:t xml:space="preserve"> </w:t>
            </w:r>
            <w:proofErr w:type="spellStart"/>
            <w:r w:rsidR="0025755E" w:rsidRPr="0025755E">
              <w:rPr>
                <w:bCs/>
                <w:szCs w:val="24"/>
                <w:lang w:val="en-US" w:eastAsia="lt-LT"/>
              </w:rPr>
              <w:t>nebuvo</w:t>
            </w:r>
            <w:proofErr w:type="spellEnd"/>
            <w:r w:rsidR="0025755E" w:rsidRPr="0025755E">
              <w:rPr>
                <w:bCs/>
                <w:szCs w:val="24"/>
                <w:lang w:val="en-US" w:eastAsia="lt-LT"/>
              </w:rPr>
              <w:t xml:space="preserve"> </w:t>
            </w:r>
            <w:proofErr w:type="spellStart"/>
            <w:r w:rsidR="0025755E" w:rsidRPr="0025755E">
              <w:rPr>
                <w:bCs/>
                <w:szCs w:val="24"/>
                <w:lang w:val="en-US" w:eastAsia="lt-LT"/>
              </w:rPr>
              <w:t>sukurta</w:t>
            </w:r>
            <w:proofErr w:type="spellEnd"/>
            <w:r w:rsidR="0025755E" w:rsidRPr="0025755E">
              <w:rPr>
                <w:bCs/>
                <w:szCs w:val="24"/>
                <w:lang w:val="en-US" w:eastAsia="lt-LT"/>
              </w:rPr>
              <w:t xml:space="preserve"> </w:t>
            </w:r>
            <w:proofErr w:type="spellStart"/>
            <w:r w:rsidR="0025755E" w:rsidRPr="0025755E">
              <w:rPr>
                <w:bCs/>
                <w:szCs w:val="24"/>
                <w:lang w:val="en-US" w:eastAsia="lt-LT"/>
              </w:rPr>
              <w:t>tokia</w:t>
            </w:r>
            <w:proofErr w:type="spellEnd"/>
            <w:r w:rsidR="0025755E" w:rsidRPr="0025755E">
              <w:rPr>
                <w:bCs/>
                <w:szCs w:val="24"/>
                <w:lang w:val="en-US" w:eastAsia="lt-LT"/>
              </w:rPr>
              <w:t xml:space="preserve"> </w:t>
            </w:r>
            <w:proofErr w:type="spellStart"/>
            <w:r w:rsidR="0025755E" w:rsidRPr="0025755E">
              <w:rPr>
                <w:bCs/>
                <w:szCs w:val="24"/>
                <w:lang w:val="en-US" w:eastAsia="lt-LT"/>
              </w:rPr>
              <w:t>situacija</w:t>
            </w:r>
            <w:proofErr w:type="spellEnd"/>
            <w:r w:rsidR="0025755E" w:rsidRPr="0025755E">
              <w:rPr>
                <w:bCs/>
                <w:szCs w:val="24"/>
                <w:lang w:val="en-US" w:eastAsia="lt-LT"/>
              </w:rPr>
              <w:t xml:space="preserve">, </w:t>
            </w:r>
            <w:proofErr w:type="spellStart"/>
            <w:r w:rsidR="0025755E" w:rsidRPr="0025755E">
              <w:rPr>
                <w:bCs/>
                <w:szCs w:val="24"/>
                <w:lang w:val="en-US" w:eastAsia="lt-LT"/>
              </w:rPr>
              <w:t>kad</w:t>
            </w:r>
            <w:proofErr w:type="spellEnd"/>
            <w:r w:rsidR="0025755E" w:rsidRPr="0025755E">
              <w:rPr>
                <w:bCs/>
                <w:szCs w:val="24"/>
                <w:lang w:val="en-US" w:eastAsia="lt-LT"/>
              </w:rPr>
              <w:t xml:space="preserve"> </w:t>
            </w:r>
            <w:proofErr w:type="spellStart"/>
            <w:r w:rsidR="0025755E" w:rsidRPr="0025755E">
              <w:rPr>
                <w:bCs/>
                <w:szCs w:val="24"/>
                <w:lang w:val="en-US" w:eastAsia="lt-LT"/>
              </w:rPr>
              <w:t>pasiūlym</w:t>
            </w:r>
            <w:r w:rsidR="001747B9">
              <w:rPr>
                <w:bCs/>
                <w:szCs w:val="24"/>
                <w:lang w:val="en-US" w:eastAsia="lt-LT"/>
              </w:rPr>
              <w:t>us</w:t>
            </w:r>
            <w:proofErr w:type="spellEnd"/>
            <w:r w:rsidR="0025755E" w:rsidRPr="0025755E">
              <w:rPr>
                <w:bCs/>
                <w:szCs w:val="24"/>
                <w:lang w:val="en-US" w:eastAsia="lt-LT"/>
              </w:rPr>
              <w:t xml:space="preserve"> </w:t>
            </w:r>
            <w:proofErr w:type="spellStart"/>
            <w:r w:rsidR="0025755E" w:rsidRPr="0025755E">
              <w:rPr>
                <w:bCs/>
                <w:szCs w:val="24"/>
                <w:lang w:val="en-US" w:eastAsia="lt-LT"/>
              </w:rPr>
              <w:t>galėtų</w:t>
            </w:r>
            <w:proofErr w:type="spellEnd"/>
            <w:r w:rsidR="0025755E" w:rsidRPr="0025755E">
              <w:rPr>
                <w:bCs/>
                <w:szCs w:val="24"/>
                <w:lang w:val="en-US" w:eastAsia="lt-LT"/>
              </w:rPr>
              <w:t xml:space="preserve"> </w:t>
            </w:r>
            <w:proofErr w:type="spellStart"/>
            <w:r w:rsidR="0025755E" w:rsidRPr="0025755E">
              <w:rPr>
                <w:bCs/>
                <w:szCs w:val="24"/>
                <w:lang w:val="en-US" w:eastAsia="lt-LT"/>
              </w:rPr>
              <w:t>pateikti</w:t>
            </w:r>
            <w:proofErr w:type="spellEnd"/>
            <w:r w:rsidR="0025755E" w:rsidRPr="0025755E">
              <w:rPr>
                <w:bCs/>
                <w:szCs w:val="24"/>
                <w:lang w:val="en-US" w:eastAsia="lt-LT"/>
              </w:rPr>
              <w:t xml:space="preserve"> </w:t>
            </w:r>
            <w:proofErr w:type="spellStart"/>
            <w:r w:rsidR="0025755E" w:rsidRPr="0025755E">
              <w:rPr>
                <w:bCs/>
                <w:szCs w:val="24"/>
                <w:lang w:val="en-US" w:eastAsia="lt-LT"/>
              </w:rPr>
              <w:t>kiti</w:t>
            </w:r>
            <w:proofErr w:type="spellEnd"/>
            <w:r w:rsidR="0025755E" w:rsidRPr="0025755E">
              <w:rPr>
                <w:bCs/>
                <w:szCs w:val="24"/>
                <w:lang w:val="en-US" w:eastAsia="lt-LT"/>
              </w:rPr>
              <w:t xml:space="preserve"> </w:t>
            </w:r>
            <w:proofErr w:type="spellStart"/>
            <w:r w:rsidR="0025755E" w:rsidRPr="0025755E">
              <w:rPr>
                <w:bCs/>
                <w:szCs w:val="24"/>
                <w:lang w:val="en-US" w:eastAsia="lt-LT"/>
              </w:rPr>
              <w:t>tiekėjai</w:t>
            </w:r>
            <w:proofErr w:type="spellEnd"/>
            <w:r w:rsidR="0025755E" w:rsidRPr="0025755E">
              <w:rPr>
                <w:bCs/>
                <w:szCs w:val="24"/>
                <w:lang w:val="en-US" w:eastAsia="lt-LT"/>
              </w:rPr>
              <w:t xml:space="preserve">, </w:t>
            </w:r>
            <w:proofErr w:type="spellStart"/>
            <w:r w:rsidR="0025755E" w:rsidRPr="0025755E">
              <w:rPr>
                <w:bCs/>
                <w:szCs w:val="24"/>
                <w:lang w:val="en-US" w:eastAsia="lt-LT"/>
              </w:rPr>
              <w:t>kurie</w:t>
            </w:r>
            <w:proofErr w:type="spellEnd"/>
            <w:r w:rsidR="0025755E" w:rsidRPr="0025755E">
              <w:rPr>
                <w:bCs/>
                <w:szCs w:val="24"/>
                <w:lang w:val="en-US" w:eastAsia="lt-LT"/>
              </w:rPr>
              <w:t xml:space="preserve"> to </w:t>
            </w:r>
            <w:proofErr w:type="spellStart"/>
            <w:r w:rsidR="0025755E" w:rsidRPr="0025755E">
              <w:rPr>
                <w:bCs/>
                <w:szCs w:val="24"/>
                <w:lang w:val="en-US" w:eastAsia="lt-LT"/>
              </w:rPr>
              <w:t>padaryti</w:t>
            </w:r>
            <w:proofErr w:type="spellEnd"/>
            <w:r w:rsidR="0025755E" w:rsidRPr="0025755E">
              <w:rPr>
                <w:bCs/>
                <w:szCs w:val="24"/>
                <w:lang w:val="en-US" w:eastAsia="lt-LT"/>
              </w:rPr>
              <w:t xml:space="preserve"> </w:t>
            </w:r>
            <w:proofErr w:type="spellStart"/>
            <w:r w:rsidR="0025755E" w:rsidRPr="0025755E">
              <w:rPr>
                <w:bCs/>
                <w:szCs w:val="24"/>
                <w:lang w:val="en-US" w:eastAsia="lt-LT"/>
              </w:rPr>
              <w:t>negalėjo</w:t>
            </w:r>
            <w:proofErr w:type="spellEnd"/>
            <w:r w:rsidR="0025755E" w:rsidRPr="0025755E">
              <w:rPr>
                <w:bCs/>
                <w:szCs w:val="24"/>
                <w:lang w:val="en-US" w:eastAsia="lt-LT"/>
              </w:rPr>
              <w:t xml:space="preserve"> </w:t>
            </w:r>
            <w:proofErr w:type="spellStart"/>
            <w:r w:rsidR="0025755E" w:rsidRPr="0025755E">
              <w:rPr>
                <w:bCs/>
                <w:szCs w:val="24"/>
                <w:lang w:val="en-US" w:eastAsia="lt-LT"/>
              </w:rPr>
              <w:t>pagal</w:t>
            </w:r>
            <w:proofErr w:type="spellEnd"/>
            <w:r w:rsidR="0025755E" w:rsidRPr="0025755E">
              <w:rPr>
                <w:bCs/>
                <w:szCs w:val="24"/>
                <w:lang w:val="en-US" w:eastAsia="lt-LT"/>
              </w:rPr>
              <w:t xml:space="preserve"> </w:t>
            </w:r>
            <w:proofErr w:type="spellStart"/>
            <w:r w:rsidR="0025755E" w:rsidRPr="0025755E">
              <w:rPr>
                <w:bCs/>
                <w:szCs w:val="24"/>
                <w:lang w:val="en-US" w:eastAsia="lt-LT"/>
              </w:rPr>
              <w:t>pirminę</w:t>
            </w:r>
            <w:proofErr w:type="spellEnd"/>
            <w:r w:rsidR="0025755E" w:rsidRPr="0025755E">
              <w:rPr>
                <w:bCs/>
                <w:szCs w:val="24"/>
                <w:lang w:val="en-US" w:eastAsia="lt-LT"/>
              </w:rPr>
              <w:t xml:space="preserve"> </w:t>
            </w:r>
            <w:proofErr w:type="spellStart"/>
            <w:r w:rsidR="001747B9">
              <w:rPr>
                <w:bCs/>
                <w:szCs w:val="24"/>
                <w:lang w:val="en-US" w:eastAsia="lt-LT"/>
              </w:rPr>
              <w:t>Kvalifikacinio</w:t>
            </w:r>
            <w:proofErr w:type="spellEnd"/>
            <w:r w:rsidR="001747B9">
              <w:rPr>
                <w:bCs/>
                <w:szCs w:val="24"/>
                <w:lang w:val="en-US" w:eastAsia="lt-LT"/>
              </w:rPr>
              <w:t xml:space="preserve"> </w:t>
            </w:r>
            <w:proofErr w:type="spellStart"/>
            <w:r w:rsidR="0025755E" w:rsidRPr="0025755E">
              <w:rPr>
                <w:bCs/>
                <w:szCs w:val="24"/>
                <w:lang w:val="en-US" w:eastAsia="lt-LT"/>
              </w:rPr>
              <w:t>reikalavimo</w:t>
            </w:r>
            <w:proofErr w:type="spellEnd"/>
            <w:r w:rsidR="0025755E" w:rsidRPr="0025755E">
              <w:rPr>
                <w:bCs/>
                <w:szCs w:val="24"/>
                <w:lang w:val="en-US" w:eastAsia="lt-LT"/>
              </w:rPr>
              <w:t xml:space="preserve"> </w:t>
            </w:r>
            <w:proofErr w:type="spellStart"/>
            <w:r w:rsidR="0025755E" w:rsidRPr="0025755E">
              <w:rPr>
                <w:bCs/>
                <w:szCs w:val="24"/>
                <w:lang w:val="en-US" w:eastAsia="lt-LT"/>
              </w:rPr>
              <w:t>formuluotę</w:t>
            </w:r>
            <w:proofErr w:type="spellEnd"/>
            <w:r w:rsidR="001747B9">
              <w:rPr>
                <w:bCs/>
                <w:szCs w:val="24"/>
                <w:lang w:val="en-US" w:eastAsia="lt-LT"/>
              </w:rPr>
              <w:t>;</w:t>
            </w:r>
          </w:p>
          <w:p w14:paraId="5427E27D" w14:textId="0C2684A0" w:rsidR="003240A7" w:rsidRPr="006B7A6A" w:rsidRDefault="00BD48AC" w:rsidP="00BD48AC">
            <w:pPr>
              <w:jc w:val="both"/>
              <w:rPr>
                <w:bCs/>
                <w:i/>
                <w:iCs/>
                <w:szCs w:val="24"/>
                <w:lang w:eastAsia="lt-LT"/>
              </w:rPr>
            </w:pPr>
            <w:r w:rsidRPr="00BE0EB6">
              <w:rPr>
                <w:bCs/>
                <w:szCs w:val="24"/>
                <w:lang w:eastAsia="lt-LT"/>
              </w:rPr>
              <w:t xml:space="preserve">     </w:t>
            </w:r>
            <w:r w:rsidRPr="006B331F">
              <w:rPr>
                <w:bCs/>
                <w:szCs w:val="24"/>
                <w:lang w:eastAsia="lt-LT"/>
              </w:rPr>
              <w:t xml:space="preserve">  </w:t>
            </w:r>
            <w:r>
              <w:rPr>
                <w:bCs/>
                <w:szCs w:val="24"/>
                <w:lang w:eastAsia="lt-LT"/>
              </w:rPr>
              <w:t>2)</w:t>
            </w:r>
            <w:r w:rsidR="003240A7">
              <w:rPr>
                <w:bCs/>
                <w:szCs w:val="24"/>
                <w:lang w:eastAsia="lt-LT"/>
              </w:rPr>
              <w:t xml:space="preserve"> </w:t>
            </w:r>
            <w:r w:rsidR="003240A7" w:rsidRPr="003240A7">
              <w:rPr>
                <w:bCs/>
                <w:szCs w:val="24"/>
                <w:lang w:eastAsia="lt-LT"/>
              </w:rPr>
              <w:t>Pagal Lietuvos Aukščiausiojo Teismo (toliau – LAT) praktiką</w:t>
            </w:r>
            <w:r w:rsidR="003240A7">
              <w:rPr>
                <w:rStyle w:val="FootnoteReference"/>
                <w:bCs/>
                <w:szCs w:val="24"/>
                <w:lang w:eastAsia="lt-LT"/>
              </w:rPr>
              <w:footnoteReference w:id="9"/>
            </w:r>
            <w:r>
              <w:rPr>
                <w:bCs/>
                <w:szCs w:val="24"/>
                <w:lang w:eastAsia="lt-LT"/>
              </w:rPr>
              <w:t xml:space="preserve"> </w:t>
            </w:r>
            <w:r w:rsidR="006B7A6A" w:rsidRPr="006B7A6A">
              <w:rPr>
                <w:bCs/>
                <w:i/>
                <w:iCs/>
                <w:szCs w:val="24"/>
                <w:lang w:eastAsia="lt-LT"/>
              </w:rPr>
              <w:t>„&lt;..&gt; reikalavimas tinkamai išviešinti viešojo pirkimo sąlygų pakeitimus reiškia perkančiųjų organizacijų pareigą apie tai pranešti Centrinėje viešųjų pirkimų informacinėje sistemoje (toliau – CVP IS) taip, jog apie šį sprendimą sužinotų ne tik prie atitinkamo pirkimo prisijungę (priėmę kvietimus) dalyviai, bet visi potencialūs tiekėjai – tiek atitinkantys pradinę ir pakeistą viešojo pirkimo sąlygų redakciją ar jų neatitinkantys. Taip visiems ūkio subjektams sudaromos prielaidos dalyvauti pirkime (jei pratęsiamas pasiūlymų pateikimo terminas, o šių subjektų asmeninė padėtis ir siūlomas pirkimo objektas atitiko tiek ankstesnę, tiek pakeistą pirkimo sąlygų redakciją), be to, jiems suteikiamos realios galimybės kvestionuoti viešojo pirkimo sąlygų pakeitimą</w:t>
            </w:r>
            <w:r w:rsidR="006B7A6A">
              <w:rPr>
                <w:bCs/>
                <w:i/>
                <w:iCs/>
                <w:szCs w:val="24"/>
                <w:lang w:eastAsia="lt-LT"/>
              </w:rPr>
              <w:t xml:space="preserve"> &lt;..&gt;“.</w:t>
            </w:r>
          </w:p>
          <w:p w14:paraId="69C0A5CB" w14:textId="1700C2F9" w:rsidR="00BD48AC" w:rsidRDefault="006B7A6A" w:rsidP="00BD48AC">
            <w:pPr>
              <w:jc w:val="both"/>
              <w:rPr>
                <w:bCs/>
                <w:szCs w:val="24"/>
                <w:lang w:eastAsia="lt-LT"/>
              </w:rPr>
            </w:pPr>
            <w:r>
              <w:rPr>
                <w:bCs/>
                <w:szCs w:val="24"/>
                <w:lang w:eastAsia="lt-LT"/>
              </w:rPr>
              <w:t xml:space="preserve">       </w:t>
            </w:r>
            <w:r w:rsidR="00BD48AC" w:rsidRPr="006B331F">
              <w:rPr>
                <w:bCs/>
                <w:szCs w:val="24"/>
                <w:lang w:eastAsia="lt-LT"/>
              </w:rPr>
              <w:t xml:space="preserve">2022 m. </w:t>
            </w:r>
            <w:r w:rsidR="00BD48AC">
              <w:rPr>
                <w:bCs/>
                <w:szCs w:val="24"/>
                <w:lang w:eastAsia="lt-LT"/>
              </w:rPr>
              <w:t xml:space="preserve">gegužės </w:t>
            </w:r>
            <w:r w:rsidR="00BD48AC" w:rsidRPr="006B331F">
              <w:rPr>
                <w:bCs/>
                <w:szCs w:val="24"/>
                <w:lang w:eastAsia="lt-LT"/>
              </w:rPr>
              <w:t>5 d. Perkančioji organizacija Pirkimo sąlygų pakeitimus paskelbė CVP IS kartu su kitais dokumentais apie Pirkimą</w:t>
            </w:r>
            <w:r>
              <w:rPr>
                <w:bCs/>
                <w:szCs w:val="24"/>
                <w:lang w:eastAsia="lt-LT"/>
              </w:rPr>
              <w:t>, todėl visi potencialūs tiekėjai galėjo susipažinti su patikslintu Kvalifikaciniu reikalavimu</w:t>
            </w:r>
            <w:r w:rsidR="00BD48AC" w:rsidRPr="006B331F">
              <w:rPr>
                <w:bCs/>
                <w:szCs w:val="24"/>
                <w:lang w:eastAsia="lt-LT"/>
              </w:rPr>
              <w:t xml:space="preserve">; </w:t>
            </w:r>
          </w:p>
          <w:p w14:paraId="1EA5505D" w14:textId="79EBE16B" w:rsidR="00BD48AC" w:rsidRPr="00BE0EB6" w:rsidRDefault="00BD48AC" w:rsidP="00BD48AC">
            <w:pPr>
              <w:jc w:val="both"/>
              <w:rPr>
                <w:bCs/>
                <w:szCs w:val="24"/>
                <w:lang w:eastAsia="lt-LT"/>
              </w:rPr>
            </w:pPr>
            <w:r>
              <w:rPr>
                <w:bCs/>
                <w:szCs w:val="24"/>
                <w:lang w:eastAsia="lt-LT"/>
              </w:rPr>
              <w:t xml:space="preserve">       </w:t>
            </w:r>
            <w:bookmarkStart w:id="3" w:name="_Hlk125119091"/>
            <w:r>
              <w:rPr>
                <w:bCs/>
                <w:szCs w:val="24"/>
                <w:lang w:eastAsia="lt-LT"/>
              </w:rPr>
              <w:t xml:space="preserve">3) </w:t>
            </w:r>
            <w:r w:rsidRPr="00F9569D">
              <w:rPr>
                <w:bCs/>
                <w:szCs w:val="24"/>
                <w:lang w:eastAsia="lt-LT"/>
              </w:rPr>
              <w:t>Perkančioji organizacija nustatė naują pasiūlymų pateikimo terminą</w:t>
            </w:r>
            <w:r>
              <w:rPr>
                <w:bCs/>
                <w:szCs w:val="24"/>
                <w:lang w:eastAsia="lt-LT"/>
              </w:rPr>
              <w:t xml:space="preserve"> – pateikti pasiūlymus</w:t>
            </w:r>
            <w:r w:rsidRPr="00F9569D">
              <w:rPr>
                <w:bCs/>
                <w:szCs w:val="24"/>
                <w:lang w:eastAsia="lt-LT"/>
              </w:rPr>
              <w:t xml:space="preserve"> iki 2022 m. gegužės 17 d.</w:t>
            </w:r>
            <w:r>
              <w:rPr>
                <w:bCs/>
                <w:szCs w:val="24"/>
                <w:lang w:eastAsia="lt-LT"/>
              </w:rPr>
              <w:t xml:space="preserve"> Perkančiosios organizacijos n</w:t>
            </w:r>
            <w:r w:rsidRPr="00BE0EB6">
              <w:rPr>
                <w:bCs/>
                <w:szCs w:val="24"/>
                <w:lang w:eastAsia="lt-LT"/>
              </w:rPr>
              <w:t>aujai nustatytas pasiūlymų pateikimo terminas yra 12 k.</w:t>
            </w:r>
            <w:r w:rsidR="007B0B57">
              <w:rPr>
                <w:bCs/>
                <w:szCs w:val="24"/>
                <w:lang w:eastAsia="lt-LT"/>
              </w:rPr>
              <w:t xml:space="preserve"> </w:t>
            </w:r>
            <w:r w:rsidRPr="00BE0EB6">
              <w:rPr>
                <w:bCs/>
                <w:szCs w:val="24"/>
                <w:lang w:eastAsia="lt-LT"/>
              </w:rPr>
              <w:t>d. nuo informacijos išsiuntimo tiekėja</w:t>
            </w:r>
            <w:r w:rsidR="007B0B57">
              <w:rPr>
                <w:bCs/>
                <w:szCs w:val="24"/>
                <w:lang w:eastAsia="lt-LT"/>
              </w:rPr>
              <w:t>m</w:t>
            </w:r>
            <w:r w:rsidRPr="00BE0EB6">
              <w:rPr>
                <w:bCs/>
                <w:szCs w:val="24"/>
                <w:lang w:eastAsia="lt-LT"/>
              </w:rPr>
              <w:t>s ir paskelbimo CVP IS.</w:t>
            </w:r>
          </w:p>
          <w:p w14:paraId="4708BDAD" w14:textId="3CF9EAAE" w:rsidR="00BD48AC" w:rsidRDefault="00BD48AC" w:rsidP="00BD48AC">
            <w:pPr>
              <w:jc w:val="both"/>
              <w:rPr>
                <w:bCs/>
                <w:szCs w:val="24"/>
                <w:lang w:val="en-US" w:eastAsia="lt-LT"/>
              </w:rPr>
            </w:pPr>
            <w:r w:rsidRPr="00BE0EB6">
              <w:rPr>
                <w:bCs/>
                <w:szCs w:val="24"/>
                <w:lang w:eastAsia="lt-LT"/>
              </w:rPr>
              <w:t xml:space="preserve">       Pažymėtina, kad</w:t>
            </w:r>
            <w:r w:rsidR="00D55828" w:rsidRPr="00BE0EB6">
              <w:rPr>
                <w:bCs/>
                <w:szCs w:val="24"/>
                <w:lang w:eastAsia="lt-LT"/>
              </w:rPr>
              <w:t xml:space="preserve"> </w:t>
            </w:r>
            <w:r w:rsidRPr="00BE0EB6">
              <w:rPr>
                <w:bCs/>
                <w:szCs w:val="24"/>
                <w:lang w:eastAsia="lt-LT"/>
              </w:rPr>
              <w:t>Įstatymo 60 straipsnio 1 dalies 2 punkte nustatyta, kad “</w:t>
            </w:r>
            <w:r w:rsidRPr="00BE0EB6">
              <w:rPr>
                <w:bCs/>
                <w:i/>
                <w:iCs/>
                <w:szCs w:val="24"/>
                <w:lang w:eastAsia="lt-LT"/>
              </w:rPr>
              <w:t>Perkančioji organizacija pasiūlymų pateikimo terminą nustato vadovaudamasi šio įstatymo 40 straipsnio nuostatomis. Pasiūlymų pateikimo terminas negali būti trumpesnis kaip &lt;..&gt; 12 dienų nuo skelbimo paskelbimo Centrinėje viešųjų pirkimų informacinėje sistemoje dienos – supaprastinto pirkimo atveju”</w:t>
            </w:r>
            <w:r w:rsidRPr="00BE0EB6">
              <w:rPr>
                <w:bCs/>
                <w:szCs w:val="24"/>
                <w:lang w:eastAsia="lt-LT"/>
              </w:rPr>
              <w:t>, kas rei</w:t>
            </w:r>
            <w:r w:rsidR="00966939" w:rsidRPr="00BE0EB6">
              <w:rPr>
                <w:bCs/>
                <w:szCs w:val="24"/>
                <w:lang w:eastAsia="lt-LT"/>
              </w:rPr>
              <w:t xml:space="preserve">škia, jog Perkančioji organizacija nustatė </w:t>
            </w:r>
            <w:r w:rsidR="007B0B57">
              <w:rPr>
                <w:bCs/>
                <w:szCs w:val="24"/>
                <w:lang w:eastAsia="lt-LT"/>
              </w:rPr>
              <w:t>protingą</w:t>
            </w:r>
            <w:r w:rsidR="00966939" w:rsidRPr="00BE0EB6">
              <w:rPr>
                <w:bCs/>
                <w:szCs w:val="24"/>
                <w:lang w:eastAsia="lt-LT"/>
              </w:rPr>
              <w:t xml:space="preserve"> pasiūlymų pateikimo terminą</w:t>
            </w:r>
            <w:r w:rsidR="00FE4D8C" w:rsidRPr="00BE0EB6">
              <w:rPr>
                <w:bCs/>
                <w:szCs w:val="24"/>
                <w:lang w:eastAsia="lt-LT"/>
              </w:rPr>
              <w:t xml:space="preserve">. </w:t>
            </w:r>
            <w:proofErr w:type="spellStart"/>
            <w:r>
              <w:rPr>
                <w:bCs/>
                <w:szCs w:val="24"/>
                <w:lang w:val="en-US" w:eastAsia="lt-LT"/>
              </w:rPr>
              <w:t>Šis</w:t>
            </w:r>
            <w:proofErr w:type="spellEnd"/>
            <w:r>
              <w:rPr>
                <w:bCs/>
                <w:szCs w:val="24"/>
                <w:lang w:val="en-US" w:eastAsia="lt-LT"/>
              </w:rPr>
              <w:t xml:space="preserve"> </w:t>
            </w:r>
            <w:proofErr w:type="spellStart"/>
            <w:r>
              <w:rPr>
                <w:bCs/>
                <w:szCs w:val="24"/>
                <w:lang w:val="en-US" w:eastAsia="lt-LT"/>
              </w:rPr>
              <w:t>naujai</w:t>
            </w:r>
            <w:proofErr w:type="spellEnd"/>
            <w:r>
              <w:rPr>
                <w:bCs/>
                <w:szCs w:val="24"/>
                <w:lang w:val="en-US" w:eastAsia="lt-LT"/>
              </w:rPr>
              <w:t xml:space="preserve"> </w:t>
            </w:r>
            <w:proofErr w:type="spellStart"/>
            <w:r>
              <w:rPr>
                <w:bCs/>
                <w:szCs w:val="24"/>
                <w:lang w:val="en-US" w:eastAsia="lt-LT"/>
              </w:rPr>
              <w:t>nustatytas</w:t>
            </w:r>
            <w:proofErr w:type="spellEnd"/>
            <w:r w:rsidRPr="00F9569D">
              <w:rPr>
                <w:bCs/>
                <w:szCs w:val="24"/>
                <w:lang w:val="en-US" w:eastAsia="lt-LT"/>
              </w:rPr>
              <w:t xml:space="preserve"> </w:t>
            </w:r>
            <w:proofErr w:type="spellStart"/>
            <w:r w:rsidRPr="00F9569D">
              <w:rPr>
                <w:bCs/>
                <w:szCs w:val="24"/>
                <w:lang w:val="en-US" w:eastAsia="lt-LT"/>
              </w:rPr>
              <w:t>pasiūlymo</w:t>
            </w:r>
            <w:proofErr w:type="spellEnd"/>
            <w:r w:rsidRPr="00F9569D">
              <w:rPr>
                <w:bCs/>
                <w:szCs w:val="24"/>
                <w:lang w:val="en-US" w:eastAsia="lt-LT"/>
              </w:rPr>
              <w:t xml:space="preserve"> </w:t>
            </w:r>
            <w:proofErr w:type="spellStart"/>
            <w:r w:rsidRPr="00F9569D">
              <w:rPr>
                <w:bCs/>
                <w:szCs w:val="24"/>
                <w:lang w:val="en-US" w:eastAsia="lt-LT"/>
              </w:rPr>
              <w:t>pateikimo</w:t>
            </w:r>
            <w:proofErr w:type="spellEnd"/>
            <w:r w:rsidRPr="00F9569D">
              <w:rPr>
                <w:bCs/>
                <w:szCs w:val="24"/>
                <w:lang w:val="en-US" w:eastAsia="lt-LT"/>
              </w:rPr>
              <w:t xml:space="preserve"> </w:t>
            </w:r>
            <w:proofErr w:type="spellStart"/>
            <w:r w:rsidRPr="00F9569D">
              <w:rPr>
                <w:bCs/>
                <w:szCs w:val="24"/>
                <w:lang w:val="en-US" w:eastAsia="lt-LT"/>
              </w:rPr>
              <w:t>terminas</w:t>
            </w:r>
            <w:proofErr w:type="spellEnd"/>
            <w:r w:rsidRPr="00F9569D">
              <w:rPr>
                <w:bCs/>
                <w:szCs w:val="24"/>
                <w:lang w:val="en-US" w:eastAsia="lt-LT"/>
              </w:rPr>
              <w:t xml:space="preserve"> </w:t>
            </w:r>
            <w:proofErr w:type="spellStart"/>
            <w:r w:rsidRPr="00F9569D">
              <w:rPr>
                <w:bCs/>
                <w:szCs w:val="24"/>
                <w:lang w:val="en-US" w:eastAsia="lt-LT"/>
              </w:rPr>
              <w:t>leidžia</w:t>
            </w:r>
            <w:proofErr w:type="spellEnd"/>
            <w:r w:rsidRPr="00F9569D">
              <w:rPr>
                <w:bCs/>
                <w:szCs w:val="24"/>
                <w:lang w:val="en-US" w:eastAsia="lt-LT"/>
              </w:rPr>
              <w:t xml:space="preserve"> </w:t>
            </w:r>
            <w:proofErr w:type="spellStart"/>
            <w:r>
              <w:rPr>
                <w:bCs/>
                <w:szCs w:val="24"/>
                <w:lang w:val="en-US" w:eastAsia="lt-LT"/>
              </w:rPr>
              <w:t>naujai</w:t>
            </w:r>
            <w:proofErr w:type="spellEnd"/>
            <w:r>
              <w:rPr>
                <w:bCs/>
                <w:szCs w:val="24"/>
                <w:lang w:val="en-US" w:eastAsia="lt-LT"/>
              </w:rPr>
              <w:t xml:space="preserve"> </w:t>
            </w:r>
            <w:proofErr w:type="spellStart"/>
            <w:r>
              <w:rPr>
                <w:bCs/>
                <w:szCs w:val="24"/>
                <w:lang w:val="en-US" w:eastAsia="lt-LT"/>
              </w:rPr>
              <w:t>prie</w:t>
            </w:r>
            <w:proofErr w:type="spellEnd"/>
            <w:r>
              <w:rPr>
                <w:bCs/>
                <w:szCs w:val="24"/>
                <w:lang w:val="en-US" w:eastAsia="lt-LT"/>
              </w:rPr>
              <w:t xml:space="preserve"> </w:t>
            </w:r>
            <w:proofErr w:type="spellStart"/>
            <w:r>
              <w:rPr>
                <w:bCs/>
                <w:szCs w:val="24"/>
                <w:lang w:val="en-US" w:eastAsia="lt-LT"/>
              </w:rPr>
              <w:t>Pirkimo</w:t>
            </w:r>
            <w:proofErr w:type="spellEnd"/>
            <w:r>
              <w:rPr>
                <w:bCs/>
                <w:szCs w:val="24"/>
                <w:lang w:val="en-US" w:eastAsia="lt-LT"/>
              </w:rPr>
              <w:t xml:space="preserve"> </w:t>
            </w:r>
            <w:proofErr w:type="spellStart"/>
            <w:r>
              <w:rPr>
                <w:bCs/>
                <w:szCs w:val="24"/>
                <w:lang w:val="en-US" w:eastAsia="lt-LT"/>
              </w:rPr>
              <w:t>prisijungusiems</w:t>
            </w:r>
            <w:proofErr w:type="spellEnd"/>
            <w:r>
              <w:rPr>
                <w:bCs/>
                <w:szCs w:val="24"/>
                <w:lang w:val="en-US" w:eastAsia="lt-LT"/>
              </w:rPr>
              <w:t xml:space="preserve"> </w:t>
            </w:r>
            <w:proofErr w:type="spellStart"/>
            <w:r>
              <w:rPr>
                <w:bCs/>
                <w:szCs w:val="24"/>
                <w:lang w:val="en-US" w:eastAsia="lt-LT"/>
              </w:rPr>
              <w:t>tiekėjams</w:t>
            </w:r>
            <w:proofErr w:type="spellEnd"/>
            <w:r>
              <w:rPr>
                <w:bCs/>
                <w:szCs w:val="24"/>
                <w:lang w:val="en-US" w:eastAsia="lt-LT"/>
              </w:rPr>
              <w:t xml:space="preserve"> </w:t>
            </w:r>
            <w:proofErr w:type="spellStart"/>
            <w:r w:rsidRPr="00F9569D">
              <w:rPr>
                <w:bCs/>
                <w:szCs w:val="24"/>
                <w:lang w:val="en-US" w:eastAsia="lt-LT"/>
              </w:rPr>
              <w:t>dalyvauti</w:t>
            </w:r>
            <w:proofErr w:type="spellEnd"/>
            <w:r w:rsidRPr="00F9569D">
              <w:rPr>
                <w:bCs/>
                <w:szCs w:val="24"/>
                <w:lang w:val="en-US" w:eastAsia="lt-LT"/>
              </w:rPr>
              <w:t xml:space="preserve"> </w:t>
            </w:r>
            <w:proofErr w:type="spellStart"/>
            <w:r>
              <w:rPr>
                <w:bCs/>
                <w:szCs w:val="24"/>
                <w:lang w:val="en-US" w:eastAsia="lt-LT"/>
              </w:rPr>
              <w:t>P</w:t>
            </w:r>
            <w:r w:rsidRPr="00F9569D">
              <w:rPr>
                <w:bCs/>
                <w:szCs w:val="24"/>
                <w:lang w:val="en-US" w:eastAsia="lt-LT"/>
              </w:rPr>
              <w:t>irkime</w:t>
            </w:r>
            <w:proofErr w:type="spellEnd"/>
            <w:r w:rsidRPr="00F9569D">
              <w:rPr>
                <w:bCs/>
                <w:szCs w:val="24"/>
                <w:lang w:val="en-US" w:eastAsia="lt-LT"/>
              </w:rPr>
              <w:t xml:space="preserve"> </w:t>
            </w:r>
            <w:proofErr w:type="spellStart"/>
            <w:r w:rsidRPr="00F9569D">
              <w:rPr>
                <w:bCs/>
                <w:szCs w:val="24"/>
                <w:lang w:val="en-US" w:eastAsia="lt-LT"/>
              </w:rPr>
              <w:t>lygiomis</w:t>
            </w:r>
            <w:proofErr w:type="spellEnd"/>
            <w:r w:rsidRPr="00F9569D">
              <w:rPr>
                <w:bCs/>
                <w:szCs w:val="24"/>
                <w:lang w:val="en-US" w:eastAsia="lt-LT"/>
              </w:rPr>
              <w:t xml:space="preserve"> </w:t>
            </w:r>
            <w:proofErr w:type="spellStart"/>
            <w:r w:rsidRPr="00F9569D">
              <w:rPr>
                <w:bCs/>
                <w:szCs w:val="24"/>
                <w:lang w:val="en-US" w:eastAsia="lt-LT"/>
              </w:rPr>
              <w:t>teisėmis</w:t>
            </w:r>
            <w:proofErr w:type="spellEnd"/>
            <w:r w:rsidR="00FE4D8C">
              <w:rPr>
                <w:bCs/>
                <w:szCs w:val="24"/>
                <w:lang w:val="en-US" w:eastAsia="lt-LT"/>
              </w:rPr>
              <w:t xml:space="preserve">. </w:t>
            </w:r>
            <w:proofErr w:type="spellStart"/>
            <w:r w:rsidR="00FE4D8C" w:rsidRPr="00FE4D8C">
              <w:rPr>
                <w:bCs/>
                <w:szCs w:val="24"/>
                <w:lang w:val="en-US" w:eastAsia="lt-LT"/>
              </w:rPr>
              <w:t>Tokiu</w:t>
            </w:r>
            <w:proofErr w:type="spellEnd"/>
            <w:r w:rsidR="00FE4D8C" w:rsidRPr="00FE4D8C">
              <w:rPr>
                <w:bCs/>
                <w:szCs w:val="24"/>
                <w:lang w:val="en-US" w:eastAsia="lt-LT"/>
              </w:rPr>
              <w:t xml:space="preserve"> </w:t>
            </w:r>
            <w:proofErr w:type="spellStart"/>
            <w:r w:rsidR="00FE4D8C" w:rsidRPr="00FE4D8C">
              <w:rPr>
                <w:bCs/>
                <w:szCs w:val="24"/>
                <w:lang w:val="en-US" w:eastAsia="lt-LT"/>
              </w:rPr>
              <w:t>būdu</w:t>
            </w:r>
            <w:proofErr w:type="spellEnd"/>
            <w:r w:rsidR="00FE4D8C" w:rsidRPr="00FE4D8C">
              <w:rPr>
                <w:bCs/>
                <w:szCs w:val="24"/>
                <w:lang w:val="en-US" w:eastAsia="lt-LT"/>
              </w:rPr>
              <w:t xml:space="preserve"> </w:t>
            </w:r>
            <w:proofErr w:type="spellStart"/>
            <w:r w:rsidR="00FE4D8C" w:rsidRPr="00FE4D8C">
              <w:rPr>
                <w:bCs/>
                <w:szCs w:val="24"/>
                <w:lang w:val="en-US" w:eastAsia="lt-LT"/>
              </w:rPr>
              <w:t>Perkančioji</w:t>
            </w:r>
            <w:proofErr w:type="spellEnd"/>
            <w:r w:rsidR="00FE4D8C" w:rsidRPr="00FE4D8C">
              <w:rPr>
                <w:bCs/>
                <w:szCs w:val="24"/>
                <w:lang w:val="en-US" w:eastAsia="lt-LT"/>
              </w:rPr>
              <w:t xml:space="preserve"> </w:t>
            </w:r>
            <w:proofErr w:type="spellStart"/>
            <w:r w:rsidR="00FE4D8C" w:rsidRPr="00FE4D8C">
              <w:rPr>
                <w:bCs/>
                <w:szCs w:val="24"/>
                <w:lang w:val="en-US" w:eastAsia="lt-LT"/>
              </w:rPr>
              <w:t>organizacija</w:t>
            </w:r>
            <w:proofErr w:type="spellEnd"/>
            <w:r w:rsidR="00FE4D8C" w:rsidRPr="00FE4D8C">
              <w:rPr>
                <w:bCs/>
                <w:szCs w:val="24"/>
                <w:lang w:val="en-US" w:eastAsia="lt-LT"/>
              </w:rPr>
              <w:t xml:space="preserve"> </w:t>
            </w:r>
            <w:proofErr w:type="spellStart"/>
            <w:r w:rsidR="00FE4D8C" w:rsidRPr="00FE4D8C">
              <w:rPr>
                <w:bCs/>
                <w:szCs w:val="24"/>
                <w:lang w:val="en-US" w:eastAsia="lt-LT"/>
              </w:rPr>
              <w:t>nepažeidė</w:t>
            </w:r>
            <w:proofErr w:type="spellEnd"/>
            <w:r w:rsidR="00FE4D8C" w:rsidRPr="00FE4D8C">
              <w:rPr>
                <w:bCs/>
                <w:szCs w:val="24"/>
                <w:lang w:val="en-US" w:eastAsia="lt-LT"/>
              </w:rPr>
              <w:t xml:space="preserve"> </w:t>
            </w:r>
            <w:proofErr w:type="spellStart"/>
            <w:r w:rsidR="00FE4D8C" w:rsidRPr="00FE4D8C">
              <w:rPr>
                <w:bCs/>
                <w:szCs w:val="24"/>
                <w:lang w:val="en-US" w:eastAsia="lt-LT"/>
              </w:rPr>
              <w:t>tiekėjų</w:t>
            </w:r>
            <w:proofErr w:type="spellEnd"/>
            <w:r w:rsidR="00FE4D8C" w:rsidRPr="00FE4D8C">
              <w:rPr>
                <w:bCs/>
                <w:szCs w:val="24"/>
                <w:lang w:val="en-US" w:eastAsia="lt-LT"/>
              </w:rPr>
              <w:t xml:space="preserve"> </w:t>
            </w:r>
            <w:proofErr w:type="spellStart"/>
            <w:r w:rsidR="00FE4D8C" w:rsidRPr="00FE4D8C">
              <w:rPr>
                <w:bCs/>
                <w:szCs w:val="24"/>
                <w:lang w:val="en-US" w:eastAsia="lt-LT"/>
              </w:rPr>
              <w:t>lygiateisiškumo</w:t>
            </w:r>
            <w:proofErr w:type="spellEnd"/>
            <w:r w:rsidR="00FE4D8C" w:rsidRPr="00FE4D8C">
              <w:rPr>
                <w:bCs/>
                <w:szCs w:val="24"/>
                <w:lang w:val="en-US" w:eastAsia="lt-LT"/>
              </w:rPr>
              <w:t xml:space="preserve"> </w:t>
            </w:r>
            <w:proofErr w:type="spellStart"/>
            <w:r w:rsidR="00FE4D8C" w:rsidRPr="00FE4D8C">
              <w:rPr>
                <w:bCs/>
                <w:szCs w:val="24"/>
                <w:lang w:val="en-US" w:eastAsia="lt-LT"/>
              </w:rPr>
              <w:t>ir</w:t>
            </w:r>
            <w:proofErr w:type="spellEnd"/>
            <w:r w:rsidR="00FE4D8C" w:rsidRPr="00FE4D8C">
              <w:rPr>
                <w:bCs/>
                <w:szCs w:val="24"/>
                <w:lang w:val="en-US" w:eastAsia="lt-LT"/>
              </w:rPr>
              <w:t xml:space="preserve"> </w:t>
            </w:r>
            <w:proofErr w:type="spellStart"/>
            <w:r w:rsidR="00FE4D8C" w:rsidRPr="00FE4D8C">
              <w:rPr>
                <w:bCs/>
                <w:szCs w:val="24"/>
                <w:lang w:val="en-US" w:eastAsia="lt-LT"/>
              </w:rPr>
              <w:t>skaidrumo</w:t>
            </w:r>
            <w:proofErr w:type="spellEnd"/>
            <w:r w:rsidR="00FE4D8C" w:rsidRPr="00FE4D8C">
              <w:rPr>
                <w:bCs/>
                <w:szCs w:val="24"/>
                <w:lang w:val="en-US" w:eastAsia="lt-LT"/>
              </w:rPr>
              <w:t xml:space="preserve"> </w:t>
            </w:r>
            <w:proofErr w:type="spellStart"/>
            <w:r w:rsidR="00FE4D8C" w:rsidRPr="00FE4D8C">
              <w:rPr>
                <w:bCs/>
                <w:szCs w:val="24"/>
                <w:lang w:val="en-US" w:eastAsia="lt-LT"/>
              </w:rPr>
              <w:t>principų</w:t>
            </w:r>
            <w:proofErr w:type="spellEnd"/>
            <w:r>
              <w:rPr>
                <w:bCs/>
                <w:szCs w:val="24"/>
                <w:lang w:val="en-US" w:eastAsia="lt-LT"/>
              </w:rPr>
              <w:t>;</w:t>
            </w:r>
          </w:p>
          <w:bookmarkEnd w:id="3"/>
          <w:p w14:paraId="35617109" w14:textId="279048A2" w:rsidR="00BD48AC" w:rsidRPr="00BE0EB6" w:rsidRDefault="00BD48AC" w:rsidP="00BD48AC">
            <w:pPr>
              <w:jc w:val="both"/>
              <w:rPr>
                <w:bCs/>
                <w:szCs w:val="24"/>
                <w:lang w:eastAsia="lt-LT"/>
              </w:rPr>
            </w:pPr>
            <w:r>
              <w:rPr>
                <w:bCs/>
                <w:szCs w:val="24"/>
                <w:lang w:val="en-US" w:eastAsia="lt-LT"/>
              </w:rPr>
              <w:t xml:space="preserve">      4) </w:t>
            </w:r>
            <w:proofErr w:type="spellStart"/>
            <w:r>
              <w:rPr>
                <w:bCs/>
                <w:szCs w:val="24"/>
                <w:lang w:val="en-US" w:eastAsia="lt-LT"/>
              </w:rPr>
              <w:t>Įstatymo</w:t>
            </w:r>
            <w:proofErr w:type="spellEnd"/>
            <w:r>
              <w:rPr>
                <w:bCs/>
                <w:szCs w:val="24"/>
                <w:lang w:val="en-US" w:eastAsia="lt-LT"/>
              </w:rPr>
              <w:t xml:space="preserve"> </w:t>
            </w:r>
            <w:r w:rsidRPr="00C45E17">
              <w:rPr>
                <w:bCs/>
                <w:szCs w:val="24"/>
                <w:lang w:eastAsia="lt-LT"/>
              </w:rPr>
              <w:t xml:space="preserve">29 straipsnio 3 dalies </w:t>
            </w:r>
            <w:r>
              <w:rPr>
                <w:bCs/>
                <w:szCs w:val="24"/>
                <w:lang w:eastAsia="lt-LT"/>
              </w:rPr>
              <w:t xml:space="preserve">nuostatos įpareigoja </w:t>
            </w:r>
            <w:r w:rsidRPr="00C45E17">
              <w:rPr>
                <w:bCs/>
                <w:szCs w:val="24"/>
                <w:lang w:eastAsia="lt-LT"/>
              </w:rPr>
              <w:t>perkanči</w:t>
            </w:r>
            <w:r>
              <w:rPr>
                <w:bCs/>
                <w:szCs w:val="24"/>
                <w:lang w:eastAsia="lt-LT"/>
              </w:rPr>
              <w:t>ąsias</w:t>
            </w:r>
            <w:r w:rsidRPr="00C45E17">
              <w:rPr>
                <w:bCs/>
                <w:szCs w:val="24"/>
                <w:lang w:eastAsia="lt-LT"/>
              </w:rPr>
              <w:t xml:space="preserve"> organizacij</w:t>
            </w:r>
            <w:r>
              <w:rPr>
                <w:bCs/>
                <w:szCs w:val="24"/>
                <w:lang w:eastAsia="lt-LT"/>
              </w:rPr>
              <w:t>a</w:t>
            </w:r>
            <w:r w:rsidRPr="00C45E17">
              <w:rPr>
                <w:bCs/>
                <w:szCs w:val="24"/>
                <w:lang w:eastAsia="lt-LT"/>
              </w:rPr>
              <w:t>s nutraukti viešo pirkimo procedūr</w:t>
            </w:r>
            <w:r w:rsidR="00FA0D80">
              <w:rPr>
                <w:bCs/>
                <w:szCs w:val="24"/>
                <w:lang w:eastAsia="lt-LT"/>
              </w:rPr>
              <w:t>as</w:t>
            </w:r>
            <w:r>
              <w:rPr>
                <w:bCs/>
                <w:szCs w:val="24"/>
                <w:lang w:eastAsia="lt-LT"/>
              </w:rPr>
              <w:t xml:space="preserve"> ir ši jų pareiga </w:t>
            </w:r>
            <w:r w:rsidRPr="00C45E17">
              <w:rPr>
                <w:bCs/>
                <w:szCs w:val="24"/>
                <w:lang w:eastAsia="lt-LT"/>
              </w:rPr>
              <w:t>siejama su sąlyga, kad padaryto pažeidimo negalima ištaisyti</w:t>
            </w:r>
            <w:r w:rsidR="00FA0D80">
              <w:rPr>
                <w:bCs/>
                <w:szCs w:val="24"/>
                <w:lang w:eastAsia="lt-LT"/>
              </w:rPr>
              <w:t xml:space="preserve">. </w:t>
            </w:r>
            <w:r w:rsidRPr="00633590">
              <w:rPr>
                <w:bCs/>
                <w:szCs w:val="24"/>
                <w:lang w:eastAsia="lt-LT"/>
              </w:rPr>
              <w:t>Padėtis arba situacija, kurios negalima ištaisyti, turėtų būti siejama su dviem pagrindiniais testais, kurie taikomi viešųjų pirkimų praktikoje. Pirma, ar, jeigu tokia padėtis nebūtų buvusi, yra realių prielaidų teigti, kad viešajame pirkime galėjo būti didesnė ir intensyvesnė konkurencija, jame būtų dalyvavę daugiau tiekėjų. Antra, ar, jeigu tokia padėtis nebūtų buvusi, yra realių prielaidų teigti, kad viešajame pirkime dalyvavę tiekėjai (pirkimo dalyviai) būtų pateikę kitokius pasiūlymus, t. y. ar padarytas perkančiosios organizacijos pažeidimas galėjo arba realiai turėjo įtakos pirkimo dalyvių ekonominiam elgesiui.</w:t>
            </w:r>
            <w:r w:rsidRPr="00633590">
              <w:rPr>
                <w:bCs/>
                <w:i/>
                <w:iCs/>
                <w:szCs w:val="24"/>
                <w:lang w:eastAsia="lt-LT"/>
              </w:rPr>
              <w:t> </w:t>
            </w:r>
          </w:p>
          <w:p w14:paraId="763A4247" w14:textId="4D37D516" w:rsidR="00BD48AC" w:rsidRPr="00BE0EB6" w:rsidRDefault="00BD48AC" w:rsidP="00BD48AC">
            <w:pPr>
              <w:jc w:val="both"/>
              <w:rPr>
                <w:bCs/>
                <w:szCs w:val="24"/>
                <w:lang w:eastAsia="lt-LT"/>
              </w:rPr>
            </w:pPr>
            <w:r w:rsidRPr="00BE0EB6">
              <w:rPr>
                <w:bCs/>
                <w:szCs w:val="24"/>
                <w:lang w:eastAsia="lt-LT"/>
              </w:rPr>
              <w:t xml:space="preserve">        Pažymėtina, kad, pirma, </w:t>
            </w:r>
            <w:r w:rsidR="00815DF4" w:rsidRPr="00BE0EB6">
              <w:rPr>
                <w:bCs/>
                <w:szCs w:val="24"/>
                <w:lang w:eastAsia="lt-LT"/>
              </w:rPr>
              <w:t xml:space="preserve">nėra </w:t>
            </w:r>
            <w:r w:rsidR="006859AC" w:rsidRPr="00BE0EB6">
              <w:rPr>
                <w:bCs/>
                <w:szCs w:val="24"/>
                <w:lang w:eastAsia="lt-LT"/>
              </w:rPr>
              <w:t>pagrindo</w:t>
            </w:r>
            <w:r w:rsidR="00815DF4" w:rsidRPr="00BE0EB6">
              <w:rPr>
                <w:bCs/>
                <w:szCs w:val="24"/>
                <w:lang w:eastAsia="lt-LT"/>
              </w:rPr>
              <w:t xml:space="preserve"> teigti, </w:t>
            </w:r>
            <w:r w:rsidR="006859AC" w:rsidRPr="00BE0EB6">
              <w:rPr>
                <w:bCs/>
                <w:szCs w:val="24"/>
                <w:lang w:eastAsia="lt-LT"/>
              </w:rPr>
              <w:t>jog</w:t>
            </w:r>
            <w:r w:rsidR="00815DF4" w:rsidRPr="00BE0EB6">
              <w:rPr>
                <w:bCs/>
                <w:szCs w:val="24"/>
                <w:lang w:eastAsia="lt-LT"/>
              </w:rPr>
              <w:t xml:space="preserve"> </w:t>
            </w:r>
            <w:r w:rsidRPr="00BE0EB6">
              <w:rPr>
                <w:bCs/>
                <w:szCs w:val="24"/>
                <w:lang w:eastAsia="lt-LT"/>
              </w:rPr>
              <w:t>tiekėjų padėtis</w:t>
            </w:r>
            <w:r w:rsidR="006859AC" w:rsidRPr="00BE0EB6">
              <w:rPr>
                <w:bCs/>
                <w:szCs w:val="24"/>
                <w:lang w:eastAsia="lt-LT"/>
              </w:rPr>
              <w:t>,</w:t>
            </w:r>
            <w:r w:rsidRPr="00BE0EB6">
              <w:rPr>
                <w:bCs/>
                <w:szCs w:val="24"/>
                <w:lang w:eastAsia="lt-LT"/>
              </w:rPr>
              <w:t xml:space="preserve"> </w:t>
            </w:r>
            <w:r w:rsidR="00815DF4" w:rsidRPr="00BE0EB6">
              <w:rPr>
                <w:bCs/>
                <w:szCs w:val="24"/>
                <w:lang w:eastAsia="lt-LT"/>
              </w:rPr>
              <w:t xml:space="preserve">patikslinus </w:t>
            </w:r>
            <w:r w:rsidRPr="00BE0EB6">
              <w:rPr>
                <w:bCs/>
                <w:szCs w:val="24"/>
                <w:lang w:eastAsia="lt-LT"/>
              </w:rPr>
              <w:t>Kvalifikacijos reikalavimą</w:t>
            </w:r>
            <w:r w:rsidR="006859AC" w:rsidRPr="00BE0EB6">
              <w:rPr>
                <w:bCs/>
                <w:szCs w:val="24"/>
                <w:lang w:eastAsia="lt-LT"/>
              </w:rPr>
              <w:t xml:space="preserve">, pasikeistų taip, kad </w:t>
            </w:r>
            <w:r w:rsidRPr="00BE0EB6">
              <w:rPr>
                <w:bCs/>
                <w:szCs w:val="24"/>
                <w:lang w:eastAsia="lt-LT"/>
              </w:rPr>
              <w:t>Pirkime būtų didesnė ir intensyvesnė konkurencija, kadangi tiekėjai</w:t>
            </w:r>
            <w:r w:rsidR="0001158F" w:rsidRPr="00BE0EB6">
              <w:rPr>
                <w:bCs/>
                <w:szCs w:val="24"/>
                <w:lang w:eastAsia="lt-LT"/>
              </w:rPr>
              <w:t>,</w:t>
            </w:r>
            <w:r w:rsidRPr="00BE0EB6">
              <w:rPr>
                <w:bCs/>
                <w:szCs w:val="24"/>
                <w:lang w:eastAsia="lt-LT"/>
              </w:rPr>
              <w:t xml:space="preserve"> </w:t>
            </w:r>
            <w:r w:rsidR="006859AC" w:rsidRPr="00BE0EB6">
              <w:rPr>
                <w:bCs/>
                <w:szCs w:val="24"/>
                <w:lang w:eastAsia="lt-LT"/>
              </w:rPr>
              <w:t>ketinantys dalyvauti Pirkime</w:t>
            </w:r>
            <w:r w:rsidR="0001158F" w:rsidRPr="00BE0EB6">
              <w:rPr>
                <w:bCs/>
                <w:szCs w:val="24"/>
                <w:lang w:eastAsia="lt-LT"/>
              </w:rPr>
              <w:t>,</w:t>
            </w:r>
            <w:r w:rsidR="006859AC" w:rsidRPr="00BE0EB6">
              <w:rPr>
                <w:bCs/>
                <w:szCs w:val="24"/>
                <w:lang w:eastAsia="lt-LT"/>
              </w:rPr>
              <w:t xml:space="preserve"> </w:t>
            </w:r>
            <w:r w:rsidRPr="00BE0EB6">
              <w:rPr>
                <w:bCs/>
                <w:szCs w:val="24"/>
                <w:lang w:eastAsia="lt-LT"/>
              </w:rPr>
              <w:t xml:space="preserve">yra savo srities profesionalai, kurie </w:t>
            </w:r>
            <w:r w:rsidR="0001158F" w:rsidRPr="00BE0EB6">
              <w:rPr>
                <w:bCs/>
                <w:szCs w:val="24"/>
                <w:lang w:eastAsia="lt-LT"/>
              </w:rPr>
              <w:t>vykdo</w:t>
            </w:r>
            <w:r w:rsidRPr="00BE0EB6">
              <w:rPr>
                <w:bCs/>
                <w:szCs w:val="24"/>
                <w:lang w:eastAsia="lt-LT"/>
              </w:rPr>
              <w:t xml:space="preserve"> statybos darb</w:t>
            </w:r>
            <w:r w:rsidR="0001158F" w:rsidRPr="00BE0EB6">
              <w:rPr>
                <w:bCs/>
                <w:szCs w:val="24"/>
                <w:lang w:eastAsia="lt-LT"/>
              </w:rPr>
              <w:t>us</w:t>
            </w:r>
            <w:r w:rsidRPr="00BE0EB6">
              <w:rPr>
                <w:bCs/>
                <w:szCs w:val="24"/>
                <w:lang w:eastAsia="lt-LT"/>
              </w:rPr>
              <w:t xml:space="preserve"> (nauja</w:t>
            </w:r>
            <w:r w:rsidR="00451A5F" w:rsidRPr="00BE0EB6">
              <w:rPr>
                <w:bCs/>
                <w:szCs w:val="24"/>
                <w:lang w:eastAsia="lt-LT"/>
              </w:rPr>
              <w:t xml:space="preserve"> </w:t>
            </w:r>
            <w:r w:rsidRPr="00BE0EB6">
              <w:rPr>
                <w:bCs/>
                <w:szCs w:val="24"/>
                <w:lang w:eastAsia="lt-LT"/>
              </w:rPr>
              <w:t>statyba, rekonstrukcija, kapitalin</w:t>
            </w:r>
            <w:r w:rsidR="00451A5F" w:rsidRPr="00BE0EB6">
              <w:rPr>
                <w:bCs/>
                <w:szCs w:val="24"/>
                <w:lang w:eastAsia="lt-LT"/>
              </w:rPr>
              <w:t>is remontas</w:t>
            </w:r>
            <w:r w:rsidRPr="00BE0EB6">
              <w:rPr>
                <w:bCs/>
                <w:szCs w:val="24"/>
                <w:lang w:eastAsia="lt-LT"/>
              </w:rPr>
              <w:t xml:space="preserve"> ir pan.) ir geba realiai įvertinti savo turimą patirtį </w:t>
            </w:r>
            <w:r w:rsidR="00D42B1F" w:rsidRPr="00BE0EB6">
              <w:rPr>
                <w:bCs/>
                <w:szCs w:val="24"/>
                <w:lang w:eastAsia="lt-LT"/>
              </w:rPr>
              <w:t>bei</w:t>
            </w:r>
            <w:r w:rsidRPr="00BE0EB6">
              <w:rPr>
                <w:bCs/>
                <w:szCs w:val="24"/>
                <w:lang w:eastAsia="lt-LT"/>
              </w:rPr>
              <w:t xml:space="preserve"> galimybes dalyvauti Pirkime. Be to, kilus, neaiškumų dėl Pirkimo sąlygų (pvz. ar</w:t>
            </w:r>
            <w:r w:rsidR="0001158F" w:rsidRPr="00BE0EB6">
              <w:rPr>
                <w:bCs/>
                <w:szCs w:val="24"/>
                <w:lang w:eastAsia="lt-LT"/>
              </w:rPr>
              <w:t xml:space="preserve"> </w:t>
            </w:r>
            <w:r w:rsidRPr="00BE0EB6">
              <w:rPr>
                <w:bCs/>
                <w:szCs w:val="24"/>
                <w:lang w:eastAsia="lt-LT"/>
              </w:rPr>
              <w:t>įgyta patirtis yra tinkama), tiekėjai gali užduoti klausimus Perkančiajai organizacijai.</w:t>
            </w:r>
            <w:r w:rsidR="006859AC" w:rsidRPr="00BE0EB6">
              <w:rPr>
                <w:bCs/>
                <w:szCs w:val="24"/>
                <w:lang w:eastAsia="lt-LT"/>
              </w:rPr>
              <w:t xml:space="preserve"> Iš CVP IS esančių </w:t>
            </w:r>
            <w:r w:rsidR="006859AC" w:rsidRPr="00BE0EB6">
              <w:rPr>
                <w:bCs/>
                <w:szCs w:val="24"/>
                <w:lang w:eastAsia="lt-LT"/>
              </w:rPr>
              <w:lastRenderedPageBreak/>
              <w:t xml:space="preserve">duomenų matyti, kad tiekėjai nepateikė klausimų </w:t>
            </w:r>
            <w:r w:rsidR="0001158F" w:rsidRPr="00BE0EB6">
              <w:rPr>
                <w:bCs/>
                <w:szCs w:val="24"/>
                <w:lang w:eastAsia="lt-LT"/>
              </w:rPr>
              <w:t xml:space="preserve">Perkančiajai organizacijai </w:t>
            </w:r>
            <w:r w:rsidR="006859AC" w:rsidRPr="00BE0EB6">
              <w:rPr>
                <w:bCs/>
                <w:szCs w:val="24"/>
                <w:lang w:eastAsia="lt-LT"/>
              </w:rPr>
              <w:t>dėl Kvalifikacinio reikalavimo</w:t>
            </w:r>
            <w:r w:rsidR="0001158F" w:rsidRPr="00BE0EB6">
              <w:rPr>
                <w:bCs/>
                <w:szCs w:val="24"/>
                <w:lang w:eastAsia="lt-LT"/>
              </w:rPr>
              <w:t xml:space="preserve"> nustatymo</w:t>
            </w:r>
            <w:r w:rsidR="006859AC" w:rsidRPr="00BE0EB6">
              <w:rPr>
                <w:bCs/>
                <w:szCs w:val="24"/>
                <w:lang w:eastAsia="lt-LT"/>
              </w:rPr>
              <w:t xml:space="preserve">. </w:t>
            </w:r>
            <w:r w:rsidR="001F2C19" w:rsidRPr="00BE0EB6">
              <w:rPr>
                <w:bCs/>
                <w:szCs w:val="24"/>
                <w:lang w:eastAsia="lt-LT"/>
              </w:rPr>
              <w:t>Be to, Tarnybai pateiktuose paaiškinimuose</w:t>
            </w:r>
            <w:r>
              <w:rPr>
                <w:rStyle w:val="FootnoteReference"/>
                <w:bCs/>
                <w:szCs w:val="24"/>
                <w:lang w:val="en-US" w:eastAsia="lt-LT"/>
              </w:rPr>
              <w:footnoteReference w:id="10"/>
            </w:r>
            <w:r w:rsidR="001F2C19" w:rsidRPr="00BE0EB6">
              <w:rPr>
                <w:bCs/>
                <w:szCs w:val="24"/>
                <w:lang w:eastAsia="lt-LT"/>
              </w:rPr>
              <w:t xml:space="preserve"> Perkančioji organizacija nurodo, kad </w:t>
            </w:r>
            <w:r w:rsidR="001F2C19" w:rsidRPr="001F2C19">
              <w:rPr>
                <w:bCs/>
                <w:i/>
                <w:iCs/>
                <w:szCs w:val="24"/>
                <w:lang w:eastAsia="lt-LT"/>
              </w:rPr>
              <w:t>„&lt;..&gt; leidus tiekėjams patirtį įrodyti ir patirtimi įgyta vykdant rekonstrukcijos darbus</w:t>
            </w:r>
            <w:r w:rsidR="001F2C19">
              <w:rPr>
                <w:bCs/>
                <w:i/>
                <w:iCs/>
                <w:szCs w:val="24"/>
                <w:lang w:eastAsia="lt-LT"/>
              </w:rPr>
              <w:t xml:space="preserve"> niekaip neprasiplėtė tinkamos patirties vertinimo spektras</w:t>
            </w:r>
            <w:r w:rsidR="00F92A58">
              <w:rPr>
                <w:bCs/>
                <w:i/>
                <w:iCs/>
                <w:szCs w:val="24"/>
                <w:lang w:eastAsia="lt-LT"/>
              </w:rPr>
              <w:t>, nes net nepatikslinus Pirkimo sąlygų 39.1 p. reikalavimų, Projekto vykdytojas gavęs pasiūlymą iš dalyvio kuris turi patirtį „rekonstravimo“ darbuose privalėtų pasiūlymą priimti kaip atitinkantį šį reikalavimą, nes statybų rangovas atlikęs „rekonstravimo“ darbus vienareikšmiškai atitinka žemesnio lygio darbų patirties reikalavimą „kapitalinis remontas“, nes pagal Lietuvos Respublikos statybos įstatymo 2 str. nuostatas, atliekant rekonstravimo darbus neišvengiamai buvo atliekami žemesnės kategorijos kapitalinio remonto darbai, vadinasi toks tiekėjas tikrai turi patirtį atliekant kapitalinio remonto darbus &lt;..&gt;“,</w:t>
            </w:r>
            <w:r w:rsidRPr="00BE0EB6">
              <w:rPr>
                <w:bCs/>
                <w:szCs w:val="24"/>
                <w:lang w:eastAsia="lt-LT"/>
              </w:rPr>
              <w:t xml:space="preserve"> kas, šiuo konkrečiu atveju, reiškia, kad potencialių tiekėjų ratas realiai nepakito. Antra, Pirkimu susidomėjo šeši tiekėjai. Pasiūlymus Pirkimui pateikė du tiekėjai, iš kurių: vien</w:t>
            </w:r>
            <w:r w:rsidR="0090020C" w:rsidRPr="00BE0EB6">
              <w:rPr>
                <w:bCs/>
                <w:szCs w:val="24"/>
                <w:lang w:eastAsia="lt-LT"/>
              </w:rPr>
              <w:t>o</w:t>
            </w:r>
            <w:r w:rsidRPr="00BE0EB6">
              <w:rPr>
                <w:bCs/>
                <w:szCs w:val="24"/>
                <w:lang w:eastAsia="lt-LT"/>
              </w:rPr>
              <w:t xml:space="preserve"> tiekėjo pasiūlymas buvo atmestas dėl per didelės pasiūly</w:t>
            </w:r>
            <w:r w:rsidR="004956A5" w:rsidRPr="00BE0EB6">
              <w:rPr>
                <w:bCs/>
                <w:szCs w:val="24"/>
                <w:lang w:eastAsia="lt-LT"/>
              </w:rPr>
              <w:t>tos</w:t>
            </w:r>
            <w:r w:rsidRPr="00BE0EB6">
              <w:rPr>
                <w:bCs/>
                <w:szCs w:val="24"/>
                <w:lang w:eastAsia="lt-LT"/>
              </w:rPr>
              <w:t xml:space="preserve"> kainos, o kitas tiekėjas, kurio pasiūlymas buvo tinkamas, atitiktį Kvalifikaciniam reikalavimui grindė naujos statybos bei kapitalin</w:t>
            </w:r>
            <w:r w:rsidR="0090020C" w:rsidRPr="00BE0EB6">
              <w:rPr>
                <w:bCs/>
                <w:szCs w:val="24"/>
                <w:lang w:eastAsia="lt-LT"/>
              </w:rPr>
              <w:t>io remonto</w:t>
            </w:r>
            <w:r w:rsidRPr="00BE0EB6">
              <w:rPr>
                <w:bCs/>
                <w:szCs w:val="24"/>
                <w:lang w:eastAsia="lt-LT"/>
              </w:rPr>
              <w:t xml:space="preserve"> sutartimis. Taigi, rekonstrukcijos sutartimis tiekėjo patirtis nebuvo grindžiama, kas reiškia, kad </w:t>
            </w:r>
            <w:r w:rsidR="00780CE1" w:rsidRPr="00BE0EB6">
              <w:rPr>
                <w:bCs/>
                <w:szCs w:val="24"/>
                <w:lang w:eastAsia="lt-LT"/>
              </w:rPr>
              <w:t>Kvalifikacinio reikalavimo patikslinimas neturėjo įtakos dalyvio eko</w:t>
            </w:r>
            <w:r w:rsidR="00EB5E49">
              <w:rPr>
                <w:bCs/>
                <w:szCs w:val="24"/>
                <w:lang w:eastAsia="lt-LT"/>
              </w:rPr>
              <w:t>n</w:t>
            </w:r>
            <w:r w:rsidR="00815DF4" w:rsidRPr="00BE0EB6">
              <w:rPr>
                <w:bCs/>
                <w:szCs w:val="24"/>
                <w:lang w:eastAsia="lt-LT"/>
              </w:rPr>
              <w:t>o</w:t>
            </w:r>
            <w:r w:rsidR="00EB5E49">
              <w:rPr>
                <w:bCs/>
                <w:szCs w:val="24"/>
                <w:lang w:eastAsia="lt-LT"/>
              </w:rPr>
              <w:t>m</w:t>
            </w:r>
            <w:r w:rsidR="00815DF4" w:rsidRPr="00BE0EB6">
              <w:rPr>
                <w:bCs/>
                <w:szCs w:val="24"/>
                <w:lang w:eastAsia="lt-LT"/>
              </w:rPr>
              <w:t>iniam elgesiui</w:t>
            </w:r>
            <w:r w:rsidR="007B0B57">
              <w:rPr>
                <w:bCs/>
                <w:szCs w:val="24"/>
                <w:lang w:eastAsia="lt-LT"/>
              </w:rPr>
              <w:t>;</w:t>
            </w:r>
          </w:p>
          <w:p w14:paraId="340DA018" w14:textId="77777777" w:rsidR="00BD48AC" w:rsidRDefault="00BD48AC" w:rsidP="00BD48AC">
            <w:pPr>
              <w:jc w:val="both"/>
              <w:rPr>
                <w:bCs/>
                <w:szCs w:val="24"/>
                <w:lang w:eastAsia="lt-LT"/>
              </w:rPr>
            </w:pPr>
            <w:r w:rsidRPr="006B331F">
              <w:rPr>
                <w:bCs/>
                <w:szCs w:val="24"/>
                <w:lang w:eastAsia="lt-LT"/>
              </w:rPr>
              <w:t xml:space="preserve">      </w:t>
            </w:r>
            <w:r>
              <w:rPr>
                <w:bCs/>
                <w:szCs w:val="24"/>
                <w:lang w:eastAsia="lt-LT"/>
              </w:rPr>
              <w:t xml:space="preserve"> 5) </w:t>
            </w:r>
            <w:r w:rsidRPr="006B331F">
              <w:rPr>
                <w:bCs/>
                <w:szCs w:val="24"/>
                <w:lang w:eastAsia="lt-LT"/>
              </w:rPr>
              <w:t>iš CVP IS esančios informacijos matyti, kad</w:t>
            </w:r>
            <w:r>
              <w:rPr>
                <w:bCs/>
                <w:szCs w:val="24"/>
                <w:lang w:eastAsia="lt-LT"/>
              </w:rPr>
              <w:t xml:space="preserve"> </w:t>
            </w:r>
            <w:r w:rsidRPr="006B331F">
              <w:rPr>
                <w:bCs/>
                <w:szCs w:val="24"/>
                <w:lang w:eastAsia="lt-LT"/>
              </w:rPr>
              <w:t xml:space="preserve">skundų ar pretenzijų dėl </w:t>
            </w:r>
            <w:r>
              <w:rPr>
                <w:bCs/>
                <w:szCs w:val="24"/>
                <w:lang w:eastAsia="lt-LT"/>
              </w:rPr>
              <w:t xml:space="preserve">Kvalifikacinio reikalavimo </w:t>
            </w:r>
            <w:r w:rsidRPr="006B331F">
              <w:rPr>
                <w:bCs/>
                <w:szCs w:val="24"/>
                <w:lang w:eastAsia="lt-LT"/>
              </w:rPr>
              <w:t>pakeitim</w:t>
            </w:r>
            <w:r>
              <w:rPr>
                <w:bCs/>
                <w:szCs w:val="24"/>
                <w:lang w:eastAsia="lt-LT"/>
              </w:rPr>
              <w:t>o</w:t>
            </w:r>
            <w:r w:rsidRPr="006B331F">
              <w:rPr>
                <w:bCs/>
                <w:szCs w:val="24"/>
                <w:lang w:eastAsia="lt-LT"/>
              </w:rPr>
              <w:t xml:space="preserve"> nebuvo gauta.</w:t>
            </w:r>
            <w:r>
              <w:rPr>
                <w:bCs/>
                <w:szCs w:val="24"/>
                <w:lang w:eastAsia="lt-LT"/>
              </w:rPr>
              <w:t xml:space="preserve"> Taip pat nebuvo gauta ir paklausimų dėl tiekėjų atitikties Kvalifikaciniam reikalavimui.</w:t>
            </w:r>
          </w:p>
          <w:p w14:paraId="09C38DC4" w14:textId="77777777" w:rsidR="00BD48AC" w:rsidRDefault="00BD48AC" w:rsidP="00BD48AC">
            <w:pPr>
              <w:jc w:val="both"/>
              <w:rPr>
                <w:bCs/>
                <w:szCs w:val="24"/>
                <w:lang w:eastAsia="lt-LT"/>
              </w:rPr>
            </w:pPr>
            <w:r>
              <w:rPr>
                <w:bCs/>
                <w:szCs w:val="24"/>
                <w:lang w:eastAsia="lt-LT"/>
              </w:rPr>
              <w:t xml:space="preserve">      </w:t>
            </w:r>
            <w:r w:rsidRPr="00D8085D">
              <w:rPr>
                <w:bCs/>
                <w:szCs w:val="24"/>
                <w:lang w:eastAsia="lt-LT"/>
              </w:rPr>
              <w:t xml:space="preserve">Apibendrinant išdėstytą, Tarnyba, vadovaudamasi protingumo ir teisingumo kriterijais, konstatuoja, kad Perkančioji organizacija, patikslinusi </w:t>
            </w:r>
            <w:r>
              <w:rPr>
                <w:bCs/>
                <w:szCs w:val="24"/>
                <w:lang w:eastAsia="lt-LT"/>
              </w:rPr>
              <w:t>Kvalifikacinį reikalavimą</w:t>
            </w:r>
            <w:r w:rsidRPr="00D8085D">
              <w:rPr>
                <w:bCs/>
                <w:szCs w:val="24"/>
                <w:lang w:eastAsia="lt-LT"/>
              </w:rPr>
              <w:t>, atliko neesminius Pirkimo dokumentų pakeitimus, kurie neturėjo</w:t>
            </w:r>
            <w:r>
              <w:rPr>
                <w:bCs/>
                <w:szCs w:val="24"/>
                <w:lang w:eastAsia="lt-LT"/>
              </w:rPr>
              <w:t xml:space="preserve"> </w:t>
            </w:r>
            <w:r w:rsidRPr="00D8085D">
              <w:rPr>
                <w:bCs/>
                <w:szCs w:val="24"/>
                <w:lang w:eastAsia="lt-LT"/>
              </w:rPr>
              <w:t xml:space="preserve">įtakos Pirkimo rezultatui, todėl Perkančioji organizacija neturėjo prievolės nutraukti Pirkimą ir skelbti jį iš naujo. </w:t>
            </w:r>
            <w:r>
              <w:rPr>
                <w:bCs/>
                <w:szCs w:val="24"/>
                <w:lang w:eastAsia="lt-LT"/>
              </w:rPr>
              <w:t xml:space="preserve">    </w:t>
            </w:r>
          </w:p>
          <w:p w14:paraId="7701F1EC" w14:textId="2E2251E6" w:rsidR="00BD48AC" w:rsidRPr="000745A7" w:rsidRDefault="00BD48AC" w:rsidP="00BD48AC">
            <w:pPr>
              <w:ind w:right="113"/>
              <w:jc w:val="both"/>
              <w:rPr>
                <w:szCs w:val="24"/>
              </w:rPr>
            </w:pPr>
            <w:r>
              <w:rPr>
                <w:bCs/>
                <w:szCs w:val="24"/>
                <w:lang w:eastAsia="lt-LT"/>
              </w:rPr>
              <w:t xml:space="preserve">      </w:t>
            </w:r>
            <w:r w:rsidRPr="00D8085D">
              <w:rPr>
                <w:bCs/>
                <w:szCs w:val="24"/>
                <w:lang w:eastAsia="lt-LT"/>
              </w:rPr>
              <w:t xml:space="preserve">Atsižvelgiant į išdėstytą, Tarnyba, dalinio Pirkimo vertinimo metu, Įstatymo nuostatų pažeidimų nenustatė.      </w:t>
            </w:r>
          </w:p>
        </w:tc>
      </w:tr>
    </w:tbl>
    <w:p w14:paraId="1E01068B" w14:textId="38E6968B" w:rsidR="007A09FC" w:rsidRPr="000745A7" w:rsidRDefault="007A09FC" w:rsidP="00026B3D">
      <w:pPr>
        <w:jc w:val="both"/>
        <w:rPr>
          <w:szCs w:val="24"/>
          <w:lang w:eastAsia="lt-LT"/>
        </w:rPr>
      </w:pPr>
    </w:p>
    <w:p w14:paraId="26049219" w14:textId="4202A81B" w:rsidR="00FE6609" w:rsidRPr="000745A7" w:rsidRDefault="00FE6609" w:rsidP="00B96629">
      <w:pPr>
        <w:jc w:val="center"/>
        <w:rPr>
          <w:b/>
          <w:szCs w:val="24"/>
          <w:lang w:eastAsia="lt-LT"/>
        </w:rPr>
      </w:pPr>
      <w:r w:rsidRPr="000745A7">
        <w:rPr>
          <w:b/>
          <w:szCs w:val="24"/>
          <w:lang w:eastAsia="lt-LT"/>
        </w:rPr>
        <w:t>Pastabos</w:t>
      </w:r>
    </w:p>
    <w:p w14:paraId="18659391" w14:textId="6EF0D08A" w:rsidR="00FE6609" w:rsidRPr="000745A7" w:rsidRDefault="009D2105" w:rsidP="00FE6609">
      <w:pPr>
        <w:rPr>
          <w:b/>
          <w:szCs w:val="24"/>
          <w:lang w:eastAsia="lt-LT"/>
        </w:rPr>
      </w:pPr>
      <w:r w:rsidRPr="000745A7">
        <w:rPr>
          <w:b/>
          <w:szCs w:val="24"/>
          <w:lang w:eastAsia="lt-LT"/>
        </w:rPr>
        <w:t xml:space="preserve"> </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A90AF7" w:rsidRPr="000745A7" w14:paraId="57CA6F89" w14:textId="77777777" w:rsidTr="00833921">
        <w:trPr>
          <w:trHeight w:val="247"/>
        </w:trPr>
        <w:tc>
          <w:tcPr>
            <w:tcW w:w="9637" w:type="dxa"/>
            <w:tcBorders>
              <w:top w:val="single" w:sz="4" w:space="0" w:color="auto"/>
              <w:left w:val="single" w:sz="4" w:space="0" w:color="auto"/>
              <w:bottom w:val="single" w:sz="4" w:space="0" w:color="auto"/>
              <w:right w:val="single" w:sz="4" w:space="0" w:color="auto"/>
            </w:tcBorders>
            <w:shd w:val="clear" w:color="auto" w:fill="auto"/>
          </w:tcPr>
          <w:p w14:paraId="377327CB" w14:textId="7E3A1F0C" w:rsidR="00F2242C" w:rsidRPr="000745A7" w:rsidRDefault="001849A7" w:rsidP="001849A7">
            <w:pPr>
              <w:ind w:left="132" w:right="142"/>
              <w:jc w:val="both"/>
              <w:rPr>
                <w:iCs/>
                <w:szCs w:val="24"/>
                <w:lang w:eastAsia="lt-LT"/>
              </w:rPr>
            </w:pPr>
            <w:r>
              <w:rPr>
                <w:bCs/>
                <w:iCs/>
                <w:szCs w:val="24"/>
                <w:lang w:eastAsia="lt-LT"/>
              </w:rPr>
              <w:t xml:space="preserve">     </w:t>
            </w:r>
            <w:r w:rsidR="002F3918" w:rsidRPr="002F3918">
              <w:rPr>
                <w:bCs/>
                <w:iCs/>
                <w:szCs w:val="24"/>
                <w:lang w:eastAsia="lt-LT"/>
              </w:rPr>
              <w:t xml:space="preserve">Pirkimo </w:t>
            </w:r>
            <w:r>
              <w:rPr>
                <w:bCs/>
                <w:iCs/>
                <w:szCs w:val="24"/>
                <w:lang w:eastAsia="lt-LT"/>
              </w:rPr>
              <w:t>dokumentai</w:t>
            </w:r>
            <w:r w:rsidR="002F3918" w:rsidRPr="002F3918">
              <w:rPr>
                <w:bCs/>
                <w:iCs/>
                <w:szCs w:val="24"/>
                <w:lang w:eastAsia="lt-LT"/>
              </w:rPr>
              <w:t xml:space="preserve"> patvirtin</w:t>
            </w:r>
            <w:r w:rsidR="002F3918">
              <w:rPr>
                <w:bCs/>
                <w:iCs/>
                <w:szCs w:val="24"/>
                <w:lang w:eastAsia="lt-LT"/>
              </w:rPr>
              <w:t>t</w:t>
            </w:r>
            <w:r>
              <w:rPr>
                <w:bCs/>
                <w:iCs/>
                <w:szCs w:val="24"/>
                <w:lang w:eastAsia="lt-LT"/>
              </w:rPr>
              <w:t xml:space="preserve">i </w:t>
            </w:r>
            <w:r w:rsidR="002F3918" w:rsidRPr="002F3918">
              <w:rPr>
                <w:bCs/>
                <w:iCs/>
                <w:szCs w:val="24"/>
                <w:lang w:eastAsia="lt-LT"/>
              </w:rPr>
              <w:t>Perkančiosios organizacijos administracijos direktori</w:t>
            </w:r>
            <w:r w:rsidR="007B0B57">
              <w:rPr>
                <w:bCs/>
                <w:iCs/>
                <w:szCs w:val="24"/>
                <w:lang w:eastAsia="lt-LT"/>
              </w:rPr>
              <w:t>a</w:t>
            </w:r>
            <w:r w:rsidR="002F3918" w:rsidRPr="002F3918">
              <w:rPr>
                <w:bCs/>
                <w:iCs/>
                <w:szCs w:val="24"/>
                <w:lang w:eastAsia="lt-LT"/>
              </w:rPr>
              <w:t>us</w:t>
            </w:r>
            <w:r w:rsidR="002F3918">
              <w:rPr>
                <w:bCs/>
                <w:iCs/>
                <w:szCs w:val="24"/>
                <w:lang w:eastAsia="lt-LT"/>
              </w:rPr>
              <w:t xml:space="preserve"> parašu, tačiau nėra aišku, kada </w:t>
            </w:r>
            <w:r>
              <w:rPr>
                <w:bCs/>
                <w:iCs/>
                <w:szCs w:val="24"/>
                <w:lang w:eastAsia="lt-LT"/>
              </w:rPr>
              <w:t xml:space="preserve">jie </w:t>
            </w:r>
            <w:r w:rsidR="002F3918">
              <w:rPr>
                <w:bCs/>
                <w:iCs/>
                <w:szCs w:val="24"/>
                <w:lang w:eastAsia="lt-LT"/>
              </w:rPr>
              <w:t>buvo patvirtinti</w:t>
            </w:r>
            <w:r w:rsidR="008E5565">
              <w:rPr>
                <w:bCs/>
                <w:iCs/>
                <w:szCs w:val="24"/>
                <w:lang w:eastAsia="lt-LT"/>
              </w:rPr>
              <w:t xml:space="preserve">, </w:t>
            </w:r>
            <w:r w:rsidR="00F655FF">
              <w:rPr>
                <w:bCs/>
                <w:iCs/>
                <w:szCs w:val="24"/>
                <w:lang w:eastAsia="lt-LT"/>
              </w:rPr>
              <w:t>kas reiškia, jog</w:t>
            </w:r>
            <w:r w:rsidR="008E5565">
              <w:rPr>
                <w:bCs/>
                <w:iCs/>
                <w:szCs w:val="24"/>
                <w:lang w:eastAsia="lt-LT"/>
              </w:rPr>
              <w:t xml:space="preserve"> Pirkimo dokumentai turi įforminimo trūkumų.</w:t>
            </w:r>
            <w:r w:rsidR="002F3918">
              <w:rPr>
                <w:bCs/>
                <w:iCs/>
                <w:szCs w:val="24"/>
                <w:lang w:eastAsia="lt-LT"/>
              </w:rPr>
              <w:t xml:space="preserve"> </w:t>
            </w:r>
          </w:p>
        </w:tc>
      </w:tr>
    </w:tbl>
    <w:p w14:paraId="24B7BD4B" w14:textId="5FCFBE10" w:rsidR="000B6DC9" w:rsidRDefault="000B6DC9" w:rsidP="003B7F96">
      <w:pPr>
        <w:jc w:val="both"/>
        <w:rPr>
          <w:szCs w:val="24"/>
          <w:lang w:eastAsia="lt-LT"/>
        </w:rPr>
      </w:pPr>
    </w:p>
    <w:p w14:paraId="3FBB45CD" w14:textId="77777777" w:rsidR="006D6221" w:rsidRPr="000745A7" w:rsidRDefault="006D6221" w:rsidP="003B7F96">
      <w:pPr>
        <w:jc w:val="both"/>
        <w:rPr>
          <w:szCs w:val="24"/>
          <w:lang w:eastAsia="lt-LT"/>
        </w:rPr>
      </w:pPr>
    </w:p>
    <w:p w14:paraId="71451F34" w14:textId="77777777" w:rsidR="007A09FC" w:rsidRPr="000745A7" w:rsidRDefault="007A09FC" w:rsidP="00823BD8">
      <w:pPr>
        <w:rPr>
          <w:szCs w:val="24"/>
        </w:rPr>
      </w:pPr>
      <w:r w:rsidRPr="000745A7">
        <w:rPr>
          <w:szCs w:val="24"/>
        </w:rPr>
        <w:t>Direktorius                                                                                                                  Darius Vedrickas</w:t>
      </w:r>
    </w:p>
    <w:p w14:paraId="1B53B53C" w14:textId="7E97C60D" w:rsidR="007A09FC" w:rsidRPr="000745A7" w:rsidRDefault="007A09FC" w:rsidP="00823BD8"/>
    <w:p w14:paraId="25FEBEB3" w14:textId="55D20DBB" w:rsidR="000B6DC9" w:rsidRDefault="000B6DC9" w:rsidP="00823BD8"/>
    <w:p w14:paraId="7665B16C" w14:textId="36546B0E" w:rsidR="00805AB0" w:rsidRDefault="00805AB0" w:rsidP="00823BD8"/>
    <w:p w14:paraId="5F9BC470" w14:textId="75CBDA0C" w:rsidR="00805AB0" w:rsidRDefault="00805AB0" w:rsidP="00823BD8"/>
    <w:p w14:paraId="2878E4A3" w14:textId="40E818CE" w:rsidR="00805AB0" w:rsidRDefault="00805AB0" w:rsidP="00823BD8"/>
    <w:p w14:paraId="230C7DA4" w14:textId="313CB826" w:rsidR="00805AB0" w:rsidRDefault="00805AB0" w:rsidP="00823BD8"/>
    <w:p w14:paraId="41275F84" w14:textId="748D6298" w:rsidR="006D6221" w:rsidRDefault="006D6221" w:rsidP="00823BD8"/>
    <w:p w14:paraId="6F0C56DB" w14:textId="476CF04A" w:rsidR="00DD1E6F" w:rsidRDefault="00DD1E6F" w:rsidP="00823BD8"/>
    <w:p w14:paraId="394B33E7" w14:textId="151309C6" w:rsidR="00DD1E6F" w:rsidRDefault="00DD1E6F" w:rsidP="00823BD8"/>
    <w:p w14:paraId="166AB724" w14:textId="17009B20" w:rsidR="00DD1E6F" w:rsidRDefault="00DD1E6F" w:rsidP="00823BD8"/>
    <w:p w14:paraId="0D4BD333" w14:textId="30F20453" w:rsidR="00DD1E6F" w:rsidRDefault="00DD1E6F" w:rsidP="00823BD8"/>
    <w:p w14:paraId="4F9CB1DA" w14:textId="77777777" w:rsidR="00DD1E6F" w:rsidRDefault="00DD1E6F" w:rsidP="00823BD8"/>
    <w:p w14:paraId="656BCEC6" w14:textId="73E86A14" w:rsidR="006D6221" w:rsidRDefault="006D6221" w:rsidP="00823BD8"/>
    <w:p w14:paraId="527A05FF" w14:textId="2E44E0BA" w:rsidR="00805AB0" w:rsidRDefault="00805AB0" w:rsidP="00823BD8"/>
    <w:p w14:paraId="236E184A" w14:textId="51A684C1" w:rsidR="00805AB0" w:rsidRDefault="00805AB0" w:rsidP="00823BD8"/>
    <w:p w14:paraId="177C14EF" w14:textId="15EBC3DB" w:rsidR="00B31778" w:rsidRPr="000745A7" w:rsidRDefault="006A34D2" w:rsidP="007A09FC">
      <w:pPr>
        <w:rPr>
          <w:sz w:val="20"/>
        </w:rPr>
      </w:pPr>
      <w:r w:rsidRPr="000745A7">
        <w:rPr>
          <w:sz w:val="20"/>
        </w:rPr>
        <w:t>Giedrė Almonaitytė, tel. (8 5) 219 7033, mob. 8 (690) 24128, el. p. Giedre.Almonaityte@vpt.lt</w:t>
      </w:r>
    </w:p>
    <w:sectPr w:rsidR="00B31778" w:rsidRPr="000745A7" w:rsidSect="00A53CD1">
      <w:headerReference w:type="even" r:id="rId12"/>
      <w:headerReference w:type="default" r:id="rId13"/>
      <w:footerReference w:type="even" r:id="rId14"/>
      <w:footerReference w:type="default" r:id="rId15"/>
      <w:headerReference w:type="first" r:id="rId16"/>
      <w:footerReference w:type="first" r:id="rId17"/>
      <w:pgSz w:w="11907" w:h="1683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38793" w14:textId="77777777" w:rsidR="0014586A" w:rsidRDefault="0014586A">
      <w:pPr>
        <w:ind w:firstLine="720"/>
        <w:rPr>
          <w:rFonts w:ascii="Arial" w:hAnsi="Arial" w:cs="Arial"/>
          <w:sz w:val="20"/>
          <w:lang w:eastAsia="lt-LT"/>
        </w:rPr>
      </w:pPr>
      <w:r>
        <w:rPr>
          <w:rFonts w:ascii="Arial" w:hAnsi="Arial" w:cs="Arial"/>
          <w:sz w:val="20"/>
          <w:lang w:eastAsia="lt-LT"/>
        </w:rPr>
        <w:separator/>
      </w:r>
    </w:p>
  </w:endnote>
  <w:endnote w:type="continuationSeparator" w:id="0">
    <w:p w14:paraId="61EF8B5A" w14:textId="77777777" w:rsidR="0014586A" w:rsidRDefault="0014586A">
      <w:pPr>
        <w:ind w:firstLine="720"/>
        <w:rPr>
          <w:rFonts w:ascii="Arial" w:hAnsi="Arial" w:cs="Arial"/>
          <w:sz w:val="20"/>
          <w:lang w:eastAsia="lt-LT"/>
        </w:rPr>
      </w:pPr>
      <w:r>
        <w:rPr>
          <w:rFonts w:ascii="Arial" w:hAnsi="Arial"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98C94" w14:textId="77777777" w:rsidR="00FC5CFE" w:rsidRDefault="00FC5CFE">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9566F" w14:textId="77777777" w:rsidR="00FC5CFE" w:rsidRDefault="00FC5CFE">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6C1D6" w14:textId="77777777" w:rsidR="00A53CD1" w:rsidRPr="00BB2F72" w:rsidRDefault="00A53CD1" w:rsidP="00A53CD1">
    <w:pPr>
      <w:pBdr>
        <w:top w:val="single" w:sz="4" w:space="1" w:color="auto"/>
      </w:pBdr>
      <w:rPr>
        <w:sz w:val="18"/>
      </w:rPr>
    </w:pPr>
    <w:r>
      <w:rPr>
        <w:sz w:val="18"/>
      </w:rPr>
      <w:t xml:space="preserve">Biudžetinė įstaiga                                                     Tel.  (8 5) 219 7001                              </w:t>
    </w:r>
    <w:r w:rsidRPr="00E9516F">
      <w:rPr>
        <w:sz w:val="18"/>
      </w:rPr>
      <w:t>Duomenys kaupiami ir saugomi</w:t>
    </w:r>
    <w:r w:rsidRPr="00BB2F72">
      <w:rPr>
        <w:sz w:val="18"/>
      </w:rPr>
      <w:t> </w:t>
    </w:r>
  </w:p>
  <w:p w14:paraId="7166FBC4" w14:textId="0A53A7B7" w:rsidR="00A53CD1" w:rsidRPr="00BB2F72" w:rsidRDefault="00A53CD1" w:rsidP="00A53CD1">
    <w:pPr>
      <w:pBdr>
        <w:top w:val="single" w:sz="4" w:space="1" w:color="auto"/>
      </w:pBdr>
      <w:jc w:val="both"/>
      <w:rPr>
        <w:sz w:val="18"/>
      </w:rPr>
    </w:pPr>
    <w:r>
      <w:rPr>
        <w:sz w:val="18"/>
      </w:rPr>
      <w:t xml:space="preserve">Kareivių g. 1, LT-08351 Vilnius                              Faks. (8 5) 213 6213                            </w:t>
    </w:r>
    <w:r w:rsidRPr="00BB2F72">
      <w:rPr>
        <w:sz w:val="18"/>
      </w:rPr>
      <w:t xml:space="preserve">Juridinių asmenų registre </w:t>
    </w:r>
  </w:p>
  <w:p w14:paraId="16D583EB" w14:textId="31FE7823" w:rsidR="00A53CD1" w:rsidRPr="00BB2F72" w:rsidRDefault="00A53CD1" w:rsidP="00A53CD1">
    <w:pPr>
      <w:pBdr>
        <w:top w:val="single" w:sz="4" w:space="1" w:color="auto"/>
      </w:pBdr>
      <w:jc w:val="both"/>
      <w:rPr>
        <w:sz w:val="18"/>
      </w:rPr>
    </w:pPr>
    <w:r w:rsidRPr="00FD7CCD">
      <w:rPr>
        <w:sz w:val="18"/>
      </w:rPr>
      <w:t>http://www.vpt.l</w:t>
    </w:r>
    <w:r>
      <w:rPr>
        <w:sz w:val="18"/>
      </w:rPr>
      <w:t xml:space="preserve">t                                                      </w:t>
    </w:r>
    <w:proofErr w:type="spellStart"/>
    <w:r>
      <w:rPr>
        <w:sz w:val="18"/>
      </w:rPr>
      <w:t>El.p</w:t>
    </w:r>
    <w:proofErr w:type="spellEnd"/>
    <w:r>
      <w:rPr>
        <w:sz w:val="18"/>
      </w:rPr>
      <w:t xml:space="preserve">. </w:t>
    </w:r>
    <w:proofErr w:type="spellStart"/>
    <w:r>
      <w:rPr>
        <w:sz w:val="18"/>
      </w:rPr>
      <w:t>info@vpt.lt</w:t>
    </w:r>
    <w:proofErr w:type="spellEnd"/>
    <w:r>
      <w:rPr>
        <w:sz w:val="18"/>
      </w:rPr>
      <w:t xml:space="preserve">                              </w:t>
    </w:r>
    <w:r w:rsidRPr="00BB2F72">
      <w:rPr>
        <w:sz w:val="18"/>
      </w:rPr>
      <w:t xml:space="preserve">     </w:t>
    </w:r>
    <w:r>
      <w:rPr>
        <w:sz w:val="18"/>
      </w:rPr>
      <w:t>Kodas 188656261</w:t>
    </w:r>
  </w:p>
  <w:p w14:paraId="06A7D96E" w14:textId="77777777" w:rsidR="00FC5CFE" w:rsidRDefault="00FC5CFE">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2AA5D" w14:textId="77777777" w:rsidR="0014586A" w:rsidRDefault="0014586A">
      <w:pPr>
        <w:ind w:firstLine="720"/>
        <w:rPr>
          <w:rFonts w:ascii="Arial" w:hAnsi="Arial" w:cs="Arial"/>
          <w:sz w:val="20"/>
          <w:lang w:eastAsia="lt-LT"/>
        </w:rPr>
      </w:pPr>
      <w:r>
        <w:rPr>
          <w:rFonts w:ascii="Arial" w:hAnsi="Arial" w:cs="Arial"/>
          <w:sz w:val="20"/>
          <w:lang w:eastAsia="lt-LT"/>
        </w:rPr>
        <w:separator/>
      </w:r>
    </w:p>
  </w:footnote>
  <w:footnote w:type="continuationSeparator" w:id="0">
    <w:p w14:paraId="731FE848" w14:textId="77777777" w:rsidR="0014586A" w:rsidRDefault="0014586A">
      <w:pPr>
        <w:ind w:firstLine="720"/>
        <w:rPr>
          <w:rFonts w:ascii="Arial" w:hAnsi="Arial" w:cs="Arial"/>
          <w:sz w:val="20"/>
          <w:lang w:eastAsia="lt-LT"/>
        </w:rPr>
      </w:pPr>
      <w:r>
        <w:rPr>
          <w:rFonts w:ascii="Arial" w:hAnsi="Arial" w:cs="Arial"/>
          <w:sz w:val="20"/>
          <w:lang w:eastAsia="lt-LT"/>
        </w:rPr>
        <w:continuationSeparator/>
      </w:r>
    </w:p>
  </w:footnote>
  <w:footnote w:id="1">
    <w:p w14:paraId="55C3A62F" w14:textId="3EC754B7" w:rsidR="00183555" w:rsidRDefault="00183555" w:rsidP="00183555">
      <w:pPr>
        <w:pStyle w:val="FootnoteText"/>
      </w:pPr>
      <w:r>
        <w:rPr>
          <w:rStyle w:val="FootnoteReference"/>
        </w:rPr>
        <w:footnoteRef/>
      </w:r>
      <w:r>
        <w:t xml:space="preserve"> </w:t>
      </w:r>
      <w:r w:rsidR="00EE6479" w:rsidRPr="00EE6479">
        <w:t>202</w:t>
      </w:r>
      <w:r w:rsidR="006875BC">
        <w:t>3 m. sausio 3</w:t>
      </w:r>
      <w:r w:rsidR="00EE6479" w:rsidRPr="00EE6479">
        <w:t xml:space="preserve"> d. </w:t>
      </w:r>
      <w:r w:rsidR="006E1801">
        <w:t>CPVA</w:t>
      </w:r>
      <w:r w:rsidR="00EE6479" w:rsidRPr="00EE6479">
        <w:t xml:space="preserve"> raštas Nr.</w:t>
      </w:r>
      <w:r w:rsidR="006E1801">
        <w:t xml:space="preserve"> </w:t>
      </w:r>
      <w:r w:rsidR="006E1801" w:rsidRPr="006E1801">
        <w:t>202</w:t>
      </w:r>
      <w:r w:rsidR="006875BC">
        <w:t>3</w:t>
      </w:r>
      <w:r w:rsidR="006E1801" w:rsidRPr="006E1801">
        <w:t>/2-</w:t>
      </w:r>
      <w:r w:rsidR="006875BC">
        <w:t>46</w:t>
      </w:r>
      <w:r w:rsidR="00396F2D" w:rsidRPr="00396F2D">
        <w:t>.</w:t>
      </w:r>
    </w:p>
  </w:footnote>
  <w:footnote w:id="2">
    <w:p w14:paraId="57DA22C8" w14:textId="570A4BBC" w:rsidR="001B4895" w:rsidRPr="005121D6" w:rsidRDefault="001B4895">
      <w:pPr>
        <w:pStyle w:val="FootnoteText"/>
      </w:pPr>
      <w:r>
        <w:rPr>
          <w:rStyle w:val="FootnoteReference"/>
        </w:rPr>
        <w:footnoteRef/>
      </w:r>
      <w:r>
        <w:t xml:space="preserve"> Žr. išnašą Nr. 1.</w:t>
      </w:r>
    </w:p>
  </w:footnote>
  <w:footnote w:id="3">
    <w:p w14:paraId="75ACB925" w14:textId="3F3A6184" w:rsidR="00BD48AC" w:rsidRDefault="00BD48AC">
      <w:pPr>
        <w:pStyle w:val="FootnoteText"/>
      </w:pPr>
      <w:r>
        <w:rPr>
          <w:rStyle w:val="FootnoteReference"/>
        </w:rPr>
        <w:footnoteRef/>
      </w:r>
      <w:r>
        <w:t xml:space="preserve"> 2022 m. gegužės 4 d. Tarnyb</w:t>
      </w:r>
      <w:r w:rsidR="00334E3F">
        <w:t>os</w:t>
      </w:r>
      <w:r>
        <w:t xml:space="preserve"> el. paštu patei</w:t>
      </w:r>
      <w:r w:rsidR="00334E3F">
        <w:t>kta</w:t>
      </w:r>
      <w:r>
        <w:t xml:space="preserve"> rekomendacij</w:t>
      </w:r>
      <w:r w:rsidR="00334E3F">
        <w:t>a</w:t>
      </w:r>
      <w:r>
        <w:t xml:space="preserve"> Perkančiajai organizacijai.</w:t>
      </w:r>
    </w:p>
  </w:footnote>
  <w:footnote w:id="4">
    <w:p w14:paraId="7E47C36A" w14:textId="77777777" w:rsidR="00BD48AC" w:rsidRDefault="00BD48AC" w:rsidP="006B331F">
      <w:pPr>
        <w:pStyle w:val="FootnoteText"/>
      </w:pPr>
      <w:r>
        <w:rPr>
          <w:rStyle w:val="FootnoteReference"/>
        </w:rPr>
        <w:footnoteRef/>
      </w:r>
      <w:r>
        <w:t xml:space="preserve"> </w:t>
      </w:r>
      <w:r w:rsidRPr="005121D6">
        <w:t>202</w:t>
      </w:r>
      <w:r>
        <w:t>2</w:t>
      </w:r>
      <w:r w:rsidRPr="005121D6">
        <w:t xml:space="preserve"> m. </w:t>
      </w:r>
      <w:r>
        <w:t>gegužės 5</w:t>
      </w:r>
      <w:r w:rsidRPr="005121D6">
        <w:t xml:space="preserve"> d. </w:t>
      </w:r>
      <w:r>
        <w:t>Perkančiosios organizacijos informacinis pranešimas</w:t>
      </w:r>
      <w:r w:rsidRPr="005121D6">
        <w:t xml:space="preserve"> (Pranešimas Nr.</w:t>
      </w:r>
      <w:r>
        <w:t xml:space="preserve"> </w:t>
      </w:r>
      <w:r w:rsidRPr="008645E5">
        <w:t>10517504</w:t>
      </w:r>
      <w:r w:rsidRPr="005121D6">
        <w:t>).</w:t>
      </w:r>
    </w:p>
  </w:footnote>
  <w:footnote w:id="5">
    <w:p w14:paraId="2220A6D5" w14:textId="77777777" w:rsidR="00BD48AC" w:rsidRDefault="00BD48AC" w:rsidP="006B331F">
      <w:pPr>
        <w:pStyle w:val="FootnoteText"/>
      </w:pPr>
      <w:r>
        <w:rPr>
          <w:rStyle w:val="FootnoteReference"/>
        </w:rPr>
        <w:footnoteRef/>
      </w:r>
      <w:r>
        <w:t xml:space="preserve"> </w:t>
      </w:r>
      <w:hyperlink r:id="rId1" w:history="1">
        <w:r w:rsidRPr="00FC5952">
          <w:rPr>
            <w:rStyle w:val="Hyperlink"/>
          </w:rPr>
          <w:t>https://vpt.lrv.lt/lt/naujienos/pirkimo-dokumentu-keitimas-po-ju-paskelbimo</w:t>
        </w:r>
      </w:hyperlink>
      <w:r>
        <w:t>.</w:t>
      </w:r>
    </w:p>
  </w:footnote>
  <w:footnote w:id="6">
    <w:p w14:paraId="33FA93CF" w14:textId="2A3995CD" w:rsidR="003240A7" w:rsidRDefault="003240A7">
      <w:pPr>
        <w:pStyle w:val="FootnoteText"/>
      </w:pPr>
      <w:r>
        <w:rPr>
          <w:rStyle w:val="FootnoteReference"/>
        </w:rPr>
        <w:footnoteRef/>
      </w:r>
      <w:r>
        <w:t xml:space="preserve"> </w:t>
      </w:r>
      <w:r w:rsidRPr="003240A7">
        <w:rPr>
          <w:bCs/>
        </w:rPr>
        <w:t>ESTT 2017 m. balandžio 5 d. Sprendimas UAB „</w:t>
      </w:r>
      <w:proofErr w:type="spellStart"/>
      <w:r w:rsidRPr="003240A7">
        <w:rPr>
          <w:bCs/>
        </w:rPr>
        <w:t>Borta</w:t>
      </w:r>
      <w:proofErr w:type="spellEnd"/>
      <w:r w:rsidRPr="003240A7">
        <w:rPr>
          <w:bCs/>
        </w:rPr>
        <w:t>“ prieš VĮ Klaipėdos valstybinio jūrų uosto direkciją C-298/15</w:t>
      </w:r>
      <w:r>
        <w:rPr>
          <w:bCs/>
        </w:rPr>
        <w:t>.</w:t>
      </w:r>
    </w:p>
  </w:footnote>
  <w:footnote w:id="7">
    <w:p w14:paraId="59ACED74" w14:textId="306FB7CF" w:rsidR="00BD48AC" w:rsidRDefault="00BD48AC">
      <w:pPr>
        <w:pStyle w:val="FootnoteText"/>
      </w:pPr>
      <w:r>
        <w:rPr>
          <w:rStyle w:val="FootnoteReference"/>
        </w:rPr>
        <w:footnoteRef/>
      </w:r>
      <w:r>
        <w:t xml:space="preserve"> </w:t>
      </w:r>
      <w:r w:rsidR="00A9093C">
        <w:t>Statybos į</w:t>
      </w:r>
      <w:r w:rsidR="00A9093C" w:rsidRPr="00A9093C">
        <w:t>statymas (redakcija galiojusi nuo 2022 m. balandžio 1 d. iki 2022 m. balandžio 30 d.).</w:t>
      </w:r>
    </w:p>
  </w:footnote>
  <w:footnote w:id="8">
    <w:p w14:paraId="5A1E5E32" w14:textId="57B261FE" w:rsidR="00BD48AC" w:rsidRDefault="00BD48AC">
      <w:pPr>
        <w:pStyle w:val="FootnoteText"/>
      </w:pPr>
      <w:r>
        <w:rPr>
          <w:rStyle w:val="FootnoteReference"/>
        </w:rPr>
        <w:footnoteRef/>
      </w:r>
      <w:r>
        <w:t xml:space="preserve"> </w:t>
      </w:r>
      <w:r w:rsidR="00F037E3" w:rsidRPr="00F037E3">
        <w:t>2002 m. gruodžio 5</w:t>
      </w:r>
      <w:r w:rsidR="00F037E3">
        <w:t xml:space="preserve"> d. p</w:t>
      </w:r>
      <w:r w:rsidR="00A9093C" w:rsidRPr="00A9093C">
        <w:t xml:space="preserve">atvirtintas Lietuvos Respublikos </w:t>
      </w:r>
      <w:r w:rsidR="00F037E3">
        <w:t>a</w:t>
      </w:r>
      <w:r w:rsidR="00A9093C" w:rsidRPr="00A9093C">
        <w:t>plinkos ministro įsakymu Nr. 622</w:t>
      </w:r>
      <w:r w:rsidR="00A9093C">
        <w:t xml:space="preserve"> (redakcija nuo 2018 m. </w:t>
      </w:r>
      <w:r w:rsidR="00F037E3">
        <w:t>birželio 21 d.).</w:t>
      </w:r>
    </w:p>
  </w:footnote>
  <w:footnote w:id="9">
    <w:p w14:paraId="49145935" w14:textId="10F3A903" w:rsidR="003240A7" w:rsidRDefault="003240A7">
      <w:pPr>
        <w:pStyle w:val="FootnoteText"/>
      </w:pPr>
      <w:r>
        <w:rPr>
          <w:rStyle w:val="FootnoteReference"/>
        </w:rPr>
        <w:footnoteRef/>
      </w:r>
      <w:r>
        <w:t xml:space="preserve"> </w:t>
      </w:r>
      <w:r w:rsidR="006B7A6A" w:rsidRPr="006B7A6A">
        <w:t>LAT 201</w:t>
      </w:r>
      <w:r w:rsidR="006B7A6A">
        <w:t>7</w:t>
      </w:r>
      <w:r w:rsidR="006B7A6A" w:rsidRPr="006B7A6A">
        <w:t xml:space="preserve"> m. </w:t>
      </w:r>
      <w:r w:rsidR="006B7A6A">
        <w:t>birželio 22</w:t>
      </w:r>
      <w:r w:rsidR="006B7A6A" w:rsidRPr="006B7A6A">
        <w:t xml:space="preserve"> d. nutartis civilinėje byloje Nr. e3K-</w:t>
      </w:r>
      <w:r w:rsidR="006B7A6A">
        <w:t>279-690</w:t>
      </w:r>
      <w:r w:rsidR="006B7A6A" w:rsidRPr="006B7A6A">
        <w:t>/201</w:t>
      </w:r>
      <w:r w:rsidR="006B7A6A">
        <w:t>7.</w:t>
      </w:r>
    </w:p>
  </w:footnote>
  <w:footnote w:id="10">
    <w:p w14:paraId="5A1082F2" w14:textId="6FA4051E" w:rsidR="00BD48AC" w:rsidRDefault="00BD48AC">
      <w:pPr>
        <w:pStyle w:val="FootnoteText"/>
      </w:pPr>
      <w:r>
        <w:rPr>
          <w:rStyle w:val="FootnoteReference"/>
        </w:rPr>
        <w:footnoteRef/>
      </w:r>
      <w:r>
        <w:t xml:space="preserve"> </w:t>
      </w:r>
      <w:r w:rsidR="00334E3F">
        <w:t>2022 m. lapkričio 21 d. Perkančiosios organizacijos raštas Nr. R2-1618.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FC352" w14:textId="21422584" w:rsidR="00FC5CFE" w:rsidRDefault="006970CE">
    <w:pPr>
      <w:framePr w:wrap="auto" w:vAnchor="text" w:hAnchor="margin" w:xAlign="center" w:y="1"/>
      <w:tabs>
        <w:tab w:val="center" w:pos="4680"/>
        <w:tab w:val="right" w:pos="9360"/>
      </w:tabs>
      <w:ind w:firstLine="720"/>
      <w:rPr>
        <w:rFonts w:ascii="Arial" w:hAnsi="Arial" w:cs="Arial"/>
        <w:sz w:val="22"/>
        <w:szCs w:val="22"/>
        <w:lang w:eastAsia="lt-LT"/>
      </w:rPr>
    </w:pPr>
    <w:r>
      <w:rPr>
        <w:rFonts w:ascii="Arial" w:hAnsi="Arial" w:cs="Arial"/>
        <w:sz w:val="22"/>
        <w:szCs w:val="22"/>
        <w:lang w:eastAsia="lt-LT"/>
      </w:rPr>
      <w:fldChar w:fldCharType="begin"/>
    </w:r>
    <w:r>
      <w:rPr>
        <w:rFonts w:ascii="Arial" w:hAnsi="Arial" w:cs="Arial"/>
        <w:sz w:val="22"/>
        <w:szCs w:val="22"/>
        <w:lang w:eastAsia="lt-LT"/>
      </w:rPr>
      <w:instrText xml:space="preserve">PAGE  </w:instrText>
    </w:r>
    <w:r>
      <w:rPr>
        <w:rFonts w:ascii="Arial" w:hAnsi="Arial" w:cs="Arial"/>
        <w:sz w:val="22"/>
        <w:szCs w:val="22"/>
        <w:lang w:eastAsia="lt-LT"/>
      </w:rPr>
      <w:fldChar w:fldCharType="separate"/>
    </w:r>
    <w:r w:rsidR="00E201D1">
      <w:rPr>
        <w:rFonts w:ascii="Arial" w:hAnsi="Arial" w:cs="Arial"/>
        <w:noProof/>
        <w:sz w:val="22"/>
        <w:szCs w:val="22"/>
        <w:lang w:eastAsia="lt-LT"/>
      </w:rPr>
      <w:t>1</w:t>
    </w:r>
    <w:r>
      <w:rPr>
        <w:rFonts w:ascii="Arial" w:hAnsi="Arial" w:cs="Arial"/>
        <w:sz w:val="22"/>
        <w:szCs w:val="22"/>
        <w:lang w:eastAsia="lt-LT"/>
      </w:rPr>
      <w:fldChar w:fldCharType="end"/>
    </w:r>
  </w:p>
  <w:p w14:paraId="7154FA53" w14:textId="77777777" w:rsidR="00FC5CFE" w:rsidRDefault="00FC5CFE">
    <w:pPr>
      <w:tabs>
        <w:tab w:val="center" w:pos="4680"/>
        <w:tab w:val="right" w:pos="9360"/>
      </w:tabs>
      <w:ind w:firstLine="720"/>
      <w:rPr>
        <w:rFonts w:ascii="Arial" w:hAnsi="Arial" w:cs="Arial"/>
        <w:sz w:val="22"/>
        <w:szCs w:val="22"/>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B8ADE" w14:textId="77777777" w:rsidR="00FC5CFE" w:rsidRDefault="006970CE">
    <w:pPr>
      <w:framePr w:wrap="auto" w:vAnchor="text" w:hAnchor="margin" w:xAlign="center" w:y="1"/>
      <w:tabs>
        <w:tab w:val="center" w:pos="4680"/>
        <w:tab w:val="right" w:pos="9360"/>
      </w:tabs>
      <w:rPr>
        <w:rFonts w:ascii="Arial" w:hAnsi="Arial" w:cs="Arial"/>
        <w:sz w:val="20"/>
        <w:szCs w:val="22"/>
        <w:lang w:eastAsia="lt-LT"/>
      </w:rPr>
    </w:pPr>
    <w:r>
      <w:rPr>
        <w:rFonts w:ascii="Arial" w:hAnsi="Arial" w:cs="Arial"/>
        <w:sz w:val="20"/>
        <w:szCs w:val="22"/>
        <w:lang w:eastAsia="lt-LT"/>
      </w:rPr>
      <w:fldChar w:fldCharType="begin"/>
    </w:r>
    <w:r>
      <w:rPr>
        <w:rFonts w:ascii="Arial" w:hAnsi="Arial" w:cs="Arial"/>
        <w:sz w:val="20"/>
        <w:szCs w:val="22"/>
        <w:lang w:eastAsia="lt-LT"/>
      </w:rPr>
      <w:instrText xml:space="preserve">PAGE  </w:instrText>
    </w:r>
    <w:r>
      <w:rPr>
        <w:rFonts w:ascii="Arial" w:hAnsi="Arial" w:cs="Arial"/>
        <w:sz w:val="20"/>
        <w:szCs w:val="22"/>
        <w:lang w:eastAsia="lt-LT"/>
      </w:rPr>
      <w:fldChar w:fldCharType="separate"/>
    </w:r>
    <w:r>
      <w:rPr>
        <w:rFonts w:ascii="Arial" w:hAnsi="Arial" w:cs="Arial"/>
        <w:noProof/>
        <w:sz w:val="20"/>
        <w:szCs w:val="22"/>
        <w:lang w:eastAsia="lt-LT"/>
      </w:rPr>
      <w:t>2</w:t>
    </w:r>
    <w:r>
      <w:rPr>
        <w:rFonts w:ascii="Arial" w:hAnsi="Arial" w:cs="Arial"/>
        <w:sz w:val="20"/>
        <w:szCs w:val="22"/>
        <w:lang w:eastAsia="lt-LT"/>
      </w:rPr>
      <w:fldChar w:fldCharType="end"/>
    </w:r>
  </w:p>
  <w:p w14:paraId="022B67AE" w14:textId="77777777" w:rsidR="00FC5CFE" w:rsidRDefault="00FC5CFE">
    <w:pPr>
      <w:tabs>
        <w:tab w:val="center" w:pos="4680"/>
        <w:tab w:val="right" w:pos="9360"/>
      </w:tabs>
      <w:rPr>
        <w:rFonts w:ascii="Arial" w:eastAsia="Calibri" w:hAnsi="Arial" w:cs="Arial"/>
        <w:sz w:val="20"/>
        <w:szCs w:val="22"/>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294C" w14:textId="77777777" w:rsidR="00FC5CFE" w:rsidRDefault="00FC5CFE">
    <w:pPr>
      <w:tabs>
        <w:tab w:val="center" w:pos="4680"/>
        <w:tab w:val="right" w:pos="9360"/>
      </w:tabs>
      <w:ind w:firstLine="720"/>
      <w:rPr>
        <w:rFonts w:ascii="Arial" w:hAnsi="Arial" w:cs="Arial"/>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B7DE9"/>
    <w:multiLevelType w:val="hybridMultilevel"/>
    <w:tmpl w:val="D0F86D30"/>
    <w:lvl w:ilvl="0" w:tplc="106E9294">
      <w:start w:val="1"/>
      <w:numFmt w:val="bullet"/>
      <w:lvlText w:val="-"/>
      <w:lvlJc w:val="left"/>
      <w:pPr>
        <w:ind w:left="1856" w:hanging="360"/>
      </w:pPr>
      <w:rPr>
        <w:rFonts w:ascii="Times New Roman" w:eastAsia="Times New Roman" w:hAnsi="Times New Roman" w:cs="Times New Roman" w:hint="default"/>
      </w:rPr>
    </w:lvl>
    <w:lvl w:ilvl="1" w:tplc="04090003" w:tentative="1">
      <w:start w:val="1"/>
      <w:numFmt w:val="bullet"/>
      <w:lvlText w:val="o"/>
      <w:lvlJc w:val="left"/>
      <w:pPr>
        <w:ind w:left="2576" w:hanging="360"/>
      </w:pPr>
      <w:rPr>
        <w:rFonts w:ascii="Courier New" w:hAnsi="Courier New" w:cs="Courier New" w:hint="default"/>
      </w:rPr>
    </w:lvl>
    <w:lvl w:ilvl="2" w:tplc="04090005" w:tentative="1">
      <w:start w:val="1"/>
      <w:numFmt w:val="bullet"/>
      <w:lvlText w:val=""/>
      <w:lvlJc w:val="left"/>
      <w:pPr>
        <w:ind w:left="3296" w:hanging="360"/>
      </w:pPr>
      <w:rPr>
        <w:rFonts w:ascii="Wingdings" w:hAnsi="Wingdings" w:hint="default"/>
      </w:rPr>
    </w:lvl>
    <w:lvl w:ilvl="3" w:tplc="04090001" w:tentative="1">
      <w:start w:val="1"/>
      <w:numFmt w:val="bullet"/>
      <w:lvlText w:val=""/>
      <w:lvlJc w:val="left"/>
      <w:pPr>
        <w:ind w:left="4016" w:hanging="360"/>
      </w:pPr>
      <w:rPr>
        <w:rFonts w:ascii="Symbol" w:hAnsi="Symbol" w:hint="default"/>
      </w:rPr>
    </w:lvl>
    <w:lvl w:ilvl="4" w:tplc="04090003" w:tentative="1">
      <w:start w:val="1"/>
      <w:numFmt w:val="bullet"/>
      <w:lvlText w:val="o"/>
      <w:lvlJc w:val="left"/>
      <w:pPr>
        <w:ind w:left="4736" w:hanging="360"/>
      </w:pPr>
      <w:rPr>
        <w:rFonts w:ascii="Courier New" w:hAnsi="Courier New" w:cs="Courier New" w:hint="default"/>
      </w:rPr>
    </w:lvl>
    <w:lvl w:ilvl="5" w:tplc="04090005" w:tentative="1">
      <w:start w:val="1"/>
      <w:numFmt w:val="bullet"/>
      <w:lvlText w:val=""/>
      <w:lvlJc w:val="left"/>
      <w:pPr>
        <w:ind w:left="5456" w:hanging="360"/>
      </w:pPr>
      <w:rPr>
        <w:rFonts w:ascii="Wingdings" w:hAnsi="Wingdings" w:hint="default"/>
      </w:rPr>
    </w:lvl>
    <w:lvl w:ilvl="6" w:tplc="04090001" w:tentative="1">
      <w:start w:val="1"/>
      <w:numFmt w:val="bullet"/>
      <w:lvlText w:val=""/>
      <w:lvlJc w:val="left"/>
      <w:pPr>
        <w:ind w:left="6176" w:hanging="360"/>
      </w:pPr>
      <w:rPr>
        <w:rFonts w:ascii="Symbol" w:hAnsi="Symbol" w:hint="default"/>
      </w:rPr>
    </w:lvl>
    <w:lvl w:ilvl="7" w:tplc="04090003" w:tentative="1">
      <w:start w:val="1"/>
      <w:numFmt w:val="bullet"/>
      <w:lvlText w:val="o"/>
      <w:lvlJc w:val="left"/>
      <w:pPr>
        <w:ind w:left="6896" w:hanging="360"/>
      </w:pPr>
      <w:rPr>
        <w:rFonts w:ascii="Courier New" w:hAnsi="Courier New" w:cs="Courier New" w:hint="default"/>
      </w:rPr>
    </w:lvl>
    <w:lvl w:ilvl="8" w:tplc="04090005" w:tentative="1">
      <w:start w:val="1"/>
      <w:numFmt w:val="bullet"/>
      <w:lvlText w:val=""/>
      <w:lvlJc w:val="left"/>
      <w:pPr>
        <w:ind w:left="7616" w:hanging="360"/>
      </w:pPr>
      <w:rPr>
        <w:rFonts w:ascii="Wingdings" w:hAnsi="Wingdings" w:hint="default"/>
      </w:rPr>
    </w:lvl>
  </w:abstractNum>
  <w:abstractNum w:abstractNumId="1" w15:restartNumberingAfterBreak="0">
    <w:nsid w:val="2D710407"/>
    <w:multiLevelType w:val="hybridMultilevel"/>
    <w:tmpl w:val="638A2DC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65B0018"/>
    <w:multiLevelType w:val="hybridMultilevel"/>
    <w:tmpl w:val="2DD4A258"/>
    <w:lvl w:ilvl="0" w:tplc="94AE5DC8">
      <w:start w:val="1"/>
      <w:numFmt w:val="upperLetter"/>
      <w:lvlText w:val="%1."/>
      <w:lvlJc w:val="left"/>
      <w:pPr>
        <w:ind w:left="273" w:hanging="360"/>
      </w:pPr>
      <w:rPr>
        <w:rFonts w:hint="default"/>
      </w:rPr>
    </w:lvl>
    <w:lvl w:ilvl="1" w:tplc="04090019" w:tentative="1">
      <w:start w:val="1"/>
      <w:numFmt w:val="lowerLetter"/>
      <w:lvlText w:val="%2."/>
      <w:lvlJc w:val="left"/>
      <w:pPr>
        <w:ind w:left="993" w:hanging="360"/>
      </w:pPr>
    </w:lvl>
    <w:lvl w:ilvl="2" w:tplc="0409001B" w:tentative="1">
      <w:start w:val="1"/>
      <w:numFmt w:val="lowerRoman"/>
      <w:lvlText w:val="%3."/>
      <w:lvlJc w:val="right"/>
      <w:pPr>
        <w:ind w:left="1713" w:hanging="180"/>
      </w:pPr>
    </w:lvl>
    <w:lvl w:ilvl="3" w:tplc="0409000F" w:tentative="1">
      <w:start w:val="1"/>
      <w:numFmt w:val="decimal"/>
      <w:lvlText w:val="%4."/>
      <w:lvlJc w:val="left"/>
      <w:pPr>
        <w:ind w:left="2433" w:hanging="360"/>
      </w:pPr>
    </w:lvl>
    <w:lvl w:ilvl="4" w:tplc="04090019" w:tentative="1">
      <w:start w:val="1"/>
      <w:numFmt w:val="lowerLetter"/>
      <w:lvlText w:val="%5."/>
      <w:lvlJc w:val="left"/>
      <w:pPr>
        <w:ind w:left="3153" w:hanging="360"/>
      </w:pPr>
    </w:lvl>
    <w:lvl w:ilvl="5" w:tplc="0409001B" w:tentative="1">
      <w:start w:val="1"/>
      <w:numFmt w:val="lowerRoman"/>
      <w:lvlText w:val="%6."/>
      <w:lvlJc w:val="right"/>
      <w:pPr>
        <w:ind w:left="3873" w:hanging="180"/>
      </w:pPr>
    </w:lvl>
    <w:lvl w:ilvl="6" w:tplc="0409000F" w:tentative="1">
      <w:start w:val="1"/>
      <w:numFmt w:val="decimal"/>
      <w:lvlText w:val="%7."/>
      <w:lvlJc w:val="left"/>
      <w:pPr>
        <w:ind w:left="4593" w:hanging="360"/>
      </w:pPr>
    </w:lvl>
    <w:lvl w:ilvl="7" w:tplc="04090019" w:tentative="1">
      <w:start w:val="1"/>
      <w:numFmt w:val="lowerLetter"/>
      <w:lvlText w:val="%8."/>
      <w:lvlJc w:val="left"/>
      <w:pPr>
        <w:ind w:left="5313" w:hanging="360"/>
      </w:pPr>
    </w:lvl>
    <w:lvl w:ilvl="8" w:tplc="0409001B" w:tentative="1">
      <w:start w:val="1"/>
      <w:numFmt w:val="lowerRoman"/>
      <w:lvlText w:val="%9."/>
      <w:lvlJc w:val="right"/>
      <w:pPr>
        <w:ind w:left="6033" w:hanging="180"/>
      </w:pPr>
    </w:lvl>
  </w:abstractNum>
  <w:abstractNum w:abstractNumId="3" w15:restartNumberingAfterBreak="0">
    <w:nsid w:val="4730528B"/>
    <w:multiLevelType w:val="hybridMultilevel"/>
    <w:tmpl w:val="8B1EA5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89C51BB"/>
    <w:multiLevelType w:val="hybridMultilevel"/>
    <w:tmpl w:val="52121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CB63E3"/>
    <w:multiLevelType w:val="hybridMultilevel"/>
    <w:tmpl w:val="E52ED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157E1F"/>
    <w:multiLevelType w:val="hybridMultilevel"/>
    <w:tmpl w:val="4ADC68A6"/>
    <w:lvl w:ilvl="0" w:tplc="107EEDE0">
      <w:start w:val="1"/>
      <w:numFmt w:val="decimal"/>
      <w:lvlText w:val="%1."/>
      <w:lvlJc w:val="left"/>
      <w:pPr>
        <w:ind w:left="1209" w:hanging="360"/>
      </w:pPr>
      <w:rPr>
        <w:rFonts w:hint="default"/>
      </w:rPr>
    </w:lvl>
    <w:lvl w:ilvl="1" w:tplc="04090019" w:tentative="1">
      <w:start w:val="1"/>
      <w:numFmt w:val="lowerLetter"/>
      <w:lvlText w:val="%2."/>
      <w:lvlJc w:val="left"/>
      <w:pPr>
        <w:ind w:left="1929" w:hanging="360"/>
      </w:pPr>
    </w:lvl>
    <w:lvl w:ilvl="2" w:tplc="0409001B" w:tentative="1">
      <w:start w:val="1"/>
      <w:numFmt w:val="lowerRoman"/>
      <w:lvlText w:val="%3."/>
      <w:lvlJc w:val="right"/>
      <w:pPr>
        <w:ind w:left="2649" w:hanging="180"/>
      </w:pPr>
    </w:lvl>
    <w:lvl w:ilvl="3" w:tplc="0409000F" w:tentative="1">
      <w:start w:val="1"/>
      <w:numFmt w:val="decimal"/>
      <w:lvlText w:val="%4."/>
      <w:lvlJc w:val="left"/>
      <w:pPr>
        <w:ind w:left="3369" w:hanging="360"/>
      </w:pPr>
    </w:lvl>
    <w:lvl w:ilvl="4" w:tplc="04090019" w:tentative="1">
      <w:start w:val="1"/>
      <w:numFmt w:val="lowerLetter"/>
      <w:lvlText w:val="%5."/>
      <w:lvlJc w:val="left"/>
      <w:pPr>
        <w:ind w:left="4089" w:hanging="360"/>
      </w:pPr>
    </w:lvl>
    <w:lvl w:ilvl="5" w:tplc="0409001B" w:tentative="1">
      <w:start w:val="1"/>
      <w:numFmt w:val="lowerRoman"/>
      <w:lvlText w:val="%6."/>
      <w:lvlJc w:val="right"/>
      <w:pPr>
        <w:ind w:left="4809" w:hanging="180"/>
      </w:pPr>
    </w:lvl>
    <w:lvl w:ilvl="6" w:tplc="0409000F" w:tentative="1">
      <w:start w:val="1"/>
      <w:numFmt w:val="decimal"/>
      <w:lvlText w:val="%7."/>
      <w:lvlJc w:val="left"/>
      <w:pPr>
        <w:ind w:left="5529" w:hanging="360"/>
      </w:pPr>
    </w:lvl>
    <w:lvl w:ilvl="7" w:tplc="04090019" w:tentative="1">
      <w:start w:val="1"/>
      <w:numFmt w:val="lowerLetter"/>
      <w:lvlText w:val="%8."/>
      <w:lvlJc w:val="left"/>
      <w:pPr>
        <w:ind w:left="6249" w:hanging="360"/>
      </w:pPr>
    </w:lvl>
    <w:lvl w:ilvl="8" w:tplc="0409001B" w:tentative="1">
      <w:start w:val="1"/>
      <w:numFmt w:val="lowerRoman"/>
      <w:lvlText w:val="%9."/>
      <w:lvlJc w:val="right"/>
      <w:pPr>
        <w:ind w:left="6969" w:hanging="180"/>
      </w:pPr>
    </w:lvl>
  </w:abstractNum>
  <w:abstractNum w:abstractNumId="7" w15:restartNumberingAfterBreak="0">
    <w:nsid w:val="6BB837A8"/>
    <w:multiLevelType w:val="hybridMultilevel"/>
    <w:tmpl w:val="668CA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717723"/>
    <w:multiLevelType w:val="hybridMultilevel"/>
    <w:tmpl w:val="E73C9C36"/>
    <w:lvl w:ilvl="0" w:tplc="40E633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7A36773"/>
    <w:multiLevelType w:val="hybridMultilevel"/>
    <w:tmpl w:val="7C4A8DB8"/>
    <w:lvl w:ilvl="0" w:tplc="D222D8DE">
      <w:start w:val="3"/>
      <w:numFmt w:val="bullet"/>
      <w:lvlText w:val="-"/>
      <w:lvlJc w:val="left"/>
      <w:pPr>
        <w:ind w:left="927" w:hanging="360"/>
      </w:pPr>
      <w:rPr>
        <w:rFonts w:ascii="Times New Roman" w:eastAsia="Calibri"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0" w15:restartNumberingAfterBreak="0">
    <w:nsid w:val="7AA672BC"/>
    <w:multiLevelType w:val="hybridMultilevel"/>
    <w:tmpl w:val="2D5EC626"/>
    <w:lvl w:ilvl="0" w:tplc="3126D872">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C84361"/>
    <w:multiLevelType w:val="hybridMultilevel"/>
    <w:tmpl w:val="685E4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7810917">
    <w:abstractNumId w:val="8"/>
  </w:num>
  <w:num w:numId="2" w16cid:durableId="1510560565">
    <w:abstractNumId w:val="9"/>
  </w:num>
  <w:num w:numId="3" w16cid:durableId="2081248473">
    <w:abstractNumId w:val="2"/>
  </w:num>
  <w:num w:numId="4" w16cid:durableId="612784822">
    <w:abstractNumId w:val="10"/>
  </w:num>
  <w:num w:numId="5" w16cid:durableId="673802295">
    <w:abstractNumId w:val="4"/>
  </w:num>
  <w:num w:numId="6" w16cid:durableId="132333905">
    <w:abstractNumId w:val="0"/>
  </w:num>
  <w:num w:numId="7" w16cid:durableId="143356485">
    <w:abstractNumId w:val="6"/>
  </w:num>
  <w:num w:numId="8" w16cid:durableId="303124934">
    <w:abstractNumId w:val="5"/>
  </w:num>
  <w:num w:numId="9" w16cid:durableId="1445536060">
    <w:abstractNumId w:val="7"/>
  </w:num>
  <w:num w:numId="10" w16cid:durableId="166677798">
    <w:abstractNumId w:val="11"/>
  </w:num>
  <w:num w:numId="11" w16cid:durableId="1255481336">
    <w:abstractNumId w:val="1"/>
  </w:num>
  <w:num w:numId="12" w16cid:durableId="1726493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058F"/>
    <w:rsid w:val="000058BD"/>
    <w:rsid w:val="0001158F"/>
    <w:rsid w:val="0002387E"/>
    <w:rsid w:val="000250F8"/>
    <w:rsid w:val="000252AC"/>
    <w:rsid w:val="00026B3D"/>
    <w:rsid w:val="00044618"/>
    <w:rsid w:val="00044BE7"/>
    <w:rsid w:val="0004548A"/>
    <w:rsid w:val="000524BD"/>
    <w:rsid w:val="00052EBE"/>
    <w:rsid w:val="00055BD4"/>
    <w:rsid w:val="00063267"/>
    <w:rsid w:val="000632E3"/>
    <w:rsid w:val="0006350A"/>
    <w:rsid w:val="00067A35"/>
    <w:rsid w:val="00071BA2"/>
    <w:rsid w:val="00074005"/>
    <w:rsid w:val="000745A7"/>
    <w:rsid w:val="00074AED"/>
    <w:rsid w:val="00083DD2"/>
    <w:rsid w:val="00085B55"/>
    <w:rsid w:val="00091FA8"/>
    <w:rsid w:val="00095361"/>
    <w:rsid w:val="000A088C"/>
    <w:rsid w:val="000A1967"/>
    <w:rsid w:val="000A5BD5"/>
    <w:rsid w:val="000A5D94"/>
    <w:rsid w:val="000B10DE"/>
    <w:rsid w:val="000B6DC9"/>
    <w:rsid w:val="000C15D9"/>
    <w:rsid w:val="000C2750"/>
    <w:rsid w:val="000C7035"/>
    <w:rsid w:val="000D134A"/>
    <w:rsid w:val="000D180F"/>
    <w:rsid w:val="000D45A6"/>
    <w:rsid w:val="000E110D"/>
    <w:rsid w:val="000E2AF9"/>
    <w:rsid w:val="000E3EB7"/>
    <w:rsid w:val="000E4463"/>
    <w:rsid w:val="000E5CAB"/>
    <w:rsid w:val="000E65A7"/>
    <w:rsid w:val="000F1231"/>
    <w:rsid w:val="000F2BAD"/>
    <w:rsid w:val="000F3436"/>
    <w:rsid w:val="000F39A5"/>
    <w:rsid w:val="000F49A3"/>
    <w:rsid w:val="000F7A78"/>
    <w:rsid w:val="00100FE8"/>
    <w:rsid w:val="001028F7"/>
    <w:rsid w:val="001070B8"/>
    <w:rsid w:val="00112A7C"/>
    <w:rsid w:val="0011400B"/>
    <w:rsid w:val="001151EA"/>
    <w:rsid w:val="00117C83"/>
    <w:rsid w:val="00120A76"/>
    <w:rsid w:val="0012197C"/>
    <w:rsid w:val="00122B6E"/>
    <w:rsid w:val="00123BEA"/>
    <w:rsid w:val="00133A9D"/>
    <w:rsid w:val="00137EF3"/>
    <w:rsid w:val="0014586A"/>
    <w:rsid w:val="00146700"/>
    <w:rsid w:val="001567A1"/>
    <w:rsid w:val="00156964"/>
    <w:rsid w:val="001575BD"/>
    <w:rsid w:val="0016269E"/>
    <w:rsid w:val="0016281C"/>
    <w:rsid w:val="00163FA1"/>
    <w:rsid w:val="00167B71"/>
    <w:rsid w:val="001702B7"/>
    <w:rsid w:val="001742BE"/>
    <w:rsid w:val="001747B9"/>
    <w:rsid w:val="00177C7A"/>
    <w:rsid w:val="0018064B"/>
    <w:rsid w:val="00183555"/>
    <w:rsid w:val="001849A7"/>
    <w:rsid w:val="0018520B"/>
    <w:rsid w:val="00190EDC"/>
    <w:rsid w:val="00190F61"/>
    <w:rsid w:val="00194A2D"/>
    <w:rsid w:val="001953AF"/>
    <w:rsid w:val="001962A5"/>
    <w:rsid w:val="001B358F"/>
    <w:rsid w:val="001B4895"/>
    <w:rsid w:val="001C014E"/>
    <w:rsid w:val="001C13E8"/>
    <w:rsid w:val="001C1578"/>
    <w:rsid w:val="001C3BA9"/>
    <w:rsid w:val="001C3CEF"/>
    <w:rsid w:val="001C5E31"/>
    <w:rsid w:val="001C6FB2"/>
    <w:rsid w:val="001D4536"/>
    <w:rsid w:val="001F2C19"/>
    <w:rsid w:val="001F31DC"/>
    <w:rsid w:val="001F3DF5"/>
    <w:rsid w:val="002102EA"/>
    <w:rsid w:val="00210DE3"/>
    <w:rsid w:val="00212169"/>
    <w:rsid w:val="00213363"/>
    <w:rsid w:val="00222795"/>
    <w:rsid w:val="00227730"/>
    <w:rsid w:val="002314DF"/>
    <w:rsid w:val="00232BAA"/>
    <w:rsid w:val="0023358E"/>
    <w:rsid w:val="00233ED1"/>
    <w:rsid w:val="00235F5C"/>
    <w:rsid w:val="0023758D"/>
    <w:rsid w:val="0024070A"/>
    <w:rsid w:val="00243809"/>
    <w:rsid w:val="002454AD"/>
    <w:rsid w:val="00245BA0"/>
    <w:rsid w:val="00250256"/>
    <w:rsid w:val="00251F0A"/>
    <w:rsid w:val="00254BBE"/>
    <w:rsid w:val="002557B7"/>
    <w:rsid w:val="002569FD"/>
    <w:rsid w:val="0025755E"/>
    <w:rsid w:val="00260331"/>
    <w:rsid w:val="00260611"/>
    <w:rsid w:val="00263010"/>
    <w:rsid w:val="002641B9"/>
    <w:rsid w:val="00267217"/>
    <w:rsid w:val="00267F26"/>
    <w:rsid w:val="00270BB8"/>
    <w:rsid w:val="00270E67"/>
    <w:rsid w:val="00271689"/>
    <w:rsid w:val="002746B4"/>
    <w:rsid w:val="002776BF"/>
    <w:rsid w:val="002810BD"/>
    <w:rsid w:val="00284210"/>
    <w:rsid w:val="0028493F"/>
    <w:rsid w:val="00287E6D"/>
    <w:rsid w:val="002922F3"/>
    <w:rsid w:val="002935C4"/>
    <w:rsid w:val="0029440D"/>
    <w:rsid w:val="002A46D5"/>
    <w:rsid w:val="002A6DB9"/>
    <w:rsid w:val="002B3359"/>
    <w:rsid w:val="002B504A"/>
    <w:rsid w:val="002B7ED1"/>
    <w:rsid w:val="002C4BDF"/>
    <w:rsid w:val="002C5A05"/>
    <w:rsid w:val="002C7A55"/>
    <w:rsid w:val="002D199E"/>
    <w:rsid w:val="002D41AA"/>
    <w:rsid w:val="002E0057"/>
    <w:rsid w:val="002E2B5D"/>
    <w:rsid w:val="002E2E0D"/>
    <w:rsid w:val="002E6441"/>
    <w:rsid w:val="002E7F09"/>
    <w:rsid w:val="002F3918"/>
    <w:rsid w:val="002F7D93"/>
    <w:rsid w:val="00300B76"/>
    <w:rsid w:val="003018EB"/>
    <w:rsid w:val="00302FBA"/>
    <w:rsid w:val="0030684A"/>
    <w:rsid w:val="0031407C"/>
    <w:rsid w:val="0031573C"/>
    <w:rsid w:val="003205E0"/>
    <w:rsid w:val="003208A8"/>
    <w:rsid w:val="003218AA"/>
    <w:rsid w:val="00323580"/>
    <w:rsid w:val="00323635"/>
    <w:rsid w:val="00323B5D"/>
    <w:rsid w:val="00324082"/>
    <w:rsid w:val="003240A7"/>
    <w:rsid w:val="00324F07"/>
    <w:rsid w:val="0033015D"/>
    <w:rsid w:val="003311D7"/>
    <w:rsid w:val="003316F7"/>
    <w:rsid w:val="00332709"/>
    <w:rsid w:val="00334E3F"/>
    <w:rsid w:val="00335A39"/>
    <w:rsid w:val="00336AF6"/>
    <w:rsid w:val="00336B6E"/>
    <w:rsid w:val="003415F8"/>
    <w:rsid w:val="00345128"/>
    <w:rsid w:val="003475F1"/>
    <w:rsid w:val="00347E3A"/>
    <w:rsid w:val="003501C8"/>
    <w:rsid w:val="00350FE2"/>
    <w:rsid w:val="003556A6"/>
    <w:rsid w:val="00360E97"/>
    <w:rsid w:val="003615B2"/>
    <w:rsid w:val="0036255B"/>
    <w:rsid w:val="00363A98"/>
    <w:rsid w:val="003649B3"/>
    <w:rsid w:val="0038134B"/>
    <w:rsid w:val="00385546"/>
    <w:rsid w:val="00385D51"/>
    <w:rsid w:val="0038734C"/>
    <w:rsid w:val="00396F2D"/>
    <w:rsid w:val="0039746D"/>
    <w:rsid w:val="003977B4"/>
    <w:rsid w:val="003A3439"/>
    <w:rsid w:val="003A3904"/>
    <w:rsid w:val="003A4F78"/>
    <w:rsid w:val="003B0A68"/>
    <w:rsid w:val="003B14C0"/>
    <w:rsid w:val="003B3E7F"/>
    <w:rsid w:val="003B484B"/>
    <w:rsid w:val="003B507E"/>
    <w:rsid w:val="003B7293"/>
    <w:rsid w:val="003B7F96"/>
    <w:rsid w:val="003C6837"/>
    <w:rsid w:val="003D0B15"/>
    <w:rsid w:val="003D195F"/>
    <w:rsid w:val="003E7152"/>
    <w:rsid w:val="003F1EDE"/>
    <w:rsid w:val="003F37AC"/>
    <w:rsid w:val="003F4A7F"/>
    <w:rsid w:val="003F5BE2"/>
    <w:rsid w:val="00402BF2"/>
    <w:rsid w:val="00403F91"/>
    <w:rsid w:val="00405736"/>
    <w:rsid w:val="00405924"/>
    <w:rsid w:val="0040770C"/>
    <w:rsid w:val="004110AC"/>
    <w:rsid w:val="00414740"/>
    <w:rsid w:val="004162B0"/>
    <w:rsid w:val="00421790"/>
    <w:rsid w:val="00421D75"/>
    <w:rsid w:val="00423C27"/>
    <w:rsid w:val="00424672"/>
    <w:rsid w:val="00435B8D"/>
    <w:rsid w:val="004365DB"/>
    <w:rsid w:val="00441029"/>
    <w:rsid w:val="004436D3"/>
    <w:rsid w:val="00445143"/>
    <w:rsid w:val="00446A55"/>
    <w:rsid w:val="00447583"/>
    <w:rsid w:val="00451A5F"/>
    <w:rsid w:val="004570CA"/>
    <w:rsid w:val="00457D53"/>
    <w:rsid w:val="00464154"/>
    <w:rsid w:val="00464982"/>
    <w:rsid w:val="00465D7D"/>
    <w:rsid w:val="00466B67"/>
    <w:rsid w:val="00467680"/>
    <w:rsid w:val="00473900"/>
    <w:rsid w:val="0047688A"/>
    <w:rsid w:val="00480654"/>
    <w:rsid w:val="004956A5"/>
    <w:rsid w:val="004966B1"/>
    <w:rsid w:val="00497F09"/>
    <w:rsid w:val="004A08BC"/>
    <w:rsid w:val="004A2E05"/>
    <w:rsid w:val="004A5322"/>
    <w:rsid w:val="004C2155"/>
    <w:rsid w:val="004C2C0E"/>
    <w:rsid w:val="004C3788"/>
    <w:rsid w:val="004D0877"/>
    <w:rsid w:val="004D158A"/>
    <w:rsid w:val="004D1960"/>
    <w:rsid w:val="004D234B"/>
    <w:rsid w:val="004D3D1E"/>
    <w:rsid w:val="004E0FB3"/>
    <w:rsid w:val="004E3791"/>
    <w:rsid w:val="004F37E3"/>
    <w:rsid w:val="004F4044"/>
    <w:rsid w:val="004F613D"/>
    <w:rsid w:val="004F6B7E"/>
    <w:rsid w:val="004F7E32"/>
    <w:rsid w:val="005116B4"/>
    <w:rsid w:val="005121D6"/>
    <w:rsid w:val="005211A5"/>
    <w:rsid w:val="00522BA7"/>
    <w:rsid w:val="00531D2D"/>
    <w:rsid w:val="00532046"/>
    <w:rsid w:val="00532A62"/>
    <w:rsid w:val="005330AC"/>
    <w:rsid w:val="00534D4A"/>
    <w:rsid w:val="00535DCD"/>
    <w:rsid w:val="00536705"/>
    <w:rsid w:val="005368C7"/>
    <w:rsid w:val="005444C2"/>
    <w:rsid w:val="00546805"/>
    <w:rsid w:val="005520DC"/>
    <w:rsid w:val="00552CB5"/>
    <w:rsid w:val="00562402"/>
    <w:rsid w:val="005638C9"/>
    <w:rsid w:val="00563A90"/>
    <w:rsid w:val="00564C8A"/>
    <w:rsid w:val="00565302"/>
    <w:rsid w:val="00567220"/>
    <w:rsid w:val="00567A25"/>
    <w:rsid w:val="00567BDF"/>
    <w:rsid w:val="005735CD"/>
    <w:rsid w:val="005736E6"/>
    <w:rsid w:val="0058405D"/>
    <w:rsid w:val="0058486D"/>
    <w:rsid w:val="005866D2"/>
    <w:rsid w:val="005900AB"/>
    <w:rsid w:val="00591ABF"/>
    <w:rsid w:val="00593CB9"/>
    <w:rsid w:val="0059729B"/>
    <w:rsid w:val="005A7966"/>
    <w:rsid w:val="005B137F"/>
    <w:rsid w:val="005B349E"/>
    <w:rsid w:val="005B704C"/>
    <w:rsid w:val="005C1A70"/>
    <w:rsid w:val="005D056D"/>
    <w:rsid w:val="005D0E2C"/>
    <w:rsid w:val="005D2529"/>
    <w:rsid w:val="005D3B62"/>
    <w:rsid w:val="005D3C0C"/>
    <w:rsid w:val="005D4719"/>
    <w:rsid w:val="005D539B"/>
    <w:rsid w:val="005E29DD"/>
    <w:rsid w:val="005E2AC1"/>
    <w:rsid w:val="005E419A"/>
    <w:rsid w:val="005F27E3"/>
    <w:rsid w:val="005F36D0"/>
    <w:rsid w:val="006029D4"/>
    <w:rsid w:val="006065C4"/>
    <w:rsid w:val="00616DBF"/>
    <w:rsid w:val="006232EF"/>
    <w:rsid w:val="0062544F"/>
    <w:rsid w:val="006269ED"/>
    <w:rsid w:val="006301D2"/>
    <w:rsid w:val="0063083E"/>
    <w:rsid w:val="00633590"/>
    <w:rsid w:val="00636991"/>
    <w:rsid w:val="0064422A"/>
    <w:rsid w:val="00647825"/>
    <w:rsid w:val="00655A0B"/>
    <w:rsid w:val="00656532"/>
    <w:rsid w:val="006576E6"/>
    <w:rsid w:val="00663AD5"/>
    <w:rsid w:val="00672191"/>
    <w:rsid w:val="00675CDB"/>
    <w:rsid w:val="006859AC"/>
    <w:rsid w:val="00686932"/>
    <w:rsid w:val="006875BC"/>
    <w:rsid w:val="0069341F"/>
    <w:rsid w:val="006970CE"/>
    <w:rsid w:val="006A0AF8"/>
    <w:rsid w:val="006A34D2"/>
    <w:rsid w:val="006A375F"/>
    <w:rsid w:val="006A5CF3"/>
    <w:rsid w:val="006B0033"/>
    <w:rsid w:val="006B331F"/>
    <w:rsid w:val="006B7A6A"/>
    <w:rsid w:val="006C338A"/>
    <w:rsid w:val="006C70F5"/>
    <w:rsid w:val="006D1E77"/>
    <w:rsid w:val="006D414B"/>
    <w:rsid w:val="006D4B68"/>
    <w:rsid w:val="006D6221"/>
    <w:rsid w:val="006D6CB5"/>
    <w:rsid w:val="006E0B16"/>
    <w:rsid w:val="006E1801"/>
    <w:rsid w:val="006E60EC"/>
    <w:rsid w:val="006F0675"/>
    <w:rsid w:val="006F07A7"/>
    <w:rsid w:val="006F0F61"/>
    <w:rsid w:val="006F16A2"/>
    <w:rsid w:val="006F1CFD"/>
    <w:rsid w:val="006F275D"/>
    <w:rsid w:val="00700226"/>
    <w:rsid w:val="007048DA"/>
    <w:rsid w:val="00707157"/>
    <w:rsid w:val="00710987"/>
    <w:rsid w:val="00710D53"/>
    <w:rsid w:val="0071176E"/>
    <w:rsid w:val="00711EC7"/>
    <w:rsid w:val="00715987"/>
    <w:rsid w:val="00721830"/>
    <w:rsid w:val="00726BBB"/>
    <w:rsid w:val="00730EEB"/>
    <w:rsid w:val="007313C0"/>
    <w:rsid w:val="00732BDA"/>
    <w:rsid w:val="00733998"/>
    <w:rsid w:val="00735491"/>
    <w:rsid w:val="00735C1F"/>
    <w:rsid w:val="0074149F"/>
    <w:rsid w:val="00743534"/>
    <w:rsid w:val="00744F86"/>
    <w:rsid w:val="00750796"/>
    <w:rsid w:val="0075180B"/>
    <w:rsid w:val="007527E3"/>
    <w:rsid w:val="00753ECE"/>
    <w:rsid w:val="00753FF4"/>
    <w:rsid w:val="00754EC1"/>
    <w:rsid w:val="00755F36"/>
    <w:rsid w:val="00763F28"/>
    <w:rsid w:val="00764343"/>
    <w:rsid w:val="007724BB"/>
    <w:rsid w:val="00773B9D"/>
    <w:rsid w:val="007767D4"/>
    <w:rsid w:val="00780CE1"/>
    <w:rsid w:val="00780DDF"/>
    <w:rsid w:val="00783AE2"/>
    <w:rsid w:val="00783C0E"/>
    <w:rsid w:val="007869B3"/>
    <w:rsid w:val="0079068A"/>
    <w:rsid w:val="007952F8"/>
    <w:rsid w:val="007A09FC"/>
    <w:rsid w:val="007A0ADF"/>
    <w:rsid w:val="007A40C5"/>
    <w:rsid w:val="007A4530"/>
    <w:rsid w:val="007A5F12"/>
    <w:rsid w:val="007B0B57"/>
    <w:rsid w:val="007B16E8"/>
    <w:rsid w:val="007B4EE1"/>
    <w:rsid w:val="007B6D2D"/>
    <w:rsid w:val="007C731E"/>
    <w:rsid w:val="007D1241"/>
    <w:rsid w:val="007D203B"/>
    <w:rsid w:val="007E078A"/>
    <w:rsid w:val="007E0C98"/>
    <w:rsid w:val="007E58D8"/>
    <w:rsid w:val="007E65B7"/>
    <w:rsid w:val="007E7054"/>
    <w:rsid w:val="007F5D8C"/>
    <w:rsid w:val="007F71E7"/>
    <w:rsid w:val="00800DF6"/>
    <w:rsid w:val="00803B63"/>
    <w:rsid w:val="00804911"/>
    <w:rsid w:val="00805AB0"/>
    <w:rsid w:val="00810E74"/>
    <w:rsid w:val="00811769"/>
    <w:rsid w:val="00815DF4"/>
    <w:rsid w:val="00815E26"/>
    <w:rsid w:val="008223B8"/>
    <w:rsid w:val="00823BD8"/>
    <w:rsid w:val="008245BF"/>
    <w:rsid w:val="00825D11"/>
    <w:rsid w:val="008305EB"/>
    <w:rsid w:val="00831807"/>
    <w:rsid w:val="008321C9"/>
    <w:rsid w:val="00833921"/>
    <w:rsid w:val="00835454"/>
    <w:rsid w:val="0083730F"/>
    <w:rsid w:val="008415F2"/>
    <w:rsid w:val="00844A4B"/>
    <w:rsid w:val="00851579"/>
    <w:rsid w:val="0085334F"/>
    <w:rsid w:val="008543A5"/>
    <w:rsid w:val="00862F03"/>
    <w:rsid w:val="008645E5"/>
    <w:rsid w:val="00872F21"/>
    <w:rsid w:val="00876DF8"/>
    <w:rsid w:val="008836F1"/>
    <w:rsid w:val="00887C28"/>
    <w:rsid w:val="00892D01"/>
    <w:rsid w:val="00893118"/>
    <w:rsid w:val="008971F0"/>
    <w:rsid w:val="008A2BEC"/>
    <w:rsid w:val="008A4E82"/>
    <w:rsid w:val="008B33A7"/>
    <w:rsid w:val="008C1F8B"/>
    <w:rsid w:val="008C4ED4"/>
    <w:rsid w:val="008D12BB"/>
    <w:rsid w:val="008D3FAC"/>
    <w:rsid w:val="008D44ED"/>
    <w:rsid w:val="008D45EA"/>
    <w:rsid w:val="008E0CC6"/>
    <w:rsid w:val="008E5565"/>
    <w:rsid w:val="008E6841"/>
    <w:rsid w:val="008E72A6"/>
    <w:rsid w:val="008F7FD1"/>
    <w:rsid w:val="0090020C"/>
    <w:rsid w:val="00907BBC"/>
    <w:rsid w:val="00910892"/>
    <w:rsid w:val="00913888"/>
    <w:rsid w:val="00915C55"/>
    <w:rsid w:val="0092285E"/>
    <w:rsid w:val="00924F8A"/>
    <w:rsid w:val="00925EBB"/>
    <w:rsid w:val="00931AC1"/>
    <w:rsid w:val="0093614C"/>
    <w:rsid w:val="00945269"/>
    <w:rsid w:val="00953627"/>
    <w:rsid w:val="00960FAE"/>
    <w:rsid w:val="009619F8"/>
    <w:rsid w:val="0096387F"/>
    <w:rsid w:val="00966939"/>
    <w:rsid w:val="00967AB8"/>
    <w:rsid w:val="00971DE0"/>
    <w:rsid w:val="0097332E"/>
    <w:rsid w:val="00980D1D"/>
    <w:rsid w:val="009828ED"/>
    <w:rsid w:val="0099367D"/>
    <w:rsid w:val="00994F3E"/>
    <w:rsid w:val="00995A2D"/>
    <w:rsid w:val="0099756A"/>
    <w:rsid w:val="009A4F8B"/>
    <w:rsid w:val="009A62D4"/>
    <w:rsid w:val="009A67D5"/>
    <w:rsid w:val="009B1C7B"/>
    <w:rsid w:val="009B2698"/>
    <w:rsid w:val="009B625F"/>
    <w:rsid w:val="009C1828"/>
    <w:rsid w:val="009D1F60"/>
    <w:rsid w:val="009D2105"/>
    <w:rsid w:val="009D3496"/>
    <w:rsid w:val="009D3D76"/>
    <w:rsid w:val="009D6346"/>
    <w:rsid w:val="009E1178"/>
    <w:rsid w:val="009E63D6"/>
    <w:rsid w:val="009E78B5"/>
    <w:rsid w:val="009F0491"/>
    <w:rsid w:val="009F4C0F"/>
    <w:rsid w:val="009F4CD5"/>
    <w:rsid w:val="00A01189"/>
    <w:rsid w:val="00A02D37"/>
    <w:rsid w:val="00A04A78"/>
    <w:rsid w:val="00A07CFB"/>
    <w:rsid w:val="00A10F60"/>
    <w:rsid w:val="00A12AD1"/>
    <w:rsid w:val="00A12DDB"/>
    <w:rsid w:val="00A24D35"/>
    <w:rsid w:val="00A25FAA"/>
    <w:rsid w:val="00A26195"/>
    <w:rsid w:val="00A26234"/>
    <w:rsid w:val="00A30C92"/>
    <w:rsid w:val="00A31EC6"/>
    <w:rsid w:val="00A347D4"/>
    <w:rsid w:val="00A37238"/>
    <w:rsid w:val="00A4054F"/>
    <w:rsid w:val="00A469BA"/>
    <w:rsid w:val="00A522E5"/>
    <w:rsid w:val="00A53CD1"/>
    <w:rsid w:val="00A60154"/>
    <w:rsid w:val="00A61469"/>
    <w:rsid w:val="00A64CA9"/>
    <w:rsid w:val="00A661B4"/>
    <w:rsid w:val="00A66836"/>
    <w:rsid w:val="00A73236"/>
    <w:rsid w:val="00A7454A"/>
    <w:rsid w:val="00A7670E"/>
    <w:rsid w:val="00A80AC6"/>
    <w:rsid w:val="00A81B5F"/>
    <w:rsid w:val="00A82DE3"/>
    <w:rsid w:val="00A833A5"/>
    <w:rsid w:val="00A83982"/>
    <w:rsid w:val="00A9093C"/>
    <w:rsid w:val="00A90AF7"/>
    <w:rsid w:val="00A91AAD"/>
    <w:rsid w:val="00A924AA"/>
    <w:rsid w:val="00A93115"/>
    <w:rsid w:val="00A94833"/>
    <w:rsid w:val="00AA12AA"/>
    <w:rsid w:val="00AA201D"/>
    <w:rsid w:val="00AA44E3"/>
    <w:rsid w:val="00AA5D94"/>
    <w:rsid w:val="00AB17BD"/>
    <w:rsid w:val="00AB205C"/>
    <w:rsid w:val="00AB475E"/>
    <w:rsid w:val="00AB4EE5"/>
    <w:rsid w:val="00AB664A"/>
    <w:rsid w:val="00AB77D9"/>
    <w:rsid w:val="00AC20A8"/>
    <w:rsid w:val="00AC3278"/>
    <w:rsid w:val="00AC38BE"/>
    <w:rsid w:val="00AD69FF"/>
    <w:rsid w:val="00AD79F8"/>
    <w:rsid w:val="00AE41EC"/>
    <w:rsid w:val="00AF071E"/>
    <w:rsid w:val="00AF423B"/>
    <w:rsid w:val="00AF50D7"/>
    <w:rsid w:val="00B03459"/>
    <w:rsid w:val="00B102A1"/>
    <w:rsid w:val="00B21C56"/>
    <w:rsid w:val="00B25DD5"/>
    <w:rsid w:val="00B3171E"/>
    <w:rsid w:val="00B31778"/>
    <w:rsid w:val="00B35CF2"/>
    <w:rsid w:val="00B428CC"/>
    <w:rsid w:val="00B45BFD"/>
    <w:rsid w:val="00B51528"/>
    <w:rsid w:val="00B5263D"/>
    <w:rsid w:val="00B526C5"/>
    <w:rsid w:val="00B53661"/>
    <w:rsid w:val="00B55095"/>
    <w:rsid w:val="00B731CE"/>
    <w:rsid w:val="00B76ACA"/>
    <w:rsid w:val="00B82ABB"/>
    <w:rsid w:val="00B83A05"/>
    <w:rsid w:val="00B841BE"/>
    <w:rsid w:val="00B9493C"/>
    <w:rsid w:val="00B95FE4"/>
    <w:rsid w:val="00B96629"/>
    <w:rsid w:val="00BA0E61"/>
    <w:rsid w:val="00BA1595"/>
    <w:rsid w:val="00BA22BA"/>
    <w:rsid w:val="00BA22DD"/>
    <w:rsid w:val="00BB2E78"/>
    <w:rsid w:val="00BB7272"/>
    <w:rsid w:val="00BB7A5C"/>
    <w:rsid w:val="00BB7C50"/>
    <w:rsid w:val="00BB7FF5"/>
    <w:rsid w:val="00BC6D9E"/>
    <w:rsid w:val="00BD48AC"/>
    <w:rsid w:val="00BD6C9F"/>
    <w:rsid w:val="00BD7E05"/>
    <w:rsid w:val="00BE0EB6"/>
    <w:rsid w:val="00BE1A43"/>
    <w:rsid w:val="00BE1CEE"/>
    <w:rsid w:val="00BE6AB9"/>
    <w:rsid w:val="00BF053A"/>
    <w:rsid w:val="00BF37C4"/>
    <w:rsid w:val="00BF6CA8"/>
    <w:rsid w:val="00C0132B"/>
    <w:rsid w:val="00C017C0"/>
    <w:rsid w:val="00C021FB"/>
    <w:rsid w:val="00C0358C"/>
    <w:rsid w:val="00C053DF"/>
    <w:rsid w:val="00C11BFB"/>
    <w:rsid w:val="00C145D1"/>
    <w:rsid w:val="00C15401"/>
    <w:rsid w:val="00C20027"/>
    <w:rsid w:val="00C26EF7"/>
    <w:rsid w:val="00C30B0C"/>
    <w:rsid w:val="00C3116C"/>
    <w:rsid w:val="00C313B0"/>
    <w:rsid w:val="00C31F53"/>
    <w:rsid w:val="00C34715"/>
    <w:rsid w:val="00C3533E"/>
    <w:rsid w:val="00C400A5"/>
    <w:rsid w:val="00C4259B"/>
    <w:rsid w:val="00C42F14"/>
    <w:rsid w:val="00C4484C"/>
    <w:rsid w:val="00C45D4D"/>
    <w:rsid w:val="00C45E17"/>
    <w:rsid w:val="00C46E17"/>
    <w:rsid w:val="00C52ED7"/>
    <w:rsid w:val="00C54216"/>
    <w:rsid w:val="00C54C84"/>
    <w:rsid w:val="00C55AEA"/>
    <w:rsid w:val="00C61309"/>
    <w:rsid w:val="00C62487"/>
    <w:rsid w:val="00C712B8"/>
    <w:rsid w:val="00C728D3"/>
    <w:rsid w:val="00C72C77"/>
    <w:rsid w:val="00C74393"/>
    <w:rsid w:val="00C803B6"/>
    <w:rsid w:val="00C81770"/>
    <w:rsid w:val="00C86412"/>
    <w:rsid w:val="00C870C9"/>
    <w:rsid w:val="00C87B2A"/>
    <w:rsid w:val="00C9182E"/>
    <w:rsid w:val="00C9429C"/>
    <w:rsid w:val="00C9463D"/>
    <w:rsid w:val="00C946FC"/>
    <w:rsid w:val="00C954F3"/>
    <w:rsid w:val="00C96D91"/>
    <w:rsid w:val="00CA01BC"/>
    <w:rsid w:val="00CA06DB"/>
    <w:rsid w:val="00CA1ADD"/>
    <w:rsid w:val="00CB2457"/>
    <w:rsid w:val="00CB3917"/>
    <w:rsid w:val="00CB3DB8"/>
    <w:rsid w:val="00CB4C6A"/>
    <w:rsid w:val="00CB7C03"/>
    <w:rsid w:val="00CC0CF8"/>
    <w:rsid w:val="00CC115F"/>
    <w:rsid w:val="00CD27A7"/>
    <w:rsid w:val="00CD43A8"/>
    <w:rsid w:val="00CD54AD"/>
    <w:rsid w:val="00CE03D9"/>
    <w:rsid w:val="00CE22E4"/>
    <w:rsid w:val="00CE3DF5"/>
    <w:rsid w:val="00CE6140"/>
    <w:rsid w:val="00CF247B"/>
    <w:rsid w:val="00CF47EF"/>
    <w:rsid w:val="00D00A7C"/>
    <w:rsid w:val="00D00D2A"/>
    <w:rsid w:val="00D02A68"/>
    <w:rsid w:val="00D02CFC"/>
    <w:rsid w:val="00D047BC"/>
    <w:rsid w:val="00D068AC"/>
    <w:rsid w:val="00D068C6"/>
    <w:rsid w:val="00D10A4D"/>
    <w:rsid w:val="00D10F7B"/>
    <w:rsid w:val="00D114A9"/>
    <w:rsid w:val="00D14E52"/>
    <w:rsid w:val="00D209FC"/>
    <w:rsid w:val="00D20E1B"/>
    <w:rsid w:val="00D23006"/>
    <w:rsid w:val="00D248F2"/>
    <w:rsid w:val="00D30FED"/>
    <w:rsid w:val="00D321ED"/>
    <w:rsid w:val="00D32F96"/>
    <w:rsid w:val="00D34341"/>
    <w:rsid w:val="00D377F7"/>
    <w:rsid w:val="00D423FF"/>
    <w:rsid w:val="00D42B1F"/>
    <w:rsid w:val="00D434BE"/>
    <w:rsid w:val="00D51539"/>
    <w:rsid w:val="00D52600"/>
    <w:rsid w:val="00D554EB"/>
    <w:rsid w:val="00D55828"/>
    <w:rsid w:val="00D66814"/>
    <w:rsid w:val="00D7031D"/>
    <w:rsid w:val="00D7171C"/>
    <w:rsid w:val="00D72D4D"/>
    <w:rsid w:val="00D77EE7"/>
    <w:rsid w:val="00D80204"/>
    <w:rsid w:val="00D8085D"/>
    <w:rsid w:val="00D856AF"/>
    <w:rsid w:val="00D8623F"/>
    <w:rsid w:val="00D92429"/>
    <w:rsid w:val="00D92480"/>
    <w:rsid w:val="00D92846"/>
    <w:rsid w:val="00D93349"/>
    <w:rsid w:val="00DA1872"/>
    <w:rsid w:val="00DA24A7"/>
    <w:rsid w:val="00DA6325"/>
    <w:rsid w:val="00DA6E10"/>
    <w:rsid w:val="00DB1F67"/>
    <w:rsid w:val="00DC0D3F"/>
    <w:rsid w:val="00DC1105"/>
    <w:rsid w:val="00DC15E1"/>
    <w:rsid w:val="00DC32C8"/>
    <w:rsid w:val="00DC552F"/>
    <w:rsid w:val="00DD1E6F"/>
    <w:rsid w:val="00DD3E00"/>
    <w:rsid w:val="00DD644A"/>
    <w:rsid w:val="00DE08D5"/>
    <w:rsid w:val="00DE3170"/>
    <w:rsid w:val="00DE3CC3"/>
    <w:rsid w:val="00DE57B4"/>
    <w:rsid w:val="00DE66D9"/>
    <w:rsid w:val="00DE7E4A"/>
    <w:rsid w:val="00DF2A52"/>
    <w:rsid w:val="00DF2C8D"/>
    <w:rsid w:val="00DF3C08"/>
    <w:rsid w:val="00DF53A7"/>
    <w:rsid w:val="00DF69B2"/>
    <w:rsid w:val="00DF7614"/>
    <w:rsid w:val="00E048A7"/>
    <w:rsid w:val="00E10B99"/>
    <w:rsid w:val="00E14B80"/>
    <w:rsid w:val="00E201D1"/>
    <w:rsid w:val="00E213EE"/>
    <w:rsid w:val="00E27CC9"/>
    <w:rsid w:val="00E5636D"/>
    <w:rsid w:val="00E6095F"/>
    <w:rsid w:val="00E70B0F"/>
    <w:rsid w:val="00E7122F"/>
    <w:rsid w:val="00E71A41"/>
    <w:rsid w:val="00E7268A"/>
    <w:rsid w:val="00E91B72"/>
    <w:rsid w:val="00E9233F"/>
    <w:rsid w:val="00E94E36"/>
    <w:rsid w:val="00E95851"/>
    <w:rsid w:val="00EA4B35"/>
    <w:rsid w:val="00EA7499"/>
    <w:rsid w:val="00EA7556"/>
    <w:rsid w:val="00EB3EC0"/>
    <w:rsid w:val="00EB5602"/>
    <w:rsid w:val="00EB5E49"/>
    <w:rsid w:val="00EB696F"/>
    <w:rsid w:val="00EB6B6B"/>
    <w:rsid w:val="00EB71C6"/>
    <w:rsid w:val="00EC2A80"/>
    <w:rsid w:val="00EC460F"/>
    <w:rsid w:val="00EC4B0F"/>
    <w:rsid w:val="00EC70D0"/>
    <w:rsid w:val="00ED0C5B"/>
    <w:rsid w:val="00ED11CB"/>
    <w:rsid w:val="00EE1292"/>
    <w:rsid w:val="00EE2102"/>
    <w:rsid w:val="00EE4851"/>
    <w:rsid w:val="00EE6479"/>
    <w:rsid w:val="00EF3DE0"/>
    <w:rsid w:val="00EF41B6"/>
    <w:rsid w:val="00EF57D2"/>
    <w:rsid w:val="00F009C3"/>
    <w:rsid w:val="00F012B0"/>
    <w:rsid w:val="00F037E3"/>
    <w:rsid w:val="00F0783E"/>
    <w:rsid w:val="00F13915"/>
    <w:rsid w:val="00F1623B"/>
    <w:rsid w:val="00F17B3C"/>
    <w:rsid w:val="00F204BC"/>
    <w:rsid w:val="00F204F7"/>
    <w:rsid w:val="00F21707"/>
    <w:rsid w:val="00F2242C"/>
    <w:rsid w:val="00F318C5"/>
    <w:rsid w:val="00F364E4"/>
    <w:rsid w:val="00F4010B"/>
    <w:rsid w:val="00F40CF6"/>
    <w:rsid w:val="00F413D7"/>
    <w:rsid w:val="00F426DB"/>
    <w:rsid w:val="00F47056"/>
    <w:rsid w:val="00F52889"/>
    <w:rsid w:val="00F537FF"/>
    <w:rsid w:val="00F54B30"/>
    <w:rsid w:val="00F56189"/>
    <w:rsid w:val="00F56560"/>
    <w:rsid w:val="00F6240A"/>
    <w:rsid w:val="00F62560"/>
    <w:rsid w:val="00F64C62"/>
    <w:rsid w:val="00F64CD1"/>
    <w:rsid w:val="00F650EC"/>
    <w:rsid w:val="00F655FF"/>
    <w:rsid w:val="00F702F4"/>
    <w:rsid w:val="00F71A89"/>
    <w:rsid w:val="00F77904"/>
    <w:rsid w:val="00F80490"/>
    <w:rsid w:val="00F81D91"/>
    <w:rsid w:val="00F828A9"/>
    <w:rsid w:val="00F85521"/>
    <w:rsid w:val="00F86458"/>
    <w:rsid w:val="00F90E67"/>
    <w:rsid w:val="00F92A17"/>
    <w:rsid w:val="00F92A58"/>
    <w:rsid w:val="00F9569D"/>
    <w:rsid w:val="00FA0D80"/>
    <w:rsid w:val="00FA1A7B"/>
    <w:rsid w:val="00FA5AB6"/>
    <w:rsid w:val="00FA7CFC"/>
    <w:rsid w:val="00FB2D48"/>
    <w:rsid w:val="00FB370E"/>
    <w:rsid w:val="00FB4B45"/>
    <w:rsid w:val="00FC4C27"/>
    <w:rsid w:val="00FC586E"/>
    <w:rsid w:val="00FC5CFA"/>
    <w:rsid w:val="00FC5CFE"/>
    <w:rsid w:val="00FC71D8"/>
    <w:rsid w:val="00FD1554"/>
    <w:rsid w:val="00FD255E"/>
    <w:rsid w:val="00FD377E"/>
    <w:rsid w:val="00FD6B06"/>
    <w:rsid w:val="00FD7EAF"/>
    <w:rsid w:val="00FE2E37"/>
    <w:rsid w:val="00FE357E"/>
    <w:rsid w:val="00FE4D8C"/>
    <w:rsid w:val="00FE5D8F"/>
    <w:rsid w:val="00FE6609"/>
    <w:rsid w:val="00FE68AA"/>
    <w:rsid w:val="00FF23C0"/>
    <w:rsid w:val="00FF4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6E9BB"/>
  <w15:docId w15:val="{EB3095DF-1C86-4CA0-9CEC-3EFD1E12F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149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970CE"/>
    <w:rPr>
      <w:color w:val="808080"/>
    </w:rPr>
  </w:style>
  <w:style w:type="paragraph" w:styleId="FootnoteText">
    <w:name w:val="footnote text"/>
    <w:aliases w:val="ColumnText,Footnote Text Char Char,Footnote Text Char2,Footnote Text Char1 Char Char,Footnote Text Char Char Char Char,Footnote Text Char1 Char Char Char Char,Footnote Text Char Char1 Char Char Char Char Char,Char,Footnote,fn"/>
    <w:basedOn w:val="Normal"/>
    <w:link w:val="FootnoteTextChar"/>
    <w:unhideWhenUsed/>
    <w:qFormat/>
    <w:rsid w:val="00FD6B06"/>
    <w:rPr>
      <w:sz w:val="20"/>
    </w:rPr>
  </w:style>
  <w:style w:type="character" w:customStyle="1" w:styleId="FootnoteTextChar">
    <w:name w:val="Footnote Text Char"/>
    <w:aliases w:val="ColumnText Char,Footnote Text Char Char Char,Footnote Text Char2 Char,Footnote Text Char1 Char Char Char,Footnote Text Char Char Char Char Char,Footnote Text Char1 Char Char Char Char Char,Char Char,Footnote Char,fn Char"/>
    <w:basedOn w:val="DefaultParagraphFont"/>
    <w:link w:val="FootnoteText"/>
    <w:rsid w:val="00FD6B06"/>
    <w:rPr>
      <w:sz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basedOn w:val="DefaultParagraphFont"/>
    <w:unhideWhenUsed/>
    <w:rsid w:val="00FD6B06"/>
    <w:rPr>
      <w:vertAlign w:val="superscript"/>
    </w:rPr>
  </w:style>
  <w:style w:type="paragraph" w:styleId="ListParagraph">
    <w:name w:val="List Paragraph"/>
    <w:basedOn w:val="Normal"/>
    <w:uiPriority w:val="34"/>
    <w:qFormat/>
    <w:rsid w:val="00FD6B06"/>
    <w:pPr>
      <w:ind w:left="720"/>
      <w:contextualSpacing/>
    </w:pPr>
  </w:style>
  <w:style w:type="character" w:styleId="CommentReference">
    <w:name w:val="annotation reference"/>
    <w:basedOn w:val="DefaultParagraphFont"/>
    <w:semiHidden/>
    <w:unhideWhenUsed/>
    <w:rsid w:val="009828ED"/>
    <w:rPr>
      <w:sz w:val="16"/>
      <w:szCs w:val="16"/>
    </w:rPr>
  </w:style>
  <w:style w:type="paragraph" w:styleId="CommentText">
    <w:name w:val="annotation text"/>
    <w:basedOn w:val="Normal"/>
    <w:link w:val="CommentTextChar"/>
    <w:unhideWhenUsed/>
    <w:rsid w:val="009828ED"/>
    <w:rPr>
      <w:sz w:val="20"/>
    </w:rPr>
  </w:style>
  <w:style w:type="character" w:customStyle="1" w:styleId="CommentTextChar">
    <w:name w:val="Comment Text Char"/>
    <w:basedOn w:val="DefaultParagraphFont"/>
    <w:link w:val="CommentText"/>
    <w:rsid w:val="009828ED"/>
    <w:rPr>
      <w:sz w:val="20"/>
    </w:rPr>
  </w:style>
  <w:style w:type="paragraph" w:styleId="CommentSubject">
    <w:name w:val="annotation subject"/>
    <w:basedOn w:val="CommentText"/>
    <w:next w:val="CommentText"/>
    <w:link w:val="CommentSubjectChar"/>
    <w:semiHidden/>
    <w:unhideWhenUsed/>
    <w:rsid w:val="009828ED"/>
    <w:rPr>
      <w:b/>
      <w:bCs/>
    </w:rPr>
  </w:style>
  <w:style w:type="character" w:customStyle="1" w:styleId="CommentSubjectChar">
    <w:name w:val="Comment Subject Char"/>
    <w:basedOn w:val="CommentTextChar"/>
    <w:link w:val="CommentSubject"/>
    <w:semiHidden/>
    <w:rsid w:val="009828ED"/>
    <w:rPr>
      <w:b/>
      <w:bCs/>
      <w:sz w:val="20"/>
    </w:rPr>
  </w:style>
  <w:style w:type="paragraph" w:styleId="Revision">
    <w:name w:val="Revision"/>
    <w:hidden/>
    <w:semiHidden/>
    <w:rsid w:val="00C45D4D"/>
  </w:style>
  <w:style w:type="character" w:styleId="Hyperlink">
    <w:name w:val="Hyperlink"/>
    <w:basedOn w:val="DefaultParagraphFont"/>
    <w:rsid w:val="0083730F"/>
    <w:rPr>
      <w:color w:val="0000FF"/>
      <w:u w:val="single"/>
    </w:rPr>
  </w:style>
  <w:style w:type="character" w:styleId="UnresolvedMention">
    <w:name w:val="Unresolved Mention"/>
    <w:basedOn w:val="DefaultParagraphFont"/>
    <w:uiPriority w:val="99"/>
    <w:semiHidden/>
    <w:unhideWhenUsed/>
    <w:rsid w:val="006A34D2"/>
    <w:rPr>
      <w:color w:val="605E5C"/>
      <w:shd w:val="clear" w:color="auto" w:fill="E1DFDD"/>
    </w:rPr>
  </w:style>
  <w:style w:type="table" w:styleId="TableGrid">
    <w:name w:val="Table Grid"/>
    <w:basedOn w:val="TableNormal"/>
    <w:rsid w:val="003B4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F50D7"/>
    <w:rPr>
      <w:color w:val="954F72" w:themeColor="followedHyperlink"/>
      <w:u w:val="single"/>
    </w:rPr>
  </w:style>
  <w:style w:type="paragraph" w:styleId="NoSpacing">
    <w:name w:val="No Spacing"/>
    <w:uiPriority w:val="1"/>
    <w:qFormat/>
    <w:rsid w:val="00F012B0"/>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29446">
      <w:bodyDiv w:val="1"/>
      <w:marLeft w:val="0"/>
      <w:marRight w:val="0"/>
      <w:marTop w:val="0"/>
      <w:marBottom w:val="0"/>
      <w:divBdr>
        <w:top w:val="none" w:sz="0" w:space="0" w:color="auto"/>
        <w:left w:val="none" w:sz="0" w:space="0" w:color="auto"/>
        <w:bottom w:val="none" w:sz="0" w:space="0" w:color="auto"/>
        <w:right w:val="none" w:sz="0" w:space="0" w:color="auto"/>
      </w:divBdr>
    </w:div>
    <w:div w:id="276911851">
      <w:bodyDiv w:val="1"/>
      <w:marLeft w:val="0"/>
      <w:marRight w:val="0"/>
      <w:marTop w:val="0"/>
      <w:marBottom w:val="0"/>
      <w:divBdr>
        <w:top w:val="none" w:sz="0" w:space="0" w:color="auto"/>
        <w:left w:val="none" w:sz="0" w:space="0" w:color="auto"/>
        <w:bottom w:val="none" w:sz="0" w:space="0" w:color="auto"/>
        <w:right w:val="none" w:sz="0" w:space="0" w:color="auto"/>
      </w:divBdr>
    </w:div>
    <w:div w:id="372732292">
      <w:bodyDiv w:val="1"/>
      <w:marLeft w:val="0"/>
      <w:marRight w:val="0"/>
      <w:marTop w:val="0"/>
      <w:marBottom w:val="0"/>
      <w:divBdr>
        <w:top w:val="none" w:sz="0" w:space="0" w:color="auto"/>
        <w:left w:val="none" w:sz="0" w:space="0" w:color="auto"/>
        <w:bottom w:val="none" w:sz="0" w:space="0" w:color="auto"/>
        <w:right w:val="none" w:sz="0" w:space="0" w:color="auto"/>
      </w:divBdr>
    </w:div>
    <w:div w:id="395593826">
      <w:bodyDiv w:val="1"/>
      <w:marLeft w:val="0"/>
      <w:marRight w:val="0"/>
      <w:marTop w:val="0"/>
      <w:marBottom w:val="0"/>
      <w:divBdr>
        <w:top w:val="none" w:sz="0" w:space="0" w:color="auto"/>
        <w:left w:val="none" w:sz="0" w:space="0" w:color="auto"/>
        <w:bottom w:val="none" w:sz="0" w:space="0" w:color="auto"/>
        <w:right w:val="none" w:sz="0" w:space="0" w:color="auto"/>
      </w:divBdr>
    </w:div>
    <w:div w:id="404038490">
      <w:bodyDiv w:val="1"/>
      <w:marLeft w:val="0"/>
      <w:marRight w:val="0"/>
      <w:marTop w:val="0"/>
      <w:marBottom w:val="0"/>
      <w:divBdr>
        <w:top w:val="none" w:sz="0" w:space="0" w:color="auto"/>
        <w:left w:val="none" w:sz="0" w:space="0" w:color="auto"/>
        <w:bottom w:val="none" w:sz="0" w:space="0" w:color="auto"/>
        <w:right w:val="none" w:sz="0" w:space="0" w:color="auto"/>
      </w:divBdr>
    </w:div>
    <w:div w:id="550700115">
      <w:bodyDiv w:val="1"/>
      <w:marLeft w:val="0"/>
      <w:marRight w:val="0"/>
      <w:marTop w:val="0"/>
      <w:marBottom w:val="0"/>
      <w:divBdr>
        <w:top w:val="none" w:sz="0" w:space="0" w:color="auto"/>
        <w:left w:val="none" w:sz="0" w:space="0" w:color="auto"/>
        <w:bottom w:val="none" w:sz="0" w:space="0" w:color="auto"/>
        <w:right w:val="none" w:sz="0" w:space="0" w:color="auto"/>
      </w:divBdr>
    </w:div>
    <w:div w:id="569001462">
      <w:bodyDiv w:val="1"/>
      <w:marLeft w:val="0"/>
      <w:marRight w:val="0"/>
      <w:marTop w:val="0"/>
      <w:marBottom w:val="0"/>
      <w:divBdr>
        <w:top w:val="none" w:sz="0" w:space="0" w:color="auto"/>
        <w:left w:val="none" w:sz="0" w:space="0" w:color="auto"/>
        <w:bottom w:val="none" w:sz="0" w:space="0" w:color="auto"/>
        <w:right w:val="none" w:sz="0" w:space="0" w:color="auto"/>
      </w:divBdr>
    </w:div>
    <w:div w:id="638614316">
      <w:bodyDiv w:val="1"/>
      <w:marLeft w:val="0"/>
      <w:marRight w:val="0"/>
      <w:marTop w:val="0"/>
      <w:marBottom w:val="0"/>
      <w:divBdr>
        <w:top w:val="none" w:sz="0" w:space="0" w:color="auto"/>
        <w:left w:val="none" w:sz="0" w:space="0" w:color="auto"/>
        <w:bottom w:val="none" w:sz="0" w:space="0" w:color="auto"/>
        <w:right w:val="none" w:sz="0" w:space="0" w:color="auto"/>
      </w:divBdr>
    </w:div>
    <w:div w:id="645670968">
      <w:bodyDiv w:val="1"/>
      <w:marLeft w:val="0"/>
      <w:marRight w:val="0"/>
      <w:marTop w:val="0"/>
      <w:marBottom w:val="0"/>
      <w:divBdr>
        <w:top w:val="none" w:sz="0" w:space="0" w:color="auto"/>
        <w:left w:val="none" w:sz="0" w:space="0" w:color="auto"/>
        <w:bottom w:val="none" w:sz="0" w:space="0" w:color="auto"/>
        <w:right w:val="none" w:sz="0" w:space="0" w:color="auto"/>
      </w:divBdr>
    </w:div>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766534216">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260413361">
      <w:bodyDiv w:val="1"/>
      <w:marLeft w:val="0"/>
      <w:marRight w:val="0"/>
      <w:marTop w:val="0"/>
      <w:marBottom w:val="0"/>
      <w:divBdr>
        <w:top w:val="none" w:sz="0" w:space="0" w:color="auto"/>
        <w:left w:val="none" w:sz="0" w:space="0" w:color="auto"/>
        <w:bottom w:val="none" w:sz="0" w:space="0" w:color="auto"/>
        <w:right w:val="none" w:sz="0" w:space="0" w:color="auto"/>
      </w:divBdr>
    </w:div>
    <w:div w:id="1584103191">
      <w:bodyDiv w:val="1"/>
      <w:marLeft w:val="0"/>
      <w:marRight w:val="0"/>
      <w:marTop w:val="0"/>
      <w:marBottom w:val="0"/>
      <w:divBdr>
        <w:top w:val="none" w:sz="0" w:space="0" w:color="auto"/>
        <w:left w:val="none" w:sz="0" w:space="0" w:color="auto"/>
        <w:bottom w:val="none" w:sz="0" w:space="0" w:color="auto"/>
        <w:right w:val="none" w:sz="0" w:space="0" w:color="auto"/>
      </w:divBdr>
    </w:div>
    <w:div w:id="1595553144">
      <w:bodyDiv w:val="1"/>
      <w:marLeft w:val="0"/>
      <w:marRight w:val="0"/>
      <w:marTop w:val="0"/>
      <w:marBottom w:val="0"/>
      <w:divBdr>
        <w:top w:val="none" w:sz="0" w:space="0" w:color="auto"/>
        <w:left w:val="none" w:sz="0" w:space="0" w:color="auto"/>
        <w:bottom w:val="none" w:sz="0" w:space="0" w:color="auto"/>
        <w:right w:val="none" w:sz="0" w:space="0" w:color="auto"/>
      </w:divBdr>
    </w:div>
    <w:div w:id="1721006561">
      <w:bodyDiv w:val="1"/>
      <w:marLeft w:val="0"/>
      <w:marRight w:val="0"/>
      <w:marTop w:val="0"/>
      <w:marBottom w:val="0"/>
      <w:divBdr>
        <w:top w:val="none" w:sz="0" w:space="0" w:color="auto"/>
        <w:left w:val="none" w:sz="0" w:space="0" w:color="auto"/>
        <w:bottom w:val="none" w:sz="0" w:space="0" w:color="auto"/>
        <w:right w:val="none" w:sz="0" w:space="0" w:color="auto"/>
      </w:divBdr>
    </w:div>
    <w:div w:id="2105879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agegiai.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v.cesnaite@cpva.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nfo@cpva.lt"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pirkimo-dokumentu-keitimas-po-ju-paskelbi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AF761F-24C3-41FB-97A7-6D0FAE0F1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Pages>
  <Words>2468</Words>
  <Characters>14073</Characters>
  <Application>Microsoft Office Word</Application>
  <DocSecurity>0</DocSecurity>
  <Lines>117</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16508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Infolex</dc:creator>
  <cp:keywords/>
  <dc:description/>
  <cp:lastModifiedBy>Giedrė Almonaitytė</cp:lastModifiedBy>
  <cp:revision>4</cp:revision>
  <cp:lastPrinted>2019-02-01T10:14:00Z</cp:lastPrinted>
  <dcterms:created xsi:type="dcterms:W3CDTF">2023-01-30T07:49:00Z</dcterms:created>
  <dcterms:modified xsi:type="dcterms:W3CDTF">2023-01-30T08:29:00Z</dcterms:modified>
</cp:coreProperties>
</file>