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5150F8">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6.2pt" o:ole="" fillcolor="window">
            <v:imagedata r:id="rId8" o:title=""/>
          </v:shape>
          <o:OLEObject Type="Embed" ProgID="Word.Picture.8" ShapeID="_x0000_i1025" DrawAspect="Content" ObjectID="_1758951807" r:id="rId9"/>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D02115" w14:paraId="33E27AB9" w14:textId="77777777" w:rsidTr="00925575">
        <w:trPr>
          <w:cantSplit/>
          <w:trHeight w:val="1513"/>
        </w:trPr>
        <w:tc>
          <w:tcPr>
            <w:tcW w:w="4820" w:type="dxa"/>
          </w:tcPr>
          <w:p w14:paraId="7FD9E3B5" w14:textId="7D116EC9" w:rsidR="00396BE7" w:rsidRPr="00396BE7" w:rsidRDefault="00396BE7" w:rsidP="00E172D1">
            <w:pPr>
              <w:shd w:val="clear" w:color="auto" w:fill="FFFFFF"/>
              <w:spacing w:line="300" w:lineRule="atLeast"/>
              <w:ind w:hanging="110"/>
              <w:rPr>
                <w:sz w:val="24"/>
                <w:szCs w:val="24"/>
              </w:rPr>
            </w:pPr>
            <w:r w:rsidRPr="00396BE7">
              <w:rPr>
                <w:sz w:val="24"/>
                <w:szCs w:val="24"/>
              </w:rPr>
              <w:t>Uždar</w:t>
            </w:r>
            <w:r w:rsidR="007D209F">
              <w:rPr>
                <w:sz w:val="24"/>
                <w:szCs w:val="24"/>
              </w:rPr>
              <w:t>a</w:t>
            </w:r>
            <w:r w:rsidRPr="00396BE7">
              <w:rPr>
                <w:sz w:val="24"/>
                <w:szCs w:val="24"/>
              </w:rPr>
              <w:t>j</w:t>
            </w:r>
            <w:r w:rsidR="007D209F">
              <w:rPr>
                <w:sz w:val="24"/>
                <w:szCs w:val="24"/>
              </w:rPr>
              <w:t>ai</w:t>
            </w:r>
            <w:r w:rsidRPr="00396BE7">
              <w:rPr>
                <w:sz w:val="24"/>
                <w:szCs w:val="24"/>
              </w:rPr>
              <w:t xml:space="preserve"> akcin</w:t>
            </w:r>
            <w:r w:rsidR="007D209F">
              <w:rPr>
                <w:sz w:val="24"/>
                <w:szCs w:val="24"/>
              </w:rPr>
              <w:t>ei</w:t>
            </w:r>
            <w:r w:rsidRPr="00396BE7">
              <w:rPr>
                <w:sz w:val="24"/>
                <w:szCs w:val="24"/>
              </w:rPr>
              <w:t xml:space="preserve"> bendrov</w:t>
            </w:r>
            <w:r w:rsidR="007D209F">
              <w:rPr>
                <w:sz w:val="24"/>
                <w:szCs w:val="24"/>
              </w:rPr>
              <w:t>ei</w:t>
            </w:r>
          </w:p>
          <w:p w14:paraId="65018978" w14:textId="6FB55C6E" w:rsidR="00396BE7" w:rsidRPr="00396BE7" w:rsidRDefault="00396BE7" w:rsidP="00E172D1">
            <w:pPr>
              <w:shd w:val="clear" w:color="auto" w:fill="FFFFFF"/>
              <w:spacing w:line="300" w:lineRule="atLeast"/>
              <w:ind w:hanging="110"/>
              <w:rPr>
                <w:sz w:val="24"/>
                <w:szCs w:val="24"/>
              </w:rPr>
            </w:pPr>
            <w:r w:rsidRPr="00396BE7">
              <w:rPr>
                <w:sz w:val="24"/>
                <w:szCs w:val="24"/>
              </w:rPr>
              <w:t>Lietuvos parodų ir kongresų centr</w:t>
            </w:r>
            <w:r w:rsidR="002239BC">
              <w:rPr>
                <w:sz w:val="24"/>
                <w:szCs w:val="24"/>
              </w:rPr>
              <w:t>ui</w:t>
            </w:r>
            <w:r w:rsidRPr="00396BE7">
              <w:rPr>
                <w:sz w:val="24"/>
                <w:szCs w:val="24"/>
              </w:rPr>
              <w:t xml:space="preserve"> „Litexpo“</w:t>
            </w:r>
          </w:p>
          <w:p w14:paraId="52BFCE51" w14:textId="7D48539A" w:rsidR="00D626E5" w:rsidRPr="009D75CB" w:rsidRDefault="00D626E5" w:rsidP="00E172D1">
            <w:pPr>
              <w:tabs>
                <w:tab w:val="left" w:pos="900"/>
              </w:tabs>
              <w:ind w:hanging="110"/>
              <w:rPr>
                <w:rStyle w:val="Hyperlink"/>
                <w:color w:val="auto"/>
                <w:sz w:val="24"/>
                <w:szCs w:val="24"/>
                <w:u w:val="none"/>
              </w:rPr>
            </w:pPr>
            <w:r w:rsidRPr="009D75CB">
              <w:rPr>
                <w:rStyle w:val="Hyperlink"/>
                <w:color w:val="auto"/>
                <w:sz w:val="24"/>
                <w:szCs w:val="24"/>
                <w:u w:val="none"/>
              </w:rPr>
              <w:t>Laisvės pr. 5, 04215 Vilnius</w:t>
            </w:r>
          </w:p>
          <w:p w14:paraId="069E3DAA" w14:textId="30F387B9" w:rsidR="005E61AD" w:rsidRPr="009D75CB" w:rsidRDefault="00D626E5" w:rsidP="00E172D1">
            <w:pPr>
              <w:tabs>
                <w:tab w:val="left" w:pos="900"/>
              </w:tabs>
              <w:ind w:hanging="110"/>
              <w:rPr>
                <w:rStyle w:val="Hyperlink"/>
                <w:color w:val="auto"/>
                <w:sz w:val="24"/>
                <w:szCs w:val="24"/>
                <w:u w:val="none"/>
              </w:rPr>
            </w:pPr>
            <w:r w:rsidRPr="009D75CB">
              <w:rPr>
                <w:rStyle w:val="Hyperlink"/>
                <w:color w:val="auto"/>
                <w:sz w:val="24"/>
                <w:szCs w:val="24"/>
                <w:u w:val="none"/>
              </w:rPr>
              <w:t>El. p. info@litexpo.lt</w:t>
            </w:r>
          </w:p>
          <w:p w14:paraId="79D75D9D" w14:textId="77777777" w:rsidR="00D626E5" w:rsidRDefault="00D626E5" w:rsidP="005E61AD">
            <w:pPr>
              <w:tabs>
                <w:tab w:val="left" w:pos="900"/>
              </w:tabs>
              <w:ind w:left="-87"/>
              <w:rPr>
                <w:rStyle w:val="Hyperlink"/>
                <w:color w:val="auto"/>
                <w:sz w:val="24"/>
                <w:szCs w:val="24"/>
                <w:u w:val="none"/>
              </w:rPr>
            </w:pPr>
          </w:p>
          <w:p w14:paraId="001EF016" w14:textId="06E77DF2" w:rsidR="00601F7D" w:rsidRPr="00E73AD2" w:rsidRDefault="00396BE7" w:rsidP="005E61AD">
            <w:pPr>
              <w:tabs>
                <w:tab w:val="left" w:pos="900"/>
              </w:tabs>
              <w:ind w:left="-87"/>
              <w:rPr>
                <w:rStyle w:val="Hyperlink"/>
                <w:color w:val="auto"/>
                <w:sz w:val="24"/>
                <w:szCs w:val="24"/>
                <w:u w:val="none"/>
              </w:rPr>
            </w:pPr>
            <w:r w:rsidRPr="00E73AD2">
              <w:rPr>
                <w:rStyle w:val="Hyperlink"/>
                <w:color w:val="auto"/>
                <w:sz w:val="24"/>
                <w:szCs w:val="24"/>
                <w:u w:val="none"/>
              </w:rPr>
              <w:t>Žiniai</w:t>
            </w:r>
          </w:p>
          <w:p w14:paraId="1371C01F" w14:textId="77777777" w:rsidR="00396BE7" w:rsidRPr="00E73AD2" w:rsidRDefault="00396BE7" w:rsidP="005E61AD">
            <w:pPr>
              <w:tabs>
                <w:tab w:val="left" w:pos="900"/>
              </w:tabs>
              <w:ind w:left="-87"/>
              <w:rPr>
                <w:rStyle w:val="Hyperlink"/>
                <w:color w:val="auto"/>
                <w:sz w:val="24"/>
                <w:szCs w:val="24"/>
              </w:rPr>
            </w:pPr>
          </w:p>
          <w:p w14:paraId="2FBD4714" w14:textId="77777777" w:rsidR="00E84BB4" w:rsidRDefault="00E84BB4" w:rsidP="00E84BB4">
            <w:pPr>
              <w:tabs>
                <w:tab w:val="left" w:pos="900"/>
              </w:tabs>
              <w:ind w:left="-87"/>
              <w:rPr>
                <w:rStyle w:val="Hyperlink"/>
                <w:color w:val="auto"/>
                <w:sz w:val="24"/>
                <w:szCs w:val="24"/>
                <w:u w:val="none"/>
              </w:rPr>
            </w:pPr>
            <w:r>
              <w:rPr>
                <w:rStyle w:val="Hyperlink"/>
                <w:color w:val="auto"/>
                <w:sz w:val="24"/>
                <w:szCs w:val="24"/>
                <w:u w:val="none"/>
              </w:rPr>
              <w:t>Lietuvos Respublikos</w:t>
            </w:r>
          </w:p>
          <w:p w14:paraId="6CD9E9A3" w14:textId="52B1F1E0" w:rsidR="00E84BB4" w:rsidRDefault="001C5CF3" w:rsidP="00E84BB4">
            <w:pPr>
              <w:tabs>
                <w:tab w:val="left" w:pos="900"/>
              </w:tabs>
              <w:ind w:left="-87"/>
              <w:rPr>
                <w:rStyle w:val="Hyperlink"/>
                <w:color w:val="auto"/>
                <w:sz w:val="24"/>
                <w:szCs w:val="24"/>
                <w:u w:val="none"/>
              </w:rPr>
            </w:pPr>
            <w:r>
              <w:rPr>
                <w:rStyle w:val="Hyperlink"/>
                <w:color w:val="auto"/>
                <w:sz w:val="24"/>
                <w:szCs w:val="24"/>
                <w:u w:val="none"/>
              </w:rPr>
              <w:t>ekonomikos ir inovacijų</w:t>
            </w:r>
            <w:r w:rsidR="00E84BB4">
              <w:rPr>
                <w:rStyle w:val="Hyperlink"/>
                <w:color w:val="auto"/>
                <w:sz w:val="24"/>
                <w:szCs w:val="24"/>
                <w:u w:val="none"/>
              </w:rPr>
              <w:t xml:space="preserve"> ministerijai</w:t>
            </w:r>
          </w:p>
          <w:p w14:paraId="783D73E3" w14:textId="26C19A1C" w:rsidR="00D626E5" w:rsidRDefault="00D626E5" w:rsidP="00D626E5">
            <w:pPr>
              <w:tabs>
                <w:tab w:val="left" w:pos="900"/>
              </w:tabs>
              <w:ind w:left="-87"/>
              <w:rPr>
                <w:rStyle w:val="Hyperlink"/>
                <w:color w:val="auto"/>
                <w:sz w:val="24"/>
                <w:szCs w:val="24"/>
                <w:u w:val="none"/>
              </w:rPr>
            </w:pPr>
            <w:r w:rsidRPr="00D626E5">
              <w:rPr>
                <w:rStyle w:val="Hyperlink"/>
                <w:color w:val="auto"/>
                <w:sz w:val="24"/>
                <w:szCs w:val="24"/>
                <w:u w:val="none"/>
              </w:rPr>
              <w:t>Gedimino pr. 38, 01104 Vilnius</w:t>
            </w:r>
          </w:p>
          <w:p w14:paraId="5EA9CA29" w14:textId="57EAEC1D" w:rsidR="00D626E5" w:rsidRPr="00694854" w:rsidRDefault="00D626E5" w:rsidP="00694854">
            <w:pPr>
              <w:tabs>
                <w:tab w:val="left" w:pos="900"/>
              </w:tabs>
              <w:ind w:left="-87"/>
              <w:rPr>
                <w:sz w:val="24"/>
                <w:szCs w:val="24"/>
              </w:rPr>
            </w:pPr>
            <w:r>
              <w:rPr>
                <w:rStyle w:val="Hyperlink"/>
                <w:color w:val="auto"/>
                <w:sz w:val="24"/>
                <w:szCs w:val="24"/>
                <w:u w:val="none"/>
              </w:rPr>
              <w:t xml:space="preserve">El. p. </w:t>
            </w:r>
            <w:r w:rsidRPr="00D626E5">
              <w:rPr>
                <w:rStyle w:val="Hyperlink"/>
                <w:color w:val="auto"/>
                <w:sz w:val="24"/>
                <w:szCs w:val="24"/>
                <w:u w:val="none"/>
              </w:rPr>
              <w:t>kanc@eimin.lt</w:t>
            </w:r>
          </w:p>
        </w:tc>
        <w:tc>
          <w:tcPr>
            <w:tcW w:w="1559" w:type="dxa"/>
          </w:tcPr>
          <w:p w14:paraId="32BD6F7F" w14:textId="54E0E4F7" w:rsidR="005D1318" w:rsidRPr="00D42EFA" w:rsidRDefault="005D1318" w:rsidP="001854D6">
            <w:pPr>
              <w:rPr>
                <w:sz w:val="24"/>
                <w:szCs w:val="24"/>
              </w:rPr>
            </w:pPr>
            <w:r w:rsidRPr="00D42EFA">
              <w:rPr>
                <w:sz w:val="24"/>
                <w:szCs w:val="24"/>
              </w:rPr>
              <w:t>202</w:t>
            </w:r>
            <w:r w:rsidR="002E59D1" w:rsidRPr="00D42EFA">
              <w:rPr>
                <w:sz w:val="24"/>
                <w:szCs w:val="24"/>
              </w:rPr>
              <w:t>3</w:t>
            </w:r>
            <w:r w:rsidRPr="00D42EFA">
              <w:rPr>
                <w:sz w:val="24"/>
                <w:szCs w:val="24"/>
              </w:rPr>
              <w:t>-</w:t>
            </w:r>
            <w:r w:rsidR="009D75CB">
              <w:rPr>
                <w:sz w:val="24"/>
                <w:szCs w:val="24"/>
              </w:rPr>
              <w:t>10</w:t>
            </w:r>
            <w:r w:rsidRPr="00D42EFA">
              <w:rPr>
                <w:sz w:val="24"/>
                <w:szCs w:val="24"/>
              </w:rPr>
              <w:t>-</w:t>
            </w:r>
            <w:r w:rsidR="007F69E4">
              <w:rPr>
                <w:sz w:val="24"/>
                <w:szCs w:val="24"/>
              </w:rPr>
              <w:t>16</w:t>
            </w:r>
          </w:p>
          <w:p w14:paraId="76F8978F" w14:textId="0AB16ACA" w:rsidR="005D1318" w:rsidRPr="00D42EFA" w:rsidRDefault="005D1318" w:rsidP="002854DA">
            <w:pPr>
              <w:rPr>
                <w:sz w:val="24"/>
                <w:szCs w:val="24"/>
              </w:rPr>
            </w:pPr>
            <w:r w:rsidRPr="00D42EFA">
              <w:rPr>
                <w:sz w:val="24"/>
                <w:szCs w:val="24"/>
              </w:rPr>
              <w:t xml:space="preserve">Į </w:t>
            </w:r>
            <w:r w:rsidR="0099570B">
              <w:rPr>
                <w:sz w:val="24"/>
                <w:szCs w:val="24"/>
              </w:rPr>
              <w:t>2023-05-</w:t>
            </w:r>
            <w:r w:rsidR="00436FDA">
              <w:rPr>
                <w:sz w:val="24"/>
                <w:szCs w:val="24"/>
              </w:rPr>
              <w:t>25</w:t>
            </w:r>
          </w:p>
          <w:p w14:paraId="6470606E" w14:textId="1EC5CE92" w:rsidR="005D1318" w:rsidRPr="00D42EFA" w:rsidRDefault="009D75CB" w:rsidP="00BE7F79">
            <w:pPr>
              <w:rPr>
                <w:sz w:val="24"/>
                <w:szCs w:val="24"/>
              </w:rPr>
            </w:pPr>
            <w:r>
              <w:rPr>
                <w:sz w:val="24"/>
                <w:szCs w:val="24"/>
              </w:rPr>
              <w:t xml:space="preserve">Į </w:t>
            </w:r>
            <w:r w:rsidR="00206889">
              <w:rPr>
                <w:sz w:val="24"/>
                <w:szCs w:val="24"/>
              </w:rPr>
              <w:t>2023-07-14</w:t>
            </w:r>
          </w:p>
          <w:p w14:paraId="3163C8F2" w14:textId="788DED81" w:rsidR="00696389" w:rsidRPr="00D42EFA" w:rsidRDefault="00206889" w:rsidP="002927CC">
            <w:pPr>
              <w:rPr>
                <w:sz w:val="24"/>
                <w:szCs w:val="24"/>
              </w:rPr>
            </w:pPr>
            <w:r>
              <w:rPr>
                <w:sz w:val="24"/>
                <w:szCs w:val="24"/>
              </w:rPr>
              <w:t>Į 2023-09-19</w:t>
            </w:r>
          </w:p>
        </w:tc>
        <w:tc>
          <w:tcPr>
            <w:tcW w:w="3402" w:type="dxa"/>
            <w:shd w:val="clear" w:color="auto" w:fill="auto"/>
          </w:tcPr>
          <w:p w14:paraId="14CACDFB" w14:textId="5EA862B2" w:rsidR="005D1318" w:rsidRPr="00D42EFA" w:rsidRDefault="005D1318" w:rsidP="00D42EFA">
            <w:pPr>
              <w:rPr>
                <w:sz w:val="24"/>
                <w:szCs w:val="24"/>
              </w:rPr>
            </w:pPr>
            <w:r w:rsidRPr="00D42EFA">
              <w:rPr>
                <w:sz w:val="24"/>
                <w:szCs w:val="24"/>
              </w:rPr>
              <w:t xml:space="preserve">Nr. </w:t>
            </w:r>
            <w:r w:rsidR="00772862">
              <w:rPr>
                <w:sz w:val="24"/>
                <w:szCs w:val="24"/>
              </w:rPr>
              <w:t>4S-</w:t>
            </w:r>
            <w:r w:rsidR="007F69E4">
              <w:rPr>
                <w:sz w:val="24"/>
                <w:szCs w:val="24"/>
              </w:rPr>
              <w:t>1131</w:t>
            </w:r>
            <w:r w:rsidRPr="00D42EFA">
              <w:rPr>
                <w:sz w:val="24"/>
                <w:szCs w:val="24"/>
              </w:rPr>
              <w:t>(7.4Mr)</w:t>
            </w:r>
          </w:p>
          <w:p w14:paraId="4FF6E46D" w14:textId="71126587" w:rsidR="005D1318" w:rsidRDefault="005D1318" w:rsidP="00D42EFA">
            <w:pPr>
              <w:rPr>
                <w:sz w:val="24"/>
                <w:szCs w:val="24"/>
              </w:rPr>
            </w:pPr>
            <w:r w:rsidRPr="00D42EFA">
              <w:rPr>
                <w:sz w:val="24"/>
                <w:szCs w:val="24"/>
              </w:rPr>
              <w:t xml:space="preserve">Nr. </w:t>
            </w:r>
            <w:r w:rsidR="00436FDA">
              <w:rPr>
                <w:sz w:val="24"/>
                <w:szCs w:val="24"/>
              </w:rPr>
              <w:t>7-48</w:t>
            </w:r>
          </w:p>
          <w:p w14:paraId="02649011" w14:textId="77777777" w:rsidR="00696389" w:rsidRDefault="00206889" w:rsidP="00925575">
            <w:pPr>
              <w:rPr>
                <w:sz w:val="24"/>
                <w:szCs w:val="24"/>
              </w:rPr>
            </w:pPr>
            <w:r>
              <w:rPr>
                <w:sz w:val="24"/>
                <w:szCs w:val="24"/>
              </w:rPr>
              <w:t>Nr. 7-62</w:t>
            </w:r>
          </w:p>
          <w:p w14:paraId="1C320F9F" w14:textId="282D8C9C" w:rsidR="00206889" w:rsidRPr="00206889" w:rsidRDefault="00206889" w:rsidP="00206889">
            <w:pPr>
              <w:rPr>
                <w:sz w:val="24"/>
                <w:szCs w:val="24"/>
              </w:rPr>
            </w:pPr>
            <w:r>
              <w:rPr>
                <w:sz w:val="24"/>
                <w:szCs w:val="24"/>
              </w:rPr>
              <w:t>Nr. 7-77</w:t>
            </w:r>
          </w:p>
        </w:tc>
      </w:tr>
    </w:tbl>
    <w:p w14:paraId="2DBF2525" w14:textId="3AAEC1DF" w:rsidR="0088148E" w:rsidRPr="00D02115" w:rsidRDefault="0088148E" w:rsidP="0088148E">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8148E">
      <w:pPr>
        <w:rPr>
          <w:rFonts w:eastAsia="Calibri"/>
          <w:sz w:val="24"/>
          <w:szCs w:val="24"/>
        </w:rPr>
      </w:pPr>
    </w:p>
    <w:p w14:paraId="50D01254" w14:textId="567C38FC" w:rsidR="0088148E" w:rsidRPr="00D02115" w:rsidRDefault="00806D5E" w:rsidP="001561E8">
      <w:pPr>
        <w:ind w:firstLine="851"/>
        <w:jc w:val="both"/>
        <w:rPr>
          <w:rFonts w:eastAsia="Calibri"/>
          <w:bCs/>
          <w:sz w:val="24"/>
          <w:szCs w:val="24"/>
        </w:rPr>
      </w:pPr>
      <w:r w:rsidRPr="00D02115">
        <w:rPr>
          <w:rFonts w:eastAsia="Calibri"/>
          <w:bCs/>
          <w:sz w:val="24"/>
          <w:szCs w:val="24"/>
        </w:rPr>
        <w:t xml:space="preserve">Viešųjų pirkimų tarnyba (toliau – Tarnyba), </w:t>
      </w:r>
      <w:r w:rsidR="00CE7B00">
        <w:rPr>
          <w:rFonts w:eastAsia="Calibri"/>
          <w:bCs/>
          <w:sz w:val="24"/>
          <w:szCs w:val="24"/>
        </w:rPr>
        <w:t xml:space="preserve">vadovaudamasi </w:t>
      </w:r>
      <w:r w:rsidR="008E2247" w:rsidRPr="00A701E4">
        <w:rPr>
          <w:sz w:val="24"/>
          <w:szCs w:val="24"/>
        </w:rPr>
        <w:t>Lietuvos Respublikos</w:t>
      </w:r>
      <w:r w:rsidR="00C73BDE">
        <w:rPr>
          <w:sz w:val="24"/>
          <w:szCs w:val="24"/>
        </w:rPr>
        <w:t xml:space="preserve"> viešųjų</w:t>
      </w:r>
      <w:r w:rsidR="008E2247" w:rsidRPr="00A701E4">
        <w:rPr>
          <w:sz w:val="24"/>
          <w:szCs w:val="24"/>
        </w:rPr>
        <w:t xml:space="preserve"> pirkimų</w:t>
      </w:r>
      <w:r w:rsidR="00C73BDE">
        <w:rPr>
          <w:sz w:val="24"/>
          <w:szCs w:val="24"/>
        </w:rPr>
        <w:t xml:space="preserve"> </w:t>
      </w:r>
      <w:r w:rsidR="008E2247" w:rsidRPr="00A701E4">
        <w:rPr>
          <w:sz w:val="24"/>
          <w:szCs w:val="24"/>
        </w:rPr>
        <w:t>įstatymo</w:t>
      </w:r>
      <w:r w:rsidR="00C73BDE">
        <w:rPr>
          <w:sz w:val="24"/>
          <w:szCs w:val="24"/>
        </w:rPr>
        <w:t xml:space="preserve"> (toliau – VPĮ)</w:t>
      </w:r>
      <w:r w:rsidR="008E2247" w:rsidRPr="00A701E4">
        <w:rPr>
          <w:sz w:val="24"/>
          <w:szCs w:val="24"/>
        </w:rPr>
        <w:t xml:space="preserve"> </w:t>
      </w:r>
      <w:r w:rsidR="00C470EF">
        <w:rPr>
          <w:sz w:val="24"/>
          <w:szCs w:val="24"/>
        </w:rPr>
        <w:t>95</w:t>
      </w:r>
      <w:r w:rsidR="008E2247" w:rsidRPr="00A701E4">
        <w:rPr>
          <w:sz w:val="24"/>
          <w:szCs w:val="24"/>
        </w:rPr>
        <w:t xml:space="preserve"> straipsnio 1 dalies 2 punktu </w:t>
      </w:r>
      <w:r w:rsidR="00D96B27" w:rsidRPr="00D97CC2">
        <w:rPr>
          <w:rFonts w:eastAsia="Calibri"/>
          <w:bCs/>
          <w:sz w:val="24"/>
          <w:szCs w:val="24"/>
        </w:rPr>
        <w:t xml:space="preserve">ir </w:t>
      </w:r>
      <w:r w:rsidR="00601AD3" w:rsidRPr="00CE7B00">
        <w:rPr>
          <w:rFonts w:ascii="TimesNewRomanPSMT" w:hAnsi="TimesNewRomanPSMT" w:cs="TimesNewRomanPSMT"/>
          <w:sz w:val="24"/>
          <w:szCs w:val="24"/>
          <w:lang w:eastAsia="lt-LT"/>
        </w:rPr>
        <w:t>Pirkimų ir koncesijų priežiūros vykdymo tvarkos aprašu</w:t>
      </w:r>
      <w:r w:rsidR="00601AD3" w:rsidRPr="00717E7D">
        <w:rPr>
          <w:sz w:val="24"/>
          <w:szCs w:val="24"/>
        </w:rPr>
        <w:t>, patvirtintu Tarnybos direktoriaus</w:t>
      </w:r>
      <w:r w:rsidR="00601AD3" w:rsidRPr="00717E7D">
        <w:t xml:space="preserve"> </w:t>
      </w:r>
      <w:r w:rsidR="00601AD3" w:rsidRPr="00717E7D">
        <w:rPr>
          <w:sz w:val="24"/>
          <w:szCs w:val="24"/>
        </w:rPr>
        <w:t>2023 m. kovo 24 d. įsakymu Nr. 1S-44</w:t>
      </w:r>
      <w:r w:rsidR="00D96B27" w:rsidRPr="00C23BDE">
        <w:rPr>
          <w:rFonts w:eastAsia="Calibri"/>
          <w:bCs/>
          <w:sz w:val="24"/>
          <w:szCs w:val="24"/>
        </w:rPr>
        <w:t xml:space="preserve">, </w:t>
      </w:r>
      <w:r w:rsidR="00564665">
        <w:rPr>
          <w:rFonts w:eastAsia="Calibri"/>
          <w:bCs/>
          <w:sz w:val="24"/>
          <w:szCs w:val="24"/>
        </w:rPr>
        <w:t xml:space="preserve">savo iniciatyva </w:t>
      </w:r>
      <w:r w:rsidR="00D96B27" w:rsidRPr="00C23BDE">
        <w:rPr>
          <w:rFonts w:eastAsia="Calibri"/>
          <w:bCs/>
          <w:sz w:val="24"/>
          <w:szCs w:val="24"/>
        </w:rPr>
        <w:t xml:space="preserve">atliko </w:t>
      </w:r>
      <w:r w:rsidR="001561E8">
        <w:rPr>
          <w:sz w:val="24"/>
          <w:szCs w:val="24"/>
        </w:rPr>
        <w:t>u</w:t>
      </w:r>
      <w:r w:rsidR="001561E8" w:rsidRPr="001561E8">
        <w:rPr>
          <w:sz w:val="24"/>
          <w:szCs w:val="24"/>
        </w:rPr>
        <w:t>ždaro</w:t>
      </w:r>
      <w:r w:rsidR="001561E8">
        <w:rPr>
          <w:sz w:val="24"/>
          <w:szCs w:val="24"/>
        </w:rPr>
        <w:t>sios</w:t>
      </w:r>
      <w:r w:rsidR="001561E8" w:rsidRPr="001561E8">
        <w:rPr>
          <w:sz w:val="24"/>
          <w:szCs w:val="24"/>
        </w:rPr>
        <w:t xml:space="preserve"> akcinė</w:t>
      </w:r>
      <w:r w:rsidR="001561E8">
        <w:rPr>
          <w:sz w:val="24"/>
          <w:szCs w:val="24"/>
        </w:rPr>
        <w:t>s</w:t>
      </w:r>
      <w:r w:rsidR="001561E8" w:rsidRPr="001561E8">
        <w:rPr>
          <w:sz w:val="24"/>
          <w:szCs w:val="24"/>
        </w:rPr>
        <w:t xml:space="preserve"> bendrovė</w:t>
      </w:r>
      <w:r w:rsidR="001561E8">
        <w:rPr>
          <w:sz w:val="24"/>
          <w:szCs w:val="24"/>
        </w:rPr>
        <w:t xml:space="preserve">s </w:t>
      </w:r>
      <w:r w:rsidR="001561E8" w:rsidRPr="001561E8">
        <w:rPr>
          <w:sz w:val="24"/>
          <w:szCs w:val="24"/>
        </w:rPr>
        <w:t>Lietuvos parodų ir kongresų centr</w:t>
      </w:r>
      <w:r w:rsidR="001561E8">
        <w:rPr>
          <w:sz w:val="24"/>
          <w:szCs w:val="24"/>
        </w:rPr>
        <w:t>o</w:t>
      </w:r>
      <w:r w:rsidR="001561E8" w:rsidRPr="001561E8">
        <w:rPr>
          <w:sz w:val="24"/>
          <w:szCs w:val="24"/>
        </w:rPr>
        <w:t xml:space="preserve"> „Litexpo“</w:t>
      </w:r>
      <w:r w:rsidR="005E61AD">
        <w:rPr>
          <w:sz w:val="24"/>
          <w:szCs w:val="24"/>
        </w:rPr>
        <w:t xml:space="preserve"> (</w:t>
      </w:r>
      <w:r w:rsidR="005E61AD" w:rsidRPr="003D3FD9">
        <w:rPr>
          <w:sz w:val="24"/>
          <w:szCs w:val="24"/>
        </w:rPr>
        <w:t>toliau</w:t>
      </w:r>
      <w:r w:rsidR="001561E8">
        <w:rPr>
          <w:sz w:val="24"/>
          <w:szCs w:val="24"/>
        </w:rPr>
        <w:t> </w:t>
      </w:r>
      <w:r w:rsidR="005E61AD">
        <w:rPr>
          <w:sz w:val="24"/>
          <w:szCs w:val="24"/>
        </w:rPr>
        <w:t>–</w:t>
      </w:r>
      <w:r w:rsidR="001561E8">
        <w:rPr>
          <w:sz w:val="24"/>
          <w:szCs w:val="24"/>
        </w:rPr>
        <w:t> Perkančioji organizacija</w:t>
      </w:r>
      <w:r w:rsidR="005E61AD">
        <w:rPr>
          <w:sz w:val="24"/>
          <w:szCs w:val="24"/>
        </w:rPr>
        <w:t xml:space="preserve">) vykdyto pirkimo </w:t>
      </w:r>
      <w:r w:rsidR="005E61AD" w:rsidRPr="00C2719F">
        <w:rPr>
          <w:i/>
          <w:iCs/>
          <w:sz w:val="24"/>
          <w:szCs w:val="24"/>
        </w:rPr>
        <w:t>„</w:t>
      </w:r>
      <w:r w:rsidR="0026487A" w:rsidRPr="0026487A">
        <w:rPr>
          <w:i/>
          <w:iCs/>
          <w:sz w:val="24"/>
          <w:szCs w:val="24"/>
        </w:rPr>
        <w:t>Tinklo paslaugos ir jo veikimui reikalingų prekių pirkimas ir nuoma renginiui</w:t>
      </w:r>
      <w:r w:rsidR="005E61AD" w:rsidRPr="00C2719F">
        <w:rPr>
          <w:bCs/>
          <w:i/>
          <w:iCs/>
          <w:sz w:val="24"/>
          <w:szCs w:val="24"/>
        </w:rPr>
        <w:t>“</w:t>
      </w:r>
      <w:r w:rsidR="005E61AD">
        <w:rPr>
          <w:bCs/>
          <w:sz w:val="24"/>
          <w:szCs w:val="24"/>
        </w:rPr>
        <w:t xml:space="preserve"> </w:t>
      </w:r>
      <w:r w:rsidR="005E61AD">
        <w:rPr>
          <w:sz w:val="24"/>
          <w:szCs w:val="24"/>
        </w:rPr>
        <w:t>vertinimą</w:t>
      </w:r>
      <w:r w:rsidR="002909AD" w:rsidRPr="00D02115">
        <w:rPr>
          <w:rFonts w:eastAsia="Calibri"/>
          <w:bCs/>
          <w:sz w:val="24"/>
          <w:szCs w:val="24"/>
        </w:rPr>
        <w:t>.</w:t>
      </w:r>
    </w:p>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r w:rsidRPr="003162FC">
        <w:rPr>
          <w:b/>
          <w:sz w:val="24"/>
          <w:szCs w:val="24"/>
        </w:rPr>
        <w:t>I dalis. Bendra informacija</w:t>
      </w:r>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3162FC" w:rsidRDefault="00653E01" w:rsidP="009960C2">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pasiūlymą) data</w:t>
            </w:r>
            <w:r w:rsidR="00455443">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3C805AA7" w:rsidR="00653E01" w:rsidRPr="003162FC" w:rsidRDefault="009960C2" w:rsidP="003D3FD9">
            <w:pPr>
              <w:ind w:left="68" w:right="142"/>
              <w:jc w:val="both"/>
              <w:rPr>
                <w:sz w:val="24"/>
                <w:szCs w:val="24"/>
              </w:rPr>
            </w:pPr>
            <w:r w:rsidRPr="00F00777">
              <w:rPr>
                <w:i/>
                <w:iCs/>
                <w:sz w:val="24"/>
                <w:szCs w:val="24"/>
              </w:rPr>
              <w:t>„</w:t>
            </w:r>
            <w:r w:rsidR="00C6658A" w:rsidRPr="00C6658A">
              <w:rPr>
                <w:i/>
                <w:iCs/>
                <w:sz w:val="24"/>
                <w:szCs w:val="24"/>
              </w:rPr>
              <w:t>Tinklo paslaugos ir jo veikimui reikalingų prekių pirkimas ir nuoma renginiui</w:t>
            </w:r>
            <w:r w:rsidRPr="00F00777">
              <w:rPr>
                <w:bCs/>
                <w:i/>
                <w:iCs/>
                <w:sz w:val="24"/>
                <w:szCs w:val="24"/>
              </w:rPr>
              <w:t>“</w:t>
            </w:r>
            <w:r w:rsidR="00104DC5">
              <w:rPr>
                <w:bCs/>
                <w:i/>
                <w:iCs/>
                <w:sz w:val="24"/>
                <w:szCs w:val="24"/>
              </w:rPr>
              <w:t xml:space="preserve"> </w:t>
            </w:r>
            <w:r w:rsidR="00104DC5" w:rsidRPr="00104DC5">
              <w:rPr>
                <w:bCs/>
                <w:sz w:val="24"/>
                <w:szCs w:val="24"/>
              </w:rPr>
              <w:t>(toliau – Pirkimas)</w:t>
            </w:r>
            <w:r w:rsidR="00104DC5">
              <w:rPr>
                <w:bCs/>
                <w:sz w:val="24"/>
                <w:szCs w:val="24"/>
              </w:rPr>
              <w:t>,</w:t>
            </w:r>
            <w:r w:rsidR="00873B8C">
              <w:rPr>
                <w:bCs/>
                <w:sz w:val="24"/>
                <w:szCs w:val="24"/>
              </w:rPr>
              <w:t xml:space="preserve"> Centrinėje viešųjų pirkimų informacinėje sistemoje (toliau – CVP IS) </w:t>
            </w:r>
            <w:r w:rsidR="00617073" w:rsidRPr="00617073">
              <w:rPr>
                <w:bCs/>
                <w:sz w:val="24"/>
                <w:szCs w:val="24"/>
              </w:rPr>
              <w:t xml:space="preserve">Pirkimo Nr. </w:t>
            </w:r>
            <w:r w:rsidR="00873B8C">
              <w:rPr>
                <w:bCs/>
                <w:sz w:val="24"/>
                <w:szCs w:val="24"/>
              </w:rPr>
              <w:t xml:space="preserve">641243, </w:t>
            </w:r>
            <w:r w:rsidR="0017740A">
              <w:rPr>
                <w:color w:val="000000"/>
                <w:sz w:val="24"/>
                <w:szCs w:val="24"/>
              </w:rPr>
              <w:t xml:space="preserve">kvietimas </w:t>
            </w:r>
            <w:r w:rsidR="0017740A" w:rsidRPr="00B93EA9">
              <w:rPr>
                <w:color w:val="000000"/>
                <w:sz w:val="24"/>
                <w:szCs w:val="24"/>
              </w:rPr>
              <w:t>dalyvauti neskelbiamo</w:t>
            </w:r>
            <w:r w:rsidR="00104DC5">
              <w:rPr>
                <w:color w:val="000000"/>
                <w:sz w:val="24"/>
                <w:szCs w:val="24"/>
              </w:rPr>
              <w:t xml:space="preserve">se derybose </w:t>
            </w:r>
            <w:r w:rsidR="0017740A">
              <w:rPr>
                <w:color w:val="000000"/>
                <w:sz w:val="24"/>
                <w:szCs w:val="24"/>
              </w:rPr>
              <w:t>išsiųstas</w:t>
            </w:r>
            <w:r w:rsidR="0017740A" w:rsidRPr="008D4DD9">
              <w:rPr>
                <w:color w:val="000000"/>
                <w:sz w:val="24"/>
                <w:szCs w:val="24"/>
              </w:rPr>
              <w:t xml:space="preserve"> 202</w:t>
            </w:r>
            <w:r w:rsidR="00DD092E">
              <w:rPr>
                <w:color w:val="000000"/>
                <w:sz w:val="24"/>
                <w:szCs w:val="24"/>
              </w:rPr>
              <w:t>2</w:t>
            </w:r>
            <w:r w:rsidR="00CE7B00">
              <w:rPr>
                <w:color w:val="000000"/>
                <w:sz w:val="24"/>
                <w:szCs w:val="24"/>
              </w:rPr>
              <w:t> </w:t>
            </w:r>
            <w:r w:rsidR="0017740A" w:rsidRPr="008D4DD9">
              <w:rPr>
                <w:color w:val="000000"/>
                <w:sz w:val="24"/>
                <w:szCs w:val="24"/>
              </w:rPr>
              <w:t xml:space="preserve">m. </w:t>
            </w:r>
            <w:r w:rsidR="00DD092E">
              <w:rPr>
                <w:color w:val="000000"/>
                <w:sz w:val="24"/>
                <w:szCs w:val="24"/>
              </w:rPr>
              <w:t>gruodžio</w:t>
            </w:r>
            <w:r w:rsidR="0017740A" w:rsidRPr="008D4DD9">
              <w:rPr>
                <w:color w:val="000000"/>
                <w:sz w:val="24"/>
                <w:szCs w:val="24"/>
              </w:rPr>
              <w:t xml:space="preserve"> </w:t>
            </w:r>
            <w:r w:rsidR="006150B0">
              <w:rPr>
                <w:color w:val="000000"/>
                <w:sz w:val="24"/>
                <w:szCs w:val="24"/>
              </w:rPr>
              <w:t>6</w:t>
            </w:r>
            <w:r w:rsidR="0017740A" w:rsidRPr="008D4DD9">
              <w:rPr>
                <w:color w:val="000000"/>
                <w:sz w:val="24"/>
                <w:szCs w:val="24"/>
              </w:rPr>
              <w:t xml:space="preserve"> d.</w:t>
            </w:r>
            <w:r w:rsidR="005818E1">
              <w:rPr>
                <w:sz w:val="24"/>
                <w:szCs w:val="24"/>
              </w:rPr>
              <w:t xml:space="preserve"> /</w:t>
            </w:r>
            <w:r w:rsidR="00CF58BB">
              <w:rPr>
                <w:sz w:val="24"/>
                <w:szCs w:val="24"/>
              </w:rPr>
              <w:t xml:space="preserve"> </w:t>
            </w:r>
            <w:r w:rsidR="00900C12">
              <w:rPr>
                <w:sz w:val="24"/>
                <w:szCs w:val="24"/>
              </w:rPr>
              <w:t>202</w:t>
            </w:r>
            <w:r w:rsidR="00CF58BB">
              <w:rPr>
                <w:sz w:val="24"/>
                <w:szCs w:val="24"/>
              </w:rPr>
              <w:t>2</w:t>
            </w:r>
            <w:r w:rsidR="00900C12">
              <w:rPr>
                <w:sz w:val="24"/>
                <w:szCs w:val="24"/>
              </w:rPr>
              <w:t xml:space="preserve"> m. gruodžio 23 d.</w:t>
            </w:r>
            <w:r w:rsidR="005818E1">
              <w:rPr>
                <w:sz w:val="24"/>
                <w:szCs w:val="24"/>
              </w:rPr>
              <w:t xml:space="preserve"> Pirkimo sutartis </w:t>
            </w:r>
            <w:r w:rsidR="004211B8" w:rsidRPr="004211B8">
              <w:rPr>
                <w:sz w:val="24"/>
                <w:szCs w:val="24"/>
              </w:rPr>
              <w:t xml:space="preserve">Nr. </w:t>
            </w:r>
            <w:r w:rsidR="00900C12" w:rsidRPr="00900C12">
              <w:rPr>
                <w:sz w:val="24"/>
                <w:szCs w:val="24"/>
              </w:rPr>
              <w:t>4.26-8-PR00900</w:t>
            </w:r>
            <w:r w:rsidR="003D3FD9" w:rsidRPr="003D3FD9">
              <w:rPr>
                <w:sz w:val="24"/>
                <w:szCs w:val="24"/>
              </w:rPr>
              <w:t xml:space="preserve"> </w:t>
            </w:r>
            <w:r w:rsidR="00B42FC9" w:rsidRPr="003D3FD9">
              <w:rPr>
                <w:sz w:val="24"/>
                <w:szCs w:val="24"/>
              </w:rPr>
              <w:t>(toliau</w:t>
            </w:r>
            <w:r w:rsidR="00900C12">
              <w:rPr>
                <w:sz w:val="24"/>
                <w:szCs w:val="24"/>
              </w:rPr>
              <w:t> </w:t>
            </w:r>
            <w:r w:rsidR="00B42FC9" w:rsidRPr="003D3FD9">
              <w:rPr>
                <w:sz w:val="24"/>
                <w:szCs w:val="24"/>
              </w:rPr>
              <w:t>– Sutart</w:t>
            </w:r>
            <w:r w:rsidR="004211B8" w:rsidRPr="003D3FD9">
              <w:rPr>
                <w:sz w:val="24"/>
                <w:szCs w:val="24"/>
              </w:rPr>
              <w:t>i</w:t>
            </w:r>
            <w:r w:rsidR="00B42FC9" w:rsidRPr="003D3FD9">
              <w:rPr>
                <w:sz w:val="24"/>
                <w:szCs w:val="24"/>
              </w:rPr>
              <w:t>s)</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3162FC" w:rsidRDefault="00653E01" w:rsidP="009960C2">
            <w:pPr>
              <w:ind w:left="132" w:right="74"/>
              <w:jc w:val="both"/>
              <w:rPr>
                <w:sz w:val="24"/>
                <w:szCs w:val="24"/>
              </w:rPr>
            </w:pPr>
            <w:r w:rsidRPr="003162FC">
              <w:rPr>
                <w:rFonts w:eastAsia="Calibri"/>
                <w:sz w:val="24"/>
                <w:szCs w:val="24"/>
                <w:lang w:eastAsia="lt-LT"/>
              </w:rPr>
              <w:t>Pirkimo vykdymo</w:t>
            </w:r>
            <w:r w:rsidR="00AF21EE">
              <w:rPr>
                <w:rFonts w:eastAsia="Calibri"/>
                <w:sz w:val="24"/>
                <w:szCs w:val="24"/>
                <w:lang w:eastAsia="lt-LT"/>
              </w:rPr>
              <w:t xml:space="preserve"> </w:t>
            </w:r>
            <w:r w:rsidRPr="003162FC">
              <w:rPr>
                <w:rFonts w:eastAsia="Calibri"/>
                <w:sz w:val="24"/>
                <w:szCs w:val="24"/>
                <w:lang w:eastAsia="lt-LT"/>
              </w:rPr>
              <w:t>/</w:t>
            </w:r>
            <w:r w:rsidR="00AF21EE">
              <w:rPr>
                <w:rFonts w:eastAsia="Calibri"/>
                <w:sz w:val="24"/>
                <w:szCs w:val="24"/>
                <w:lang w:eastAsia="lt-LT"/>
              </w:rPr>
              <w:t xml:space="preserve"> </w:t>
            </w:r>
            <w:r w:rsidRPr="003162FC">
              <w:rPr>
                <w:rFonts w:eastAsia="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F8BED21" w:rsidR="00653E01" w:rsidRPr="003162FC" w:rsidRDefault="00F36FC7" w:rsidP="00FC6B4D">
            <w:pPr>
              <w:ind w:left="68" w:right="142"/>
              <w:jc w:val="both"/>
              <w:rPr>
                <w:sz w:val="24"/>
                <w:szCs w:val="24"/>
              </w:rPr>
            </w:pPr>
            <w:r>
              <w:rPr>
                <w:bCs/>
                <w:sz w:val="24"/>
                <w:szCs w:val="24"/>
              </w:rPr>
              <w:t>VPĮ</w:t>
            </w:r>
            <w:r w:rsidR="008E2247" w:rsidRPr="008E2247">
              <w:rPr>
                <w:bCs/>
                <w:sz w:val="24"/>
                <w:szCs w:val="24"/>
              </w:rPr>
              <w:t xml:space="preserve"> </w:t>
            </w:r>
            <w:r w:rsidR="003B4DAE" w:rsidRPr="00D64091">
              <w:rPr>
                <w:bCs/>
                <w:sz w:val="24"/>
                <w:szCs w:val="24"/>
              </w:rPr>
              <w:t>(redakcija nuo 202</w:t>
            </w:r>
            <w:r w:rsidR="008405B0">
              <w:rPr>
                <w:bCs/>
                <w:sz w:val="24"/>
                <w:szCs w:val="24"/>
              </w:rPr>
              <w:t>2</w:t>
            </w:r>
            <w:r w:rsidR="003B4DAE" w:rsidRPr="00D64091">
              <w:rPr>
                <w:bCs/>
                <w:sz w:val="24"/>
                <w:szCs w:val="24"/>
              </w:rPr>
              <w:t xml:space="preserve"> m. </w:t>
            </w:r>
            <w:r w:rsidR="008405B0">
              <w:rPr>
                <w:bCs/>
                <w:sz w:val="24"/>
                <w:szCs w:val="24"/>
              </w:rPr>
              <w:t>liepos</w:t>
            </w:r>
            <w:r w:rsidR="003B4DAE" w:rsidRPr="00D64091">
              <w:rPr>
                <w:bCs/>
                <w:sz w:val="24"/>
                <w:szCs w:val="24"/>
              </w:rPr>
              <w:t xml:space="preserve"> 1</w:t>
            </w:r>
            <w:r w:rsidR="008405B0">
              <w:rPr>
                <w:bCs/>
                <w:sz w:val="24"/>
                <w:szCs w:val="24"/>
              </w:rPr>
              <w:t>2</w:t>
            </w:r>
            <w:r w:rsidR="003B4DAE" w:rsidRPr="00D64091">
              <w:rPr>
                <w:bCs/>
                <w:sz w:val="24"/>
                <w:szCs w:val="24"/>
              </w:rPr>
              <w:t xml:space="preserve"> d.</w:t>
            </w:r>
            <w:r w:rsidR="003B4DAE">
              <w:rPr>
                <w:bCs/>
                <w:sz w:val="24"/>
                <w:szCs w:val="24"/>
              </w:rPr>
              <w:t xml:space="preserve"> </w:t>
            </w:r>
            <w:r w:rsidR="008405B0">
              <w:rPr>
                <w:bCs/>
                <w:sz w:val="24"/>
                <w:szCs w:val="24"/>
              </w:rPr>
              <w:t>iki 2022</w:t>
            </w:r>
            <w:r w:rsidR="006E548D">
              <w:rPr>
                <w:bCs/>
                <w:sz w:val="24"/>
                <w:szCs w:val="24"/>
              </w:rPr>
              <w:t> </w:t>
            </w:r>
            <w:r w:rsidR="008405B0">
              <w:rPr>
                <w:bCs/>
                <w:sz w:val="24"/>
                <w:szCs w:val="24"/>
              </w:rPr>
              <w:t>m. gruodžio 29 d.)</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sidR="00AF21EE">
              <w:rPr>
                <w:rFonts w:eastAsia="Calibri"/>
                <w:sz w:val="24"/>
                <w:szCs w:val="24"/>
              </w:rPr>
              <w:t xml:space="preserve"> </w:t>
            </w:r>
            <w:r>
              <w:rPr>
                <w:rFonts w:eastAsia="Calibri"/>
                <w:sz w:val="24"/>
                <w:szCs w:val="24"/>
              </w:rPr>
              <w:t>/</w:t>
            </w:r>
            <w:r w:rsidR="00AF21EE">
              <w:rPr>
                <w:rFonts w:eastAsia="Calibri"/>
                <w:sz w:val="24"/>
                <w:szCs w:val="24"/>
              </w:rPr>
              <w:t xml:space="preserve"> </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B8DF56F" w:rsidR="00653E01" w:rsidRPr="003162FC" w:rsidRDefault="004D49AA" w:rsidP="009960C2">
            <w:pPr>
              <w:ind w:left="68" w:right="142"/>
              <w:jc w:val="both"/>
              <w:rPr>
                <w:sz w:val="24"/>
                <w:szCs w:val="24"/>
              </w:rPr>
            </w:pPr>
            <w:r>
              <w:rPr>
                <w:sz w:val="24"/>
                <w:szCs w:val="24"/>
              </w:rPr>
              <w:t>Tarptautinės</w:t>
            </w:r>
            <w:r w:rsidR="00201B2C">
              <w:rPr>
                <w:sz w:val="24"/>
                <w:szCs w:val="24"/>
              </w:rPr>
              <w:t xml:space="preserve"> vertės pirkimas, </w:t>
            </w:r>
            <w:r w:rsidR="004211B8">
              <w:rPr>
                <w:sz w:val="24"/>
                <w:szCs w:val="24"/>
              </w:rPr>
              <w:t>neskelbiam</w:t>
            </w:r>
            <w:r>
              <w:rPr>
                <w:sz w:val="24"/>
                <w:szCs w:val="24"/>
              </w:rPr>
              <w:t>os</w:t>
            </w:r>
            <w:r w:rsidR="004211B8">
              <w:rPr>
                <w:sz w:val="24"/>
                <w:szCs w:val="24"/>
              </w:rPr>
              <w:t xml:space="preserve"> </w:t>
            </w:r>
            <w:r>
              <w:rPr>
                <w:sz w:val="24"/>
                <w:szCs w:val="24"/>
              </w:rPr>
              <w:t>derybos</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3162FC" w:rsidRDefault="00653E01" w:rsidP="009960C2">
            <w:pPr>
              <w:ind w:left="132" w:right="74"/>
              <w:jc w:val="both"/>
              <w:rPr>
                <w:rFonts w:eastAsia="Calibri"/>
                <w:sz w:val="24"/>
                <w:szCs w:val="24"/>
              </w:rPr>
            </w:pPr>
            <w:r w:rsidRPr="003162FC">
              <w:rPr>
                <w:rFonts w:eastAsia="Calibri"/>
                <w:sz w:val="24"/>
                <w:szCs w:val="24"/>
              </w:rPr>
              <w:t>Planuo</w:t>
            </w:r>
            <w:r>
              <w:rPr>
                <w:rFonts w:eastAsia="Calibri"/>
                <w:sz w:val="24"/>
                <w:szCs w:val="24"/>
              </w:rPr>
              <w:t>t</w:t>
            </w:r>
            <w:r w:rsidRPr="003162FC">
              <w:rPr>
                <w:rFonts w:eastAsia="Calibri"/>
                <w:sz w:val="24"/>
                <w:szCs w:val="24"/>
              </w:rPr>
              <w:t>a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CEA356" w14:textId="1B243394" w:rsidR="00EF16F1" w:rsidRPr="00EF16F1" w:rsidRDefault="004211B8" w:rsidP="00023291">
            <w:pPr>
              <w:ind w:left="68" w:right="142"/>
              <w:jc w:val="both"/>
              <w:rPr>
                <w:color w:val="000000" w:themeColor="text1"/>
                <w:sz w:val="24"/>
                <w:szCs w:val="24"/>
              </w:rPr>
            </w:pPr>
            <w:r w:rsidRPr="00023291">
              <w:rPr>
                <w:color w:val="000000" w:themeColor="text1"/>
                <w:sz w:val="24"/>
                <w:szCs w:val="24"/>
              </w:rPr>
              <w:t>Planuota</w:t>
            </w:r>
            <w:r w:rsidR="00077262" w:rsidRPr="00023291">
              <w:rPr>
                <w:color w:val="000000" w:themeColor="text1"/>
                <w:sz w:val="24"/>
                <w:szCs w:val="24"/>
              </w:rPr>
              <w:t xml:space="preserve"> Pirkim</w:t>
            </w:r>
            <w:r w:rsidRPr="00023291">
              <w:rPr>
                <w:color w:val="000000" w:themeColor="text1"/>
                <w:sz w:val="24"/>
                <w:szCs w:val="24"/>
              </w:rPr>
              <w:t xml:space="preserve">o vertė – </w:t>
            </w:r>
            <w:r w:rsidR="00023291" w:rsidRPr="00023291">
              <w:rPr>
                <w:color w:val="000000" w:themeColor="text1"/>
                <w:sz w:val="24"/>
                <w:szCs w:val="24"/>
              </w:rPr>
              <w:t>2 430 360,00</w:t>
            </w:r>
            <w:r w:rsidRPr="00023291">
              <w:rPr>
                <w:color w:val="000000" w:themeColor="text1"/>
                <w:sz w:val="24"/>
                <w:szCs w:val="24"/>
              </w:rPr>
              <w:t xml:space="preserve"> Eur be</w:t>
            </w:r>
            <w:r w:rsidR="00023291" w:rsidRPr="00023291">
              <w:rPr>
                <w:color w:val="000000" w:themeColor="text1"/>
                <w:sz w:val="24"/>
                <w:szCs w:val="24"/>
              </w:rPr>
              <w:t xml:space="preserve"> </w:t>
            </w:r>
            <w:r w:rsidRPr="00023291">
              <w:rPr>
                <w:color w:val="000000" w:themeColor="text1"/>
                <w:sz w:val="24"/>
                <w:szCs w:val="24"/>
              </w:rPr>
              <w:t>PVM /</w:t>
            </w:r>
            <w:r w:rsidR="00023291" w:rsidRPr="00023291">
              <w:rPr>
                <w:color w:val="000000" w:themeColor="text1"/>
                <w:sz w:val="24"/>
                <w:szCs w:val="24"/>
              </w:rPr>
              <w:t xml:space="preserve"> </w:t>
            </w:r>
            <w:r w:rsidRPr="00023291">
              <w:rPr>
                <w:color w:val="000000" w:themeColor="text1"/>
                <w:sz w:val="24"/>
                <w:szCs w:val="24"/>
              </w:rPr>
              <w:t xml:space="preserve">Sutarties vertė – </w:t>
            </w:r>
            <w:r w:rsidR="00B954B3" w:rsidRPr="00023291">
              <w:rPr>
                <w:color w:val="000000" w:themeColor="text1"/>
                <w:sz w:val="24"/>
                <w:szCs w:val="24"/>
              </w:rPr>
              <w:t>2 299 481,47</w:t>
            </w:r>
            <w:r w:rsidR="00EF16F1" w:rsidRPr="00023291">
              <w:rPr>
                <w:color w:val="000000" w:themeColor="text1"/>
                <w:sz w:val="24"/>
                <w:szCs w:val="24"/>
              </w:rPr>
              <w:t xml:space="preserve"> EUR be PVM</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2EE1354" w:rsidR="00653E01" w:rsidRPr="003162FC" w:rsidRDefault="00653E01" w:rsidP="009960C2">
            <w:pPr>
              <w:ind w:left="132" w:right="74"/>
              <w:jc w:val="both"/>
              <w:rPr>
                <w:sz w:val="24"/>
                <w:szCs w:val="24"/>
              </w:rPr>
            </w:pPr>
            <w:r w:rsidRPr="003162FC">
              <w:rPr>
                <w:rFonts w:eastAsia="Calibri"/>
                <w:sz w:val="24"/>
                <w:szCs w:val="24"/>
              </w:rPr>
              <w:t>Tiekėj</w:t>
            </w:r>
            <w:r>
              <w:rPr>
                <w:rFonts w:eastAsia="Calibri"/>
                <w:sz w:val="24"/>
                <w:szCs w:val="24"/>
              </w:rPr>
              <w:t>o</w:t>
            </w:r>
            <w:r w:rsidR="009C7661">
              <w:rPr>
                <w:rFonts w:eastAsia="Calibri"/>
                <w:sz w:val="24"/>
                <w:szCs w:val="24"/>
              </w:rPr>
              <w:t xml:space="preserve"> </w:t>
            </w:r>
            <w:r w:rsidRPr="00F71129">
              <w:rPr>
                <w:rFonts w:eastAsia="Calibri"/>
                <w:sz w:val="24"/>
                <w:szCs w:val="24"/>
              </w:rPr>
              <w:t>/</w:t>
            </w:r>
            <w:r w:rsidR="009C7661">
              <w:rPr>
                <w:rFonts w:eastAsia="Calibri"/>
                <w:sz w:val="24"/>
                <w:szCs w:val="24"/>
              </w:rPr>
              <w:t xml:space="preserve"> </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017A2624" w:rsidR="00C77BC8" w:rsidRPr="003162FC" w:rsidRDefault="00C77BC8" w:rsidP="008F3B32">
            <w:pPr>
              <w:ind w:left="68" w:right="142"/>
              <w:jc w:val="both"/>
              <w:rPr>
                <w:sz w:val="24"/>
                <w:szCs w:val="24"/>
              </w:rPr>
            </w:pPr>
            <w:r>
              <w:rPr>
                <w:rFonts w:eastAsia="Calibri"/>
                <w:sz w:val="24"/>
                <w:szCs w:val="24"/>
              </w:rPr>
              <w:t>AB „</w:t>
            </w:r>
            <w:r w:rsidR="004211B8" w:rsidRPr="004211B8">
              <w:rPr>
                <w:rFonts w:eastAsia="Calibri"/>
                <w:sz w:val="24"/>
                <w:szCs w:val="24"/>
              </w:rPr>
              <w:t>T</w:t>
            </w:r>
            <w:r w:rsidR="00CC59F2">
              <w:rPr>
                <w:rFonts w:eastAsia="Calibri"/>
                <w:sz w:val="24"/>
                <w:szCs w:val="24"/>
              </w:rPr>
              <w:t>elia Lietuva</w:t>
            </w:r>
            <w:r>
              <w:rPr>
                <w:rFonts w:eastAsia="Calibri"/>
                <w:sz w:val="24"/>
                <w:szCs w:val="24"/>
              </w:rPr>
              <w:t>“,</w:t>
            </w:r>
            <w:r w:rsidRPr="00C77BC8">
              <w:rPr>
                <w:rFonts w:eastAsia="Calibri"/>
                <w:sz w:val="24"/>
                <w:szCs w:val="24"/>
              </w:rPr>
              <w:t xml:space="preserve"> </w:t>
            </w:r>
            <w:r>
              <w:rPr>
                <w:rFonts w:eastAsia="Calibri"/>
                <w:sz w:val="24"/>
                <w:szCs w:val="24"/>
              </w:rPr>
              <w:t xml:space="preserve">juridinio asmens kodas </w:t>
            </w:r>
            <w:r w:rsidR="004211B8" w:rsidRPr="004211B8">
              <w:rPr>
                <w:rFonts w:eastAsia="Calibri"/>
                <w:sz w:val="24"/>
                <w:szCs w:val="24"/>
              </w:rPr>
              <w:t>1</w:t>
            </w:r>
            <w:r w:rsidR="00CC59F2">
              <w:rPr>
                <w:rFonts w:eastAsia="Calibri"/>
                <w:sz w:val="24"/>
                <w:szCs w:val="24"/>
              </w:rPr>
              <w:t>21215434</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3162FC" w:rsidRDefault="00653E01" w:rsidP="009960C2">
            <w:pPr>
              <w:ind w:left="132" w:right="74"/>
              <w:jc w:val="both"/>
              <w:rPr>
                <w:rFonts w:eastAsia="Calibri"/>
                <w:sz w:val="24"/>
                <w:szCs w:val="24"/>
              </w:rPr>
            </w:pPr>
            <w:r w:rsidRPr="00561090">
              <w:rPr>
                <w:rFonts w:eastAsia="Calibri"/>
                <w:sz w:val="24"/>
                <w:szCs w:val="24"/>
              </w:rPr>
              <w:t>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vertinimo apimtys</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etapas</w:t>
            </w:r>
          </w:p>
          <w:p w14:paraId="32D39DBC" w14:textId="77777777" w:rsidR="00653E01" w:rsidRPr="003162FC" w:rsidRDefault="00653E01" w:rsidP="009960C2">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458AC1CF" w:rsidR="00653E01" w:rsidRPr="003162FC" w:rsidRDefault="00D32E20" w:rsidP="009960C2">
            <w:pPr>
              <w:ind w:left="68" w:right="142"/>
              <w:jc w:val="both"/>
              <w:rPr>
                <w:sz w:val="24"/>
                <w:szCs w:val="24"/>
              </w:rPr>
            </w:pPr>
            <w:r>
              <w:rPr>
                <w:sz w:val="24"/>
                <w:szCs w:val="24"/>
              </w:rPr>
              <w:t>Išsamu</w:t>
            </w:r>
            <w:r w:rsidR="00761D43" w:rsidRPr="000E2D0B">
              <w:rPr>
                <w:sz w:val="24"/>
                <w:szCs w:val="24"/>
              </w:rPr>
              <w:t xml:space="preserve">s </w:t>
            </w:r>
            <w:r>
              <w:rPr>
                <w:sz w:val="24"/>
                <w:szCs w:val="24"/>
              </w:rPr>
              <w:t>Pirkimo procedūrų</w:t>
            </w:r>
            <w:r w:rsidR="005F12EB">
              <w:rPr>
                <w:sz w:val="24"/>
                <w:szCs w:val="24"/>
              </w:rPr>
              <w:t xml:space="preserve"> ir dokumentų</w:t>
            </w:r>
            <w:r>
              <w:rPr>
                <w:sz w:val="24"/>
                <w:szCs w:val="24"/>
              </w:rPr>
              <w:t xml:space="preserve"> </w:t>
            </w:r>
            <w:r w:rsidR="00761D43" w:rsidRPr="000E2D0B">
              <w:rPr>
                <w:sz w:val="24"/>
                <w:szCs w:val="24"/>
              </w:rPr>
              <w:t>vertinima</w:t>
            </w:r>
            <w:r w:rsidR="00761D43">
              <w:rPr>
                <w:sz w:val="24"/>
                <w:szCs w:val="24"/>
              </w:rPr>
              <w:t>s</w:t>
            </w:r>
            <w:r w:rsidR="007840D4">
              <w:rPr>
                <w:rStyle w:val="FootnoteReference"/>
                <w:sz w:val="24"/>
                <w:szCs w:val="24"/>
              </w:rPr>
              <w:footnoteReference w:id="1"/>
            </w:r>
            <w:r w:rsidR="005B6253">
              <w:rPr>
                <w:sz w:val="24"/>
                <w:szCs w:val="24"/>
              </w:rPr>
              <w:t xml:space="preserve"> / po </w:t>
            </w:r>
            <w:r w:rsidR="005F12EB">
              <w:rPr>
                <w:sz w:val="24"/>
                <w:szCs w:val="24"/>
              </w:rPr>
              <w:t>S</w:t>
            </w:r>
            <w:r w:rsidR="005B6253">
              <w:rPr>
                <w:sz w:val="24"/>
                <w:szCs w:val="24"/>
              </w:rPr>
              <w:t>utar</w:t>
            </w:r>
            <w:r w:rsidR="004211B8">
              <w:rPr>
                <w:sz w:val="24"/>
                <w:szCs w:val="24"/>
              </w:rPr>
              <w:t>ties</w:t>
            </w:r>
            <w:r w:rsidR="005B6253">
              <w:rPr>
                <w:sz w:val="24"/>
                <w:szCs w:val="24"/>
              </w:rPr>
              <w:t xml:space="preserve"> sudarymo</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lastRenderedPageBreak/>
              <w:t>Jei p</w:t>
            </w:r>
            <w:r w:rsidRPr="003162FC">
              <w:rPr>
                <w:sz w:val="24"/>
                <w:szCs w:val="24"/>
              </w:rPr>
              <w:t>irkimas finansuojamas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9960C2">
            <w:pPr>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Default="00653E01" w:rsidP="007E5F47">
            <w:pPr>
              <w:ind w:left="132" w:right="142"/>
              <w:jc w:val="both"/>
              <w:rPr>
                <w:rFonts w:eastAsia="Calibri"/>
                <w:sz w:val="24"/>
                <w:szCs w:val="24"/>
              </w:rPr>
            </w:pPr>
            <w:r w:rsidRPr="002A17D4">
              <w:rPr>
                <w:rFonts w:eastAsia="Calibri"/>
                <w:sz w:val="24"/>
                <w:szCs w:val="24"/>
              </w:rPr>
              <w:t>Jei dėl pirkimo</w:t>
            </w:r>
            <w:r w:rsidR="00F465FB">
              <w:rPr>
                <w:rFonts w:eastAsia="Calibri"/>
                <w:sz w:val="24"/>
                <w:szCs w:val="24"/>
              </w:rPr>
              <w:t xml:space="preserve"> </w:t>
            </w:r>
            <w:r w:rsidRPr="002A17D4">
              <w:rPr>
                <w:rFonts w:eastAsia="Calibri"/>
                <w:sz w:val="24"/>
                <w:szCs w:val="24"/>
              </w:rPr>
              <w:t>/</w:t>
            </w:r>
            <w:r w:rsidR="00F465FB">
              <w:rPr>
                <w:rFonts w:eastAsia="Calibri"/>
                <w:sz w:val="24"/>
                <w:szCs w:val="24"/>
              </w:rPr>
              <w:t xml:space="preserve"> </w:t>
            </w:r>
            <w:r w:rsidRPr="002A17D4">
              <w:rPr>
                <w:rFonts w:eastAsia="Calibri"/>
                <w:sz w:val="24"/>
                <w:szCs w:val="24"/>
              </w:rPr>
              <w:t>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t>–</w:t>
            </w:r>
            <w:r w:rsidR="009960C2">
              <w:rPr>
                <w:sz w:val="24"/>
                <w:szCs w:val="24"/>
              </w:rPr>
              <w:t xml:space="preserve"> </w:t>
            </w:r>
          </w:p>
        </w:tc>
      </w:tr>
    </w:tbl>
    <w:p w14:paraId="7B4C7AB0" w14:textId="205BAF9B" w:rsidR="00653E01" w:rsidRDefault="00653E01" w:rsidP="00653E01">
      <w:pPr>
        <w:jc w:val="both"/>
      </w:pPr>
      <w:r w:rsidRPr="003162FC">
        <w:t>*viešasis pirkimas</w:t>
      </w:r>
      <w:r w:rsidR="00A736B7">
        <w:t xml:space="preserve"> </w:t>
      </w:r>
      <w:r w:rsidRPr="003162FC">
        <w:t>/</w:t>
      </w:r>
      <w:r w:rsidR="00A736B7">
        <w:t xml:space="preserve"> </w:t>
      </w:r>
      <w:r w:rsidRPr="003162FC">
        <w:t>pirkimas, atliekamas gynybos ir saugumo srityje</w:t>
      </w:r>
      <w:r w:rsidR="0016707E">
        <w:t xml:space="preserve"> </w:t>
      </w:r>
      <w:r w:rsidRPr="003162FC">
        <w:t>/</w:t>
      </w:r>
      <w:r w:rsidR="0016707E">
        <w:t xml:space="preserve"> </w:t>
      </w:r>
      <w:r w:rsidRPr="003162FC">
        <w:t>pirkimas, atliekamas vandentvarkos, energetikos, transporto ar pašto paslaugų srities perkančiųjų subjektų</w:t>
      </w:r>
      <w:r w:rsidR="00E462FD">
        <w:t xml:space="preserve"> </w:t>
      </w:r>
      <w:r w:rsidRPr="003162FC">
        <w:t>/</w:t>
      </w:r>
      <w:r w:rsidR="00E462FD">
        <w:t xml:space="preserve"> </w:t>
      </w:r>
      <w:r w:rsidRPr="003162FC">
        <w:t>įmonių, veikiančių energetikos srityje, energijos ar</w:t>
      </w:r>
      <w:r>
        <w:t xml:space="preserve"> </w:t>
      </w:r>
      <w:r w:rsidRPr="003162FC">
        <w:t>kuro, kurių reikia elektros ir šilumos energijai gaminti, pirkimas</w:t>
      </w:r>
      <w:r w:rsidR="006C030C">
        <w:t xml:space="preserve"> </w:t>
      </w:r>
      <w:r w:rsidRPr="003162FC">
        <w:t>/</w:t>
      </w:r>
      <w:r w:rsidR="006C030C">
        <w:t xml:space="preserve"> </w:t>
      </w:r>
      <w:r w:rsidRPr="003162FC">
        <w:t>koncesija</w:t>
      </w:r>
      <w:r>
        <w:t>.</w:t>
      </w:r>
    </w:p>
    <w:p w14:paraId="400BBC68" w14:textId="77777777" w:rsidR="00653E01" w:rsidRDefault="00653E01" w:rsidP="00653E01">
      <w:pPr>
        <w:jc w:val="both"/>
      </w:pPr>
    </w:p>
    <w:p w14:paraId="71B66214" w14:textId="77777777" w:rsidR="004211B8" w:rsidRDefault="004211B8" w:rsidP="00653E01">
      <w:pPr>
        <w:jc w:val="center"/>
        <w:rPr>
          <w:b/>
          <w:sz w:val="24"/>
          <w:szCs w:val="24"/>
        </w:rPr>
      </w:pPr>
    </w:p>
    <w:p w14:paraId="1D47AF09" w14:textId="46B3905F" w:rsidR="00653E01" w:rsidRDefault="00653E01" w:rsidP="00653E01">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0AF1FDDA" w:rsidR="003D21C5" w:rsidRPr="00163211" w:rsidRDefault="00271A34" w:rsidP="00F91233">
            <w:pPr>
              <w:spacing w:before="120" w:after="120"/>
              <w:ind w:left="171" w:hanging="142"/>
              <w:jc w:val="both"/>
              <w:rPr>
                <w:sz w:val="24"/>
                <w:szCs w:val="24"/>
              </w:rPr>
            </w:pPr>
            <w:r w:rsidRPr="00163211">
              <w:rPr>
                <w:sz w:val="24"/>
                <w:szCs w:val="24"/>
              </w:rPr>
              <w:t xml:space="preserve">1. </w:t>
            </w:r>
          </w:p>
        </w:tc>
        <w:tc>
          <w:tcPr>
            <w:tcW w:w="9072" w:type="dxa"/>
            <w:shd w:val="clear" w:color="auto" w:fill="auto"/>
            <w:vAlign w:val="center"/>
          </w:tcPr>
          <w:p w14:paraId="262AB22B" w14:textId="23B2B10D" w:rsidR="003D21C5" w:rsidRPr="002C37A2" w:rsidRDefault="00BA10F3" w:rsidP="00F91233">
            <w:pPr>
              <w:widowControl w:val="0"/>
              <w:jc w:val="both"/>
              <w:rPr>
                <w:sz w:val="24"/>
                <w:szCs w:val="24"/>
              </w:rPr>
            </w:pPr>
            <w:r w:rsidRPr="002C37A2">
              <w:rPr>
                <w:sz w:val="24"/>
                <w:szCs w:val="24"/>
              </w:rPr>
              <w:t>VPĮ 17 straipsnio 1 dalis</w:t>
            </w:r>
            <w:r w:rsidRPr="002C37A2">
              <w:rPr>
                <w:rStyle w:val="FootnoteReference"/>
                <w:sz w:val="24"/>
                <w:szCs w:val="24"/>
              </w:rPr>
              <w:footnoteReference w:id="2"/>
            </w:r>
            <w:r w:rsidRPr="002C37A2">
              <w:rPr>
                <w:sz w:val="24"/>
                <w:szCs w:val="24"/>
              </w:rPr>
              <w:t>, 71 straipsnio 1 dalies 3 punktas</w:t>
            </w:r>
            <w:r w:rsidRPr="002C37A2">
              <w:rPr>
                <w:rStyle w:val="FootnoteReference"/>
                <w:sz w:val="24"/>
                <w:szCs w:val="24"/>
              </w:rPr>
              <w:footnoteReference w:id="3"/>
            </w:r>
          </w:p>
        </w:tc>
      </w:tr>
      <w:tr w:rsidR="000C1B52" w:rsidRPr="00D02115" w14:paraId="36F29E00" w14:textId="77777777" w:rsidTr="00BA1BD5">
        <w:trPr>
          <w:trHeight w:val="1550"/>
        </w:trPr>
        <w:tc>
          <w:tcPr>
            <w:tcW w:w="9639" w:type="dxa"/>
            <w:gridSpan w:val="2"/>
            <w:shd w:val="clear" w:color="auto" w:fill="auto"/>
            <w:vAlign w:val="center"/>
          </w:tcPr>
          <w:p w14:paraId="7D546ACE" w14:textId="2884B1BD" w:rsidR="001E7501" w:rsidRPr="00BA25B9" w:rsidRDefault="001E7501" w:rsidP="00C0685E">
            <w:pPr>
              <w:ind w:firstLine="601"/>
              <w:jc w:val="both"/>
              <w:rPr>
                <w:iCs/>
                <w:sz w:val="24"/>
                <w:szCs w:val="24"/>
                <w:lang w:eastAsia="lt-LT"/>
              </w:rPr>
            </w:pPr>
            <w:r w:rsidRPr="00BA25B9">
              <w:rPr>
                <w:iCs/>
                <w:sz w:val="24"/>
                <w:szCs w:val="24"/>
                <w:lang w:eastAsia="lt-LT"/>
              </w:rPr>
              <w:t xml:space="preserve">Pirkimą vykdė Perkančiosios organizacijos direktoriaus 2022 m. birželio 14 d. įsakymu Nr. 1-8 sudaryta nuolat veikianti viešųjų pirkimų komisija (toliau – Komisija), vadovaudamasi </w:t>
            </w:r>
            <w:bookmarkStart w:id="1" w:name="_Hlk138065533"/>
            <w:r w:rsidR="00564665" w:rsidRPr="00BA25B9">
              <w:rPr>
                <w:iCs/>
                <w:sz w:val="24"/>
                <w:szCs w:val="24"/>
                <w:lang w:eastAsia="lt-LT"/>
              </w:rPr>
              <w:t xml:space="preserve">Viešųjų pirkimų komisijos darbo reglamentu, patvirtintu </w:t>
            </w:r>
            <w:r w:rsidRPr="00BA25B9">
              <w:rPr>
                <w:iCs/>
                <w:sz w:val="24"/>
                <w:szCs w:val="24"/>
                <w:lang w:eastAsia="lt-LT"/>
              </w:rPr>
              <w:t>Perkančiosios organizacijos direktoriaus 2017 m. liepos 14 d. įsakymu Nr. 1 - 21</w:t>
            </w:r>
            <w:bookmarkEnd w:id="1"/>
            <w:r w:rsidRPr="00BA25B9">
              <w:rPr>
                <w:iCs/>
                <w:sz w:val="24"/>
                <w:szCs w:val="24"/>
                <w:lang w:eastAsia="lt-LT"/>
              </w:rPr>
              <w:t>. Pirkimo būdas parinktas, Pirkimo sutarties sąlygos, kvietimo teikti pasiūlymus</w:t>
            </w:r>
            <w:r w:rsidR="00A46517" w:rsidRPr="00BA25B9">
              <w:rPr>
                <w:iCs/>
                <w:sz w:val="24"/>
                <w:szCs w:val="24"/>
                <w:lang w:eastAsia="lt-LT"/>
              </w:rPr>
              <w:t>,</w:t>
            </w:r>
            <w:r w:rsidRPr="00BA25B9">
              <w:rPr>
                <w:iCs/>
                <w:sz w:val="24"/>
                <w:szCs w:val="24"/>
                <w:lang w:eastAsia="lt-LT"/>
              </w:rPr>
              <w:t xml:space="preserve"> pasiūlymo formos ir techninės specifikacijos sąlygos patvirtintos 2022</w:t>
            </w:r>
            <w:r w:rsidR="003B1118" w:rsidRPr="00BA25B9">
              <w:rPr>
                <w:iCs/>
                <w:sz w:val="24"/>
                <w:szCs w:val="24"/>
                <w:lang w:eastAsia="lt-LT"/>
              </w:rPr>
              <w:t> </w:t>
            </w:r>
            <w:r w:rsidRPr="00BA25B9">
              <w:rPr>
                <w:iCs/>
                <w:sz w:val="24"/>
                <w:szCs w:val="24"/>
                <w:lang w:eastAsia="lt-LT"/>
              </w:rPr>
              <w:t xml:space="preserve">m. gruodžio 5 d. </w:t>
            </w:r>
            <w:r w:rsidR="00564665" w:rsidRPr="00BA25B9">
              <w:rPr>
                <w:iCs/>
                <w:sz w:val="24"/>
                <w:szCs w:val="24"/>
                <w:lang w:eastAsia="lt-LT"/>
              </w:rPr>
              <w:t xml:space="preserve">Komisijos </w:t>
            </w:r>
            <w:r w:rsidRPr="00BA25B9">
              <w:rPr>
                <w:iCs/>
                <w:sz w:val="24"/>
                <w:szCs w:val="24"/>
                <w:lang w:eastAsia="lt-LT"/>
              </w:rPr>
              <w:t>protokolu Nr. 1. Pirkimą nutarta vykdyti neskelbiamų derybų būdu, vadovaujantis VPĮ 71 straipsnio 1 dalies 3 punktu.</w:t>
            </w:r>
            <w:r w:rsidR="00725C40" w:rsidRPr="00BA25B9">
              <w:rPr>
                <w:iCs/>
                <w:sz w:val="24"/>
                <w:szCs w:val="24"/>
                <w:lang w:eastAsia="lt-LT"/>
              </w:rPr>
              <w:t xml:space="preserve"> </w:t>
            </w:r>
            <w:r w:rsidR="00C0685E" w:rsidRPr="00BA25B9">
              <w:rPr>
                <w:iCs/>
                <w:sz w:val="24"/>
                <w:szCs w:val="24"/>
                <w:lang w:eastAsia="lt-LT"/>
              </w:rPr>
              <w:t>Kvietimas teikti pasiūlymus išsiųstas 2022</w:t>
            </w:r>
            <w:r w:rsidR="00BD3B36" w:rsidRPr="00BA25B9">
              <w:rPr>
                <w:iCs/>
                <w:sz w:val="24"/>
                <w:szCs w:val="24"/>
                <w:lang w:eastAsia="lt-LT"/>
              </w:rPr>
              <w:t> </w:t>
            </w:r>
            <w:r w:rsidR="00C0685E" w:rsidRPr="00BA25B9">
              <w:rPr>
                <w:iCs/>
                <w:sz w:val="24"/>
                <w:szCs w:val="24"/>
                <w:lang w:eastAsia="lt-LT"/>
              </w:rPr>
              <w:t>m. gruodžio 6 d. keturiems tiekėjams</w:t>
            </w:r>
            <w:r w:rsidR="00C0685E" w:rsidRPr="00BA25B9">
              <w:rPr>
                <w:rFonts w:eastAsia="Calibri"/>
                <w:sz w:val="24"/>
                <w:szCs w:val="24"/>
              </w:rPr>
              <w:t>: UAB „Atea“, UAB „Blue Bridge“, AB „Telia Lietuva“, AB „Lietuvos radijo ir televizijos centras“.</w:t>
            </w:r>
            <w:r w:rsidR="00C810A6" w:rsidRPr="00BA25B9">
              <w:rPr>
                <w:rFonts w:eastAsia="Calibri"/>
                <w:sz w:val="24"/>
                <w:szCs w:val="24"/>
              </w:rPr>
              <w:t xml:space="preserve"> Pasiūlymą pateikė vienintelis tiekėjas </w:t>
            </w:r>
            <w:r w:rsidR="00A52B1B" w:rsidRPr="00BA25B9">
              <w:rPr>
                <w:sz w:val="24"/>
                <w:szCs w:val="24"/>
              </w:rPr>
              <w:t xml:space="preserve">– </w:t>
            </w:r>
            <w:r w:rsidR="00C810A6" w:rsidRPr="00BA25B9">
              <w:rPr>
                <w:rFonts w:eastAsia="Calibri"/>
                <w:sz w:val="24"/>
                <w:szCs w:val="24"/>
              </w:rPr>
              <w:t>AB</w:t>
            </w:r>
            <w:r w:rsidR="006F4E62" w:rsidRPr="00BA25B9">
              <w:rPr>
                <w:rFonts w:eastAsia="Calibri"/>
                <w:sz w:val="24"/>
                <w:szCs w:val="24"/>
              </w:rPr>
              <w:t> </w:t>
            </w:r>
            <w:r w:rsidR="00C810A6" w:rsidRPr="00BA25B9">
              <w:rPr>
                <w:rFonts w:eastAsia="Calibri"/>
                <w:sz w:val="24"/>
                <w:szCs w:val="24"/>
              </w:rPr>
              <w:t>„Telia</w:t>
            </w:r>
            <w:r w:rsidR="006F4E62" w:rsidRPr="00BA25B9">
              <w:rPr>
                <w:rFonts w:eastAsia="Calibri"/>
                <w:sz w:val="24"/>
                <w:szCs w:val="24"/>
              </w:rPr>
              <w:t> </w:t>
            </w:r>
            <w:r w:rsidR="00C810A6" w:rsidRPr="00BA25B9">
              <w:rPr>
                <w:rFonts w:eastAsia="Calibri"/>
                <w:sz w:val="24"/>
                <w:szCs w:val="24"/>
              </w:rPr>
              <w:t>Lietuva“</w:t>
            </w:r>
            <w:r w:rsidR="003D6049" w:rsidRPr="00BA25B9">
              <w:rPr>
                <w:rFonts w:eastAsia="Calibri"/>
                <w:sz w:val="24"/>
                <w:szCs w:val="24"/>
              </w:rPr>
              <w:t>.</w:t>
            </w:r>
          </w:p>
          <w:p w14:paraId="45A3727C" w14:textId="269FFBFE" w:rsidR="000C1B52" w:rsidRPr="00BA25B9" w:rsidRDefault="000C1B52" w:rsidP="00C66173">
            <w:pPr>
              <w:ind w:firstLine="601"/>
              <w:jc w:val="both"/>
              <w:rPr>
                <w:sz w:val="24"/>
                <w:szCs w:val="24"/>
                <w:lang w:eastAsia="lt-LT"/>
              </w:rPr>
            </w:pPr>
            <w:r w:rsidRPr="00BA25B9">
              <w:rPr>
                <w:iCs/>
                <w:sz w:val="24"/>
                <w:szCs w:val="24"/>
                <w:lang w:eastAsia="lt-LT"/>
              </w:rPr>
              <w:t>Tarnybai paprašius</w:t>
            </w:r>
            <w:r w:rsidRPr="00BA25B9">
              <w:rPr>
                <w:rStyle w:val="FootnoteReference"/>
                <w:iCs/>
                <w:sz w:val="24"/>
                <w:szCs w:val="24"/>
                <w:lang w:eastAsia="lt-LT"/>
              </w:rPr>
              <w:footnoteReference w:id="4"/>
            </w:r>
            <w:r w:rsidRPr="00BA25B9">
              <w:rPr>
                <w:iCs/>
                <w:sz w:val="24"/>
                <w:szCs w:val="24"/>
                <w:lang w:eastAsia="lt-LT"/>
              </w:rPr>
              <w:t xml:space="preserve"> pagrįsti neskelbiamų derybų būdo VPĮ 71 straipsnio 1 dalies 3 punkto pagrindu pasirinkimą Pirkimui vykdyti, Perkančioji organizacija nurodė</w:t>
            </w:r>
            <w:r w:rsidRPr="00BA25B9">
              <w:rPr>
                <w:rStyle w:val="FootnoteReference"/>
                <w:iCs/>
                <w:sz w:val="24"/>
                <w:szCs w:val="24"/>
                <w:lang w:eastAsia="lt-LT"/>
              </w:rPr>
              <w:footnoteReference w:id="5"/>
            </w:r>
            <w:r w:rsidRPr="00BA25B9">
              <w:rPr>
                <w:iCs/>
                <w:sz w:val="24"/>
                <w:szCs w:val="24"/>
                <w:lang w:eastAsia="lt-LT"/>
              </w:rPr>
              <w:t>: „&lt;...&gt; Pirma, Litexpo niekada negalėjo vienašališkai priimti ir nepriima jokių su pasirengimu renginiui susijusių strateginių sprendimų. &lt;...&gt; Antra, organizuojant viešuosius pirkimus Litexpo vadovavosi Ministro Pirmininko sudarytos darbo grupės tvarkaraštyje nurodytais terminais iki kada privalo būti sudarytos konkrečios viešųjų pirkimų sutartys. &lt;...&gt; Aplinkybę, kad Litexpo nedaro įtakos terminams iki kada privalo būti atlikti konkretūs viešieji pirkimai ir pasirašytos konkrečios viešųjų pirkimų sutartys, patvirtina ir tai, kad 2022 m. rugpjūčio 3 d. Litexpo gavo iš URM raštą Nr. 3 - 4965 (registracijos numeris 14.1.1E), kuriame buvo aiškiai nurodyta, kad visi viešieji pirkimai privalo būti vykdomi laikantis numatytų terminų, o tie viešieji pirkimai, kuriems įvykdyti terminai jau yra suėję, Litexpo privalo vykdyti itin skubiai &lt;...&gt; Trečia, organizuojant pasirengimą NATO renginiui, Litexpo prieš pradėdama vykyti kiekvieną viešąjį pirkimą privalo derinti tokio pirkimo techninius sprendinius su URM ir NATO tarptautiniu sekretoriatu. &lt;...&gt; Pirkimo atveju Litexpo parengtų techninių reikalavimų (techninės specifikacijos) derinimas su Nacionaliniu kibernetinio saugumo centru</w:t>
            </w:r>
            <w:r w:rsidR="006335C9" w:rsidRPr="00BA25B9">
              <w:rPr>
                <w:iCs/>
                <w:sz w:val="24"/>
                <w:szCs w:val="24"/>
                <w:lang w:eastAsia="lt-LT"/>
              </w:rPr>
              <w:t xml:space="preserve"> </w:t>
            </w:r>
            <w:r w:rsidR="006335C9" w:rsidRPr="00BA25B9">
              <w:rPr>
                <w:sz w:val="24"/>
                <w:szCs w:val="24"/>
              </w:rPr>
              <w:t>prie Krašto apsaugos ministerijos</w:t>
            </w:r>
            <w:r w:rsidR="003A1533" w:rsidRPr="00BA25B9">
              <w:rPr>
                <w:sz w:val="24"/>
                <w:szCs w:val="24"/>
              </w:rPr>
              <w:t xml:space="preserve"> (toliau – Nacionalinis kibernetinio saugumo centras)</w:t>
            </w:r>
            <w:r w:rsidRPr="00BA25B9">
              <w:rPr>
                <w:iCs/>
                <w:sz w:val="24"/>
                <w:szCs w:val="24"/>
                <w:lang w:eastAsia="lt-LT"/>
              </w:rPr>
              <w:t>, URM ir NATO tarptautiniu sekretoriatu užtruko apie 2 mėnesius laiko (nuo 2022</w:t>
            </w:r>
            <w:r w:rsidR="00923A13" w:rsidRPr="00BA25B9">
              <w:rPr>
                <w:iCs/>
                <w:sz w:val="24"/>
                <w:szCs w:val="24"/>
                <w:lang w:eastAsia="lt-LT"/>
              </w:rPr>
              <w:t> </w:t>
            </w:r>
            <w:r w:rsidRPr="00BA25B9">
              <w:rPr>
                <w:iCs/>
                <w:sz w:val="24"/>
                <w:szCs w:val="24"/>
                <w:lang w:eastAsia="lt-LT"/>
              </w:rPr>
              <w:t>m. rugsėjo 30</w:t>
            </w:r>
            <w:r w:rsidR="00F55BDA" w:rsidRPr="00BA25B9">
              <w:rPr>
                <w:rStyle w:val="FootnoteReference"/>
                <w:iCs/>
                <w:sz w:val="24"/>
                <w:szCs w:val="24"/>
                <w:lang w:eastAsia="lt-LT"/>
              </w:rPr>
              <w:footnoteReference w:id="6"/>
            </w:r>
            <w:r w:rsidRPr="00BA25B9">
              <w:rPr>
                <w:iCs/>
                <w:sz w:val="24"/>
                <w:szCs w:val="24"/>
                <w:lang w:eastAsia="lt-LT"/>
              </w:rPr>
              <w:t xml:space="preserve"> d., kada Litexpo tapo žinomi NATO tarptautinio sekretoriato reikalavimai, </w:t>
            </w:r>
            <w:r w:rsidRPr="00BA25B9">
              <w:rPr>
                <w:iCs/>
                <w:sz w:val="24"/>
                <w:szCs w:val="24"/>
                <w:lang w:eastAsia="lt-LT"/>
              </w:rPr>
              <w:lastRenderedPageBreak/>
              <w:t xml:space="preserve">reikalingi pradėti rengti Pirkimo techninę specifikaciją, iki 2022 m. gruodžio 2 d. (kada Pirkimo techninė specifikacija galutinai suderinta su URM). Tai reiškia, kad pačiai Pirkimo procedūrai vykdyti Litexpo turėjo kritiškai mažai laiko, t. y. iš viso 10 darbo dienų (Pirkimo sutarties sudarymo terminas numatytas 2022 m. gruodžio 16 d.). Tai reiškia, kad pačią Pirkimo procedūrą Litexpo privalėjo vykdyti itin skubiai ir tai nepriklausė nuo Litexpo valios ar veiksmų &lt;...&gt; </w:t>
            </w:r>
            <w:r w:rsidRPr="00BA25B9">
              <w:rPr>
                <w:sz w:val="24"/>
                <w:szCs w:val="24"/>
                <w:lang w:eastAsia="lt-LT"/>
              </w:rPr>
              <w:t>Visos nurodytos aplinkybės patvirtina, kad Litexpo yra tik „vykdytojas“, kuriam pavesta vykdyti viešuosius pirkimus, reikalingus pasirengti NATO šalių vadovų susitikimui, tačiau Litexpo faktiškai vienašališkai jokių sprendimų, kurie galėtų pagreitinti viešųjų pirkimų vykdymą, priimti negali.</w:t>
            </w:r>
            <w:r w:rsidR="00D97024" w:rsidRPr="00BA25B9">
              <w:rPr>
                <w:sz w:val="24"/>
                <w:szCs w:val="24"/>
                <w:lang w:eastAsia="lt-LT"/>
              </w:rPr>
              <w:t xml:space="preserve"> &lt;...&gt;“.</w:t>
            </w:r>
          </w:p>
          <w:p w14:paraId="615AE806" w14:textId="378821E9" w:rsidR="000C1B52" w:rsidRPr="00BA25B9" w:rsidRDefault="00D97024" w:rsidP="00C66173">
            <w:pPr>
              <w:ind w:firstLine="601"/>
              <w:jc w:val="both"/>
              <w:rPr>
                <w:iCs/>
                <w:sz w:val="24"/>
                <w:szCs w:val="24"/>
                <w:lang w:eastAsia="lt-LT"/>
              </w:rPr>
            </w:pPr>
            <w:r w:rsidRPr="00BA25B9">
              <w:rPr>
                <w:iCs/>
                <w:sz w:val="24"/>
                <w:szCs w:val="24"/>
                <w:lang w:eastAsia="lt-LT"/>
              </w:rPr>
              <w:t>Perkančiosios organizacijos argumentai dėl Pirkimo vykdymo neskelbiamų derybų būdu</w:t>
            </w:r>
            <w:r w:rsidR="004432B3" w:rsidRPr="00BA25B9">
              <w:rPr>
                <w:iCs/>
                <w:sz w:val="24"/>
                <w:szCs w:val="24"/>
                <w:lang w:eastAsia="lt-LT"/>
              </w:rPr>
              <w:t xml:space="preserve"> </w:t>
            </w:r>
            <w:r w:rsidRPr="00BA25B9">
              <w:rPr>
                <w:iCs/>
                <w:sz w:val="24"/>
                <w:szCs w:val="24"/>
                <w:lang w:eastAsia="lt-LT"/>
              </w:rPr>
              <w:t xml:space="preserve">iš esmės </w:t>
            </w:r>
            <w:r w:rsidR="00E549DE" w:rsidRPr="00BA25B9">
              <w:rPr>
                <w:iCs/>
                <w:sz w:val="24"/>
                <w:szCs w:val="24"/>
                <w:lang w:eastAsia="lt-LT"/>
              </w:rPr>
              <w:t>susiveda į principinį leitmotyvą – ypatingą skubą dėl nuo Perkančiosios organizacijos nepriklausančių ir jos negalimų kontroliuoti aplinkybių</w:t>
            </w:r>
            <w:r w:rsidR="004B5149" w:rsidRPr="00BA25B9">
              <w:rPr>
                <w:iCs/>
                <w:sz w:val="24"/>
                <w:szCs w:val="24"/>
                <w:lang w:eastAsia="lt-LT"/>
              </w:rPr>
              <w:t xml:space="preserve"> (užsitęsusį sprendimų derinimą su suinteresuotais subjektais, veikimą pagal Lietuvos Respublikos Vyriausybės, </w:t>
            </w:r>
            <w:r w:rsidR="00DA7E03" w:rsidRPr="00BA25B9">
              <w:rPr>
                <w:iCs/>
                <w:sz w:val="24"/>
                <w:szCs w:val="24"/>
                <w:lang w:eastAsia="lt-LT"/>
              </w:rPr>
              <w:t xml:space="preserve">Lietuvos Respublikos </w:t>
            </w:r>
            <w:r w:rsidR="004B5149" w:rsidRPr="00BA25B9">
              <w:rPr>
                <w:iCs/>
                <w:sz w:val="24"/>
                <w:szCs w:val="24"/>
                <w:lang w:eastAsia="lt-LT"/>
              </w:rPr>
              <w:t xml:space="preserve">Ministro Pirmininko darbo grupės, </w:t>
            </w:r>
            <w:r w:rsidR="009B2FD7" w:rsidRPr="00BA25B9">
              <w:rPr>
                <w:iCs/>
                <w:sz w:val="24"/>
                <w:szCs w:val="24"/>
                <w:lang w:eastAsia="lt-LT"/>
              </w:rPr>
              <w:t>Lietuvos Respublikos u</w:t>
            </w:r>
            <w:r w:rsidR="004B5149" w:rsidRPr="00BA25B9">
              <w:rPr>
                <w:iCs/>
                <w:sz w:val="24"/>
                <w:szCs w:val="24"/>
                <w:lang w:eastAsia="lt-LT"/>
              </w:rPr>
              <w:t>žsienio reikalų ministerijos nurodymus ir nustatytus terminus</w:t>
            </w:r>
            <w:r w:rsidR="00010978" w:rsidRPr="00BA25B9">
              <w:rPr>
                <w:iCs/>
                <w:sz w:val="24"/>
                <w:szCs w:val="24"/>
                <w:lang w:eastAsia="lt-LT"/>
              </w:rPr>
              <w:t>,</w:t>
            </w:r>
            <w:r w:rsidR="004B5149" w:rsidRPr="00BA25B9">
              <w:rPr>
                <w:iCs/>
                <w:sz w:val="24"/>
                <w:szCs w:val="24"/>
                <w:lang w:eastAsia="lt-LT"/>
              </w:rPr>
              <w:t xml:space="preserve"> ir pan.).</w:t>
            </w:r>
          </w:p>
          <w:p w14:paraId="6F44A18F" w14:textId="135A714B" w:rsidR="00E549DE" w:rsidRPr="00BA25B9" w:rsidRDefault="009363D8" w:rsidP="00C66173">
            <w:pPr>
              <w:ind w:firstLine="601"/>
              <w:jc w:val="both"/>
              <w:rPr>
                <w:sz w:val="24"/>
                <w:szCs w:val="24"/>
              </w:rPr>
            </w:pPr>
            <w:r w:rsidRPr="00BA25B9">
              <w:rPr>
                <w:sz w:val="24"/>
                <w:szCs w:val="24"/>
              </w:rPr>
              <w:t xml:space="preserve">Neskelbiamų derybų vykdymo VPĮ 71 straipsnio 1 dalies 3 punkte nurodytu pagrindu </w:t>
            </w:r>
            <w:r w:rsidR="00564665" w:rsidRPr="00BA25B9">
              <w:rPr>
                <w:sz w:val="24"/>
                <w:szCs w:val="24"/>
              </w:rPr>
              <w:t>sąlygos</w:t>
            </w:r>
            <w:r w:rsidR="00853194" w:rsidRPr="00BA25B9">
              <w:rPr>
                <w:sz w:val="24"/>
                <w:szCs w:val="24"/>
              </w:rPr>
              <w:t xml:space="preserve"> buvo detaliai aptart</w:t>
            </w:r>
            <w:r w:rsidR="00564665" w:rsidRPr="00BA25B9">
              <w:rPr>
                <w:sz w:val="24"/>
                <w:szCs w:val="24"/>
              </w:rPr>
              <w:t>o</w:t>
            </w:r>
            <w:r w:rsidR="00853194" w:rsidRPr="00BA25B9">
              <w:rPr>
                <w:sz w:val="24"/>
                <w:szCs w:val="24"/>
              </w:rPr>
              <w:t>s dar 2013 m. Lietuvos Aukščiausiojo Teismo (toliau – LAT) Viešųjų pirkimų reglamentavimo ir teismų praktikos apžvalgoje</w:t>
            </w:r>
            <w:r w:rsidR="00853194" w:rsidRPr="00BA25B9">
              <w:rPr>
                <w:rStyle w:val="FootnoteReference"/>
                <w:sz w:val="24"/>
                <w:szCs w:val="24"/>
              </w:rPr>
              <w:footnoteReference w:id="7"/>
            </w:r>
            <w:r w:rsidR="00853194" w:rsidRPr="00BA25B9">
              <w:rPr>
                <w:sz w:val="24"/>
                <w:szCs w:val="24"/>
              </w:rPr>
              <w:t>.</w:t>
            </w:r>
            <w:r w:rsidR="00861C2E" w:rsidRPr="00BA25B9">
              <w:rPr>
                <w:sz w:val="24"/>
                <w:szCs w:val="24"/>
              </w:rPr>
              <w:t xml:space="preserve"> LAT, be kita</w:t>
            </w:r>
            <w:r w:rsidR="00796719" w:rsidRPr="00BA25B9">
              <w:rPr>
                <w:sz w:val="24"/>
                <w:szCs w:val="24"/>
              </w:rPr>
              <w:t xml:space="preserve"> ko</w:t>
            </w:r>
            <w:r w:rsidR="00901629" w:rsidRPr="00BA25B9">
              <w:rPr>
                <w:sz w:val="24"/>
                <w:szCs w:val="24"/>
              </w:rPr>
              <w:t>,</w:t>
            </w:r>
            <w:r w:rsidR="00861C2E" w:rsidRPr="00BA25B9">
              <w:rPr>
                <w:sz w:val="24"/>
                <w:szCs w:val="24"/>
              </w:rPr>
              <w:t xml:space="preserve"> pažymėjo: „&lt;...&gt;</w:t>
            </w:r>
            <w:r w:rsidR="00CD7116" w:rsidRPr="00BA25B9">
              <w:rPr>
                <w:sz w:val="24"/>
                <w:szCs w:val="24"/>
              </w:rPr>
              <w:t xml:space="preserve"> </w:t>
            </w:r>
            <w:r w:rsidR="00B07F94" w:rsidRPr="00BA25B9">
              <w:rPr>
                <w:sz w:val="24"/>
                <w:szCs w:val="24"/>
              </w:rPr>
              <w:t>Pagal nusistovėjusią Teisingumo Teismo praktiką neskelbiamų derybų procedūra VPĮ 56 straipsnio 1 dalies 4 punkto</w:t>
            </w:r>
            <w:r w:rsidR="00B07F94" w:rsidRPr="00BA25B9">
              <w:rPr>
                <w:rStyle w:val="FootnoteReference"/>
                <w:sz w:val="24"/>
                <w:szCs w:val="24"/>
              </w:rPr>
              <w:footnoteReference w:id="8"/>
            </w:r>
            <w:r w:rsidR="00B07F94" w:rsidRPr="00BA25B9">
              <w:rPr>
                <w:sz w:val="24"/>
                <w:szCs w:val="24"/>
              </w:rPr>
              <w:t xml:space="preserve"> pagrindu gali būti </w:t>
            </w:r>
            <w:r w:rsidR="00B07F94" w:rsidRPr="00BA25B9">
              <w:rPr>
                <w:b/>
                <w:bCs/>
                <w:sz w:val="24"/>
                <w:szCs w:val="24"/>
              </w:rPr>
              <w:t>taikoma tik tada, kai įvykdomos trys kumuliacinės (taikomos kartu) sąlygos</w:t>
            </w:r>
            <w:r w:rsidR="00B07F94" w:rsidRPr="00BA25B9">
              <w:rPr>
                <w:sz w:val="24"/>
                <w:szCs w:val="24"/>
              </w:rPr>
              <w:t xml:space="preserve">: a) </w:t>
            </w:r>
            <w:r w:rsidR="00B07F94" w:rsidRPr="00BA25B9">
              <w:rPr>
                <w:b/>
                <w:bCs/>
                <w:sz w:val="24"/>
                <w:szCs w:val="24"/>
              </w:rPr>
              <w:t>turi įvykti nenumatomas įvykis</w:t>
            </w:r>
            <w:r w:rsidR="00B07F94" w:rsidRPr="00BA25B9">
              <w:rPr>
                <w:sz w:val="24"/>
                <w:szCs w:val="24"/>
              </w:rPr>
              <w:t xml:space="preserve">; b) </w:t>
            </w:r>
            <w:r w:rsidR="00B07F94" w:rsidRPr="00BA25B9">
              <w:rPr>
                <w:b/>
                <w:bCs/>
                <w:sz w:val="24"/>
                <w:szCs w:val="24"/>
              </w:rPr>
              <w:t>turi susidėti ypatingos skubos aplinkybės, dėl kurių neįmanoma laikytis kitoms procedūroms nustatytų terminų</w:t>
            </w:r>
            <w:r w:rsidR="00B07F94" w:rsidRPr="00BA25B9">
              <w:rPr>
                <w:sz w:val="24"/>
                <w:szCs w:val="24"/>
              </w:rPr>
              <w:t xml:space="preserve">; c) </w:t>
            </w:r>
            <w:r w:rsidR="00B07F94" w:rsidRPr="00BA25B9">
              <w:rPr>
                <w:b/>
                <w:bCs/>
                <w:sz w:val="24"/>
                <w:szCs w:val="24"/>
              </w:rPr>
              <w:t>turi būti priežastinis ryšys tarp nenumatomo įvykio ir dėl to atsiradusios ypatingos skubos</w:t>
            </w:r>
            <w:r w:rsidR="00B07F94" w:rsidRPr="00BA25B9">
              <w:rPr>
                <w:sz w:val="24"/>
                <w:szCs w:val="24"/>
              </w:rPr>
              <w:t>. Jei nenustatoma bent vienos iš nurodytų sąlygų, perkančiosios organizacijos negali nesilaikyti direktyvų nuostatų, susijusių būtent su paskelbimu apie pirkimą (Teisingumo Teismo 1992 m. kovo 18 d. sprendimas Komisija prieš Ispaniją, C-24/91; 1993 m. rugpjūčio 2 d. sprendimas Komisija prieš Italiją, C-107/92).</w:t>
            </w:r>
            <w:r w:rsidR="009E7D0C" w:rsidRPr="00BA25B9">
              <w:rPr>
                <w:sz w:val="24"/>
                <w:szCs w:val="24"/>
              </w:rPr>
              <w:t xml:space="preserve"> &lt;...&gt; </w:t>
            </w:r>
            <w:r w:rsidR="00551796" w:rsidRPr="00BA25B9">
              <w:rPr>
                <w:b/>
                <w:bCs/>
                <w:sz w:val="24"/>
                <w:szCs w:val="24"/>
              </w:rPr>
              <w:t>Nenumatytais įvykiais reikėtų laikyti tokius įvykius, kurie neapsakomai viršija įprastines ekonominio ir socialinio gyvenimo ribas, pavyzdžiui, žemės drebėjimai ar potvyniai</w:t>
            </w:r>
            <w:r w:rsidR="00551796" w:rsidRPr="00BA25B9">
              <w:rPr>
                <w:sz w:val="24"/>
                <w:szCs w:val="24"/>
              </w:rPr>
              <w:t xml:space="preserve"> (žr. </w:t>
            </w:r>
            <w:r w:rsidR="00551796" w:rsidRPr="00BA25B9">
              <w:rPr>
                <w:i/>
                <w:iCs/>
                <w:sz w:val="24"/>
                <w:szCs w:val="24"/>
              </w:rPr>
              <w:t>mutatis mutandis</w:t>
            </w:r>
            <w:r w:rsidR="00551796" w:rsidRPr="00BA25B9">
              <w:rPr>
                <w:sz w:val="24"/>
                <w:szCs w:val="24"/>
              </w:rPr>
              <w:t xml:space="preserve"> Teisingumo Teismo 2013 m. birželio 20 d. Nutartį Consiglio Nazionale degli Ingegneri, C-352/12). Kita vertus, </w:t>
            </w:r>
            <w:r w:rsidR="00551796" w:rsidRPr="00BA25B9">
              <w:rPr>
                <w:b/>
                <w:bCs/>
                <w:sz w:val="24"/>
                <w:szCs w:val="24"/>
              </w:rPr>
              <w:t>pabrėžtina, kad neskelbiamų derybų procedūra leidžiama tik tiems darbams, kurie neišvengiamai būtini siekiant nedelsiant reaguoti į šiuos nenumatytus įvykius</w:t>
            </w:r>
            <w:r w:rsidR="00551796" w:rsidRPr="00BA25B9">
              <w:rPr>
                <w:sz w:val="24"/>
                <w:szCs w:val="24"/>
              </w:rPr>
              <w:t xml:space="preserve">. &lt;…&gt; </w:t>
            </w:r>
            <w:r w:rsidR="00551796" w:rsidRPr="00BA25B9">
              <w:rPr>
                <w:b/>
                <w:bCs/>
                <w:sz w:val="24"/>
                <w:szCs w:val="24"/>
              </w:rPr>
              <w:t>Vyriausybės veikla negali būti prilyginta nenuspėjamiems įvykiams, kurie ypač keistų įprastines viešųjų pirkimų procedūrų taikymo sąlygas. Jei būtų priešingai, įprastinė Vyriausybės atliekama teisės aktų vykdomoji veikla viešųjų pirkimų teisės prasme taptų ekstraordinarinė</w:t>
            </w:r>
            <w:r w:rsidR="00551796" w:rsidRPr="00BA25B9">
              <w:rPr>
                <w:sz w:val="24"/>
                <w:szCs w:val="24"/>
              </w:rPr>
              <w:t xml:space="preserve"> (pirmiau nurodyta Aukščiausiojo Teismo nutartis, priimta civilinėje byloje Nr. 3K-3-505/2009). Tokia pozicija atitinka ir Teisingumo Teismo praktiką. </w:t>
            </w:r>
            <w:r w:rsidR="00551796" w:rsidRPr="00BA25B9">
              <w:rPr>
                <w:b/>
                <w:bCs/>
                <w:sz w:val="24"/>
                <w:szCs w:val="24"/>
              </w:rPr>
              <w:t>Teisingumo Teismas ne kartą pripažino, kad valstybės institucijų veikla ir jos rezultatai nelaikytini nenumatomais įvykiais, nepaisant aplinkybės, jog konkrečiu atveju perkančioji organizacija nesitikėjo šios veiklos padarinių</w:t>
            </w:r>
            <w:r w:rsidR="00551796" w:rsidRPr="00BA25B9">
              <w:rPr>
                <w:sz w:val="24"/>
                <w:szCs w:val="24"/>
              </w:rPr>
              <w:t xml:space="preserve">. &lt;…&gt; Taigi </w:t>
            </w:r>
            <w:r w:rsidR="00551796" w:rsidRPr="00BA25B9">
              <w:rPr>
                <w:b/>
                <w:bCs/>
                <w:sz w:val="24"/>
                <w:szCs w:val="24"/>
              </w:rPr>
              <w:t>tam tikrų konkrečių terminų, skirtų apibrėžti perkančiosios organizacijos pareigą pradėti pirkimo procedūras ar jau turėti materializuotą pirkimo objektą, nustatymas nepateisina aptariamo pirkimo būdo naudojimo</w:t>
            </w:r>
            <w:r w:rsidR="00551796" w:rsidRPr="00BA25B9">
              <w:rPr>
                <w:sz w:val="24"/>
                <w:szCs w:val="24"/>
              </w:rPr>
              <w:t>.</w:t>
            </w:r>
            <w:r w:rsidR="0078550F" w:rsidRPr="00BA25B9">
              <w:rPr>
                <w:sz w:val="24"/>
                <w:szCs w:val="24"/>
              </w:rPr>
              <w:t xml:space="preserve"> &lt;...&gt;“.</w:t>
            </w:r>
          </w:p>
          <w:p w14:paraId="4E3CC258" w14:textId="39A2EBE3" w:rsidR="00CD6188" w:rsidRPr="00BA25B9" w:rsidRDefault="00E35B4E" w:rsidP="00CD6188">
            <w:pPr>
              <w:ind w:firstLine="601"/>
              <w:jc w:val="both"/>
              <w:rPr>
                <w:sz w:val="24"/>
                <w:szCs w:val="24"/>
              </w:rPr>
            </w:pPr>
            <w:r w:rsidRPr="00BA25B9">
              <w:rPr>
                <w:sz w:val="24"/>
                <w:szCs w:val="24"/>
              </w:rPr>
              <w:t xml:space="preserve">Iš pirmiau nurodyto akivaizdu, kad </w:t>
            </w:r>
            <w:r w:rsidR="00A92A39" w:rsidRPr="00BA25B9">
              <w:rPr>
                <w:sz w:val="24"/>
                <w:szCs w:val="24"/>
              </w:rPr>
              <w:t xml:space="preserve">Pirkimo atveju nėra kumuliacinių sąlygų (požymių visumos), būtinų Pirkimą atlikti neskelbiamų derybų būdu VPĮ 71 straipsnio 1 dalies 3 punkto pagrindu. </w:t>
            </w:r>
            <w:r w:rsidR="001523BF" w:rsidRPr="00BA25B9">
              <w:rPr>
                <w:sz w:val="24"/>
                <w:szCs w:val="24"/>
              </w:rPr>
              <w:t>LAT ir Europos Sąjungos Teisingumo Teismo praktikoje nenumatyti įvykiai</w:t>
            </w:r>
            <w:r w:rsidR="00F77C22" w:rsidRPr="00BA25B9">
              <w:rPr>
                <w:sz w:val="24"/>
                <w:szCs w:val="24"/>
              </w:rPr>
              <w:t xml:space="preserve"> (būtina neskelbiamų derybų vykdymo VPĮ 71 straipsnio 1 dalies 3 punkto pagrindu</w:t>
            </w:r>
            <w:r w:rsidR="001E1D61" w:rsidRPr="00BA25B9">
              <w:rPr>
                <w:sz w:val="24"/>
                <w:szCs w:val="24"/>
              </w:rPr>
              <w:t xml:space="preserve"> sąlyga</w:t>
            </w:r>
            <w:r w:rsidR="00F77C22" w:rsidRPr="00BA25B9">
              <w:rPr>
                <w:sz w:val="24"/>
                <w:szCs w:val="24"/>
              </w:rPr>
              <w:t>)</w:t>
            </w:r>
            <w:r w:rsidR="001523BF" w:rsidRPr="00BA25B9">
              <w:rPr>
                <w:sz w:val="24"/>
                <w:szCs w:val="24"/>
              </w:rPr>
              <w:t xml:space="preserve"> suprantami siaurai – kaip </w:t>
            </w:r>
            <w:r w:rsidR="005D408D" w:rsidRPr="00BA25B9">
              <w:rPr>
                <w:sz w:val="24"/>
                <w:szCs w:val="24"/>
              </w:rPr>
              <w:t xml:space="preserve">neprognozuoti </w:t>
            </w:r>
            <w:r w:rsidR="001523BF" w:rsidRPr="00BA25B9">
              <w:rPr>
                <w:sz w:val="24"/>
                <w:szCs w:val="24"/>
              </w:rPr>
              <w:t xml:space="preserve">įvykiai, neapsakomai viršijantys įprastines ekonominio ir socialinio gyvenimo ribas (pvz.: žemės drebėjimai, potvyniai, pandemijos, karai, nelegalių migrantų krizės ir </w:t>
            </w:r>
            <w:r w:rsidR="001523BF" w:rsidRPr="00BA25B9">
              <w:rPr>
                <w:sz w:val="24"/>
                <w:szCs w:val="24"/>
              </w:rPr>
              <w:lastRenderedPageBreak/>
              <w:t xml:space="preserve">pan.). Tačiau </w:t>
            </w:r>
            <w:r w:rsidR="001523BF" w:rsidRPr="00BA25B9">
              <w:rPr>
                <w:b/>
                <w:bCs/>
                <w:sz w:val="24"/>
                <w:szCs w:val="24"/>
              </w:rPr>
              <w:t xml:space="preserve">NATO valstybių narių vadovų susitikimas </w:t>
            </w:r>
            <w:r w:rsidR="007E567E" w:rsidRPr="00BA25B9">
              <w:rPr>
                <w:b/>
                <w:bCs/>
                <w:sz w:val="24"/>
                <w:szCs w:val="24"/>
              </w:rPr>
              <w:t>nėra vienas iš tokių neplanuotų ir neprognozuotų reiškinių</w:t>
            </w:r>
            <w:r w:rsidR="007E567E" w:rsidRPr="00BA25B9">
              <w:rPr>
                <w:sz w:val="24"/>
                <w:szCs w:val="24"/>
              </w:rPr>
              <w:t xml:space="preserve">, priešingai </w:t>
            </w:r>
            <w:r w:rsidR="001E2183" w:rsidRPr="00BA25B9">
              <w:rPr>
                <w:sz w:val="24"/>
                <w:szCs w:val="24"/>
              </w:rPr>
              <w:t>–</w:t>
            </w:r>
            <w:r w:rsidR="007E567E" w:rsidRPr="00BA25B9">
              <w:rPr>
                <w:sz w:val="24"/>
                <w:szCs w:val="24"/>
              </w:rPr>
              <w:t xml:space="preserve"> </w:t>
            </w:r>
            <w:r w:rsidR="001E2183" w:rsidRPr="00BA25B9">
              <w:rPr>
                <w:sz w:val="24"/>
                <w:szCs w:val="24"/>
              </w:rPr>
              <w:t xml:space="preserve">tokio masto ir svarbos renginiai yra </w:t>
            </w:r>
            <w:r w:rsidR="00932774" w:rsidRPr="00BA25B9">
              <w:rPr>
                <w:sz w:val="24"/>
                <w:szCs w:val="24"/>
              </w:rPr>
              <w:t xml:space="preserve">iš anksto </w:t>
            </w:r>
            <w:r w:rsidR="001E2183" w:rsidRPr="00BA25B9">
              <w:rPr>
                <w:sz w:val="24"/>
                <w:szCs w:val="24"/>
              </w:rPr>
              <w:t>planuojami</w:t>
            </w:r>
            <w:r w:rsidR="00932774" w:rsidRPr="00BA25B9">
              <w:rPr>
                <w:sz w:val="24"/>
                <w:szCs w:val="24"/>
              </w:rPr>
              <w:t>, derinami, iš anksto žinomi.</w:t>
            </w:r>
            <w:r w:rsidR="0087226A" w:rsidRPr="00BA25B9">
              <w:rPr>
                <w:sz w:val="24"/>
                <w:szCs w:val="24"/>
              </w:rPr>
              <w:t xml:space="preserve"> </w:t>
            </w:r>
            <w:r w:rsidR="005723AE" w:rsidRPr="00BA25B9">
              <w:rPr>
                <w:sz w:val="24"/>
                <w:szCs w:val="24"/>
              </w:rPr>
              <w:t>Vyriausybės, Užsienio reikalų ministerijos,</w:t>
            </w:r>
            <w:r w:rsidR="007E5283" w:rsidRPr="00BA25B9">
              <w:rPr>
                <w:sz w:val="24"/>
                <w:szCs w:val="24"/>
              </w:rPr>
              <w:t xml:space="preserve"> Ministro Pirmininko darbo grupės,</w:t>
            </w:r>
            <w:r w:rsidR="005723AE" w:rsidRPr="00BA25B9">
              <w:rPr>
                <w:sz w:val="24"/>
                <w:szCs w:val="24"/>
              </w:rPr>
              <w:t xml:space="preserve"> Nacionalinio kibernetinio saugumo centr</w:t>
            </w:r>
            <w:r w:rsidR="008A0987" w:rsidRPr="00BA25B9">
              <w:rPr>
                <w:sz w:val="24"/>
                <w:szCs w:val="24"/>
              </w:rPr>
              <w:t>o</w:t>
            </w:r>
            <w:r w:rsidR="005723AE" w:rsidRPr="00BA25B9">
              <w:rPr>
                <w:sz w:val="24"/>
                <w:szCs w:val="24"/>
              </w:rPr>
              <w:t>, kitų institucijų veikla</w:t>
            </w:r>
            <w:r w:rsidR="007E5283" w:rsidRPr="00BA25B9">
              <w:rPr>
                <w:sz w:val="24"/>
                <w:szCs w:val="24"/>
              </w:rPr>
              <w:t xml:space="preserve"> (</w:t>
            </w:r>
            <w:r w:rsidR="005723AE" w:rsidRPr="00BA25B9">
              <w:rPr>
                <w:sz w:val="24"/>
                <w:szCs w:val="24"/>
              </w:rPr>
              <w:t>neveikimas</w:t>
            </w:r>
            <w:r w:rsidR="007E5283" w:rsidRPr="00BA25B9">
              <w:rPr>
                <w:sz w:val="24"/>
                <w:szCs w:val="24"/>
              </w:rPr>
              <w:t>)</w:t>
            </w:r>
            <w:r w:rsidR="000D1852" w:rsidRPr="00BA25B9">
              <w:rPr>
                <w:sz w:val="24"/>
                <w:szCs w:val="24"/>
              </w:rPr>
              <w:t xml:space="preserve">, </w:t>
            </w:r>
            <w:r w:rsidR="007E5283" w:rsidRPr="00BA25B9">
              <w:rPr>
                <w:sz w:val="24"/>
                <w:szCs w:val="24"/>
              </w:rPr>
              <w:t>sprendimai</w:t>
            </w:r>
            <w:r w:rsidR="000D1852" w:rsidRPr="00BA25B9">
              <w:rPr>
                <w:sz w:val="24"/>
                <w:szCs w:val="24"/>
              </w:rPr>
              <w:t xml:space="preserve"> ir jų rezultatai</w:t>
            </w:r>
            <w:r w:rsidR="007E5283" w:rsidRPr="00BA25B9">
              <w:rPr>
                <w:sz w:val="24"/>
                <w:szCs w:val="24"/>
              </w:rPr>
              <w:t xml:space="preserve"> </w:t>
            </w:r>
            <w:r w:rsidR="00201BF9" w:rsidRPr="00BA25B9">
              <w:rPr>
                <w:sz w:val="24"/>
                <w:szCs w:val="24"/>
              </w:rPr>
              <w:t xml:space="preserve">nėra </w:t>
            </w:r>
            <w:r w:rsidR="000D1852" w:rsidRPr="00BA25B9">
              <w:rPr>
                <w:sz w:val="24"/>
                <w:szCs w:val="24"/>
              </w:rPr>
              <w:t>priskirti</w:t>
            </w:r>
            <w:r w:rsidR="00201BF9" w:rsidRPr="00BA25B9">
              <w:rPr>
                <w:sz w:val="24"/>
                <w:szCs w:val="24"/>
              </w:rPr>
              <w:t>ni nenumat</w:t>
            </w:r>
            <w:r w:rsidR="000D1852" w:rsidRPr="00BA25B9">
              <w:rPr>
                <w:sz w:val="24"/>
                <w:szCs w:val="24"/>
              </w:rPr>
              <w:t>ytų</w:t>
            </w:r>
            <w:r w:rsidR="00201BF9" w:rsidRPr="00BA25B9">
              <w:rPr>
                <w:sz w:val="24"/>
                <w:szCs w:val="24"/>
              </w:rPr>
              <w:t xml:space="preserve"> įvyki</w:t>
            </w:r>
            <w:r w:rsidR="000D1852" w:rsidRPr="00BA25B9">
              <w:rPr>
                <w:sz w:val="24"/>
                <w:szCs w:val="24"/>
              </w:rPr>
              <w:t>ų kategorijai</w:t>
            </w:r>
            <w:r w:rsidR="00201BF9" w:rsidRPr="00BA25B9">
              <w:rPr>
                <w:sz w:val="24"/>
                <w:szCs w:val="24"/>
              </w:rPr>
              <w:t>, nepaisant aplinkybės,</w:t>
            </w:r>
            <w:r w:rsidR="00635C40" w:rsidRPr="00BA25B9">
              <w:rPr>
                <w:sz w:val="24"/>
                <w:szCs w:val="24"/>
              </w:rPr>
              <w:t xml:space="preserve"> ar</w:t>
            </w:r>
            <w:r w:rsidR="00201BF9" w:rsidRPr="00BA25B9">
              <w:rPr>
                <w:sz w:val="24"/>
                <w:szCs w:val="24"/>
              </w:rPr>
              <w:t xml:space="preserve"> Perkančioji organizacija </w:t>
            </w:r>
            <w:r w:rsidR="00635C40" w:rsidRPr="00BA25B9">
              <w:rPr>
                <w:sz w:val="24"/>
                <w:szCs w:val="24"/>
              </w:rPr>
              <w:t>tikėjosi (nesitikėjo)</w:t>
            </w:r>
            <w:r w:rsidR="00201BF9" w:rsidRPr="00BA25B9">
              <w:rPr>
                <w:sz w:val="24"/>
                <w:szCs w:val="24"/>
              </w:rPr>
              <w:t xml:space="preserve"> šios veiklos padarinių</w:t>
            </w:r>
            <w:r w:rsidR="00320E5A" w:rsidRPr="00BA25B9">
              <w:rPr>
                <w:sz w:val="24"/>
                <w:szCs w:val="24"/>
              </w:rPr>
              <w:t>.</w:t>
            </w:r>
            <w:r w:rsidR="00CD6188" w:rsidRPr="00BA25B9">
              <w:rPr>
                <w:sz w:val="24"/>
                <w:szCs w:val="24"/>
              </w:rPr>
              <w:t xml:space="preserve"> Paminėtina, kad nesant nenumatyto įvykio sąlygos – ne</w:t>
            </w:r>
            <w:r w:rsidR="0070462E" w:rsidRPr="00BA25B9">
              <w:rPr>
                <w:sz w:val="24"/>
                <w:szCs w:val="24"/>
              </w:rPr>
              <w:t>gali būti išpildyta ir kita kumuliatyvi sąlyga, būtina neskelbiamoms deryboms vykdyti VPĮ 71 straipsnio 1 dalies 3 punkto pagrindu, t. y. negali būti ir</w:t>
            </w:r>
            <w:r w:rsidR="00CD6188" w:rsidRPr="00BA25B9">
              <w:rPr>
                <w:sz w:val="24"/>
                <w:szCs w:val="24"/>
              </w:rPr>
              <w:t xml:space="preserve"> priežastinio ryšio tarp nenumatomo įvykio ir dėl to atsiradusios ypatingos skubos.</w:t>
            </w:r>
          </w:p>
          <w:p w14:paraId="6326255F" w14:textId="35E4D560" w:rsidR="00F93041" w:rsidRPr="00BA25B9" w:rsidRDefault="00AE4EAF" w:rsidP="00317F93">
            <w:pPr>
              <w:ind w:firstLine="601"/>
              <w:jc w:val="both"/>
              <w:rPr>
                <w:sz w:val="24"/>
                <w:szCs w:val="24"/>
              </w:rPr>
            </w:pPr>
            <w:r w:rsidRPr="00BA25B9">
              <w:rPr>
                <w:sz w:val="24"/>
                <w:szCs w:val="24"/>
              </w:rPr>
              <w:t>Papildomai pažymėti</w:t>
            </w:r>
            <w:r w:rsidR="0070462E" w:rsidRPr="00BA25B9">
              <w:rPr>
                <w:sz w:val="24"/>
                <w:szCs w:val="24"/>
              </w:rPr>
              <w:t>na</w:t>
            </w:r>
            <w:r w:rsidRPr="00BA25B9">
              <w:rPr>
                <w:sz w:val="24"/>
                <w:szCs w:val="24"/>
              </w:rPr>
              <w:t xml:space="preserve">, </w:t>
            </w:r>
            <w:r w:rsidR="0033241B" w:rsidRPr="00BA25B9">
              <w:rPr>
                <w:sz w:val="24"/>
                <w:szCs w:val="24"/>
              </w:rPr>
              <w:t xml:space="preserve">jog </w:t>
            </w:r>
            <w:r w:rsidRPr="00BA25B9">
              <w:rPr>
                <w:sz w:val="24"/>
                <w:szCs w:val="24"/>
              </w:rPr>
              <w:t>apie</w:t>
            </w:r>
            <w:r w:rsidR="00EF2C40" w:rsidRPr="00BA25B9">
              <w:rPr>
                <w:sz w:val="24"/>
                <w:szCs w:val="24"/>
              </w:rPr>
              <w:t xml:space="preserve"> tai</w:t>
            </w:r>
            <w:r w:rsidR="0033241B" w:rsidRPr="00BA25B9">
              <w:rPr>
                <w:sz w:val="24"/>
                <w:szCs w:val="24"/>
              </w:rPr>
              <w:t>, kad</w:t>
            </w:r>
            <w:r w:rsidRPr="00BA25B9">
              <w:rPr>
                <w:sz w:val="24"/>
                <w:szCs w:val="24"/>
              </w:rPr>
              <w:t xml:space="preserve"> NATO valstybių narių vadovų susitikimo </w:t>
            </w:r>
            <w:r w:rsidR="0033241B" w:rsidRPr="00BA25B9">
              <w:rPr>
                <w:sz w:val="24"/>
                <w:szCs w:val="24"/>
              </w:rPr>
              <w:t>renginys vyks Lietuvoje, buvo žinoma 2021 metais.</w:t>
            </w:r>
            <w:r w:rsidRPr="00BA25B9">
              <w:rPr>
                <w:sz w:val="24"/>
                <w:szCs w:val="24"/>
              </w:rPr>
              <w:t xml:space="preserve"> </w:t>
            </w:r>
            <w:r w:rsidR="00F43E36" w:rsidRPr="00BA25B9">
              <w:rPr>
                <w:b/>
                <w:bCs/>
                <w:sz w:val="24"/>
                <w:szCs w:val="24"/>
              </w:rPr>
              <w:t>2021 m. birželio 14 d. Šiaurės Atlanto sutarties organizacijos (toliau – NATO) šalys NATO šalių vadovų susitikime Briuselyje patvirtino sutarimą, kad 2022 metais NATO vadovų susitikimas vyks Madride, Ispanijoje, o kitas – Vilniuje, Lietuvoje</w:t>
            </w:r>
            <w:r w:rsidR="0033241B" w:rsidRPr="00BA25B9">
              <w:rPr>
                <w:rStyle w:val="FootnoteReference"/>
                <w:sz w:val="24"/>
                <w:szCs w:val="24"/>
              </w:rPr>
              <w:footnoteReference w:id="9"/>
            </w:r>
            <w:r w:rsidR="00F43E36" w:rsidRPr="00BA25B9">
              <w:rPr>
                <w:sz w:val="24"/>
                <w:szCs w:val="24"/>
              </w:rPr>
              <w:t>.</w:t>
            </w:r>
            <w:r w:rsidR="00A62856" w:rsidRPr="00BA25B9">
              <w:rPr>
                <w:sz w:val="24"/>
                <w:szCs w:val="24"/>
              </w:rPr>
              <w:t xml:space="preserve"> </w:t>
            </w:r>
            <w:r w:rsidR="00EF2C40" w:rsidRPr="00BA25B9">
              <w:rPr>
                <w:sz w:val="24"/>
                <w:szCs w:val="24"/>
              </w:rPr>
              <w:t>P</w:t>
            </w:r>
            <w:r w:rsidR="00486E0D" w:rsidRPr="00BA25B9">
              <w:rPr>
                <w:sz w:val="24"/>
                <w:szCs w:val="24"/>
              </w:rPr>
              <w:t>o pirminio NATO atstovų delegacijos vizito į Lietuvą 2021 m. birželio 28-30 d. buvo žinoma, kad „Litexpo“ patalpos ir išorės erdvės yra Vilniuje tinkamiausia vieta, kuri atitiktų NATO nustatytus reikalavimus ir talpintų per 3 000 užsienio valstybių ir žiniasklaidos atstovų</w:t>
            </w:r>
            <w:r w:rsidR="00F53913" w:rsidRPr="00BA25B9">
              <w:rPr>
                <w:rStyle w:val="FootnoteReference"/>
                <w:sz w:val="24"/>
                <w:szCs w:val="24"/>
              </w:rPr>
              <w:footnoteReference w:id="10"/>
            </w:r>
            <w:r w:rsidR="009038A5" w:rsidRPr="00BA25B9">
              <w:rPr>
                <w:sz w:val="24"/>
                <w:szCs w:val="24"/>
              </w:rPr>
              <w:t xml:space="preserve">. Toliau buvo imtasi šių </w:t>
            </w:r>
            <w:r w:rsidR="00B152AF" w:rsidRPr="00BA25B9">
              <w:rPr>
                <w:sz w:val="24"/>
                <w:szCs w:val="24"/>
              </w:rPr>
              <w:t xml:space="preserve">oficialių </w:t>
            </w:r>
            <w:r w:rsidR="009038A5" w:rsidRPr="00BA25B9">
              <w:rPr>
                <w:sz w:val="24"/>
                <w:szCs w:val="24"/>
              </w:rPr>
              <w:t>veiksmų:</w:t>
            </w:r>
            <w:r w:rsidR="00486E0D" w:rsidRPr="00BA25B9">
              <w:rPr>
                <w:sz w:val="24"/>
                <w:szCs w:val="24"/>
              </w:rPr>
              <w:t xml:space="preserve"> </w:t>
            </w:r>
            <w:r w:rsidR="00893A25" w:rsidRPr="00BA25B9">
              <w:rPr>
                <w:sz w:val="24"/>
                <w:szCs w:val="24"/>
              </w:rPr>
              <w:t>Ministro Pirmininko 2021 m. gruodžio 8 d. potvarki</w:t>
            </w:r>
            <w:r w:rsidR="00B152AF" w:rsidRPr="00BA25B9">
              <w:rPr>
                <w:sz w:val="24"/>
                <w:szCs w:val="24"/>
              </w:rPr>
              <w:t>u</w:t>
            </w:r>
            <w:r w:rsidR="00893A25" w:rsidRPr="00BA25B9">
              <w:rPr>
                <w:sz w:val="24"/>
                <w:szCs w:val="24"/>
              </w:rPr>
              <w:t xml:space="preserve"> Nr. 209 „Dėl darbo grupės NATO šalių vadovų susitikimui Lietuvoje 2023 metais surengti sudarymo“</w:t>
            </w:r>
            <w:r w:rsidR="00B152AF" w:rsidRPr="00BA25B9">
              <w:rPr>
                <w:sz w:val="24"/>
                <w:szCs w:val="24"/>
              </w:rPr>
              <w:t xml:space="preserve"> sudaryta</w:t>
            </w:r>
            <w:r w:rsidR="00317F93" w:rsidRPr="00BA25B9">
              <w:rPr>
                <w:sz w:val="24"/>
                <w:szCs w:val="24"/>
              </w:rPr>
              <w:t xml:space="preserve"> </w:t>
            </w:r>
            <w:r w:rsidR="0077187F" w:rsidRPr="00BA25B9">
              <w:rPr>
                <w:sz w:val="24"/>
                <w:szCs w:val="24"/>
              </w:rPr>
              <w:t xml:space="preserve">Ministro Pirmininko </w:t>
            </w:r>
            <w:r w:rsidR="00317F93" w:rsidRPr="00BA25B9">
              <w:rPr>
                <w:sz w:val="24"/>
                <w:szCs w:val="24"/>
              </w:rPr>
              <w:t>darbo grup</w:t>
            </w:r>
            <w:r w:rsidR="00B152AF" w:rsidRPr="00BA25B9">
              <w:rPr>
                <w:sz w:val="24"/>
                <w:szCs w:val="24"/>
              </w:rPr>
              <w:t>ė, kuriai</w:t>
            </w:r>
            <w:r w:rsidR="00317F93" w:rsidRPr="00BA25B9">
              <w:rPr>
                <w:sz w:val="24"/>
                <w:szCs w:val="24"/>
              </w:rPr>
              <w:t xml:space="preserve"> pavesta</w:t>
            </w:r>
            <w:r w:rsidR="001E2062" w:rsidRPr="00BA25B9">
              <w:rPr>
                <w:rStyle w:val="FootnoteReference"/>
                <w:sz w:val="24"/>
                <w:szCs w:val="24"/>
              </w:rPr>
              <w:footnoteReference w:id="11"/>
            </w:r>
            <w:r w:rsidR="00317F93" w:rsidRPr="00BA25B9">
              <w:rPr>
                <w:sz w:val="24"/>
                <w:szCs w:val="24"/>
              </w:rPr>
              <w:t xml:space="preserve"> koordinuoti pasirengimo NATO šalių vadovų susitikimui Lietuvoje 2023 metais organizacinius, finansinius, teisinius ir kitus susijusius klausimus bei</w:t>
            </w:r>
            <w:r w:rsidR="0055224C" w:rsidRPr="00BA25B9">
              <w:rPr>
                <w:sz w:val="24"/>
                <w:szCs w:val="24"/>
              </w:rPr>
              <w:t xml:space="preserve"> </w:t>
            </w:r>
            <w:r w:rsidR="00317F93" w:rsidRPr="00BA25B9">
              <w:rPr>
                <w:sz w:val="24"/>
                <w:szCs w:val="24"/>
              </w:rPr>
              <w:t>iki 2022 m. vasario 1 d. parengti ir pateikti Vyriausybei planuojamo NATO šalių vadovų susitikimo Lietuvoje 2023 metais programos ir sąmatos projektus</w:t>
            </w:r>
            <w:r w:rsidR="00893A25" w:rsidRPr="00BA25B9">
              <w:rPr>
                <w:sz w:val="24"/>
                <w:szCs w:val="24"/>
              </w:rPr>
              <w:t xml:space="preserve">; </w:t>
            </w:r>
            <w:r w:rsidR="009C3D03" w:rsidRPr="00BA25B9">
              <w:rPr>
                <w:sz w:val="24"/>
                <w:szCs w:val="24"/>
              </w:rPr>
              <w:t xml:space="preserve">priimtas </w:t>
            </w:r>
            <w:r w:rsidRPr="00BA25B9">
              <w:rPr>
                <w:sz w:val="24"/>
                <w:szCs w:val="24"/>
              </w:rPr>
              <w:t>Vyriausybės 2022 m. birželio 1</w:t>
            </w:r>
            <w:r w:rsidR="00756C6D" w:rsidRPr="00BA25B9">
              <w:rPr>
                <w:sz w:val="24"/>
                <w:szCs w:val="24"/>
              </w:rPr>
              <w:t>5</w:t>
            </w:r>
            <w:r w:rsidRPr="00BA25B9">
              <w:rPr>
                <w:sz w:val="24"/>
                <w:szCs w:val="24"/>
              </w:rPr>
              <w:t xml:space="preserve"> d. nutarimas Nr. </w:t>
            </w:r>
            <w:r w:rsidR="00756C6D" w:rsidRPr="00BA25B9">
              <w:rPr>
                <w:sz w:val="24"/>
                <w:szCs w:val="24"/>
              </w:rPr>
              <w:t>632</w:t>
            </w:r>
            <w:r w:rsidR="00893A25" w:rsidRPr="00BA25B9">
              <w:rPr>
                <w:sz w:val="24"/>
                <w:szCs w:val="24"/>
              </w:rPr>
              <w:t xml:space="preserve"> „Dėl Šiaurės Atlanto sutarties organizacijos šalių vadovų susitikimo Lietuvoje 2023 metais organizavimo</w:t>
            </w:r>
            <w:r w:rsidR="009C3D03" w:rsidRPr="00BA25B9">
              <w:rPr>
                <w:sz w:val="24"/>
                <w:szCs w:val="24"/>
              </w:rPr>
              <w:t>“</w:t>
            </w:r>
            <w:r w:rsidR="00600534" w:rsidRPr="00BA25B9">
              <w:rPr>
                <w:sz w:val="24"/>
                <w:szCs w:val="24"/>
              </w:rPr>
              <w:t xml:space="preserve">, kurio priėmimas grindžiamas būtent </w:t>
            </w:r>
            <w:r w:rsidR="004321E3" w:rsidRPr="00BA25B9">
              <w:rPr>
                <w:sz w:val="24"/>
                <w:szCs w:val="24"/>
              </w:rPr>
              <w:t xml:space="preserve">pirmiau minėtu NATO šalių sutarimu surengti NATO šalių vadovų susitikimą </w:t>
            </w:r>
            <w:r w:rsidR="005711EB" w:rsidRPr="00BA25B9">
              <w:rPr>
                <w:sz w:val="24"/>
                <w:szCs w:val="24"/>
              </w:rPr>
              <w:t>Lietuvoje</w:t>
            </w:r>
            <w:r w:rsidR="000453FB" w:rsidRPr="00BA25B9">
              <w:rPr>
                <w:sz w:val="24"/>
                <w:szCs w:val="24"/>
              </w:rPr>
              <w:t>.</w:t>
            </w:r>
            <w:r w:rsidR="008E5EB0" w:rsidRPr="00BA25B9">
              <w:rPr>
                <w:sz w:val="24"/>
                <w:szCs w:val="24"/>
              </w:rPr>
              <w:t xml:space="preserve"> </w:t>
            </w:r>
            <w:r w:rsidR="004723BF" w:rsidRPr="00BA25B9">
              <w:rPr>
                <w:sz w:val="24"/>
                <w:szCs w:val="24"/>
              </w:rPr>
              <w:t xml:space="preserve">Po </w:t>
            </w:r>
            <w:r w:rsidR="008E5EB0" w:rsidRPr="00BA25B9">
              <w:rPr>
                <w:sz w:val="24"/>
                <w:szCs w:val="24"/>
              </w:rPr>
              <w:t>Madrido NATO viršūnių susitikim</w:t>
            </w:r>
            <w:r w:rsidR="004723BF" w:rsidRPr="00BA25B9">
              <w:rPr>
                <w:sz w:val="24"/>
                <w:szCs w:val="24"/>
              </w:rPr>
              <w:t>o</w:t>
            </w:r>
            <w:r w:rsidR="008E5EB0" w:rsidRPr="00BA25B9">
              <w:rPr>
                <w:sz w:val="24"/>
                <w:szCs w:val="24"/>
              </w:rPr>
              <w:t xml:space="preserve"> 2022 m. birželio </w:t>
            </w:r>
            <w:r w:rsidR="004723BF" w:rsidRPr="00BA25B9">
              <w:rPr>
                <w:sz w:val="24"/>
                <w:szCs w:val="24"/>
              </w:rPr>
              <w:t>29</w:t>
            </w:r>
            <w:r w:rsidR="008E5EB0" w:rsidRPr="00BA25B9">
              <w:rPr>
                <w:sz w:val="24"/>
                <w:szCs w:val="24"/>
              </w:rPr>
              <w:t xml:space="preserve"> d.</w:t>
            </w:r>
            <w:r w:rsidR="004723BF" w:rsidRPr="00BA25B9">
              <w:rPr>
                <w:sz w:val="24"/>
                <w:szCs w:val="24"/>
              </w:rPr>
              <w:t xml:space="preserve"> </w:t>
            </w:r>
            <w:r w:rsidR="008E5EB0" w:rsidRPr="00BA25B9">
              <w:rPr>
                <w:sz w:val="24"/>
                <w:szCs w:val="24"/>
              </w:rPr>
              <w:t>buvo paskelbta, jog sekantis sutikimas vyks 2023 m</w:t>
            </w:r>
            <w:r w:rsidR="004723BF" w:rsidRPr="00BA25B9">
              <w:rPr>
                <w:sz w:val="24"/>
                <w:szCs w:val="24"/>
              </w:rPr>
              <w:t>.</w:t>
            </w:r>
            <w:r w:rsidR="008E5EB0" w:rsidRPr="00BA25B9">
              <w:rPr>
                <w:sz w:val="24"/>
                <w:szCs w:val="24"/>
              </w:rPr>
              <w:t xml:space="preserve"> Vilniuje</w:t>
            </w:r>
            <w:r w:rsidR="004723BF" w:rsidRPr="00BA25B9">
              <w:rPr>
                <w:rStyle w:val="FootnoteReference"/>
                <w:sz w:val="24"/>
                <w:szCs w:val="24"/>
              </w:rPr>
              <w:footnoteReference w:id="12"/>
            </w:r>
            <w:r w:rsidR="008E5EB0" w:rsidRPr="00BA25B9">
              <w:rPr>
                <w:sz w:val="24"/>
                <w:szCs w:val="24"/>
              </w:rPr>
              <w:t xml:space="preserve">. </w:t>
            </w:r>
            <w:r w:rsidR="003F5D27" w:rsidRPr="00BA25B9">
              <w:rPr>
                <w:sz w:val="24"/>
                <w:szCs w:val="24"/>
              </w:rPr>
              <w:t>2022 m. lapkričio 9 d. buvo paskelbta NATO viršūnių susitikimo Vilniuje</w:t>
            </w:r>
            <w:r w:rsidR="008B1C6F" w:rsidRPr="00BA25B9">
              <w:rPr>
                <w:sz w:val="24"/>
                <w:szCs w:val="24"/>
              </w:rPr>
              <w:t xml:space="preserve"> tiksli</w:t>
            </w:r>
            <w:r w:rsidR="003F5D27" w:rsidRPr="00BA25B9">
              <w:rPr>
                <w:sz w:val="24"/>
                <w:szCs w:val="24"/>
              </w:rPr>
              <w:t xml:space="preserve"> data</w:t>
            </w:r>
            <w:r w:rsidR="003F5D27" w:rsidRPr="00BA25B9">
              <w:rPr>
                <w:rStyle w:val="FootnoteReference"/>
                <w:sz w:val="24"/>
                <w:szCs w:val="24"/>
              </w:rPr>
              <w:footnoteReference w:id="13"/>
            </w:r>
            <w:r w:rsidR="003F5D27" w:rsidRPr="00BA25B9">
              <w:rPr>
                <w:sz w:val="24"/>
                <w:szCs w:val="24"/>
              </w:rPr>
              <w:t>.</w:t>
            </w:r>
          </w:p>
          <w:p w14:paraId="5593104F" w14:textId="7A5341B6" w:rsidR="00555E25" w:rsidRPr="00BA25B9" w:rsidRDefault="00582B7C" w:rsidP="00C66173">
            <w:pPr>
              <w:ind w:firstLine="601"/>
              <w:jc w:val="both"/>
              <w:rPr>
                <w:sz w:val="24"/>
                <w:szCs w:val="24"/>
              </w:rPr>
            </w:pPr>
            <w:r w:rsidRPr="00BA25B9">
              <w:rPr>
                <w:sz w:val="24"/>
                <w:szCs w:val="24"/>
              </w:rPr>
              <w:lastRenderedPageBreak/>
              <w:t xml:space="preserve">Jeigu pasirengti NATO renginiui reikalingi atlikti pirkimai būtų inicijuoti nedelsiant po sužinojimo apie šio renginio organizavimo teisę, </w:t>
            </w:r>
            <w:r w:rsidR="009D48D8" w:rsidRPr="00BA25B9">
              <w:rPr>
                <w:sz w:val="24"/>
                <w:szCs w:val="24"/>
              </w:rPr>
              <w:t xml:space="preserve">Perkančiosios organizacijos nurodytos skubą sąlygojančios aplinkybės (itin trumpi terminai viešųjų pirkimų sutartims sudaryti) nebūtų susiklosčiusios (atkreiptinas dėmesys ir į tai, jog VPĮ 60 straipsnio 3 dalyje yra įtvirtinti reikalavimai, esant skubai leidžiantys viešąjį pirkimą vykdyti pagreitintos procedūros būdu). </w:t>
            </w:r>
            <w:r w:rsidRPr="00BA25B9">
              <w:rPr>
                <w:sz w:val="24"/>
                <w:szCs w:val="24"/>
              </w:rPr>
              <w:t xml:space="preserve"> </w:t>
            </w:r>
            <w:r w:rsidR="005074E4" w:rsidRPr="00BA25B9">
              <w:rPr>
                <w:sz w:val="24"/>
                <w:szCs w:val="24"/>
              </w:rPr>
              <w:t xml:space="preserve">Pažymėtina, kad ir </w:t>
            </w:r>
            <w:r w:rsidR="00707A9D" w:rsidRPr="00BA25B9">
              <w:rPr>
                <w:sz w:val="24"/>
                <w:szCs w:val="24"/>
              </w:rPr>
              <w:t>Europos Komisijos komunikatuose</w:t>
            </w:r>
            <w:r w:rsidR="00707A9D" w:rsidRPr="00BA25B9">
              <w:rPr>
                <w:rStyle w:val="FootnoteReference"/>
                <w:sz w:val="24"/>
                <w:szCs w:val="24"/>
              </w:rPr>
              <w:footnoteReference w:id="14"/>
            </w:r>
            <w:r w:rsidR="00FF6905" w:rsidRPr="00BA25B9">
              <w:rPr>
                <w:sz w:val="24"/>
                <w:szCs w:val="24"/>
              </w:rPr>
              <w:t xml:space="preserve"> taip pat akcentuojama, kad esant ypatingai skubai, </w:t>
            </w:r>
            <w:r w:rsidR="00D35789" w:rsidRPr="00BA25B9">
              <w:rPr>
                <w:sz w:val="24"/>
                <w:szCs w:val="24"/>
              </w:rPr>
              <w:t xml:space="preserve">viešieji pirkėjai turi keletą galimybių: </w:t>
            </w:r>
            <w:r w:rsidR="00FF6905" w:rsidRPr="00BA25B9">
              <w:rPr>
                <w:sz w:val="24"/>
                <w:szCs w:val="24"/>
              </w:rPr>
              <w:t>pirm</w:t>
            </w:r>
            <w:r w:rsidR="00D35789" w:rsidRPr="00BA25B9">
              <w:rPr>
                <w:sz w:val="24"/>
                <w:szCs w:val="24"/>
              </w:rPr>
              <w:t>a,</w:t>
            </w:r>
            <w:r w:rsidR="00FF6905" w:rsidRPr="00BA25B9">
              <w:rPr>
                <w:sz w:val="24"/>
                <w:szCs w:val="24"/>
              </w:rPr>
              <w:t xml:space="preserve"> </w:t>
            </w:r>
            <w:r w:rsidR="00D35789" w:rsidRPr="00BA25B9">
              <w:rPr>
                <w:sz w:val="24"/>
                <w:szCs w:val="24"/>
              </w:rPr>
              <w:t>jie gali pasinaudoti galimybe taikyti gerokai trumpesnius terminus, kas leistų pagreitinti ribotų ir atvirų konkursų procedūras; jei to nepakaktų, galima rengti neskelbiamas derybas, tačiau tik jeigu tai yra neišvengiamai būtina, kai dėl ypatingos skubos, susidariusios dėl įvykių, kurių perkančioji organizacija numatyti, neįmanoma laikytis atviro ar riboto konkurso procedūrų arba konkurso procedūros su derybomis terminų. Aplinkybės, kuriomis remiamasi norint pateisinti ypatingą skubą, bet kuriuo atveju negali priklausyti nuo perkančiosios organizacijos</w:t>
            </w:r>
            <w:r w:rsidR="00235D12" w:rsidRPr="00BA25B9">
              <w:rPr>
                <w:sz w:val="24"/>
                <w:szCs w:val="24"/>
              </w:rPr>
              <w:t xml:space="preserve">. Kadangi taikydamos šią procedūrą perkančiosios organizacijos nukrypsta nuo pagrindinio </w:t>
            </w:r>
            <w:r w:rsidR="004E6458" w:rsidRPr="00BA25B9">
              <w:rPr>
                <w:sz w:val="24"/>
                <w:szCs w:val="24"/>
              </w:rPr>
              <w:t>viešojo pirkimo s</w:t>
            </w:r>
            <w:r w:rsidR="00235D12" w:rsidRPr="00BA25B9">
              <w:rPr>
                <w:sz w:val="24"/>
                <w:szCs w:val="24"/>
              </w:rPr>
              <w:t xml:space="preserve">utarties principo dėl skaidrumo, </w:t>
            </w:r>
            <w:r w:rsidR="004E6458" w:rsidRPr="00BA25B9">
              <w:rPr>
                <w:sz w:val="24"/>
                <w:szCs w:val="24"/>
              </w:rPr>
              <w:t xml:space="preserve">Europos Sąjungos </w:t>
            </w:r>
            <w:r w:rsidR="00235D12" w:rsidRPr="00BA25B9">
              <w:rPr>
                <w:sz w:val="24"/>
                <w:szCs w:val="24"/>
              </w:rPr>
              <w:t xml:space="preserve">Teisingumo Teismas nustatė reikalavimą, kad ši procedūra būtų pasitelkiama </w:t>
            </w:r>
            <w:r w:rsidR="00235D12" w:rsidRPr="00BA25B9">
              <w:rPr>
                <w:b/>
                <w:bCs/>
                <w:sz w:val="24"/>
                <w:szCs w:val="24"/>
              </w:rPr>
              <w:t>tik išimtiniais atvejais</w:t>
            </w:r>
            <w:r w:rsidR="00235D12" w:rsidRPr="00BA25B9">
              <w:rPr>
                <w:sz w:val="24"/>
                <w:szCs w:val="24"/>
              </w:rPr>
              <w:t>. Turi būti tenkinamos iškart visos sąlygos</w:t>
            </w:r>
            <w:r w:rsidR="00AB319A" w:rsidRPr="00BA25B9">
              <w:rPr>
                <w:rStyle w:val="FootnoteReference"/>
                <w:sz w:val="24"/>
                <w:szCs w:val="24"/>
              </w:rPr>
              <w:footnoteReference w:id="15"/>
            </w:r>
            <w:r w:rsidR="00BE2C41" w:rsidRPr="00BA25B9">
              <w:rPr>
                <w:sz w:val="24"/>
                <w:szCs w:val="24"/>
              </w:rPr>
              <w:t xml:space="preserve"> (ką pirmiau šioje išvadoje minėtoje 2013 m. apžvalgoje yra pažymėjęs ir LAT)</w:t>
            </w:r>
            <w:r w:rsidR="00235D12" w:rsidRPr="00BA25B9">
              <w:rPr>
                <w:sz w:val="24"/>
                <w:szCs w:val="24"/>
              </w:rPr>
              <w:t>, o aiškinti jas reikia siaurai (žr., pavyzdžiui, sprendimus Komisija prieš Vokietiją, C-275/08, ir Consiglio Nazionale degli Ingegneri, C-352/12).</w:t>
            </w:r>
          </w:p>
          <w:p w14:paraId="06E20006" w14:textId="5527E35E" w:rsidR="00F620E7" w:rsidRPr="00BA25B9" w:rsidRDefault="003B2B5A" w:rsidP="00F620E7">
            <w:pPr>
              <w:ind w:firstLine="601"/>
              <w:jc w:val="both"/>
              <w:rPr>
                <w:sz w:val="24"/>
                <w:szCs w:val="24"/>
              </w:rPr>
            </w:pPr>
            <w:r w:rsidRPr="00BA25B9">
              <w:rPr>
                <w:sz w:val="24"/>
                <w:szCs w:val="24"/>
              </w:rPr>
              <w:t>Taip pat pažymėtina, kad nors Perkančioji organizacija nurodė</w:t>
            </w:r>
            <w:r w:rsidRPr="00BA25B9">
              <w:rPr>
                <w:rStyle w:val="FootnoteReference"/>
                <w:sz w:val="24"/>
                <w:szCs w:val="24"/>
              </w:rPr>
              <w:footnoteReference w:id="16"/>
            </w:r>
            <w:r w:rsidRPr="00BA25B9">
              <w:rPr>
                <w:sz w:val="24"/>
                <w:szCs w:val="24"/>
              </w:rPr>
              <w:t xml:space="preserve">, jog </w:t>
            </w:r>
            <w:r w:rsidR="00F620E7" w:rsidRPr="00BA25B9">
              <w:rPr>
                <w:sz w:val="24"/>
                <w:szCs w:val="24"/>
              </w:rPr>
              <w:t xml:space="preserve">Užsienio reikalų ministerijos ir Perkančiosios organizacijos </w:t>
            </w:r>
            <w:r w:rsidR="00CF3E00" w:rsidRPr="00BA25B9">
              <w:rPr>
                <w:sz w:val="24"/>
                <w:szCs w:val="24"/>
              </w:rPr>
              <w:t xml:space="preserve">2022 m. rugpjūčio 1 d. </w:t>
            </w:r>
            <w:r w:rsidR="00F620E7" w:rsidRPr="00BA25B9">
              <w:rPr>
                <w:sz w:val="24"/>
                <w:szCs w:val="24"/>
              </w:rPr>
              <w:t xml:space="preserve">bendradarbiavimo sutarties </w:t>
            </w:r>
            <w:r w:rsidR="00CF3E00" w:rsidRPr="00BA25B9">
              <w:rPr>
                <w:sz w:val="24"/>
                <w:szCs w:val="24"/>
              </w:rPr>
              <w:t xml:space="preserve">Nr. 4.26-8-PJ02154 </w:t>
            </w:r>
            <w:r w:rsidR="00F620E7" w:rsidRPr="00BA25B9">
              <w:rPr>
                <w:sz w:val="24"/>
                <w:szCs w:val="24"/>
              </w:rPr>
              <w:t xml:space="preserve">2 priede (pirkimų </w:t>
            </w:r>
            <w:r w:rsidR="00D92BC2" w:rsidRPr="00BA25B9">
              <w:rPr>
                <w:sz w:val="24"/>
                <w:szCs w:val="24"/>
              </w:rPr>
              <w:t>sąrašas</w:t>
            </w:r>
            <w:r w:rsidR="00F620E7" w:rsidRPr="00BA25B9">
              <w:rPr>
                <w:sz w:val="24"/>
                <w:szCs w:val="24"/>
              </w:rPr>
              <w:t>) nustatyti terminai negalėjo būti keičiami, bet faktinė situacija įrodo ką kitą – minėto priedo pirminėje versijoje buvo nustatytas 2022 m. lapkričio 3 d. terminas Pirkimo sutarčiai sudaryti, tačiau vėliau, atlikus priedo pakeitimus, naujoje skiltyje „Prognozuojama pirkimo-pardavimo sutarties sudarymo data“ Pirkimo sutarčiai sudaryti numatytas terminas iki 2022 m. gruodžio 16 d. Pažymėtina, kad net ir pastarasis terminas faktiškai buvo praleistas – Pirkimo sutartis sudaryta 2022 m. gruodžio 23 d.</w:t>
            </w:r>
            <w:r w:rsidR="00F5530C" w:rsidRPr="00BA25B9">
              <w:rPr>
                <w:sz w:val="24"/>
                <w:szCs w:val="24"/>
              </w:rPr>
              <w:t xml:space="preserve"> Papildomai pastebėtina, kad</w:t>
            </w:r>
            <w:r w:rsidR="0037646D" w:rsidRPr="00BA25B9">
              <w:rPr>
                <w:sz w:val="24"/>
                <w:szCs w:val="24"/>
              </w:rPr>
              <w:t xml:space="preserve"> </w:t>
            </w:r>
            <w:r w:rsidR="00F5530C" w:rsidRPr="00BA25B9">
              <w:rPr>
                <w:sz w:val="24"/>
                <w:szCs w:val="24"/>
              </w:rPr>
              <w:t>aptariamos bendradarbiavimo sutarties 2.3.4.6 papunktyje nustatyta, kad Perkančioji organizacija įsipareigoja vykdyti viešuosius pirkimus laikantis 2 priede (pirkimų sąrašas) nustatytų terminų</w:t>
            </w:r>
            <w:r w:rsidR="00C06CB5" w:rsidRPr="00BA25B9">
              <w:rPr>
                <w:sz w:val="24"/>
                <w:szCs w:val="24"/>
              </w:rPr>
              <w:t>, b</w:t>
            </w:r>
            <w:r w:rsidR="00F5530C" w:rsidRPr="00BA25B9">
              <w:rPr>
                <w:sz w:val="24"/>
                <w:szCs w:val="24"/>
              </w:rPr>
              <w:t>ei tai, kad, pasirašydama sutartį, Perkančioji organizacija patvirtina, kad susipažino su viešiesiems pirkimams atlikti nustatytais terminais, įvertino savo galimybes laiku juos atlikti ir prisiima įsipareigojimą viešuosius pirkimus atlikti tinkamai.</w:t>
            </w:r>
          </w:p>
          <w:p w14:paraId="7E5F385F" w14:textId="3CB94C14" w:rsidR="006C2932" w:rsidRPr="00BA25B9" w:rsidRDefault="00DC4F69" w:rsidP="00A300BD">
            <w:pPr>
              <w:ind w:firstLine="601"/>
              <w:jc w:val="both"/>
              <w:rPr>
                <w:sz w:val="24"/>
                <w:szCs w:val="24"/>
              </w:rPr>
            </w:pPr>
            <w:r w:rsidRPr="00BA25B9">
              <w:rPr>
                <w:sz w:val="24"/>
                <w:szCs w:val="24"/>
              </w:rPr>
              <w:lastRenderedPageBreak/>
              <w:t>Pažymėtina, kad</w:t>
            </w:r>
            <w:r w:rsidR="00F620E7" w:rsidRPr="00BA25B9">
              <w:rPr>
                <w:sz w:val="24"/>
                <w:szCs w:val="24"/>
              </w:rPr>
              <w:t xml:space="preserve"> </w:t>
            </w:r>
            <w:r w:rsidR="006B1AE7" w:rsidRPr="00BA25B9">
              <w:rPr>
                <w:sz w:val="24"/>
                <w:szCs w:val="24"/>
              </w:rPr>
              <w:t>Užsienio reikalų ministerijos ir Perkančiosios organizacijos bendradarbiavimo sutartis sudary</w:t>
            </w:r>
            <w:r w:rsidRPr="00BA25B9">
              <w:rPr>
                <w:sz w:val="24"/>
                <w:szCs w:val="24"/>
              </w:rPr>
              <w:t>ta</w:t>
            </w:r>
            <w:r w:rsidR="006B1AE7" w:rsidRPr="00BA25B9">
              <w:rPr>
                <w:sz w:val="24"/>
                <w:szCs w:val="24"/>
              </w:rPr>
              <w:t xml:space="preserve"> </w:t>
            </w:r>
            <w:r w:rsidRPr="00BA25B9">
              <w:rPr>
                <w:sz w:val="24"/>
                <w:szCs w:val="24"/>
              </w:rPr>
              <w:t xml:space="preserve">praleidus </w:t>
            </w:r>
            <w:r w:rsidR="006B1AE7" w:rsidRPr="00BA25B9">
              <w:rPr>
                <w:sz w:val="24"/>
                <w:szCs w:val="24"/>
              </w:rPr>
              <w:t>termin</w:t>
            </w:r>
            <w:r w:rsidRPr="00BA25B9">
              <w:rPr>
                <w:sz w:val="24"/>
                <w:szCs w:val="24"/>
              </w:rPr>
              <w:t xml:space="preserve">ą </w:t>
            </w:r>
            <w:r w:rsidR="006B1AE7" w:rsidRPr="00BA25B9">
              <w:rPr>
                <w:sz w:val="24"/>
                <w:szCs w:val="24"/>
              </w:rPr>
              <w:t xml:space="preserve">– Vyriausybės 2022 m. birželio 15 d. nutarimu Nr. 632 buvo pavesta bendradarbiavimo sutartį sudaryti per 15 d. nuo šio nutarimo įsigaliojimo, tačiau sutartis </w:t>
            </w:r>
            <w:r w:rsidR="00A979BE" w:rsidRPr="00BA25B9">
              <w:rPr>
                <w:sz w:val="24"/>
                <w:szCs w:val="24"/>
              </w:rPr>
              <w:t>faktiškai</w:t>
            </w:r>
            <w:r w:rsidR="006B1AE7" w:rsidRPr="00BA25B9">
              <w:rPr>
                <w:sz w:val="24"/>
                <w:szCs w:val="24"/>
              </w:rPr>
              <w:t xml:space="preserve"> sudaryta tik 2022 m. rugpjūčio 1 d. </w:t>
            </w:r>
            <w:r w:rsidR="00545AC9" w:rsidRPr="00BA25B9">
              <w:rPr>
                <w:sz w:val="24"/>
                <w:szCs w:val="24"/>
              </w:rPr>
              <w:t>Ben</w:t>
            </w:r>
            <w:r w:rsidR="00CF4CFF" w:rsidRPr="00BA25B9">
              <w:rPr>
                <w:sz w:val="24"/>
                <w:szCs w:val="24"/>
              </w:rPr>
              <w:t>d</w:t>
            </w:r>
            <w:r w:rsidR="00545AC9" w:rsidRPr="00BA25B9">
              <w:rPr>
                <w:sz w:val="24"/>
                <w:szCs w:val="24"/>
              </w:rPr>
              <w:t>radarbiavimo sutart</w:t>
            </w:r>
            <w:r w:rsidR="005F1627" w:rsidRPr="00BA25B9">
              <w:rPr>
                <w:sz w:val="24"/>
                <w:szCs w:val="24"/>
              </w:rPr>
              <w:t>į sudaryti pavesta su tikslu Perkančiajai organizacijai ir Užsienio reikalų ministerijai</w:t>
            </w:r>
            <w:r w:rsidR="00E85B46" w:rsidRPr="00BA25B9">
              <w:rPr>
                <w:sz w:val="24"/>
                <w:szCs w:val="24"/>
              </w:rPr>
              <w:t xml:space="preserve"> </w:t>
            </w:r>
            <w:r w:rsidR="005F1627" w:rsidRPr="00BA25B9">
              <w:rPr>
                <w:sz w:val="24"/>
                <w:szCs w:val="24"/>
              </w:rPr>
              <w:t>imtis visų būtinų priemonių</w:t>
            </w:r>
            <w:r w:rsidR="00784BF7" w:rsidRPr="00BA25B9">
              <w:rPr>
                <w:sz w:val="24"/>
                <w:szCs w:val="24"/>
              </w:rPr>
              <w:t>,</w:t>
            </w:r>
            <w:r w:rsidR="005F1627" w:rsidRPr="00BA25B9">
              <w:rPr>
                <w:sz w:val="24"/>
                <w:szCs w:val="24"/>
              </w:rPr>
              <w:t xml:space="preserve"> kad būtų laiku užtikrintas „Litexpo“ patalpų ir išorės erdvių parengimas ir pritaikymas NATO šalių vadovų susitikimui pagal NATO ir visus kitus taikytinus reikalavimus</w:t>
            </w:r>
            <w:r w:rsidR="00784BF7" w:rsidRPr="00BA25B9">
              <w:rPr>
                <w:sz w:val="24"/>
                <w:szCs w:val="24"/>
              </w:rPr>
              <w:t>.</w:t>
            </w:r>
            <w:r w:rsidR="00EA1DAE" w:rsidRPr="00BA25B9">
              <w:rPr>
                <w:sz w:val="24"/>
                <w:szCs w:val="24"/>
              </w:rPr>
              <w:t xml:space="preserve"> Pavėluotas bendradarbiavimo sutarties sudarymas turėjo neigiam</w:t>
            </w:r>
            <w:r w:rsidR="00B1004C" w:rsidRPr="00BA25B9">
              <w:rPr>
                <w:sz w:val="24"/>
                <w:szCs w:val="24"/>
              </w:rPr>
              <w:t>ą</w:t>
            </w:r>
            <w:r w:rsidR="00EA1DAE" w:rsidRPr="00BA25B9">
              <w:rPr>
                <w:sz w:val="24"/>
                <w:szCs w:val="24"/>
              </w:rPr>
              <w:t xml:space="preserve"> įtaką Pirkim</w:t>
            </w:r>
            <w:r w:rsidR="00B1004C" w:rsidRPr="00BA25B9">
              <w:rPr>
                <w:sz w:val="24"/>
                <w:szCs w:val="24"/>
              </w:rPr>
              <w:t>ui</w:t>
            </w:r>
            <w:r w:rsidR="003723FB" w:rsidRPr="00BA25B9">
              <w:rPr>
                <w:sz w:val="24"/>
                <w:szCs w:val="24"/>
              </w:rPr>
              <w:t>, prisidėjo prie Pirkimo būdo (neskelbiamų derybų) pasirinkimo</w:t>
            </w:r>
            <w:r w:rsidR="00FA67BE" w:rsidRPr="00BA25B9">
              <w:rPr>
                <w:sz w:val="24"/>
                <w:szCs w:val="24"/>
              </w:rPr>
              <w:t>,</w:t>
            </w:r>
            <w:r w:rsidR="00B1004C" w:rsidRPr="00BA25B9">
              <w:rPr>
                <w:sz w:val="24"/>
                <w:szCs w:val="24"/>
              </w:rPr>
              <w:t xml:space="preserve"> ir</w:t>
            </w:r>
            <w:r w:rsidR="00FA67BE" w:rsidRPr="00BA25B9">
              <w:rPr>
                <w:sz w:val="24"/>
                <w:szCs w:val="24"/>
              </w:rPr>
              <w:t xml:space="preserve"> </w:t>
            </w:r>
            <w:r w:rsidR="00410B19" w:rsidRPr="00BA25B9">
              <w:rPr>
                <w:sz w:val="24"/>
                <w:szCs w:val="24"/>
              </w:rPr>
              <w:t xml:space="preserve">yra </w:t>
            </w:r>
            <w:r w:rsidR="00B1004C" w:rsidRPr="00BA25B9">
              <w:rPr>
                <w:sz w:val="24"/>
                <w:szCs w:val="24"/>
              </w:rPr>
              <w:t>nuo abiejų sutarties šalių</w:t>
            </w:r>
            <w:r w:rsidR="00410B19" w:rsidRPr="00BA25B9">
              <w:rPr>
                <w:sz w:val="24"/>
                <w:szCs w:val="24"/>
              </w:rPr>
              <w:t xml:space="preserve"> valios priklausanti aplinkybė</w:t>
            </w:r>
            <w:r w:rsidR="00B1004C" w:rsidRPr="00BA25B9">
              <w:rPr>
                <w:sz w:val="24"/>
                <w:szCs w:val="24"/>
              </w:rPr>
              <w:t xml:space="preserve">. Taip pat atkreiptinas dėmesys į </w:t>
            </w:r>
            <w:r w:rsidR="00CE03DA" w:rsidRPr="00BA25B9">
              <w:rPr>
                <w:sz w:val="24"/>
                <w:szCs w:val="24"/>
              </w:rPr>
              <w:t>pirmiau minėto</w:t>
            </w:r>
            <w:r w:rsidR="000467D4" w:rsidRPr="00BA25B9">
              <w:rPr>
                <w:sz w:val="24"/>
                <w:szCs w:val="24"/>
              </w:rPr>
              <w:t xml:space="preserve">je </w:t>
            </w:r>
            <w:r w:rsidR="00F620E7" w:rsidRPr="00BA25B9">
              <w:rPr>
                <w:sz w:val="24"/>
                <w:szCs w:val="24"/>
              </w:rPr>
              <w:t>bendradarbiavimo sutart</w:t>
            </w:r>
            <w:r w:rsidR="000467D4" w:rsidRPr="00BA25B9">
              <w:rPr>
                <w:sz w:val="24"/>
                <w:szCs w:val="24"/>
              </w:rPr>
              <w:t>yje nustatytą</w:t>
            </w:r>
            <w:r w:rsidR="00F620E7" w:rsidRPr="00BA25B9">
              <w:rPr>
                <w:sz w:val="24"/>
                <w:szCs w:val="24"/>
              </w:rPr>
              <w:t xml:space="preserve"> sudėtingą sprendimų derinimo procedūr</w:t>
            </w:r>
            <w:r w:rsidR="003D667A" w:rsidRPr="00BA25B9">
              <w:rPr>
                <w:sz w:val="24"/>
                <w:szCs w:val="24"/>
              </w:rPr>
              <w:t>os praktinį veikimą</w:t>
            </w:r>
            <w:r w:rsidR="00093365" w:rsidRPr="00BA25B9">
              <w:rPr>
                <w:sz w:val="24"/>
                <w:szCs w:val="24"/>
              </w:rPr>
              <w:t xml:space="preserve"> (užsitęsiantį sprendimų suderinimą)</w:t>
            </w:r>
            <w:r w:rsidR="00F620E7" w:rsidRPr="00BA25B9">
              <w:rPr>
                <w:sz w:val="24"/>
                <w:szCs w:val="24"/>
              </w:rPr>
              <w:t>, kas nedera su ypatingos skubos prigimtimi. 2020 m. E</w:t>
            </w:r>
            <w:r w:rsidR="00DB41F7" w:rsidRPr="00BA25B9">
              <w:rPr>
                <w:sz w:val="24"/>
                <w:szCs w:val="24"/>
              </w:rPr>
              <w:t xml:space="preserve">uropos </w:t>
            </w:r>
            <w:r w:rsidR="00F620E7" w:rsidRPr="00BA25B9">
              <w:rPr>
                <w:sz w:val="24"/>
                <w:szCs w:val="24"/>
              </w:rPr>
              <w:t>K</w:t>
            </w:r>
            <w:r w:rsidR="00DB41F7" w:rsidRPr="00BA25B9">
              <w:rPr>
                <w:sz w:val="24"/>
                <w:szCs w:val="24"/>
              </w:rPr>
              <w:t>omisijos</w:t>
            </w:r>
            <w:r w:rsidR="00F620E7" w:rsidRPr="00BA25B9">
              <w:rPr>
                <w:sz w:val="24"/>
                <w:szCs w:val="24"/>
              </w:rPr>
              <w:t xml:space="preserve"> komunikate</w:t>
            </w:r>
            <w:r w:rsidR="00DB41F7" w:rsidRPr="00BA25B9">
              <w:rPr>
                <w:rStyle w:val="FootnoteReference"/>
                <w:sz w:val="24"/>
                <w:szCs w:val="24"/>
              </w:rPr>
              <w:footnoteReference w:id="17"/>
            </w:r>
            <w:r w:rsidR="00F620E7" w:rsidRPr="00BA25B9">
              <w:rPr>
                <w:sz w:val="24"/>
                <w:szCs w:val="24"/>
              </w:rPr>
              <w:t xml:space="preserve"> pažymėta, kad: „</w:t>
            </w:r>
            <w:r w:rsidR="00D85383" w:rsidRPr="00BA25B9">
              <w:rPr>
                <w:sz w:val="24"/>
                <w:szCs w:val="24"/>
              </w:rPr>
              <w:t xml:space="preserve">&lt;...&gt; </w:t>
            </w:r>
            <w:r w:rsidR="00F620E7" w:rsidRPr="00BA25B9">
              <w:rPr>
                <w:sz w:val="24"/>
                <w:szCs w:val="24"/>
              </w:rPr>
              <w:t>Kaip išaiškinta Teisingumo Teismo praktikoje</w:t>
            </w:r>
            <w:r w:rsidR="004F032C" w:rsidRPr="00BA25B9">
              <w:rPr>
                <w:rStyle w:val="FootnoteReference"/>
                <w:sz w:val="24"/>
                <w:szCs w:val="24"/>
              </w:rPr>
              <w:footnoteReference w:id="18"/>
            </w:r>
            <w:r w:rsidR="00F620E7" w:rsidRPr="00BA25B9">
              <w:rPr>
                <w:sz w:val="24"/>
                <w:szCs w:val="24"/>
              </w:rPr>
              <w:t>, susiklosčius ypatingos skubos aplinkybėms viešasis pirkimas turi būti atliktas nedelsiant. Šia išimtimi negalima naudotis tais atvejais, jei tokiu būd</w:t>
            </w:r>
            <w:r w:rsidR="00482923" w:rsidRPr="00BA25B9">
              <w:rPr>
                <w:sz w:val="24"/>
                <w:szCs w:val="24"/>
              </w:rPr>
              <w:t>u</w:t>
            </w:r>
            <w:r w:rsidR="00F620E7" w:rsidRPr="00BA25B9">
              <w:rPr>
                <w:sz w:val="24"/>
                <w:szCs w:val="24"/>
              </w:rPr>
              <w:t xml:space="preserve"> sutarties sudarymo procedūra užtrunka ilgiau nei vykdant skaidrų, atvirą ar ribotą, konkursą, įskaitant pagreitintas (atviro arba riboto konkurso) procedūras</w:t>
            </w:r>
            <w:r w:rsidR="00482923" w:rsidRPr="00BA25B9">
              <w:rPr>
                <w:sz w:val="24"/>
                <w:szCs w:val="24"/>
              </w:rPr>
              <w:t xml:space="preserve"> &lt;...&gt;</w:t>
            </w:r>
            <w:r w:rsidR="00F620E7" w:rsidRPr="00BA25B9">
              <w:rPr>
                <w:sz w:val="24"/>
                <w:szCs w:val="24"/>
              </w:rPr>
              <w:t>“. Tai</w:t>
            </w:r>
            <w:r w:rsidR="00746079" w:rsidRPr="00BA25B9">
              <w:rPr>
                <w:sz w:val="24"/>
                <w:szCs w:val="24"/>
              </w:rPr>
              <w:t>gi,</w:t>
            </w:r>
            <w:r w:rsidR="00F620E7" w:rsidRPr="00BA25B9">
              <w:rPr>
                <w:sz w:val="24"/>
                <w:szCs w:val="24"/>
              </w:rPr>
              <w:t xml:space="preserve"> </w:t>
            </w:r>
            <w:r w:rsidR="00746079" w:rsidRPr="00BA25B9">
              <w:rPr>
                <w:sz w:val="24"/>
                <w:szCs w:val="24"/>
              </w:rPr>
              <w:t>vertinant, pvz., Pirkimo techninės specifikacijos</w:t>
            </w:r>
            <w:r w:rsidR="00F620E7" w:rsidRPr="00BA25B9">
              <w:rPr>
                <w:sz w:val="24"/>
                <w:szCs w:val="24"/>
              </w:rPr>
              <w:t xml:space="preserve"> rengimo ir derinimo procesą</w:t>
            </w:r>
            <w:r w:rsidR="00746079" w:rsidRPr="00BA25B9">
              <w:rPr>
                <w:sz w:val="24"/>
                <w:szCs w:val="24"/>
              </w:rPr>
              <w:t xml:space="preserve"> (Pirkimo techninė specifikacija rengta nuo 2022 m. rugsėjo 30 d. ir galutinai suderinta </w:t>
            </w:r>
            <w:r w:rsidR="006B38C5" w:rsidRPr="00BA25B9">
              <w:rPr>
                <w:sz w:val="24"/>
                <w:szCs w:val="24"/>
              </w:rPr>
              <w:t>bei</w:t>
            </w:r>
            <w:r w:rsidR="00746079" w:rsidRPr="00BA25B9">
              <w:rPr>
                <w:sz w:val="24"/>
                <w:szCs w:val="24"/>
              </w:rPr>
              <w:t xml:space="preserve"> patvirtinta 2022 m. gruodžio 2 d.)</w:t>
            </w:r>
            <w:r w:rsidR="004335D2" w:rsidRPr="00BA25B9">
              <w:rPr>
                <w:sz w:val="24"/>
                <w:szCs w:val="24"/>
              </w:rPr>
              <w:t xml:space="preserve"> bei Pirkimo procedūrų atlikimo trukmę (kvietimas teikti pasiūlymus išsiųstas 2022 m. gruodžio 6 d., Pirkimo sutartis pasirašyta 2022 m. gruodžio</w:t>
            </w:r>
            <w:r w:rsidR="00462902" w:rsidRPr="00BA25B9">
              <w:rPr>
                <w:sz w:val="24"/>
                <w:szCs w:val="24"/>
              </w:rPr>
              <w:t> </w:t>
            </w:r>
            <w:r w:rsidR="004335D2" w:rsidRPr="00BA25B9">
              <w:rPr>
                <w:sz w:val="24"/>
                <w:szCs w:val="24"/>
              </w:rPr>
              <w:t>23</w:t>
            </w:r>
            <w:r w:rsidR="00462902" w:rsidRPr="00BA25B9">
              <w:rPr>
                <w:sz w:val="24"/>
                <w:szCs w:val="24"/>
              </w:rPr>
              <w:t> </w:t>
            </w:r>
            <w:r w:rsidR="004335D2" w:rsidRPr="00BA25B9">
              <w:rPr>
                <w:sz w:val="24"/>
                <w:szCs w:val="24"/>
              </w:rPr>
              <w:t>d.)</w:t>
            </w:r>
            <w:r w:rsidR="00F620E7" w:rsidRPr="00BA25B9">
              <w:rPr>
                <w:sz w:val="24"/>
                <w:szCs w:val="24"/>
              </w:rPr>
              <w:t xml:space="preserve">, </w:t>
            </w:r>
            <w:r w:rsidR="00EB1651" w:rsidRPr="00BA25B9">
              <w:rPr>
                <w:sz w:val="24"/>
                <w:szCs w:val="24"/>
              </w:rPr>
              <w:t>šie terminai</w:t>
            </w:r>
            <w:r w:rsidR="00F620E7" w:rsidRPr="00BA25B9">
              <w:rPr>
                <w:sz w:val="24"/>
                <w:szCs w:val="24"/>
              </w:rPr>
              <w:t xml:space="preserve"> </w:t>
            </w:r>
            <w:r w:rsidR="00EB1651" w:rsidRPr="00BA25B9">
              <w:rPr>
                <w:sz w:val="24"/>
                <w:szCs w:val="24"/>
              </w:rPr>
              <w:t>iš esmės yra artimi</w:t>
            </w:r>
            <w:r w:rsidR="00F620E7" w:rsidRPr="00BA25B9">
              <w:rPr>
                <w:sz w:val="24"/>
                <w:szCs w:val="24"/>
              </w:rPr>
              <w:t xml:space="preserve"> tarptautini</w:t>
            </w:r>
            <w:r w:rsidR="009A347D" w:rsidRPr="00BA25B9">
              <w:rPr>
                <w:sz w:val="24"/>
                <w:szCs w:val="24"/>
              </w:rPr>
              <w:t>ų</w:t>
            </w:r>
            <w:r w:rsidR="00F620E7" w:rsidRPr="00BA25B9">
              <w:rPr>
                <w:sz w:val="24"/>
                <w:szCs w:val="24"/>
              </w:rPr>
              <w:t xml:space="preserve"> pirkim</w:t>
            </w:r>
            <w:r w:rsidR="00EB1651" w:rsidRPr="00BA25B9">
              <w:rPr>
                <w:sz w:val="24"/>
                <w:szCs w:val="24"/>
              </w:rPr>
              <w:t>ų, vykdomų</w:t>
            </w:r>
            <w:r w:rsidR="009D12E2" w:rsidRPr="00BA25B9">
              <w:rPr>
                <w:sz w:val="24"/>
                <w:szCs w:val="24"/>
              </w:rPr>
              <w:t xml:space="preserve"> atviro ar riboto konkurso būdu</w:t>
            </w:r>
            <w:r w:rsidR="009A347D" w:rsidRPr="00BA25B9">
              <w:rPr>
                <w:sz w:val="24"/>
                <w:szCs w:val="24"/>
              </w:rPr>
              <w:t>,</w:t>
            </w:r>
            <w:r w:rsidR="00F620E7" w:rsidRPr="00BA25B9">
              <w:rPr>
                <w:sz w:val="24"/>
                <w:szCs w:val="24"/>
              </w:rPr>
              <w:t xml:space="preserve"> termin</w:t>
            </w:r>
            <w:r w:rsidR="009A347D" w:rsidRPr="00BA25B9">
              <w:rPr>
                <w:sz w:val="24"/>
                <w:szCs w:val="24"/>
              </w:rPr>
              <w:t>ams</w:t>
            </w:r>
            <w:r w:rsidR="00CE5BCD" w:rsidRPr="00BA25B9">
              <w:rPr>
                <w:sz w:val="24"/>
                <w:szCs w:val="24"/>
              </w:rPr>
              <w:t xml:space="preserve">. Pvz., </w:t>
            </w:r>
            <w:r w:rsidR="00B74BD4" w:rsidRPr="00BA25B9">
              <w:rPr>
                <w:sz w:val="24"/>
                <w:szCs w:val="24"/>
              </w:rPr>
              <w:t>Tarnybos 2022 m. veiklos atskaitos duomenimis</w:t>
            </w:r>
            <w:r w:rsidR="00820CF4" w:rsidRPr="00BA25B9">
              <w:rPr>
                <w:rStyle w:val="FootnoteReference"/>
                <w:sz w:val="24"/>
                <w:szCs w:val="24"/>
              </w:rPr>
              <w:footnoteReference w:id="19"/>
            </w:r>
            <w:r w:rsidR="00B74BD4" w:rsidRPr="00BA25B9">
              <w:rPr>
                <w:sz w:val="24"/>
                <w:szCs w:val="24"/>
              </w:rPr>
              <w:t xml:space="preserve">, </w:t>
            </w:r>
            <w:r w:rsidR="00CE5BCD" w:rsidRPr="00BA25B9">
              <w:rPr>
                <w:sz w:val="24"/>
                <w:szCs w:val="24"/>
              </w:rPr>
              <w:t>2022 m. vidutinė tarptautinės vertės pirkimų</w:t>
            </w:r>
            <w:r w:rsidR="000F5757" w:rsidRPr="00BA25B9">
              <w:rPr>
                <w:sz w:val="24"/>
                <w:szCs w:val="24"/>
              </w:rPr>
              <w:t>,</w:t>
            </w:r>
            <w:r w:rsidR="00CE5BCD" w:rsidRPr="00BA25B9">
              <w:rPr>
                <w:sz w:val="24"/>
                <w:szCs w:val="24"/>
              </w:rPr>
              <w:t xml:space="preserve"> vykdytų atviro konkurso būdu</w:t>
            </w:r>
            <w:r w:rsidR="00EB1651" w:rsidRPr="00BA25B9">
              <w:rPr>
                <w:sz w:val="24"/>
                <w:szCs w:val="24"/>
              </w:rPr>
              <w:t>,</w:t>
            </w:r>
            <w:r w:rsidR="00CE5BCD" w:rsidRPr="00BA25B9">
              <w:rPr>
                <w:sz w:val="24"/>
                <w:szCs w:val="24"/>
              </w:rPr>
              <w:t xml:space="preserve"> trukmė buvo 95,8 d., riboto konkurso būdu – 85 d</w:t>
            </w:r>
            <w:r w:rsidR="001267B9" w:rsidRPr="00BA25B9">
              <w:rPr>
                <w:sz w:val="24"/>
                <w:szCs w:val="24"/>
              </w:rPr>
              <w:t>.</w:t>
            </w:r>
            <w:r w:rsidR="00497446" w:rsidRPr="00BA25B9">
              <w:rPr>
                <w:sz w:val="24"/>
                <w:szCs w:val="24"/>
              </w:rPr>
              <w:t xml:space="preserve"> </w:t>
            </w:r>
            <w:r w:rsidR="009D12E2" w:rsidRPr="00BA25B9">
              <w:rPr>
                <w:sz w:val="24"/>
                <w:szCs w:val="24"/>
              </w:rPr>
              <w:t>Be to, atkreiptinas dėmesys, kad šiuo atveju buvo galimybė t</w:t>
            </w:r>
            <w:r w:rsidR="00497446" w:rsidRPr="00BA25B9">
              <w:rPr>
                <w:sz w:val="24"/>
                <w:szCs w:val="24"/>
              </w:rPr>
              <w:t>aik</w:t>
            </w:r>
            <w:r w:rsidR="009D12E2" w:rsidRPr="00BA25B9">
              <w:rPr>
                <w:sz w:val="24"/>
                <w:szCs w:val="24"/>
              </w:rPr>
              <w:t>yti</w:t>
            </w:r>
            <w:r w:rsidR="00497446" w:rsidRPr="00BA25B9">
              <w:rPr>
                <w:sz w:val="24"/>
                <w:szCs w:val="24"/>
              </w:rPr>
              <w:t xml:space="preserve"> pagreitintas procedūras</w:t>
            </w:r>
            <w:r w:rsidR="009D12E2" w:rsidRPr="00BA25B9">
              <w:rPr>
                <w:sz w:val="24"/>
                <w:szCs w:val="24"/>
              </w:rPr>
              <w:t xml:space="preserve">, </w:t>
            </w:r>
            <w:r w:rsidR="00155C4C" w:rsidRPr="00BA25B9">
              <w:rPr>
                <w:sz w:val="24"/>
                <w:szCs w:val="24"/>
              </w:rPr>
              <w:t>dėl ko pirmiau nurodyti</w:t>
            </w:r>
            <w:r w:rsidR="00497446" w:rsidRPr="00BA25B9">
              <w:rPr>
                <w:sz w:val="24"/>
                <w:szCs w:val="24"/>
              </w:rPr>
              <w:t xml:space="preserve"> terminai būtų </w:t>
            </w:r>
            <w:r w:rsidR="009D12E2" w:rsidRPr="00BA25B9">
              <w:rPr>
                <w:sz w:val="24"/>
                <w:szCs w:val="24"/>
              </w:rPr>
              <w:t>ženkliai</w:t>
            </w:r>
            <w:r w:rsidR="00497446" w:rsidRPr="00BA25B9">
              <w:rPr>
                <w:sz w:val="24"/>
                <w:szCs w:val="24"/>
              </w:rPr>
              <w:t xml:space="preserve"> trumpesni</w:t>
            </w:r>
            <w:r w:rsidR="008F2BF3" w:rsidRPr="00BA25B9">
              <w:rPr>
                <w:rStyle w:val="FootnoteReference"/>
                <w:sz w:val="24"/>
                <w:szCs w:val="24"/>
              </w:rPr>
              <w:footnoteReference w:id="20"/>
            </w:r>
            <w:r w:rsidR="00497446" w:rsidRPr="00BA25B9">
              <w:rPr>
                <w:sz w:val="24"/>
                <w:szCs w:val="24"/>
              </w:rPr>
              <w:t>.</w:t>
            </w:r>
            <w:r w:rsidR="00A56465" w:rsidRPr="00BA25B9">
              <w:rPr>
                <w:sz w:val="24"/>
                <w:szCs w:val="24"/>
              </w:rPr>
              <w:t xml:space="preserve"> Taip pat, Pirkimo techninės specifikacijos rengimo ir derinimo kontekste, </w:t>
            </w:r>
            <w:r w:rsidR="00C76681" w:rsidRPr="00BA25B9">
              <w:rPr>
                <w:sz w:val="24"/>
                <w:szCs w:val="24"/>
              </w:rPr>
              <w:t>Tarnybos vertinimu, buvo</w:t>
            </w:r>
            <w:r w:rsidR="00A56465" w:rsidRPr="00BA25B9">
              <w:rPr>
                <w:sz w:val="24"/>
                <w:szCs w:val="24"/>
              </w:rPr>
              <w:t xml:space="preserve"> nepagrįst</w:t>
            </w:r>
            <w:r w:rsidR="00C76681" w:rsidRPr="00BA25B9">
              <w:rPr>
                <w:sz w:val="24"/>
                <w:szCs w:val="24"/>
              </w:rPr>
              <w:t>o</w:t>
            </w:r>
            <w:r w:rsidR="00A56465" w:rsidRPr="00BA25B9">
              <w:rPr>
                <w:sz w:val="24"/>
                <w:szCs w:val="24"/>
              </w:rPr>
              <w:t xml:space="preserve"> delsim</w:t>
            </w:r>
            <w:r w:rsidR="00C76681" w:rsidRPr="00BA25B9">
              <w:rPr>
                <w:sz w:val="24"/>
                <w:szCs w:val="24"/>
              </w:rPr>
              <w:t>o</w:t>
            </w:r>
            <w:r w:rsidR="00A56465" w:rsidRPr="00BA25B9">
              <w:rPr>
                <w:sz w:val="24"/>
                <w:szCs w:val="24"/>
              </w:rPr>
              <w:t xml:space="preserve"> iš Perkančiosios organizacijos pusės,</w:t>
            </w:r>
            <w:r w:rsidR="001D58DB" w:rsidRPr="00BA25B9">
              <w:rPr>
                <w:sz w:val="24"/>
                <w:szCs w:val="24"/>
              </w:rPr>
              <w:t xml:space="preserve"> </w:t>
            </w:r>
            <w:r w:rsidR="00C76681" w:rsidRPr="00BA25B9">
              <w:rPr>
                <w:sz w:val="24"/>
                <w:szCs w:val="24"/>
              </w:rPr>
              <w:t>kas nedera su</w:t>
            </w:r>
            <w:r w:rsidR="0030262A" w:rsidRPr="00BA25B9">
              <w:rPr>
                <w:sz w:val="24"/>
                <w:szCs w:val="24"/>
              </w:rPr>
              <w:t xml:space="preserve"> ypatingos skubos sąlyga (viena iš kumuliatyvių neskelbiamų derybų </w:t>
            </w:r>
            <w:r w:rsidR="00A717B9" w:rsidRPr="00BA25B9">
              <w:rPr>
                <w:sz w:val="24"/>
                <w:szCs w:val="24"/>
              </w:rPr>
              <w:t>sąlygų</w:t>
            </w:r>
            <w:r w:rsidR="0030262A" w:rsidRPr="00BA25B9">
              <w:rPr>
                <w:sz w:val="24"/>
                <w:szCs w:val="24"/>
              </w:rPr>
              <w:t>)</w:t>
            </w:r>
            <w:r w:rsidR="001D58DB" w:rsidRPr="00BA25B9">
              <w:rPr>
                <w:sz w:val="24"/>
                <w:szCs w:val="24"/>
              </w:rPr>
              <w:t>,</w:t>
            </w:r>
            <w:r w:rsidR="00A56465" w:rsidRPr="00BA25B9">
              <w:rPr>
                <w:sz w:val="24"/>
                <w:szCs w:val="24"/>
              </w:rPr>
              <w:t xml:space="preserve"> pavyzdžiui</w:t>
            </w:r>
            <w:r w:rsidR="00643B8C" w:rsidRPr="00BA25B9">
              <w:rPr>
                <w:sz w:val="24"/>
                <w:szCs w:val="24"/>
              </w:rPr>
              <w:t>,</w:t>
            </w:r>
            <w:r w:rsidR="00A56465" w:rsidRPr="00BA25B9">
              <w:rPr>
                <w:sz w:val="24"/>
                <w:szCs w:val="24"/>
              </w:rPr>
              <w:t xml:space="preserve"> </w:t>
            </w:r>
            <w:r w:rsidR="000C3DAE" w:rsidRPr="00BA25B9">
              <w:rPr>
                <w:sz w:val="24"/>
                <w:szCs w:val="24"/>
              </w:rPr>
              <w:t>Perkančioji organizacija 2022 m. spalio 25</w:t>
            </w:r>
            <w:r w:rsidR="00C76681" w:rsidRPr="00BA25B9">
              <w:rPr>
                <w:sz w:val="24"/>
                <w:szCs w:val="24"/>
              </w:rPr>
              <w:t xml:space="preserve"> </w:t>
            </w:r>
            <w:r w:rsidR="000C3DAE" w:rsidRPr="00BA25B9">
              <w:rPr>
                <w:sz w:val="24"/>
                <w:szCs w:val="24"/>
              </w:rPr>
              <w:t>d. gavo Nacionalinio kibernetinio saugumo centro pastabas techninei specifikacijai. Kaip Tarnybai nurodė</w:t>
            </w:r>
            <w:r w:rsidR="00737C83" w:rsidRPr="00BA25B9">
              <w:rPr>
                <w:rStyle w:val="FootnoteReference"/>
                <w:sz w:val="24"/>
                <w:szCs w:val="24"/>
              </w:rPr>
              <w:footnoteReference w:id="21"/>
            </w:r>
            <w:r w:rsidR="000C3DAE" w:rsidRPr="00BA25B9">
              <w:rPr>
                <w:sz w:val="24"/>
                <w:szCs w:val="24"/>
              </w:rPr>
              <w:t xml:space="preserve"> Nacionalini</w:t>
            </w:r>
            <w:r w:rsidR="00201952" w:rsidRPr="00BA25B9">
              <w:rPr>
                <w:sz w:val="24"/>
                <w:szCs w:val="24"/>
              </w:rPr>
              <w:t>s</w:t>
            </w:r>
            <w:r w:rsidR="000C3DAE" w:rsidRPr="00BA25B9">
              <w:rPr>
                <w:sz w:val="24"/>
                <w:szCs w:val="24"/>
              </w:rPr>
              <w:t xml:space="preserve"> kibernetinio saugumo centras </w:t>
            </w:r>
            <w:r w:rsidR="00737C83" w:rsidRPr="00BA25B9">
              <w:rPr>
                <w:sz w:val="24"/>
                <w:szCs w:val="24"/>
              </w:rPr>
              <w:t>–</w:t>
            </w:r>
            <w:r w:rsidR="000C3DAE" w:rsidRPr="00BA25B9">
              <w:rPr>
                <w:sz w:val="24"/>
                <w:szCs w:val="24"/>
              </w:rPr>
              <w:t xml:space="preserve"> </w:t>
            </w:r>
            <w:r w:rsidR="00737C83" w:rsidRPr="00BA25B9">
              <w:rPr>
                <w:sz w:val="24"/>
                <w:szCs w:val="24"/>
              </w:rPr>
              <w:t xml:space="preserve">pastabų </w:t>
            </w:r>
            <w:r w:rsidR="00975231" w:rsidRPr="00BA25B9">
              <w:rPr>
                <w:sz w:val="24"/>
                <w:szCs w:val="24"/>
              </w:rPr>
              <w:t xml:space="preserve">techninei specifikacijai buvo nedaug ir jų būta neesminių. </w:t>
            </w:r>
            <w:r w:rsidR="00CB2C42" w:rsidRPr="00BA25B9">
              <w:rPr>
                <w:sz w:val="24"/>
                <w:szCs w:val="24"/>
              </w:rPr>
              <w:t>Nepaisant minėto fakto, Perkančioji organizacija Pirkimo techninę specifikaciją derinti UAB „</w:t>
            </w:r>
            <w:r w:rsidR="00311CD7" w:rsidRPr="00BA25B9">
              <w:rPr>
                <w:sz w:val="24"/>
                <w:szCs w:val="24"/>
              </w:rPr>
              <w:t>Statybų techninė priežiūra“ išsiuntė tik 2022 m. lapkričio 16 d., t. y. praėjus 3 savaitėms nuo Nacionalinio kibernetinio saugumo centro neesminių pastabų techninei specifikacijai gavimo</w:t>
            </w:r>
            <w:r w:rsidR="00E30498" w:rsidRPr="00BA25B9">
              <w:rPr>
                <w:sz w:val="24"/>
                <w:szCs w:val="24"/>
              </w:rPr>
              <w:t>.</w:t>
            </w:r>
            <w:r w:rsidR="006B6099" w:rsidRPr="00BA25B9">
              <w:rPr>
                <w:sz w:val="24"/>
                <w:szCs w:val="24"/>
              </w:rPr>
              <w:t xml:space="preserve"> Užsienio reikalų ministerijai – po 4 savaičių (2022</w:t>
            </w:r>
            <w:r w:rsidR="00116F43" w:rsidRPr="00BA25B9">
              <w:rPr>
                <w:sz w:val="24"/>
                <w:szCs w:val="24"/>
              </w:rPr>
              <w:t> </w:t>
            </w:r>
            <w:r w:rsidR="006B6099" w:rsidRPr="00BA25B9">
              <w:rPr>
                <w:sz w:val="24"/>
                <w:szCs w:val="24"/>
              </w:rPr>
              <w:t>m.</w:t>
            </w:r>
            <w:r w:rsidR="00116F43" w:rsidRPr="00BA25B9">
              <w:rPr>
                <w:sz w:val="24"/>
                <w:szCs w:val="24"/>
              </w:rPr>
              <w:t> </w:t>
            </w:r>
            <w:r w:rsidR="006B6099" w:rsidRPr="00BA25B9">
              <w:rPr>
                <w:sz w:val="24"/>
                <w:szCs w:val="24"/>
              </w:rPr>
              <w:t>lapkričio</w:t>
            </w:r>
            <w:r w:rsidR="008E0CA9" w:rsidRPr="00BA25B9">
              <w:rPr>
                <w:sz w:val="24"/>
                <w:szCs w:val="24"/>
              </w:rPr>
              <w:t> </w:t>
            </w:r>
            <w:r w:rsidR="006B6099" w:rsidRPr="00BA25B9">
              <w:rPr>
                <w:sz w:val="24"/>
                <w:szCs w:val="24"/>
              </w:rPr>
              <w:t>22</w:t>
            </w:r>
            <w:r w:rsidR="008E0CA9" w:rsidRPr="00BA25B9">
              <w:rPr>
                <w:sz w:val="24"/>
                <w:szCs w:val="24"/>
              </w:rPr>
              <w:t> </w:t>
            </w:r>
            <w:r w:rsidR="006B6099" w:rsidRPr="00BA25B9">
              <w:rPr>
                <w:sz w:val="24"/>
                <w:szCs w:val="24"/>
              </w:rPr>
              <w:t>d.).</w:t>
            </w:r>
            <w:r w:rsidR="00ED7CB6" w:rsidRPr="00BA25B9">
              <w:rPr>
                <w:sz w:val="24"/>
                <w:szCs w:val="24"/>
              </w:rPr>
              <w:t xml:space="preserve"> Perkančio</w:t>
            </w:r>
            <w:r w:rsidR="00C76681" w:rsidRPr="00BA25B9">
              <w:rPr>
                <w:sz w:val="24"/>
                <w:szCs w:val="24"/>
              </w:rPr>
              <w:t>sios</w:t>
            </w:r>
            <w:r w:rsidR="00ED7CB6" w:rsidRPr="00BA25B9">
              <w:rPr>
                <w:sz w:val="24"/>
                <w:szCs w:val="24"/>
              </w:rPr>
              <w:t xml:space="preserve"> organizacij</w:t>
            </w:r>
            <w:r w:rsidR="00C76681" w:rsidRPr="00BA25B9">
              <w:rPr>
                <w:sz w:val="24"/>
                <w:szCs w:val="24"/>
              </w:rPr>
              <w:t>os</w:t>
            </w:r>
            <w:r w:rsidR="00ED7CB6" w:rsidRPr="00BA25B9">
              <w:rPr>
                <w:sz w:val="24"/>
                <w:szCs w:val="24"/>
              </w:rPr>
              <w:t xml:space="preserve"> Tarnybai </w:t>
            </w:r>
            <w:r w:rsidR="00C76681" w:rsidRPr="00BA25B9">
              <w:rPr>
                <w:sz w:val="24"/>
                <w:szCs w:val="24"/>
              </w:rPr>
              <w:t>pateikti</w:t>
            </w:r>
            <w:r w:rsidR="00ED7CB6" w:rsidRPr="00BA25B9">
              <w:rPr>
                <w:sz w:val="24"/>
                <w:szCs w:val="24"/>
              </w:rPr>
              <w:t xml:space="preserve"> </w:t>
            </w:r>
            <w:r w:rsidR="002E3546" w:rsidRPr="00BA25B9">
              <w:rPr>
                <w:sz w:val="24"/>
                <w:szCs w:val="24"/>
              </w:rPr>
              <w:t>paaiškin</w:t>
            </w:r>
            <w:r w:rsidR="00C76681" w:rsidRPr="00BA25B9">
              <w:rPr>
                <w:sz w:val="24"/>
                <w:szCs w:val="24"/>
              </w:rPr>
              <w:t>imai nepagrindžia</w:t>
            </w:r>
            <w:r w:rsidR="00ED7CB6" w:rsidRPr="00BA25B9">
              <w:rPr>
                <w:sz w:val="24"/>
                <w:szCs w:val="24"/>
              </w:rPr>
              <w:t>, kodėl techninė specifikacija derinti UAB „Statybų techninė priežiūra“ ir Užsienio reikalų ministerijai negalėjo būti išsi</w:t>
            </w:r>
            <w:r w:rsidR="00653E83" w:rsidRPr="00BA25B9">
              <w:rPr>
                <w:sz w:val="24"/>
                <w:szCs w:val="24"/>
              </w:rPr>
              <w:t>ų</w:t>
            </w:r>
            <w:r w:rsidR="00ED7CB6" w:rsidRPr="00BA25B9">
              <w:rPr>
                <w:sz w:val="24"/>
                <w:szCs w:val="24"/>
              </w:rPr>
              <w:t>st</w:t>
            </w:r>
            <w:r w:rsidR="00DA69D0" w:rsidRPr="00BA25B9">
              <w:rPr>
                <w:sz w:val="24"/>
                <w:szCs w:val="24"/>
              </w:rPr>
              <w:t>a</w:t>
            </w:r>
            <w:r w:rsidR="00ED7CB6" w:rsidRPr="00BA25B9">
              <w:rPr>
                <w:sz w:val="24"/>
                <w:szCs w:val="24"/>
              </w:rPr>
              <w:t xml:space="preserve"> lygiagrečiai</w:t>
            </w:r>
            <w:r w:rsidR="002E3546" w:rsidRPr="00BA25B9">
              <w:rPr>
                <w:sz w:val="24"/>
                <w:szCs w:val="24"/>
              </w:rPr>
              <w:t>, kodėl techninė specifikacija pastariesiems dviem subjektams išsiųsta po tokio ilgo laiko tarpo nuo Nacionalinio kibernetinio saugumo centro pastabų gavimo</w:t>
            </w:r>
            <w:r w:rsidR="00ED7CB6" w:rsidRPr="00BA25B9">
              <w:rPr>
                <w:sz w:val="24"/>
                <w:szCs w:val="24"/>
              </w:rPr>
              <w:t>.</w:t>
            </w:r>
            <w:r w:rsidR="00E30498" w:rsidRPr="00BA25B9">
              <w:rPr>
                <w:sz w:val="24"/>
                <w:szCs w:val="24"/>
              </w:rPr>
              <w:t xml:space="preserve"> </w:t>
            </w:r>
            <w:r w:rsidR="00A22E8A" w:rsidRPr="00BA25B9">
              <w:rPr>
                <w:sz w:val="24"/>
                <w:szCs w:val="24"/>
              </w:rPr>
              <w:t xml:space="preserve">Taip pat, ypatingos skubos kontekste, objektyviai nepateisinamas ilgas techninės specifikacijos derinimas su </w:t>
            </w:r>
            <w:r w:rsidR="000439B1" w:rsidRPr="00BA25B9">
              <w:rPr>
                <w:sz w:val="24"/>
                <w:szCs w:val="24"/>
              </w:rPr>
              <w:t>Užsienio reikalų ministerija ir</w:t>
            </w:r>
            <w:r w:rsidR="00C76681" w:rsidRPr="00BA25B9">
              <w:rPr>
                <w:sz w:val="24"/>
                <w:szCs w:val="24"/>
              </w:rPr>
              <w:t xml:space="preserve"> </w:t>
            </w:r>
            <w:r w:rsidR="00A22E8A" w:rsidRPr="00BA25B9">
              <w:rPr>
                <w:sz w:val="24"/>
                <w:szCs w:val="24"/>
              </w:rPr>
              <w:t xml:space="preserve">UAB „Statybų techninė priežiūra“. Pastaroji bendrovė savo pastabas pateikė </w:t>
            </w:r>
            <w:r w:rsidR="008B0777" w:rsidRPr="00BA25B9">
              <w:rPr>
                <w:sz w:val="24"/>
                <w:szCs w:val="24"/>
              </w:rPr>
              <w:t xml:space="preserve">tik </w:t>
            </w:r>
            <w:r w:rsidR="00C9277E" w:rsidRPr="00BA25B9">
              <w:rPr>
                <w:sz w:val="24"/>
                <w:szCs w:val="24"/>
              </w:rPr>
              <w:t>2022</w:t>
            </w:r>
            <w:r w:rsidR="00C76681" w:rsidRPr="00BA25B9">
              <w:rPr>
                <w:sz w:val="24"/>
                <w:szCs w:val="24"/>
              </w:rPr>
              <w:t> </w:t>
            </w:r>
            <w:r w:rsidR="00C9277E" w:rsidRPr="00BA25B9">
              <w:rPr>
                <w:sz w:val="24"/>
                <w:szCs w:val="24"/>
              </w:rPr>
              <w:t>m. lapkričio 29 d., t y. praėjus</w:t>
            </w:r>
            <w:r w:rsidR="008B0777" w:rsidRPr="00BA25B9">
              <w:rPr>
                <w:sz w:val="24"/>
                <w:szCs w:val="24"/>
              </w:rPr>
              <w:t xml:space="preserve"> </w:t>
            </w:r>
            <w:r w:rsidR="00C9277E" w:rsidRPr="00BA25B9">
              <w:rPr>
                <w:sz w:val="24"/>
                <w:szCs w:val="24"/>
              </w:rPr>
              <w:t>13 dienų nuo techninės specifikacijos išsiuntimo</w:t>
            </w:r>
            <w:r w:rsidR="000439B1" w:rsidRPr="00BA25B9">
              <w:rPr>
                <w:sz w:val="24"/>
                <w:szCs w:val="24"/>
              </w:rPr>
              <w:t>, su Užsienio reikalų ministerija</w:t>
            </w:r>
            <w:r w:rsidR="00F54247" w:rsidRPr="00BA25B9">
              <w:rPr>
                <w:sz w:val="24"/>
                <w:szCs w:val="24"/>
              </w:rPr>
              <w:t xml:space="preserve"> (kuri derino su NATO sekretoriatu)</w:t>
            </w:r>
            <w:r w:rsidR="000439B1" w:rsidRPr="00BA25B9">
              <w:rPr>
                <w:sz w:val="24"/>
                <w:szCs w:val="24"/>
              </w:rPr>
              <w:t xml:space="preserve"> techninė specifikacija galutinai suderinta per 10 dienų (derinimas truko nuo 2022 m. lapkričio 22</w:t>
            </w:r>
            <w:r w:rsidR="00A54C1F" w:rsidRPr="00BA25B9">
              <w:rPr>
                <w:sz w:val="24"/>
                <w:szCs w:val="24"/>
              </w:rPr>
              <w:t> </w:t>
            </w:r>
            <w:r w:rsidR="000439B1" w:rsidRPr="00BA25B9">
              <w:rPr>
                <w:sz w:val="24"/>
                <w:szCs w:val="24"/>
              </w:rPr>
              <w:t>d. iki gruodžio 2 d.)</w:t>
            </w:r>
            <w:r w:rsidR="008B0777" w:rsidRPr="00BA25B9">
              <w:rPr>
                <w:sz w:val="24"/>
                <w:szCs w:val="24"/>
              </w:rPr>
              <w:t>. P</w:t>
            </w:r>
            <w:r w:rsidR="00CD6D14" w:rsidRPr="00BA25B9">
              <w:rPr>
                <w:sz w:val="24"/>
                <w:szCs w:val="24"/>
              </w:rPr>
              <w:t>a</w:t>
            </w:r>
            <w:r w:rsidR="00C9277E" w:rsidRPr="00BA25B9">
              <w:rPr>
                <w:sz w:val="24"/>
                <w:szCs w:val="24"/>
              </w:rPr>
              <w:t xml:space="preserve">žymėtina, kad kiekvienas suinteresuotas subjektas pastabas </w:t>
            </w:r>
            <w:r w:rsidR="00C9277E" w:rsidRPr="00BA25B9">
              <w:rPr>
                <w:sz w:val="24"/>
                <w:szCs w:val="24"/>
              </w:rPr>
              <w:lastRenderedPageBreak/>
              <w:t>techninei specifikacijai teik</w:t>
            </w:r>
            <w:r w:rsidR="00D46271" w:rsidRPr="00BA25B9">
              <w:rPr>
                <w:sz w:val="24"/>
                <w:szCs w:val="24"/>
              </w:rPr>
              <w:t>ia</w:t>
            </w:r>
            <w:r w:rsidR="00C9277E" w:rsidRPr="00BA25B9">
              <w:rPr>
                <w:sz w:val="24"/>
                <w:szCs w:val="24"/>
              </w:rPr>
              <w:t xml:space="preserve"> savo kompetencijos ribose ir</w:t>
            </w:r>
            <w:r w:rsidR="00A22E8A" w:rsidRPr="00BA25B9">
              <w:rPr>
                <w:sz w:val="24"/>
                <w:szCs w:val="24"/>
              </w:rPr>
              <w:t xml:space="preserve"> tai, kad</w:t>
            </w:r>
            <w:r w:rsidR="00C9277E" w:rsidRPr="00BA25B9">
              <w:rPr>
                <w:sz w:val="24"/>
                <w:szCs w:val="24"/>
              </w:rPr>
              <w:t>, pvz., Nacionalinis kibernetinio saugumo centras, kurio</w:t>
            </w:r>
            <w:r w:rsidR="00A22E8A" w:rsidRPr="00BA25B9">
              <w:rPr>
                <w:sz w:val="24"/>
                <w:szCs w:val="24"/>
              </w:rPr>
              <w:t xml:space="preserve"> vaidmuo techninės specifikacijos derinimo klausimu buvo ypatingai svarbus</w:t>
            </w:r>
            <w:r w:rsidR="006816DB" w:rsidRPr="00BA25B9">
              <w:rPr>
                <w:sz w:val="24"/>
                <w:szCs w:val="24"/>
              </w:rPr>
              <w:t xml:space="preserve"> (</w:t>
            </w:r>
            <w:r w:rsidR="00316284" w:rsidRPr="00BA25B9">
              <w:rPr>
                <w:sz w:val="24"/>
                <w:szCs w:val="24"/>
              </w:rPr>
              <w:t>turint omenyje Pirkimo objekt</w:t>
            </w:r>
            <w:r w:rsidR="00495BB0" w:rsidRPr="00BA25B9">
              <w:rPr>
                <w:sz w:val="24"/>
                <w:szCs w:val="24"/>
              </w:rPr>
              <w:t>o specifiką</w:t>
            </w:r>
            <w:r w:rsidR="006816DB" w:rsidRPr="00BA25B9">
              <w:rPr>
                <w:sz w:val="24"/>
                <w:szCs w:val="24"/>
              </w:rPr>
              <w:t>)</w:t>
            </w:r>
            <w:r w:rsidR="00A22E8A" w:rsidRPr="00BA25B9">
              <w:rPr>
                <w:sz w:val="24"/>
                <w:szCs w:val="24"/>
              </w:rPr>
              <w:t xml:space="preserve">, techninę specifikaciją </w:t>
            </w:r>
            <w:r w:rsidR="00C76681" w:rsidRPr="00BA25B9">
              <w:rPr>
                <w:sz w:val="24"/>
                <w:szCs w:val="24"/>
              </w:rPr>
              <w:t>įvertino</w:t>
            </w:r>
            <w:r w:rsidR="00A22E8A" w:rsidRPr="00BA25B9">
              <w:rPr>
                <w:sz w:val="24"/>
                <w:szCs w:val="24"/>
              </w:rPr>
              <w:t xml:space="preserve"> ir atsaky</w:t>
            </w:r>
            <w:r w:rsidR="00C76681" w:rsidRPr="00BA25B9">
              <w:rPr>
                <w:sz w:val="24"/>
                <w:szCs w:val="24"/>
              </w:rPr>
              <w:t>mą</w:t>
            </w:r>
            <w:r w:rsidR="00A22E8A" w:rsidRPr="00BA25B9">
              <w:rPr>
                <w:sz w:val="24"/>
                <w:szCs w:val="24"/>
              </w:rPr>
              <w:t xml:space="preserve"> Perkančiajai organizacijai </w:t>
            </w:r>
            <w:r w:rsidR="00C76681" w:rsidRPr="00BA25B9">
              <w:rPr>
                <w:sz w:val="24"/>
                <w:szCs w:val="24"/>
              </w:rPr>
              <w:t>pateikė</w:t>
            </w:r>
            <w:r w:rsidR="00A22E8A" w:rsidRPr="00BA25B9">
              <w:rPr>
                <w:sz w:val="24"/>
                <w:szCs w:val="24"/>
              </w:rPr>
              <w:t xml:space="preserve"> per 4 d. d. (6 </w:t>
            </w:r>
            <w:r w:rsidR="00C76681" w:rsidRPr="00BA25B9">
              <w:rPr>
                <w:sz w:val="24"/>
                <w:szCs w:val="24"/>
              </w:rPr>
              <w:t xml:space="preserve">k. </w:t>
            </w:r>
            <w:r w:rsidR="00A22E8A" w:rsidRPr="00BA25B9">
              <w:rPr>
                <w:sz w:val="24"/>
                <w:szCs w:val="24"/>
              </w:rPr>
              <w:t>d.)</w:t>
            </w:r>
            <w:r w:rsidR="00C24771" w:rsidRPr="00BA25B9">
              <w:rPr>
                <w:sz w:val="24"/>
                <w:szCs w:val="24"/>
              </w:rPr>
              <w:t>, t.</w:t>
            </w:r>
            <w:r w:rsidR="00653A4A" w:rsidRPr="00BA25B9">
              <w:rPr>
                <w:sz w:val="24"/>
                <w:szCs w:val="24"/>
              </w:rPr>
              <w:t> </w:t>
            </w:r>
            <w:r w:rsidR="00C24771" w:rsidRPr="00BA25B9">
              <w:rPr>
                <w:sz w:val="24"/>
                <w:szCs w:val="24"/>
              </w:rPr>
              <w:t>y. daugiau nei dvigubai greičiau.</w:t>
            </w:r>
            <w:r w:rsidR="00BF11D4" w:rsidRPr="00BA25B9">
              <w:rPr>
                <w:sz w:val="24"/>
                <w:szCs w:val="24"/>
              </w:rPr>
              <w:t xml:space="preserve"> </w:t>
            </w:r>
            <w:r w:rsidR="005178A3" w:rsidRPr="00BA25B9">
              <w:rPr>
                <w:sz w:val="24"/>
                <w:szCs w:val="24"/>
              </w:rPr>
              <w:t>Vertin</w:t>
            </w:r>
            <w:r w:rsidR="00BF11D4" w:rsidRPr="00BA25B9">
              <w:rPr>
                <w:sz w:val="24"/>
                <w:szCs w:val="24"/>
              </w:rPr>
              <w:t>tina, kad Perkančioji organizacija</w:t>
            </w:r>
            <w:r w:rsidR="005951E9" w:rsidRPr="00BA25B9">
              <w:rPr>
                <w:sz w:val="24"/>
                <w:szCs w:val="24"/>
              </w:rPr>
              <w:t>, kuri, be kita ko, įrodin</w:t>
            </w:r>
            <w:r w:rsidR="009A1A43" w:rsidRPr="00BA25B9">
              <w:rPr>
                <w:sz w:val="24"/>
                <w:szCs w:val="24"/>
              </w:rPr>
              <w:t>ėja</w:t>
            </w:r>
            <w:r w:rsidR="005951E9" w:rsidRPr="00BA25B9">
              <w:rPr>
                <w:sz w:val="24"/>
                <w:szCs w:val="24"/>
              </w:rPr>
              <w:t xml:space="preserve"> ypatingos skubos aplinkybę,</w:t>
            </w:r>
            <w:r w:rsidR="00BF11D4" w:rsidRPr="00BA25B9">
              <w:rPr>
                <w:sz w:val="24"/>
                <w:szCs w:val="24"/>
              </w:rPr>
              <w:t xml:space="preserve"> turėjo </w:t>
            </w:r>
            <w:r w:rsidR="00695E72" w:rsidRPr="00BA25B9">
              <w:rPr>
                <w:sz w:val="24"/>
                <w:szCs w:val="24"/>
              </w:rPr>
              <w:t>maksimaliai greitai</w:t>
            </w:r>
            <w:r w:rsidR="00D858E3" w:rsidRPr="00BA25B9">
              <w:rPr>
                <w:sz w:val="24"/>
                <w:szCs w:val="24"/>
              </w:rPr>
              <w:t xml:space="preserve"> </w:t>
            </w:r>
            <w:r w:rsidR="00C76681" w:rsidRPr="00BA25B9">
              <w:rPr>
                <w:sz w:val="24"/>
                <w:szCs w:val="24"/>
              </w:rPr>
              <w:t>pa</w:t>
            </w:r>
            <w:r w:rsidR="00695E72" w:rsidRPr="00BA25B9">
              <w:rPr>
                <w:sz w:val="24"/>
                <w:szCs w:val="24"/>
              </w:rPr>
              <w:t xml:space="preserve">tikslinti techninę specifikaciją pagal Nacionalinio kibernetinio saugumo centro </w:t>
            </w:r>
            <w:r w:rsidR="00C76681" w:rsidRPr="00BA25B9">
              <w:rPr>
                <w:sz w:val="24"/>
                <w:szCs w:val="24"/>
              </w:rPr>
              <w:t>pateiktas</w:t>
            </w:r>
            <w:r w:rsidR="00200462" w:rsidRPr="00BA25B9">
              <w:rPr>
                <w:sz w:val="24"/>
                <w:szCs w:val="24"/>
              </w:rPr>
              <w:t xml:space="preserve"> </w:t>
            </w:r>
            <w:r w:rsidR="00C76681" w:rsidRPr="00BA25B9">
              <w:rPr>
                <w:sz w:val="24"/>
                <w:szCs w:val="24"/>
              </w:rPr>
              <w:t>(</w:t>
            </w:r>
            <w:r w:rsidR="00200462" w:rsidRPr="00BA25B9">
              <w:rPr>
                <w:sz w:val="24"/>
                <w:szCs w:val="24"/>
              </w:rPr>
              <w:t>neesmines</w:t>
            </w:r>
            <w:r w:rsidR="00C76681" w:rsidRPr="00BA25B9">
              <w:rPr>
                <w:sz w:val="24"/>
                <w:szCs w:val="24"/>
              </w:rPr>
              <w:t>)</w:t>
            </w:r>
            <w:r w:rsidR="00200462" w:rsidRPr="00BA25B9">
              <w:rPr>
                <w:sz w:val="24"/>
                <w:szCs w:val="24"/>
              </w:rPr>
              <w:t xml:space="preserve"> </w:t>
            </w:r>
            <w:r w:rsidR="00695E72" w:rsidRPr="00BA25B9">
              <w:rPr>
                <w:sz w:val="24"/>
                <w:szCs w:val="24"/>
              </w:rPr>
              <w:t>pastabas, lygiagrečiai tokią patikslintą specifikaciją siųsti UAB</w:t>
            </w:r>
            <w:r w:rsidR="00782F2D" w:rsidRPr="00BA25B9">
              <w:rPr>
                <w:sz w:val="24"/>
                <w:szCs w:val="24"/>
              </w:rPr>
              <w:t> </w:t>
            </w:r>
            <w:r w:rsidR="00695E72" w:rsidRPr="00BA25B9">
              <w:rPr>
                <w:sz w:val="24"/>
                <w:szCs w:val="24"/>
              </w:rPr>
              <w:t>„Statybų techninė priežiūra“ ir Užsienio reikalų ministerijai</w:t>
            </w:r>
            <w:r w:rsidR="00C76681" w:rsidRPr="00BA25B9">
              <w:rPr>
                <w:sz w:val="24"/>
                <w:szCs w:val="24"/>
              </w:rPr>
              <w:t xml:space="preserve"> bei</w:t>
            </w:r>
            <w:r w:rsidR="00BF11D4" w:rsidRPr="00BA25B9">
              <w:rPr>
                <w:sz w:val="24"/>
                <w:szCs w:val="24"/>
              </w:rPr>
              <w:t xml:space="preserve"> reikalauti </w:t>
            </w:r>
            <w:r w:rsidR="004076C4" w:rsidRPr="00BA25B9">
              <w:rPr>
                <w:sz w:val="24"/>
                <w:szCs w:val="24"/>
              </w:rPr>
              <w:t xml:space="preserve">(ypatingai </w:t>
            </w:r>
            <w:r w:rsidR="00BF11D4" w:rsidRPr="00BA25B9">
              <w:rPr>
                <w:sz w:val="24"/>
                <w:szCs w:val="24"/>
              </w:rPr>
              <w:t>iš UAB</w:t>
            </w:r>
            <w:r w:rsidR="00782F2D" w:rsidRPr="00BA25B9">
              <w:rPr>
                <w:sz w:val="24"/>
                <w:szCs w:val="24"/>
              </w:rPr>
              <w:t> </w:t>
            </w:r>
            <w:r w:rsidR="00BF11D4" w:rsidRPr="00BA25B9">
              <w:rPr>
                <w:sz w:val="24"/>
                <w:szCs w:val="24"/>
              </w:rPr>
              <w:t>„Statybų techninė priežiūra“</w:t>
            </w:r>
            <w:r w:rsidR="004076C4" w:rsidRPr="00BA25B9">
              <w:rPr>
                <w:sz w:val="24"/>
                <w:szCs w:val="24"/>
              </w:rPr>
              <w:t>)</w:t>
            </w:r>
            <w:r w:rsidR="00BF11D4" w:rsidRPr="00BA25B9">
              <w:rPr>
                <w:sz w:val="24"/>
                <w:szCs w:val="24"/>
              </w:rPr>
              <w:t xml:space="preserve"> savo atsakymą pateikti </w:t>
            </w:r>
            <w:r w:rsidR="008D5159" w:rsidRPr="00BA25B9">
              <w:rPr>
                <w:sz w:val="24"/>
                <w:szCs w:val="24"/>
              </w:rPr>
              <w:t xml:space="preserve">maksimaliai </w:t>
            </w:r>
            <w:r w:rsidR="001D0FAD" w:rsidRPr="00BA25B9">
              <w:rPr>
                <w:sz w:val="24"/>
                <w:szCs w:val="24"/>
              </w:rPr>
              <w:t>operatyviai</w:t>
            </w:r>
            <w:r w:rsidR="00D119FF" w:rsidRPr="00BA25B9">
              <w:rPr>
                <w:sz w:val="24"/>
                <w:szCs w:val="24"/>
              </w:rPr>
              <w:t>.</w:t>
            </w:r>
            <w:r w:rsidR="00811BDC" w:rsidRPr="00BA25B9">
              <w:rPr>
                <w:sz w:val="24"/>
                <w:szCs w:val="24"/>
              </w:rPr>
              <w:t xml:space="preserve"> Tačiau </w:t>
            </w:r>
            <w:r w:rsidR="00C76681" w:rsidRPr="00BA25B9">
              <w:rPr>
                <w:sz w:val="24"/>
                <w:szCs w:val="24"/>
              </w:rPr>
              <w:t xml:space="preserve">pakankamai ilgas </w:t>
            </w:r>
            <w:r w:rsidR="004E38E0" w:rsidRPr="00BA25B9">
              <w:rPr>
                <w:sz w:val="24"/>
                <w:szCs w:val="24"/>
              </w:rPr>
              <w:t>laikas</w:t>
            </w:r>
            <w:r w:rsidR="00581C6B" w:rsidRPr="00BA25B9">
              <w:rPr>
                <w:sz w:val="24"/>
                <w:szCs w:val="24"/>
              </w:rPr>
              <w:t xml:space="preserve"> tikslinant techninę specifikaciją pagal Nacionalinio kibernetinio saugumo centro pastabas, lygiagretus techninės specifikacijos nederinimas su UAB</w:t>
            </w:r>
            <w:r w:rsidR="00966ABB" w:rsidRPr="00BA25B9">
              <w:rPr>
                <w:sz w:val="24"/>
                <w:szCs w:val="24"/>
              </w:rPr>
              <w:t> </w:t>
            </w:r>
            <w:r w:rsidR="00581C6B" w:rsidRPr="00BA25B9">
              <w:rPr>
                <w:sz w:val="24"/>
                <w:szCs w:val="24"/>
              </w:rPr>
              <w:t xml:space="preserve">„Statybų techninė priežiūra“ ir Užsienio reikalų ministerija, </w:t>
            </w:r>
            <w:r w:rsidR="00A205F0" w:rsidRPr="00BA25B9">
              <w:rPr>
                <w:sz w:val="24"/>
                <w:szCs w:val="24"/>
              </w:rPr>
              <w:t xml:space="preserve">sąlyginai ilgas pastarųjų dviejų subjektų techninės specifikacijos derinimas </w:t>
            </w:r>
            <w:r w:rsidR="0087107A" w:rsidRPr="00BA25B9">
              <w:rPr>
                <w:sz w:val="24"/>
                <w:szCs w:val="24"/>
              </w:rPr>
              <w:t>ir apskritai bendra 2 mėnesių techninės specifikacijos derinimo trukmė</w:t>
            </w:r>
            <w:r w:rsidR="00154200" w:rsidRPr="00BA25B9">
              <w:rPr>
                <w:sz w:val="24"/>
                <w:szCs w:val="24"/>
              </w:rPr>
              <w:t>,</w:t>
            </w:r>
            <w:r w:rsidR="00071027" w:rsidRPr="00BA25B9">
              <w:rPr>
                <w:sz w:val="24"/>
                <w:szCs w:val="24"/>
              </w:rPr>
              <w:t xml:space="preserve"> kvietimo tiekėjams teikti pasiūlymus išsiuntimas po 4 dienų nuo techninės specifikacijos patvirtinimo (techninė specifikacija buvo galutinai suderinta </w:t>
            </w:r>
            <w:r w:rsidR="00E523F6" w:rsidRPr="00BA25B9">
              <w:rPr>
                <w:sz w:val="24"/>
                <w:szCs w:val="24"/>
              </w:rPr>
              <w:t xml:space="preserve">/ patvirtinta </w:t>
            </w:r>
            <w:r w:rsidR="00071027" w:rsidRPr="00BA25B9">
              <w:rPr>
                <w:sz w:val="24"/>
                <w:szCs w:val="24"/>
              </w:rPr>
              <w:t>2022 m. gruodžio 2 d., tačiau kvietimas tiekėjams teikti pasiūlymus išsiųstas tik 2022 m. gruodžio 6 d.),</w:t>
            </w:r>
            <w:r w:rsidR="00622BC9" w:rsidRPr="00BA25B9">
              <w:rPr>
                <w:sz w:val="24"/>
                <w:szCs w:val="24"/>
              </w:rPr>
              <w:t xml:space="preserve"> prasilenkia su neskelbiamų derybų </w:t>
            </w:r>
            <w:r w:rsidR="00A205F0" w:rsidRPr="00BA25B9">
              <w:rPr>
                <w:sz w:val="24"/>
                <w:szCs w:val="24"/>
              </w:rPr>
              <w:t xml:space="preserve">dėl nenumatyto įvykio ir sąlygotų </w:t>
            </w:r>
            <w:r w:rsidR="00622BC9" w:rsidRPr="00BA25B9">
              <w:rPr>
                <w:sz w:val="24"/>
                <w:szCs w:val="24"/>
              </w:rPr>
              <w:t>ypatingos skubos</w:t>
            </w:r>
            <w:r w:rsidR="003C77C4" w:rsidRPr="00BA25B9">
              <w:rPr>
                <w:sz w:val="24"/>
                <w:szCs w:val="24"/>
              </w:rPr>
              <w:t xml:space="preserve"> aplinkyb</w:t>
            </w:r>
            <w:r w:rsidR="00A205F0" w:rsidRPr="00BA25B9">
              <w:rPr>
                <w:sz w:val="24"/>
                <w:szCs w:val="24"/>
              </w:rPr>
              <w:t>ių</w:t>
            </w:r>
            <w:r w:rsidR="00622BC9" w:rsidRPr="00BA25B9">
              <w:rPr>
                <w:sz w:val="24"/>
                <w:szCs w:val="24"/>
              </w:rPr>
              <w:t xml:space="preserve"> esme.</w:t>
            </w:r>
            <w:r w:rsidR="006B4E5B" w:rsidRPr="00BA25B9">
              <w:rPr>
                <w:sz w:val="24"/>
                <w:szCs w:val="24"/>
              </w:rPr>
              <w:t xml:space="preserve"> Nors </w:t>
            </w:r>
            <w:r w:rsidR="006B4E5B" w:rsidRPr="00BA25B9">
              <w:rPr>
                <w:b/>
                <w:bCs/>
                <w:sz w:val="24"/>
                <w:szCs w:val="24"/>
              </w:rPr>
              <w:t>pirmiau šioje vertinimo išvadoje minėta nenumatyto įvykio nebuvimo sąlyga</w:t>
            </w:r>
            <w:r w:rsidR="00EF7603" w:rsidRPr="00BA25B9">
              <w:rPr>
                <w:rStyle w:val="FootnoteReference"/>
                <w:b/>
                <w:bCs/>
                <w:sz w:val="24"/>
                <w:szCs w:val="24"/>
              </w:rPr>
              <w:footnoteReference w:id="22"/>
            </w:r>
            <w:r w:rsidR="006B4E5B" w:rsidRPr="00BA25B9">
              <w:rPr>
                <w:b/>
                <w:bCs/>
                <w:sz w:val="24"/>
                <w:szCs w:val="24"/>
              </w:rPr>
              <w:t xml:space="preserve"> </w:t>
            </w:r>
            <w:r w:rsidR="00A551DD" w:rsidRPr="00BA25B9">
              <w:rPr>
                <w:b/>
                <w:bCs/>
                <w:sz w:val="24"/>
                <w:szCs w:val="24"/>
              </w:rPr>
              <w:t xml:space="preserve">yra pati savaime pakankama konstatuoti neskelbiamų derybų </w:t>
            </w:r>
            <w:r w:rsidR="005328E3" w:rsidRPr="00BA25B9">
              <w:rPr>
                <w:b/>
                <w:bCs/>
                <w:sz w:val="24"/>
                <w:szCs w:val="24"/>
              </w:rPr>
              <w:t xml:space="preserve">vykdymo </w:t>
            </w:r>
            <w:r w:rsidR="00A551DD" w:rsidRPr="00BA25B9">
              <w:rPr>
                <w:b/>
                <w:bCs/>
                <w:sz w:val="24"/>
                <w:szCs w:val="24"/>
              </w:rPr>
              <w:t xml:space="preserve">VPĮ </w:t>
            </w:r>
            <w:r w:rsidR="00EF7603" w:rsidRPr="00BA25B9">
              <w:rPr>
                <w:b/>
                <w:bCs/>
                <w:sz w:val="24"/>
                <w:szCs w:val="24"/>
              </w:rPr>
              <w:t xml:space="preserve">71 straipsnio 1 dalies 3 punkto pagrindu </w:t>
            </w:r>
            <w:r w:rsidR="0003370C" w:rsidRPr="00BA25B9">
              <w:rPr>
                <w:b/>
                <w:bCs/>
                <w:sz w:val="24"/>
                <w:szCs w:val="24"/>
              </w:rPr>
              <w:t>pažeidi</w:t>
            </w:r>
            <w:r w:rsidR="00EF7603" w:rsidRPr="00BA25B9">
              <w:rPr>
                <w:b/>
                <w:bCs/>
                <w:sz w:val="24"/>
                <w:szCs w:val="24"/>
              </w:rPr>
              <w:t>mą</w:t>
            </w:r>
            <w:r w:rsidR="00EF7603" w:rsidRPr="00BA25B9">
              <w:rPr>
                <w:sz w:val="24"/>
                <w:szCs w:val="24"/>
              </w:rPr>
              <w:t xml:space="preserve">, manytina, kad </w:t>
            </w:r>
            <w:r w:rsidR="00956EC6" w:rsidRPr="00BA25B9">
              <w:rPr>
                <w:sz w:val="24"/>
                <w:szCs w:val="24"/>
              </w:rPr>
              <w:t>nėra išpildyta ir ypatingo</w:t>
            </w:r>
            <w:r w:rsidR="00E32F0C" w:rsidRPr="00BA25B9">
              <w:rPr>
                <w:sz w:val="24"/>
                <w:szCs w:val="24"/>
              </w:rPr>
              <w:t>s</w:t>
            </w:r>
            <w:r w:rsidR="00956EC6" w:rsidRPr="00BA25B9">
              <w:rPr>
                <w:sz w:val="24"/>
                <w:szCs w:val="24"/>
              </w:rPr>
              <w:t xml:space="preserve"> skubos sąlyga, kadangi negalima teigti, jog </w:t>
            </w:r>
            <w:r w:rsidR="001111F7" w:rsidRPr="00BA25B9">
              <w:rPr>
                <w:sz w:val="24"/>
                <w:szCs w:val="24"/>
              </w:rPr>
              <w:t xml:space="preserve">pavėluotas Perkančiosios organizacijos ir Užsienio reikalų ministerijos bendradarbiavimo sutarties sudarymas, </w:t>
            </w:r>
            <w:r w:rsidR="00956EC6" w:rsidRPr="00BA25B9">
              <w:rPr>
                <w:sz w:val="24"/>
                <w:szCs w:val="24"/>
              </w:rPr>
              <w:t>ilgas techninės specifikacijos derinimas</w:t>
            </w:r>
            <w:r w:rsidR="003E3F09" w:rsidRPr="00BA25B9">
              <w:rPr>
                <w:sz w:val="24"/>
                <w:szCs w:val="24"/>
              </w:rPr>
              <w:t>, kvietimo teikti pasiūlymus išsiuntimo uždelsimas</w:t>
            </w:r>
            <w:r w:rsidR="00956EC6" w:rsidRPr="00BA25B9">
              <w:rPr>
                <w:sz w:val="24"/>
                <w:szCs w:val="24"/>
              </w:rPr>
              <w:t xml:space="preserve"> jokiu būdu nepriklausė nuo Perkančiosios organizacijos. Tarnybos vertinimu, techninę specifikaciją buvo objektyviai įmanoma suderinti bent 3</w:t>
            </w:r>
            <w:r w:rsidR="0017409A" w:rsidRPr="00BA25B9">
              <w:rPr>
                <w:sz w:val="24"/>
                <w:szCs w:val="24"/>
              </w:rPr>
              <w:t xml:space="preserve"> – 4</w:t>
            </w:r>
            <w:r w:rsidR="00956EC6" w:rsidRPr="00BA25B9">
              <w:rPr>
                <w:sz w:val="24"/>
                <w:szCs w:val="24"/>
              </w:rPr>
              <w:t xml:space="preserve"> savaitėms greičiau, </w:t>
            </w:r>
            <w:r w:rsidR="00F61E60" w:rsidRPr="00BA25B9">
              <w:rPr>
                <w:sz w:val="24"/>
                <w:szCs w:val="24"/>
              </w:rPr>
              <w:t xml:space="preserve">kvietimą tiekėjams teikti pasiūlymus taip buvo galima </w:t>
            </w:r>
            <w:r w:rsidR="00A106E9" w:rsidRPr="00BA25B9">
              <w:rPr>
                <w:sz w:val="24"/>
                <w:szCs w:val="24"/>
              </w:rPr>
              <w:t xml:space="preserve">išsiųsti </w:t>
            </w:r>
            <w:r w:rsidR="00F61E60" w:rsidRPr="00BA25B9">
              <w:rPr>
                <w:sz w:val="24"/>
                <w:szCs w:val="24"/>
              </w:rPr>
              <w:t>anksčiau (</w:t>
            </w:r>
            <w:r w:rsidR="00735CDA" w:rsidRPr="00BA25B9">
              <w:rPr>
                <w:sz w:val="24"/>
                <w:szCs w:val="24"/>
              </w:rPr>
              <w:t>techninė specifikacija buvo galutinai suderinta 2022</w:t>
            </w:r>
            <w:r w:rsidR="00491621" w:rsidRPr="00BA25B9">
              <w:rPr>
                <w:sz w:val="24"/>
                <w:szCs w:val="24"/>
              </w:rPr>
              <w:t> </w:t>
            </w:r>
            <w:r w:rsidR="00735CDA" w:rsidRPr="00BA25B9">
              <w:rPr>
                <w:sz w:val="24"/>
                <w:szCs w:val="24"/>
              </w:rPr>
              <w:t xml:space="preserve">m. gruodžio 2 d., tačiau </w:t>
            </w:r>
            <w:r w:rsidR="00F61E60" w:rsidRPr="00BA25B9">
              <w:rPr>
                <w:sz w:val="24"/>
                <w:szCs w:val="24"/>
              </w:rPr>
              <w:t xml:space="preserve">kvietimas tiekėjams teikti pasiūlymus </w:t>
            </w:r>
            <w:r w:rsidR="00735CDA" w:rsidRPr="00BA25B9">
              <w:rPr>
                <w:sz w:val="24"/>
                <w:szCs w:val="24"/>
              </w:rPr>
              <w:t>išsiųstas tik po 4 dienų – 2022</w:t>
            </w:r>
            <w:r w:rsidR="004F67BF" w:rsidRPr="00BA25B9">
              <w:rPr>
                <w:sz w:val="24"/>
                <w:szCs w:val="24"/>
              </w:rPr>
              <w:t> </w:t>
            </w:r>
            <w:r w:rsidR="00735CDA" w:rsidRPr="00BA25B9">
              <w:rPr>
                <w:sz w:val="24"/>
                <w:szCs w:val="24"/>
              </w:rPr>
              <w:t>m. gruodžio 6 d.</w:t>
            </w:r>
            <w:r w:rsidR="004B4C5B" w:rsidRPr="00BA25B9">
              <w:rPr>
                <w:sz w:val="24"/>
                <w:szCs w:val="24"/>
              </w:rPr>
              <w:t>)</w:t>
            </w:r>
            <w:r w:rsidR="00A106E9" w:rsidRPr="00BA25B9">
              <w:rPr>
                <w:sz w:val="24"/>
                <w:szCs w:val="24"/>
              </w:rPr>
              <w:t>, kas</w:t>
            </w:r>
            <w:r w:rsidR="00956EC6" w:rsidRPr="00BA25B9">
              <w:rPr>
                <w:sz w:val="24"/>
                <w:szCs w:val="24"/>
              </w:rPr>
              <w:t xml:space="preserve"> </w:t>
            </w:r>
            <w:r w:rsidR="006648F7" w:rsidRPr="00BA25B9">
              <w:rPr>
                <w:sz w:val="24"/>
                <w:szCs w:val="24"/>
              </w:rPr>
              <w:t>būtų sudarę sąlygas</w:t>
            </w:r>
            <w:r w:rsidR="00E311F0" w:rsidRPr="00BA25B9">
              <w:rPr>
                <w:sz w:val="24"/>
                <w:szCs w:val="24"/>
              </w:rPr>
              <w:t xml:space="preserve"> Pirkimą atlikti</w:t>
            </w:r>
            <w:r w:rsidR="00345D0B" w:rsidRPr="00BA25B9">
              <w:rPr>
                <w:sz w:val="24"/>
                <w:szCs w:val="24"/>
              </w:rPr>
              <w:t xml:space="preserve">, </w:t>
            </w:r>
            <w:r w:rsidR="002444AD" w:rsidRPr="00BA25B9">
              <w:rPr>
                <w:sz w:val="24"/>
                <w:szCs w:val="24"/>
              </w:rPr>
              <w:t xml:space="preserve">pavyzdžiui, </w:t>
            </w:r>
            <w:r w:rsidR="00345D0B" w:rsidRPr="00BA25B9">
              <w:rPr>
                <w:sz w:val="24"/>
                <w:szCs w:val="24"/>
              </w:rPr>
              <w:t>taikant pagreitintas procedūras</w:t>
            </w:r>
            <w:r w:rsidR="002444AD" w:rsidRPr="00BA25B9">
              <w:rPr>
                <w:rStyle w:val="FootnoteReference"/>
                <w:sz w:val="24"/>
                <w:szCs w:val="24"/>
              </w:rPr>
              <w:footnoteReference w:id="23"/>
            </w:r>
            <w:r w:rsidR="00623098" w:rsidRPr="00BA25B9">
              <w:rPr>
                <w:sz w:val="24"/>
                <w:szCs w:val="24"/>
              </w:rPr>
              <w:t>.</w:t>
            </w:r>
            <w:r w:rsidR="002E7695" w:rsidRPr="00BA25B9">
              <w:rPr>
                <w:sz w:val="24"/>
                <w:szCs w:val="24"/>
              </w:rPr>
              <w:t xml:space="preserve"> </w:t>
            </w:r>
            <w:r w:rsidR="000E0C06" w:rsidRPr="00BA25B9">
              <w:rPr>
                <w:sz w:val="24"/>
                <w:szCs w:val="24"/>
              </w:rPr>
              <w:t>Pažymėtina, kad Perkančiosios organizacijos argumentas dėl išaugusios rizikos</w:t>
            </w:r>
            <w:r w:rsidR="0058267A" w:rsidRPr="00BA25B9">
              <w:rPr>
                <w:sz w:val="24"/>
                <w:szCs w:val="24"/>
              </w:rPr>
              <w:t xml:space="preserve"> susilaukti pretenzijų </w:t>
            </w:r>
            <w:r w:rsidR="00D829A6" w:rsidRPr="00BA25B9">
              <w:rPr>
                <w:sz w:val="24"/>
                <w:szCs w:val="24"/>
              </w:rPr>
              <w:t>Pirkimą vykdant konkurencingesniu būdu /</w:t>
            </w:r>
            <w:r w:rsidR="000E0C06" w:rsidRPr="00BA25B9">
              <w:rPr>
                <w:sz w:val="24"/>
                <w:szCs w:val="24"/>
              </w:rPr>
              <w:t xml:space="preserve"> </w:t>
            </w:r>
            <w:r w:rsidR="00366612" w:rsidRPr="00BA25B9">
              <w:rPr>
                <w:sz w:val="24"/>
                <w:szCs w:val="24"/>
              </w:rPr>
              <w:t xml:space="preserve">Pirkime dalyvaujant didesniam tiekėjų </w:t>
            </w:r>
            <w:r w:rsidR="006D7229" w:rsidRPr="00BA25B9">
              <w:rPr>
                <w:sz w:val="24"/>
                <w:szCs w:val="24"/>
              </w:rPr>
              <w:t>ska</w:t>
            </w:r>
            <w:r w:rsidR="002A790E" w:rsidRPr="00BA25B9">
              <w:rPr>
                <w:sz w:val="24"/>
                <w:szCs w:val="24"/>
              </w:rPr>
              <w:t>i</w:t>
            </w:r>
            <w:r w:rsidR="006D7229" w:rsidRPr="00BA25B9">
              <w:rPr>
                <w:sz w:val="24"/>
                <w:szCs w:val="24"/>
              </w:rPr>
              <w:t>č</w:t>
            </w:r>
            <w:r w:rsidR="00366612" w:rsidRPr="00BA25B9">
              <w:rPr>
                <w:sz w:val="24"/>
                <w:szCs w:val="24"/>
              </w:rPr>
              <w:t>iui</w:t>
            </w:r>
            <w:r w:rsidR="000E0C06" w:rsidRPr="00BA25B9">
              <w:rPr>
                <w:sz w:val="24"/>
                <w:szCs w:val="24"/>
              </w:rPr>
              <w:t>, teismų doktrinoje</w:t>
            </w:r>
            <w:r w:rsidR="00E35A2E" w:rsidRPr="00BA25B9">
              <w:rPr>
                <w:rStyle w:val="FootnoteReference"/>
                <w:sz w:val="24"/>
                <w:szCs w:val="24"/>
              </w:rPr>
              <w:footnoteReference w:id="24"/>
            </w:r>
            <w:r w:rsidR="000E0C06" w:rsidRPr="00BA25B9">
              <w:rPr>
                <w:sz w:val="24"/>
                <w:szCs w:val="24"/>
              </w:rPr>
              <w:t xml:space="preserve"> nėra laikytinas pateisinamu ir pakankamu,</w:t>
            </w:r>
            <w:r w:rsidR="009267F7" w:rsidRPr="00BA25B9">
              <w:rPr>
                <w:sz w:val="24"/>
                <w:szCs w:val="24"/>
              </w:rPr>
              <w:t xml:space="preserve"> grindžiant pirkimo vykdymą neskelbiamų derybų</w:t>
            </w:r>
            <w:r w:rsidR="000E0C06" w:rsidRPr="00BA25B9">
              <w:rPr>
                <w:sz w:val="24"/>
                <w:szCs w:val="24"/>
              </w:rPr>
              <w:t xml:space="preserve"> </w:t>
            </w:r>
            <w:r w:rsidR="009267F7" w:rsidRPr="00BA25B9">
              <w:rPr>
                <w:sz w:val="24"/>
                <w:szCs w:val="24"/>
              </w:rPr>
              <w:t>būdu</w:t>
            </w:r>
            <w:r w:rsidR="00E35A2E" w:rsidRPr="00BA25B9">
              <w:rPr>
                <w:sz w:val="24"/>
                <w:szCs w:val="24"/>
              </w:rPr>
              <w:t>.</w:t>
            </w:r>
            <w:r w:rsidR="003B60D8" w:rsidRPr="00BA25B9">
              <w:rPr>
                <w:sz w:val="24"/>
                <w:szCs w:val="24"/>
              </w:rPr>
              <w:t xml:space="preserve"> </w:t>
            </w:r>
          </w:p>
          <w:p w14:paraId="6ED33058" w14:textId="43C5FA28" w:rsidR="00D2434A" w:rsidRPr="00BA25B9" w:rsidRDefault="004B2689" w:rsidP="00C66173">
            <w:pPr>
              <w:ind w:firstLine="601"/>
              <w:jc w:val="both"/>
              <w:rPr>
                <w:sz w:val="24"/>
                <w:szCs w:val="24"/>
              </w:rPr>
            </w:pPr>
            <w:r w:rsidRPr="00BA25B9">
              <w:rPr>
                <w:sz w:val="24"/>
                <w:szCs w:val="24"/>
              </w:rPr>
              <w:t>Tarnyba nekvestionuoja to, kad Perkančioji organizacija, vykdydama NATO renginio organizavimui skirtus pirkimus, susidūrė su nekasdieniais iššūkiais, nes Lietuvos Respublikoje iki tol nėra vykę tokio masto renginių, kuriems, be kita ko, būtų buvę keliami tokie aukšti renginio dalyvių saugumo reikalavimai ir reikalingas glaudus trišalis bendradarbiavimas tarp Perkančiosios organizacijos, U</w:t>
            </w:r>
            <w:r w:rsidR="00816CE0" w:rsidRPr="00BA25B9">
              <w:rPr>
                <w:sz w:val="24"/>
                <w:szCs w:val="24"/>
              </w:rPr>
              <w:t>žsienio reikalų ministerijos</w:t>
            </w:r>
            <w:r w:rsidRPr="00BA25B9">
              <w:rPr>
                <w:sz w:val="24"/>
                <w:szCs w:val="24"/>
              </w:rPr>
              <w:t xml:space="preserve"> ir NATO sekretoriato,</w:t>
            </w:r>
            <w:r w:rsidR="00FA6FA5" w:rsidRPr="00BA25B9">
              <w:rPr>
                <w:sz w:val="24"/>
                <w:szCs w:val="24"/>
              </w:rPr>
              <w:t xml:space="preserve"> </w:t>
            </w:r>
            <w:r w:rsidRPr="00BA25B9">
              <w:rPr>
                <w:sz w:val="24"/>
                <w:szCs w:val="24"/>
              </w:rPr>
              <w:t>o taip pat to, kad Perkančioji organizacija buvo įpareigota vykdyti Vyriausybės 2022 m. birželio 15 d. nutarime Nr. 632 nustatytas užduotis, laikydamasi Ministro Pirmininko darbo grupės nustatytų viešųjų pirkimų sutarčių sudarymo terminų, buvo neigiamai įtakota vėlyvo NATO delegacijos vizito į Lietuvą</w:t>
            </w:r>
            <w:r w:rsidR="006D03C5" w:rsidRPr="00BA25B9">
              <w:rPr>
                <w:sz w:val="24"/>
                <w:szCs w:val="24"/>
              </w:rPr>
              <w:t xml:space="preserve">, </w:t>
            </w:r>
            <w:r w:rsidR="00AF2BCF" w:rsidRPr="00BA25B9">
              <w:rPr>
                <w:sz w:val="24"/>
                <w:szCs w:val="24"/>
              </w:rPr>
              <w:lastRenderedPageBreak/>
              <w:t>tačiau tai nekeičia</w:t>
            </w:r>
            <w:r w:rsidR="00632C0B" w:rsidRPr="00BA25B9">
              <w:rPr>
                <w:sz w:val="24"/>
                <w:szCs w:val="24"/>
              </w:rPr>
              <w:t xml:space="preserve"> </w:t>
            </w:r>
            <w:r w:rsidR="001002D2" w:rsidRPr="00BA25B9">
              <w:rPr>
                <w:sz w:val="24"/>
                <w:szCs w:val="24"/>
              </w:rPr>
              <w:t>fakto, jog Perkančiosios organizacijos nurodytos aplinkybės neatitinka nenumatytų įvykių kategorijos</w:t>
            </w:r>
            <w:r w:rsidR="004C7D04" w:rsidRPr="00BA25B9">
              <w:rPr>
                <w:rStyle w:val="FootnoteReference"/>
                <w:sz w:val="24"/>
                <w:szCs w:val="24"/>
              </w:rPr>
              <w:footnoteReference w:id="25"/>
            </w:r>
            <w:r w:rsidR="00E836A1" w:rsidRPr="00BA25B9">
              <w:rPr>
                <w:sz w:val="24"/>
                <w:szCs w:val="24"/>
              </w:rPr>
              <w:t xml:space="preserve"> ir </w:t>
            </w:r>
            <w:r w:rsidR="000B3972" w:rsidRPr="00BA25B9">
              <w:rPr>
                <w:sz w:val="24"/>
                <w:szCs w:val="24"/>
              </w:rPr>
              <w:t>to, kad Pirkimo techninės specifikacijos derinimo ir kvietimo tiekėjams teikti pasiūlymus išsiuntimo procese buvo nepagrįsto delsimo iš Perkančiosios organ</w:t>
            </w:r>
            <w:r w:rsidR="008B1BB3" w:rsidRPr="00BA25B9">
              <w:rPr>
                <w:sz w:val="24"/>
                <w:szCs w:val="24"/>
              </w:rPr>
              <w:t>i</w:t>
            </w:r>
            <w:r w:rsidR="000B3972" w:rsidRPr="00BA25B9">
              <w:rPr>
                <w:sz w:val="24"/>
                <w:szCs w:val="24"/>
              </w:rPr>
              <w:t>z</w:t>
            </w:r>
            <w:r w:rsidR="008B1BB3" w:rsidRPr="00BA25B9">
              <w:rPr>
                <w:sz w:val="24"/>
                <w:szCs w:val="24"/>
              </w:rPr>
              <w:t>a</w:t>
            </w:r>
            <w:r w:rsidR="000B3972" w:rsidRPr="00BA25B9">
              <w:rPr>
                <w:sz w:val="24"/>
                <w:szCs w:val="24"/>
              </w:rPr>
              <w:t>cijos pusės</w:t>
            </w:r>
            <w:r w:rsidR="001002D2" w:rsidRPr="00BA25B9">
              <w:rPr>
                <w:sz w:val="24"/>
                <w:szCs w:val="24"/>
              </w:rPr>
              <w:t>. Todėl, d</w:t>
            </w:r>
            <w:r w:rsidR="008C41C7" w:rsidRPr="00BA25B9">
              <w:rPr>
                <w:sz w:val="24"/>
                <w:szCs w:val="24"/>
              </w:rPr>
              <w:t xml:space="preserve">ėl pirmiau </w:t>
            </w:r>
            <w:r w:rsidR="00AF2BCF" w:rsidRPr="00BA25B9">
              <w:rPr>
                <w:sz w:val="24"/>
                <w:szCs w:val="24"/>
              </w:rPr>
              <w:t xml:space="preserve">šioje išvadoje </w:t>
            </w:r>
            <w:r w:rsidR="008C41C7" w:rsidRPr="00BA25B9">
              <w:rPr>
                <w:sz w:val="24"/>
                <w:szCs w:val="24"/>
              </w:rPr>
              <w:t>nurodytų aplinkybių</w:t>
            </w:r>
            <w:r w:rsidR="001002D2" w:rsidRPr="00BA25B9">
              <w:rPr>
                <w:sz w:val="24"/>
                <w:szCs w:val="24"/>
              </w:rPr>
              <w:t>,</w:t>
            </w:r>
            <w:r w:rsidR="008C41C7" w:rsidRPr="00BA25B9">
              <w:rPr>
                <w:sz w:val="24"/>
                <w:szCs w:val="24"/>
              </w:rPr>
              <w:t xml:space="preserve"> vertintina, kad Perkančioji organizacija</w:t>
            </w:r>
            <w:r w:rsidR="00A205F0" w:rsidRPr="00BA25B9">
              <w:rPr>
                <w:sz w:val="24"/>
                <w:szCs w:val="24"/>
              </w:rPr>
              <w:t>,</w:t>
            </w:r>
            <w:r w:rsidR="008C41C7" w:rsidRPr="00BA25B9">
              <w:rPr>
                <w:sz w:val="24"/>
                <w:szCs w:val="24"/>
              </w:rPr>
              <w:t xml:space="preserve"> Pirkimą vykd</w:t>
            </w:r>
            <w:r w:rsidR="00A205F0" w:rsidRPr="00BA25B9">
              <w:rPr>
                <w:sz w:val="24"/>
                <w:szCs w:val="24"/>
              </w:rPr>
              <w:t>ydama</w:t>
            </w:r>
            <w:r w:rsidR="008C41C7" w:rsidRPr="00BA25B9">
              <w:rPr>
                <w:sz w:val="24"/>
                <w:szCs w:val="24"/>
              </w:rPr>
              <w:t xml:space="preserve"> neskelbiamų derybų būdu</w:t>
            </w:r>
            <w:r w:rsidR="00A205F0" w:rsidRPr="00BA25B9">
              <w:rPr>
                <w:sz w:val="24"/>
                <w:szCs w:val="24"/>
              </w:rPr>
              <w:t>,</w:t>
            </w:r>
            <w:r w:rsidR="008C41C7" w:rsidRPr="00BA25B9">
              <w:rPr>
                <w:sz w:val="24"/>
                <w:szCs w:val="24"/>
              </w:rPr>
              <w:t xml:space="preserve"> pažei</w:t>
            </w:r>
            <w:r w:rsidR="00A205F0" w:rsidRPr="00BA25B9">
              <w:rPr>
                <w:sz w:val="24"/>
                <w:szCs w:val="24"/>
              </w:rPr>
              <w:t>dė</w:t>
            </w:r>
            <w:r w:rsidR="008C41C7" w:rsidRPr="00BA25B9">
              <w:rPr>
                <w:sz w:val="24"/>
                <w:szCs w:val="24"/>
              </w:rPr>
              <w:t xml:space="preserve"> VPĮ 17 straipsnio 1 dalyje įtvirtint</w:t>
            </w:r>
            <w:r w:rsidR="00A205F0" w:rsidRPr="00BA25B9">
              <w:rPr>
                <w:sz w:val="24"/>
                <w:szCs w:val="24"/>
              </w:rPr>
              <w:t>us</w:t>
            </w:r>
            <w:r w:rsidR="00586E94" w:rsidRPr="00BA25B9">
              <w:rPr>
                <w:sz w:val="24"/>
                <w:szCs w:val="24"/>
              </w:rPr>
              <w:t xml:space="preserve"> lygiateisiškumo ir skaidrumo princip</w:t>
            </w:r>
            <w:r w:rsidR="00A205F0" w:rsidRPr="00BA25B9">
              <w:rPr>
                <w:sz w:val="24"/>
                <w:szCs w:val="24"/>
              </w:rPr>
              <w:t>us</w:t>
            </w:r>
            <w:r w:rsidR="00586E94" w:rsidRPr="00BA25B9">
              <w:rPr>
                <w:sz w:val="24"/>
                <w:szCs w:val="24"/>
              </w:rPr>
              <w:t>, 71 straipsnio 1 dalies 3 punkt</w:t>
            </w:r>
            <w:r w:rsidR="00A205F0" w:rsidRPr="00BA25B9">
              <w:rPr>
                <w:sz w:val="24"/>
                <w:szCs w:val="24"/>
              </w:rPr>
              <w:t>ą</w:t>
            </w:r>
            <w:r w:rsidR="00C34AFB" w:rsidRPr="00BA25B9">
              <w:rPr>
                <w:sz w:val="24"/>
                <w:szCs w:val="24"/>
              </w:rPr>
              <w:t>.</w:t>
            </w:r>
            <w:r w:rsidR="009B1AB6" w:rsidRPr="00BA25B9">
              <w:rPr>
                <w:sz w:val="24"/>
                <w:szCs w:val="24"/>
              </w:rPr>
              <w:t xml:space="preserve"> </w:t>
            </w:r>
          </w:p>
        </w:tc>
      </w:tr>
      <w:tr w:rsidR="002456F8" w:rsidRPr="00D02115" w14:paraId="75E986CE" w14:textId="77777777" w:rsidTr="000E42F3">
        <w:tc>
          <w:tcPr>
            <w:tcW w:w="567" w:type="dxa"/>
            <w:shd w:val="clear" w:color="auto" w:fill="auto"/>
            <w:vAlign w:val="center"/>
          </w:tcPr>
          <w:p w14:paraId="005FC7A3" w14:textId="2D35F3F9" w:rsidR="002456F8" w:rsidRPr="00271A34" w:rsidRDefault="002456F8" w:rsidP="00F91233">
            <w:pPr>
              <w:spacing w:before="120" w:after="120"/>
              <w:ind w:left="171" w:hanging="142"/>
              <w:jc w:val="both"/>
              <w:rPr>
                <w:sz w:val="24"/>
                <w:szCs w:val="24"/>
              </w:rPr>
            </w:pPr>
            <w:r>
              <w:rPr>
                <w:sz w:val="24"/>
                <w:szCs w:val="24"/>
              </w:rPr>
              <w:lastRenderedPageBreak/>
              <w:t>2.</w:t>
            </w:r>
          </w:p>
        </w:tc>
        <w:tc>
          <w:tcPr>
            <w:tcW w:w="9072" w:type="dxa"/>
            <w:shd w:val="clear" w:color="auto" w:fill="auto"/>
            <w:vAlign w:val="center"/>
          </w:tcPr>
          <w:p w14:paraId="757A750E" w14:textId="40E9BD7D" w:rsidR="002456F8" w:rsidRDefault="002456F8" w:rsidP="00F91233">
            <w:pPr>
              <w:widowControl w:val="0"/>
              <w:jc w:val="both"/>
              <w:rPr>
                <w:sz w:val="24"/>
                <w:szCs w:val="24"/>
              </w:rPr>
            </w:pPr>
            <w:r>
              <w:rPr>
                <w:sz w:val="24"/>
                <w:szCs w:val="24"/>
              </w:rPr>
              <w:t>VPĮ 21 straipsnio 2 dalis</w:t>
            </w:r>
            <w:r>
              <w:rPr>
                <w:rStyle w:val="FootnoteReference"/>
                <w:sz w:val="24"/>
                <w:szCs w:val="24"/>
              </w:rPr>
              <w:footnoteReference w:id="26"/>
            </w:r>
          </w:p>
        </w:tc>
      </w:tr>
      <w:tr w:rsidR="008F50EF" w:rsidRPr="00D02115" w14:paraId="4C676750" w14:textId="77777777" w:rsidTr="00B77ECD">
        <w:tc>
          <w:tcPr>
            <w:tcW w:w="9639" w:type="dxa"/>
            <w:gridSpan w:val="2"/>
            <w:shd w:val="clear" w:color="auto" w:fill="auto"/>
            <w:vAlign w:val="center"/>
          </w:tcPr>
          <w:p w14:paraId="5969D6EF" w14:textId="3EF7566F" w:rsidR="00E33325" w:rsidRDefault="00345C4B" w:rsidP="00F91233">
            <w:pPr>
              <w:widowControl w:val="0"/>
              <w:ind w:firstLine="599"/>
              <w:jc w:val="both"/>
              <w:rPr>
                <w:sz w:val="24"/>
                <w:szCs w:val="24"/>
              </w:rPr>
            </w:pPr>
            <w:r>
              <w:rPr>
                <w:sz w:val="24"/>
                <w:szCs w:val="24"/>
              </w:rPr>
              <w:t xml:space="preserve">Visi trys Komisijos nariai </w:t>
            </w:r>
            <w:r w:rsidR="00E33325">
              <w:rPr>
                <w:sz w:val="24"/>
                <w:szCs w:val="24"/>
              </w:rPr>
              <w:t>–</w:t>
            </w:r>
            <w:r>
              <w:rPr>
                <w:sz w:val="24"/>
                <w:szCs w:val="24"/>
              </w:rPr>
              <w:t xml:space="preserve"> </w:t>
            </w:r>
            <w:r w:rsidR="00E33325">
              <w:rPr>
                <w:sz w:val="24"/>
                <w:szCs w:val="24"/>
              </w:rPr>
              <w:t>J. K., K. A., V. L. – pavėluotai pasirašė nešališkumo deklaracijas ir konfidencialumo pasižadėjimus (pasirašyta 2023 m. sausio 5 – 6 d., t. y. po viešojo pirkimo procedūrų ir Sutarties sudarymo).</w:t>
            </w:r>
            <w:r w:rsidR="00BC4E29">
              <w:rPr>
                <w:sz w:val="24"/>
                <w:szCs w:val="24"/>
              </w:rPr>
              <w:t xml:space="preserve"> Nurodyta situacija </w:t>
            </w:r>
            <w:r w:rsidR="00A205F0">
              <w:rPr>
                <w:sz w:val="24"/>
                <w:szCs w:val="24"/>
              </w:rPr>
              <w:t>neatitinka</w:t>
            </w:r>
            <w:r w:rsidR="00BC4E29">
              <w:rPr>
                <w:sz w:val="24"/>
                <w:szCs w:val="24"/>
              </w:rPr>
              <w:t xml:space="preserve"> VPĮ 21 straipsnio 2 dali</w:t>
            </w:r>
            <w:r w:rsidR="00A205F0">
              <w:rPr>
                <w:sz w:val="24"/>
                <w:szCs w:val="24"/>
              </w:rPr>
              <w:t>es</w:t>
            </w:r>
            <w:r w:rsidR="00BC4E29">
              <w:rPr>
                <w:sz w:val="24"/>
                <w:szCs w:val="24"/>
              </w:rPr>
              <w:t xml:space="preserve">, </w:t>
            </w:r>
            <w:r w:rsidR="00742DAD">
              <w:rPr>
                <w:sz w:val="24"/>
                <w:szCs w:val="24"/>
              </w:rPr>
              <w:t>įpareigojanči</w:t>
            </w:r>
            <w:r w:rsidR="00A205F0">
              <w:rPr>
                <w:sz w:val="24"/>
                <w:szCs w:val="24"/>
              </w:rPr>
              <w:t>os</w:t>
            </w:r>
            <w:r w:rsidR="00742DAD">
              <w:rPr>
                <w:sz w:val="24"/>
                <w:szCs w:val="24"/>
              </w:rPr>
              <w:t xml:space="preserve"> </w:t>
            </w:r>
            <w:r w:rsidR="005F18B6">
              <w:rPr>
                <w:sz w:val="24"/>
                <w:szCs w:val="24"/>
              </w:rPr>
              <w:t xml:space="preserve">perkančiąsias organizacijas reikalauti </w:t>
            </w:r>
            <w:r w:rsidR="003733A4">
              <w:rPr>
                <w:sz w:val="24"/>
                <w:szCs w:val="24"/>
              </w:rPr>
              <w:t xml:space="preserve">iš </w:t>
            </w:r>
            <w:r w:rsidR="00742DAD">
              <w:rPr>
                <w:sz w:val="24"/>
                <w:szCs w:val="24"/>
              </w:rPr>
              <w:t>viešųjų pirkimų komisijų nari</w:t>
            </w:r>
            <w:r w:rsidR="003733A4">
              <w:rPr>
                <w:sz w:val="24"/>
                <w:szCs w:val="24"/>
              </w:rPr>
              <w:t>ų</w:t>
            </w:r>
            <w:r w:rsidR="00742DAD">
              <w:rPr>
                <w:sz w:val="24"/>
                <w:szCs w:val="24"/>
              </w:rPr>
              <w:t xml:space="preserve"> </w:t>
            </w:r>
            <w:r w:rsidR="005F18B6">
              <w:rPr>
                <w:sz w:val="24"/>
                <w:szCs w:val="24"/>
              </w:rPr>
              <w:t xml:space="preserve">pasirašyti nešališkumo deklaracijas ir konfidencialumo pasižadėjimus prieš dalyvavimą </w:t>
            </w:r>
            <w:r w:rsidR="005F18B6" w:rsidRPr="005F18B6">
              <w:rPr>
                <w:sz w:val="24"/>
                <w:szCs w:val="24"/>
              </w:rPr>
              <w:t>pirkimo procedūrose</w:t>
            </w:r>
            <w:r w:rsidR="005F18B6">
              <w:rPr>
                <w:sz w:val="24"/>
                <w:szCs w:val="24"/>
              </w:rPr>
              <w:t>, sprendimų, susijusių su</w:t>
            </w:r>
            <w:r w:rsidR="005F18B6" w:rsidRPr="005F18B6">
              <w:rPr>
                <w:sz w:val="24"/>
                <w:szCs w:val="24"/>
              </w:rPr>
              <w:t xml:space="preserve"> pirkimu</w:t>
            </w:r>
            <w:r w:rsidR="005F18B6">
              <w:rPr>
                <w:sz w:val="24"/>
                <w:szCs w:val="24"/>
              </w:rPr>
              <w:t xml:space="preserve">, </w:t>
            </w:r>
            <w:r w:rsidR="005F18B6" w:rsidRPr="005F18B6">
              <w:rPr>
                <w:sz w:val="24"/>
                <w:szCs w:val="24"/>
              </w:rPr>
              <w:t>pri</w:t>
            </w:r>
            <w:r w:rsidR="005F18B6">
              <w:rPr>
                <w:sz w:val="24"/>
                <w:szCs w:val="24"/>
              </w:rPr>
              <w:t>ėmimą.</w:t>
            </w:r>
          </w:p>
        </w:tc>
      </w:tr>
      <w:tr w:rsidR="008F50EF" w:rsidRPr="00D02115" w14:paraId="7B0B3522" w14:textId="77777777" w:rsidTr="000E42F3">
        <w:tc>
          <w:tcPr>
            <w:tcW w:w="567" w:type="dxa"/>
            <w:shd w:val="clear" w:color="auto" w:fill="auto"/>
            <w:vAlign w:val="center"/>
          </w:tcPr>
          <w:p w14:paraId="7E088E55" w14:textId="0B84ADFF" w:rsidR="008F50EF" w:rsidRPr="00271A34" w:rsidRDefault="002456F8" w:rsidP="00F91233">
            <w:pPr>
              <w:spacing w:before="120" w:after="120"/>
              <w:ind w:left="171" w:hanging="142"/>
              <w:jc w:val="both"/>
              <w:rPr>
                <w:sz w:val="24"/>
                <w:szCs w:val="24"/>
              </w:rPr>
            </w:pPr>
            <w:r>
              <w:rPr>
                <w:sz w:val="24"/>
                <w:szCs w:val="24"/>
              </w:rPr>
              <w:t>3</w:t>
            </w:r>
            <w:r w:rsidR="008F50EF">
              <w:rPr>
                <w:sz w:val="24"/>
                <w:szCs w:val="24"/>
              </w:rPr>
              <w:t>.</w:t>
            </w:r>
          </w:p>
        </w:tc>
        <w:tc>
          <w:tcPr>
            <w:tcW w:w="9072" w:type="dxa"/>
            <w:shd w:val="clear" w:color="auto" w:fill="auto"/>
            <w:vAlign w:val="center"/>
          </w:tcPr>
          <w:p w14:paraId="294945E5" w14:textId="36F42877" w:rsidR="008F50EF" w:rsidRDefault="008F50EF" w:rsidP="00F91233">
            <w:pPr>
              <w:widowControl w:val="0"/>
              <w:jc w:val="both"/>
              <w:rPr>
                <w:sz w:val="24"/>
                <w:szCs w:val="24"/>
              </w:rPr>
            </w:pPr>
            <w:r>
              <w:rPr>
                <w:sz w:val="24"/>
                <w:szCs w:val="24"/>
              </w:rPr>
              <w:t>VPĮ 35 straipsnio 4 dalis</w:t>
            </w:r>
            <w:r>
              <w:rPr>
                <w:rStyle w:val="FootnoteReference"/>
                <w:sz w:val="24"/>
                <w:szCs w:val="24"/>
              </w:rPr>
              <w:footnoteReference w:id="27"/>
            </w:r>
            <w:r>
              <w:rPr>
                <w:sz w:val="24"/>
                <w:szCs w:val="24"/>
              </w:rPr>
              <w:t>, 37 straipsnio 4 dalies 1 punktas</w:t>
            </w:r>
            <w:r>
              <w:rPr>
                <w:rStyle w:val="FootnoteReference"/>
                <w:sz w:val="24"/>
                <w:szCs w:val="24"/>
              </w:rPr>
              <w:footnoteReference w:id="28"/>
            </w:r>
          </w:p>
        </w:tc>
      </w:tr>
      <w:tr w:rsidR="00EE2602" w:rsidRPr="00D02115" w14:paraId="492CE067" w14:textId="77777777" w:rsidTr="00DB3D7B">
        <w:tc>
          <w:tcPr>
            <w:tcW w:w="9639" w:type="dxa"/>
            <w:gridSpan w:val="2"/>
            <w:shd w:val="clear" w:color="auto" w:fill="auto"/>
            <w:vAlign w:val="center"/>
          </w:tcPr>
          <w:p w14:paraId="7EF418CD" w14:textId="5E6D5322" w:rsidR="00EE2602" w:rsidRDefault="00F30F3A" w:rsidP="00F91233">
            <w:pPr>
              <w:widowControl w:val="0"/>
              <w:ind w:firstLine="599"/>
              <w:jc w:val="both"/>
              <w:rPr>
                <w:sz w:val="24"/>
                <w:szCs w:val="24"/>
              </w:rPr>
            </w:pPr>
            <w:r>
              <w:rPr>
                <w:sz w:val="24"/>
                <w:szCs w:val="24"/>
              </w:rPr>
              <w:t xml:space="preserve">2022 m. gruodžio 30 d. CVP IS paskelbtoje Pirkimo procedūrų ataskaitoje Perkančioji organizacija </w:t>
            </w:r>
            <w:r w:rsidR="00C239C3">
              <w:rPr>
                <w:sz w:val="24"/>
                <w:szCs w:val="24"/>
              </w:rPr>
              <w:t xml:space="preserve">skiltyje </w:t>
            </w:r>
            <w:r>
              <w:rPr>
                <w:sz w:val="24"/>
                <w:szCs w:val="24"/>
              </w:rPr>
              <w:t xml:space="preserve">„ar buvo vykdomas </w:t>
            </w:r>
            <w:r w:rsidR="004058F4">
              <w:rPr>
                <w:sz w:val="24"/>
                <w:szCs w:val="24"/>
              </w:rPr>
              <w:t xml:space="preserve">žaliasis </w:t>
            </w:r>
            <w:r>
              <w:rPr>
                <w:sz w:val="24"/>
                <w:szCs w:val="24"/>
              </w:rPr>
              <w:t xml:space="preserve">pirkimas“ nurodė „taip“. </w:t>
            </w:r>
            <w:r w:rsidR="003E7CA5">
              <w:rPr>
                <w:sz w:val="24"/>
                <w:szCs w:val="24"/>
              </w:rPr>
              <w:t xml:space="preserve">Pirkimo techninės specifikacijos paskutiniojo lapo 5 punkte </w:t>
            </w:r>
            <w:r>
              <w:rPr>
                <w:sz w:val="24"/>
                <w:szCs w:val="24"/>
              </w:rPr>
              <w:t>suformuluotas „žaliasis“ viešojo pirkimo reikalavimas</w:t>
            </w:r>
            <w:r w:rsidR="003E7CA5">
              <w:rPr>
                <w:sz w:val="24"/>
                <w:szCs w:val="24"/>
              </w:rPr>
              <w:t>: „</w:t>
            </w:r>
            <w:r w:rsidR="003E7CA5" w:rsidRPr="003E7CA5">
              <w:rPr>
                <w:sz w:val="24"/>
                <w:szCs w:val="24"/>
              </w:rPr>
              <w:t xml:space="preserve">Tiekdamas prekes </w:t>
            </w:r>
            <w:r w:rsidR="003E7CA5">
              <w:rPr>
                <w:sz w:val="24"/>
                <w:szCs w:val="24"/>
              </w:rPr>
              <w:t>i</w:t>
            </w:r>
            <w:r w:rsidR="003E7CA5" w:rsidRPr="003E7CA5">
              <w:rPr>
                <w:sz w:val="24"/>
                <w:szCs w:val="24"/>
              </w:rPr>
              <w:t>r teikdamas paslaugas tiekėjas turi tai daryti laikydamasis Aplinkos</w:t>
            </w:r>
            <w:r w:rsidR="00AF7EB1">
              <w:rPr>
                <w:sz w:val="24"/>
                <w:szCs w:val="24"/>
              </w:rPr>
              <w:t xml:space="preserve"> </w:t>
            </w:r>
            <w:r w:rsidR="003E7CA5" w:rsidRPr="003E7CA5">
              <w:rPr>
                <w:sz w:val="24"/>
                <w:szCs w:val="24"/>
              </w:rPr>
              <w:t>ministro 2011 m. birželio 28 d. įsakyme Nr. D1-508 „Dėl Produktų, kurių viešiesiems</w:t>
            </w:r>
            <w:r w:rsidR="00AF7EB1">
              <w:rPr>
                <w:sz w:val="24"/>
                <w:szCs w:val="24"/>
              </w:rPr>
              <w:t xml:space="preserve"> </w:t>
            </w:r>
            <w:r w:rsidR="003E7CA5" w:rsidRPr="003E7CA5">
              <w:rPr>
                <w:sz w:val="24"/>
                <w:szCs w:val="24"/>
              </w:rPr>
              <w:t>pirkimams ir pirkimams taikytini aplinkos apsaugos kriterijai, sąrašo, aplinkos apsaugos</w:t>
            </w:r>
            <w:r w:rsidR="00AF7EB1">
              <w:rPr>
                <w:sz w:val="24"/>
                <w:szCs w:val="24"/>
              </w:rPr>
              <w:t xml:space="preserve"> </w:t>
            </w:r>
            <w:r w:rsidR="003E7CA5" w:rsidRPr="003E7CA5">
              <w:rPr>
                <w:sz w:val="24"/>
                <w:szCs w:val="24"/>
              </w:rPr>
              <w:t>kriterijų ir aplinkos apsaugos kriterijų, kuriuos perkančiosios organizacijos ir perkantieji</w:t>
            </w:r>
            <w:r w:rsidR="00AF7EB1">
              <w:rPr>
                <w:sz w:val="24"/>
                <w:szCs w:val="24"/>
              </w:rPr>
              <w:t xml:space="preserve"> </w:t>
            </w:r>
            <w:r w:rsidR="003E7CA5" w:rsidRPr="003E7CA5">
              <w:rPr>
                <w:sz w:val="24"/>
                <w:szCs w:val="24"/>
              </w:rPr>
              <w:t>subjektai turi taikyti pirkdami prekes, paslaugas ar darbus, taikymo tvarkos aprašo</w:t>
            </w:r>
            <w:r w:rsidR="00AF7EB1">
              <w:rPr>
                <w:sz w:val="24"/>
                <w:szCs w:val="24"/>
              </w:rPr>
              <w:t xml:space="preserve"> </w:t>
            </w:r>
            <w:r w:rsidR="003E7CA5" w:rsidRPr="003E7CA5">
              <w:rPr>
                <w:sz w:val="24"/>
                <w:szCs w:val="24"/>
              </w:rPr>
              <w:t>patvirtinimo“ (toliau – įsakymas) nustatytų reikalavimų. Jei šioje techninėje specifikacijoje ir</w:t>
            </w:r>
            <w:r w:rsidR="00AF7EB1">
              <w:rPr>
                <w:sz w:val="24"/>
                <w:szCs w:val="24"/>
              </w:rPr>
              <w:t xml:space="preserve"> </w:t>
            </w:r>
            <w:r w:rsidR="003E7CA5" w:rsidRPr="003E7CA5">
              <w:rPr>
                <w:sz w:val="24"/>
                <w:szCs w:val="24"/>
              </w:rPr>
              <w:t>(ar) įsakyme prekėms ir paslaugoms nėra nurodyta konkrečių minimalių ar išplėstinių</w:t>
            </w:r>
            <w:r w:rsidR="00AF7EB1">
              <w:rPr>
                <w:sz w:val="24"/>
                <w:szCs w:val="24"/>
              </w:rPr>
              <w:t xml:space="preserve"> </w:t>
            </w:r>
            <w:r w:rsidR="003E7CA5" w:rsidRPr="003E7CA5">
              <w:rPr>
                <w:sz w:val="24"/>
                <w:szCs w:val="24"/>
              </w:rPr>
              <w:t>reikalavimų, tiekėjas privalo tiekti prekes ir teikti paslaugas, pagal principus nustatytus</w:t>
            </w:r>
            <w:r w:rsidR="00AF7EB1">
              <w:rPr>
                <w:sz w:val="24"/>
                <w:szCs w:val="24"/>
              </w:rPr>
              <w:t xml:space="preserve"> </w:t>
            </w:r>
            <w:r w:rsidR="003E7CA5" w:rsidRPr="003E7CA5">
              <w:rPr>
                <w:sz w:val="24"/>
                <w:szCs w:val="24"/>
              </w:rPr>
              <w:t>įsakymo 4.4. p. ir atitinkamose šio punkto papunkčiuose nurodytais kriterijais</w:t>
            </w:r>
            <w:r w:rsidR="003E7CA5">
              <w:rPr>
                <w:sz w:val="24"/>
                <w:szCs w:val="24"/>
              </w:rPr>
              <w:t>“.</w:t>
            </w:r>
          </w:p>
          <w:p w14:paraId="71627022" w14:textId="0A4BCA52" w:rsidR="00B66819" w:rsidRPr="00B66819" w:rsidRDefault="00F8646C" w:rsidP="00F91233">
            <w:pPr>
              <w:widowControl w:val="0"/>
              <w:ind w:firstLine="599"/>
              <w:jc w:val="both"/>
              <w:rPr>
                <w:sz w:val="24"/>
                <w:szCs w:val="24"/>
              </w:rPr>
            </w:pPr>
            <w:r w:rsidRPr="00333580">
              <w:rPr>
                <w:sz w:val="24"/>
                <w:szCs w:val="24"/>
              </w:rPr>
              <w:t>Pažymėtina, kad p</w:t>
            </w:r>
            <w:r w:rsidR="0050528B" w:rsidRPr="00333580">
              <w:rPr>
                <w:sz w:val="24"/>
                <w:szCs w:val="24"/>
              </w:rPr>
              <w:t xml:space="preserve">irkimo dokumentuose turi būti aiškiai nurodyti </w:t>
            </w:r>
            <w:r w:rsidRPr="00333580">
              <w:rPr>
                <w:sz w:val="24"/>
                <w:szCs w:val="24"/>
              </w:rPr>
              <w:t xml:space="preserve">„žalieji“ </w:t>
            </w:r>
            <w:r w:rsidR="0050528B" w:rsidRPr="00333580">
              <w:rPr>
                <w:sz w:val="24"/>
                <w:szCs w:val="24"/>
              </w:rPr>
              <w:t>reikalavimai, jie turi būti susiję su pirkimo objektu ir patikrinami.</w:t>
            </w:r>
            <w:r w:rsidR="00492B06" w:rsidRPr="00333580">
              <w:rPr>
                <w:sz w:val="24"/>
                <w:szCs w:val="24"/>
              </w:rPr>
              <w:t xml:space="preserve"> </w:t>
            </w:r>
            <w:r w:rsidRPr="00333580">
              <w:rPr>
                <w:sz w:val="24"/>
                <w:szCs w:val="24"/>
              </w:rPr>
              <w:t>P</w:t>
            </w:r>
            <w:r w:rsidR="00492B06" w:rsidRPr="00333580">
              <w:rPr>
                <w:sz w:val="24"/>
                <w:szCs w:val="24"/>
              </w:rPr>
              <w:t xml:space="preserve">irkimo vykdytojas, atsižvelgdamas į pirkimo objektą bei atlikto rinkos tyrimo ar rinkos konsultacijos rezultatus, pats priima sprendimą, kokius reikalavimus kelti, kaip gali būti įrodyta atitiktis keliamiems reikalavimams ir pateikia visą informaciją </w:t>
            </w:r>
            <w:r w:rsidR="00492B06" w:rsidRPr="00641BD9">
              <w:rPr>
                <w:sz w:val="24"/>
                <w:szCs w:val="24"/>
              </w:rPr>
              <w:t>pirkimo dokumentuose.</w:t>
            </w:r>
            <w:r w:rsidR="00333580" w:rsidRPr="00641BD9">
              <w:rPr>
                <w:sz w:val="24"/>
                <w:szCs w:val="24"/>
              </w:rPr>
              <w:t xml:space="preserve"> Nagrinėjamo Pirkimo atveju Perkančioji organizacija pateikė bendro pobūdžio nuorodą į Lietuvos Respublikos aplinkos ministro 2011 m. birželio 28 d. įsakymą Nr. D1-508</w:t>
            </w:r>
            <w:r w:rsidR="00313253">
              <w:rPr>
                <w:sz w:val="24"/>
                <w:szCs w:val="24"/>
              </w:rPr>
              <w:t xml:space="preserve"> (</w:t>
            </w:r>
            <w:r w:rsidR="008E7E0A">
              <w:rPr>
                <w:sz w:val="24"/>
                <w:szCs w:val="24"/>
              </w:rPr>
              <w:t xml:space="preserve">toliau – </w:t>
            </w:r>
            <w:r w:rsidR="00313253">
              <w:rPr>
                <w:sz w:val="24"/>
                <w:szCs w:val="24"/>
              </w:rPr>
              <w:t>Įsakymas Nr. D1-508)</w:t>
            </w:r>
            <w:r w:rsidR="00DF75BF" w:rsidRPr="00641BD9">
              <w:rPr>
                <w:sz w:val="24"/>
                <w:szCs w:val="24"/>
              </w:rPr>
              <w:t xml:space="preserve"> </w:t>
            </w:r>
            <w:r w:rsidR="0010482D" w:rsidRPr="00641BD9">
              <w:rPr>
                <w:sz w:val="24"/>
                <w:szCs w:val="24"/>
              </w:rPr>
              <w:t>ir šio įsakymo 4</w:t>
            </w:r>
            <w:r w:rsidR="0010482D">
              <w:rPr>
                <w:sz w:val="24"/>
                <w:szCs w:val="24"/>
              </w:rPr>
              <w:t xml:space="preserve">.4 papunktyje nustatytus principus. Visų pirma </w:t>
            </w:r>
            <w:r w:rsidR="000310FD">
              <w:rPr>
                <w:sz w:val="24"/>
                <w:szCs w:val="24"/>
              </w:rPr>
              <w:t xml:space="preserve">pažymėtina, kad </w:t>
            </w:r>
            <w:r w:rsidR="00703D29">
              <w:rPr>
                <w:sz w:val="24"/>
                <w:szCs w:val="24"/>
              </w:rPr>
              <w:t>Į</w:t>
            </w:r>
            <w:r w:rsidR="0010482D">
              <w:rPr>
                <w:sz w:val="24"/>
                <w:szCs w:val="24"/>
              </w:rPr>
              <w:t>sakymas</w:t>
            </w:r>
            <w:r w:rsidR="00703D29">
              <w:rPr>
                <w:sz w:val="24"/>
                <w:szCs w:val="24"/>
              </w:rPr>
              <w:t xml:space="preserve"> Nr. D1-508</w:t>
            </w:r>
            <w:r w:rsidR="0010482D">
              <w:rPr>
                <w:sz w:val="24"/>
                <w:szCs w:val="24"/>
              </w:rPr>
              <w:t xml:space="preserve"> neturi 4 punkto</w:t>
            </w:r>
            <w:r w:rsidR="0099380A">
              <w:rPr>
                <w:sz w:val="24"/>
                <w:szCs w:val="24"/>
              </w:rPr>
              <w:t xml:space="preserve">, o </w:t>
            </w:r>
            <w:r w:rsidR="00132078">
              <w:rPr>
                <w:sz w:val="24"/>
                <w:szCs w:val="24"/>
              </w:rPr>
              <w:t xml:space="preserve">Perkančiosios organizacijos </w:t>
            </w:r>
            <w:r w:rsidR="00132078">
              <w:rPr>
                <w:sz w:val="24"/>
                <w:szCs w:val="24"/>
              </w:rPr>
              <w:lastRenderedPageBreak/>
              <w:t xml:space="preserve">minimi </w:t>
            </w:r>
            <w:r w:rsidR="0099380A">
              <w:rPr>
                <w:sz w:val="24"/>
                <w:szCs w:val="24"/>
              </w:rPr>
              <w:t xml:space="preserve">principai nustatyti </w:t>
            </w:r>
            <w:r w:rsidR="00477D64">
              <w:rPr>
                <w:sz w:val="24"/>
                <w:szCs w:val="24"/>
              </w:rPr>
              <w:t>Į</w:t>
            </w:r>
            <w:r w:rsidR="0099380A">
              <w:rPr>
                <w:sz w:val="24"/>
                <w:szCs w:val="24"/>
              </w:rPr>
              <w:t>sakymu</w:t>
            </w:r>
            <w:r w:rsidR="00721FFF">
              <w:rPr>
                <w:sz w:val="24"/>
                <w:szCs w:val="24"/>
              </w:rPr>
              <w:t xml:space="preserve"> Nr. D1-508</w:t>
            </w:r>
            <w:r w:rsidR="0099380A">
              <w:rPr>
                <w:sz w:val="24"/>
                <w:szCs w:val="24"/>
              </w:rPr>
              <w:t xml:space="preserve"> patvirtintame Aplinkos apsaugos kriterijų, kuriuos perkančiosios organizacijos ir perkantieji subjektai turi taikyti pirkdamos prekes, paslaugas ar darbus, taikymo  tvarkos apraše (toliau – Aplinkos apsaugos kriterijų taikymo tvarkos aprašas).</w:t>
            </w:r>
            <w:r w:rsidR="00B66819">
              <w:rPr>
                <w:sz w:val="24"/>
                <w:szCs w:val="24"/>
              </w:rPr>
              <w:t xml:space="preserve"> Šio aprašo 4.4 papunktyje nustatyta: „</w:t>
            </w:r>
            <w:r w:rsidR="00B66819" w:rsidRPr="00B66819">
              <w:rPr>
                <w:sz w:val="24"/>
                <w:szCs w:val="24"/>
              </w:rPr>
              <w:t xml:space="preserve">perkant produktą, kuris nėra įtrauktas į produktų sąrašą, </w:t>
            </w:r>
            <w:r w:rsidR="00B66819" w:rsidRPr="00B66819">
              <w:rPr>
                <w:b/>
                <w:bCs/>
                <w:sz w:val="24"/>
                <w:szCs w:val="24"/>
              </w:rPr>
              <w:t>pirkimo vykdytojas gali savarankiškai nustatyti aplinkos apsaugos kriterijus</w:t>
            </w:r>
            <w:r w:rsidR="00B66819" w:rsidRPr="00B66819">
              <w:rPr>
                <w:sz w:val="24"/>
                <w:szCs w:val="24"/>
              </w:rPr>
              <w:t xml:space="preserve">, kurie yra susiję su pirkimo objektu, </w:t>
            </w:r>
            <w:r w:rsidR="00B66819" w:rsidRPr="00C3254B">
              <w:rPr>
                <w:b/>
                <w:bCs/>
                <w:sz w:val="24"/>
                <w:szCs w:val="24"/>
              </w:rPr>
              <w:t>taikant bent vieną iš žemiau numatytų aplinkosauginių principų</w:t>
            </w:r>
            <w:r w:rsidR="00B66819" w:rsidRPr="00B66819">
              <w:rPr>
                <w:sz w:val="24"/>
                <w:szCs w:val="24"/>
              </w:rPr>
              <w:t xml:space="preserve"> viename, keliuose ar visuose produkto gyvavimo ciklo etapuose:</w:t>
            </w:r>
          </w:p>
          <w:p w14:paraId="5EE6534E" w14:textId="2CEB9E98" w:rsidR="00B66819" w:rsidRPr="00B66819" w:rsidRDefault="00B66819" w:rsidP="00F91233">
            <w:pPr>
              <w:widowControl w:val="0"/>
              <w:ind w:firstLine="599"/>
              <w:jc w:val="both"/>
              <w:rPr>
                <w:sz w:val="24"/>
                <w:szCs w:val="24"/>
              </w:rPr>
            </w:pPr>
            <w:r w:rsidRPr="00B66819">
              <w:rPr>
                <w:sz w:val="24"/>
                <w:szCs w:val="24"/>
              </w:rPr>
              <w:t>4.4.1. prekei pagaminti ir (ar) tiekti, paslaugai teikti ar darbams atlikti sunaudojama mažiau gamtos išteklių ir (ar) sudėtyje yra pakartotinai panaudotų ir (ar) perdirbtų medžiagų;</w:t>
            </w:r>
          </w:p>
          <w:p w14:paraId="15D0D7E8" w14:textId="662FFCF1" w:rsidR="00B66819" w:rsidRPr="00B66819" w:rsidRDefault="00B66819" w:rsidP="00F91233">
            <w:pPr>
              <w:widowControl w:val="0"/>
              <w:ind w:firstLine="599"/>
              <w:jc w:val="both"/>
              <w:rPr>
                <w:sz w:val="24"/>
                <w:szCs w:val="24"/>
              </w:rPr>
            </w:pPr>
            <w:r w:rsidRPr="00B66819">
              <w:rPr>
                <w:sz w:val="24"/>
                <w:szCs w:val="24"/>
              </w:rPr>
              <w:t>4.4.2. prekei pagaminti, tiekti ir (ar) naudoti, paslaugai teikti ar darbams atlikti sunaudojama mažiau elektros energijos ir (ar) naudojami atsinaujinantys, ekologiški energijos ištekliai;</w:t>
            </w:r>
          </w:p>
          <w:p w14:paraId="07F798D4" w14:textId="77777777" w:rsidR="00B66819" w:rsidRPr="00B66819" w:rsidRDefault="00B66819" w:rsidP="00F91233">
            <w:pPr>
              <w:widowControl w:val="0"/>
              <w:ind w:firstLine="599"/>
              <w:jc w:val="both"/>
              <w:rPr>
                <w:sz w:val="24"/>
                <w:szCs w:val="24"/>
              </w:rPr>
            </w:pPr>
            <w:r w:rsidRPr="00B66819">
              <w:rPr>
                <w:sz w:val="24"/>
                <w:szCs w:val="24"/>
              </w:rPr>
              <w:t>4.4.3. prekei pagaminti, paslaugai teikti ar darbams atlikti naudojama mažiau ar visai nenaudojama pavojingųjų cheminių medžiagų, neteršiama aplinka ir nekeliamas pavojus sveikatai;</w:t>
            </w:r>
          </w:p>
          <w:p w14:paraId="01B609D1" w14:textId="5A078D94" w:rsidR="00B66819" w:rsidRPr="00B66819" w:rsidRDefault="00B66819" w:rsidP="00F91233">
            <w:pPr>
              <w:widowControl w:val="0"/>
              <w:ind w:firstLine="599"/>
              <w:jc w:val="both"/>
              <w:rPr>
                <w:sz w:val="24"/>
                <w:szCs w:val="24"/>
              </w:rPr>
            </w:pPr>
            <w:r w:rsidRPr="00B66819">
              <w:rPr>
                <w:sz w:val="24"/>
                <w:szCs w:val="24"/>
              </w:rPr>
              <w:t>4.4.4. prekė yra tvirta, ilgaamžė, funkcionali, ji ar jos sudedamosios dalys tinkamos naudoti daug kartų ir (ar) lengvai pataisomos ir (ar) pakeičiamos;</w:t>
            </w:r>
          </w:p>
          <w:p w14:paraId="21A3D881" w14:textId="3FA351F8" w:rsidR="00AF7EB1" w:rsidRDefault="00B66819" w:rsidP="00F91233">
            <w:pPr>
              <w:widowControl w:val="0"/>
              <w:ind w:firstLine="599"/>
              <w:jc w:val="both"/>
              <w:rPr>
                <w:sz w:val="24"/>
                <w:szCs w:val="24"/>
              </w:rPr>
            </w:pPr>
            <w:r w:rsidRPr="00B66819">
              <w:rPr>
                <w:sz w:val="24"/>
                <w:szCs w:val="24"/>
              </w:rPr>
              <w:t>4.4.5. prekė, virtusi atliekomis, yra tinkama paruošti pakartotiniam naudojimui ar perdirbimui.</w:t>
            </w:r>
          </w:p>
          <w:p w14:paraId="3A8987D6" w14:textId="461B2A95" w:rsidR="007A4AEF" w:rsidRDefault="00C3254B" w:rsidP="00F91233">
            <w:pPr>
              <w:widowControl w:val="0"/>
              <w:ind w:firstLine="599"/>
              <w:jc w:val="both"/>
              <w:rPr>
                <w:sz w:val="24"/>
                <w:szCs w:val="24"/>
              </w:rPr>
            </w:pPr>
            <w:r>
              <w:rPr>
                <w:sz w:val="24"/>
                <w:szCs w:val="24"/>
              </w:rPr>
              <w:t xml:space="preserve">Aplinkos apsaugos kriterijų taikymo </w:t>
            </w:r>
            <w:r w:rsidRPr="00B97066">
              <w:rPr>
                <w:sz w:val="24"/>
                <w:szCs w:val="24"/>
              </w:rPr>
              <w:t xml:space="preserve">tvarkos aprašo </w:t>
            </w:r>
            <w:r w:rsidR="00B97066" w:rsidRPr="00B97066">
              <w:rPr>
                <w:sz w:val="24"/>
                <w:szCs w:val="24"/>
              </w:rPr>
              <w:t xml:space="preserve">4.4 papunkčio </w:t>
            </w:r>
            <w:r w:rsidRPr="00B97066">
              <w:rPr>
                <w:sz w:val="24"/>
                <w:szCs w:val="24"/>
              </w:rPr>
              <w:t xml:space="preserve">formuluotės dalis „pirkimo vykdytojas gali savarankiškai nustatyti aplinkos apsaugos kriterijus, &lt;...&gt; taikant bent vieną iš žemiau numatytų aplinkosauginių principų“ </w:t>
            </w:r>
            <w:r w:rsidR="00B97066" w:rsidRPr="00B97066">
              <w:rPr>
                <w:sz w:val="24"/>
                <w:szCs w:val="24"/>
              </w:rPr>
              <w:t xml:space="preserve">reiškia, jog </w:t>
            </w:r>
            <w:r w:rsidR="00B97066" w:rsidRPr="00A84A82">
              <w:rPr>
                <w:b/>
                <w:bCs/>
                <w:sz w:val="24"/>
                <w:szCs w:val="24"/>
              </w:rPr>
              <w:t>būtent perkančioji organizacija</w:t>
            </w:r>
            <w:r w:rsidR="00B97066">
              <w:rPr>
                <w:sz w:val="24"/>
                <w:szCs w:val="24"/>
              </w:rPr>
              <w:t xml:space="preserve"> pirkimo dokumentuose</w:t>
            </w:r>
            <w:r w:rsidR="005B3170">
              <w:rPr>
                <w:sz w:val="24"/>
                <w:szCs w:val="24"/>
              </w:rPr>
              <w:t>, vadovaudamasi 4.4</w:t>
            </w:r>
            <w:r w:rsidR="00153D43">
              <w:rPr>
                <w:sz w:val="24"/>
                <w:szCs w:val="24"/>
              </w:rPr>
              <w:t xml:space="preserve"> papunktyje aprašytais principais,</w:t>
            </w:r>
            <w:r w:rsidR="00B97066">
              <w:rPr>
                <w:sz w:val="24"/>
                <w:szCs w:val="24"/>
              </w:rPr>
              <w:t xml:space="preserve"> </w:t>
            </w:r>
            <w:r w:rsidR="00B97066" w:rsidRPr="00E80866">
              <w:rPr>
                <w:b/>
                <w:bCs/>
                <w:sz w:val="24"/>
                <w:szCs w:val="24"/>
              </w:rPr>
              <w:t>savarankiškai nustat</w:t>
            </w:r>
            <w:r w:rsidR="00EE19B9" w:rsidRPr="00E80866">
              <w:rPr>
                <w:b/>
                <w:bCs/>
                <w:sz w:val="24"/>
                <w:szCs w:val="24"/>
              </w:rPr>
              <w:t>o</w:t>
            </w:r>
            <w:r w:rsidR="00B97066" w:rsidRPr="00E80866">
              <w:rPr>
                <w:b/>
                <w:bCs/>
                <w:sz w:val="24"/>
                <w:szCs w:val="24"/>
              </w:rPr>
              <w:t xml:space="preserve"> aplinkos apsaugos kriterijus</w:t>
            </w:r>
            <w:r w:rsidR="00B97066">
              <w:rPr>
                <w:sz w:val="24"/>
                <w:szCs w:val="24"/>
              </w:rPr>
              <w:t xml:space="preserve">, </w:t>
            </w:r>
            <w:r w:rsidR="00153D43">
              <w:rPr>
                <w:sz w:val="24"/>
                <w:szCs w:val="24"/>
              </w:rPr>
              <w:t>nurod</w:t>
            </w:r>
            <w:r w:rsidR="00EE19B9">
              <w:rPr>
                <w:sz w:val="24"/>
                <w:szCs w:val="24"/>
              </w:rPr>
              <w:t>o</w:t>
            </w:r>
            <w:r w:rsidR="00153D43">
              <w:rPr>
                <w:sz w:val="24"/>
                <w:szCs w:val="24"/>
              </w:rPr>
              <w:t xml:space="preserve"> šių kriterijų taikymo pirkimo objektui etapus (kokiame / kokiuose pirkimo objekto gyvavimo ciklo etape / etapuose </w:t>
            </w:r>
            <w:r w:rsidR="00EE19B9">
              <w:rPr>
                <w:sz w:val="24"/>
                <w:szCs w:val="24"/>
              </w:rPr>
              <w:t xml:space="preserve">jie taikomi), </w:t>
            </w:r>
            <w:r w:rsidR="00477D64">
              <w:rPr>
                <w:sz w:val="24"/>
                <w:szCs w:val="24"/>
              </w:rPr>
              <w:t>sukonkretina</w:t>
            </w:r>
            <w:r w:rsidR="00EE19B9">
              <w:rPr>
                <w:sz w:val="24"/>
                <w:szCs w:val="24"/>
              </w:rPr>
              <w:t xml:space="preserve"> 4.4 punkto papunkčiuose </w:t>
            </w:r>
            <w:r w:rsidR="00477D64">
              <w:rPr>
                <w:sz w:val="24"/>
                <w:szCs w:val="24"/>
              </w:rPr>
              <w:t xml:space="preserve">vartojamus bendro pobūdžio teiginius </w:t>
            </w:r>
            <w:r w:rsidR="00EE19B9">
              <w:rPr>
                <w:sz w:val="24"/>
                <w:szCs w:val="24"/>
              </w:rPr>
              <w:t xml:space="preserve">(pvz., ką duotuoju atveju reiškia „sunaudojama mažiau gamtos išteklių“, </w:t>
            </w:r>
            <w:r w:rsidR="00006329">
              <w:rPr>
                <w:sz w:val="24"/>
                <w:szCs w:val="24"/>
              </w:rPr>
              <w:t>„sunaudojama mažiau elektros energijos“, „naudojama mažiau ar visai nenaudojama pavojingųjų cheminių medžiagų“</w:t>
            </w:r>
            <w:r w:rsidR="001A7CC4">
              <w:rPr>
                <w:sz w:val="24"/>
                <w:szCs w:val="24"/>
              </w:rPr>
              <w:t>, „</w:t>
            </w:r>
            <w:r w:rsidR="001A7CC4" w:rsidRPr="00B66819">
              <w:rPr>
                <w:sz w:val="24"/>
                <w:szCs w:val="24"/>
              </w:rPr>
              <w:t>prekė yra tvirta, ilgaamžė, funkcionali</w:t>
            </w:r>
            <w:r w:rsidR="001A7CC4">
              <w:rPr>
                <w:sz w:val="24"/>
                <w:szCs w:val="24"/>
              </w:rPr>
              <w:t>“</w:t>
            </w:r>
            <w:r w:rsidR="00006329">
              <w:rPr>
                <w:sz w:val="24"/>
                <w:szCs w:val="24"/>
              </w:rPr>
              <w:t xml:space="preserve">), </w:t>
            </w:r>
            <w:r w:rsidR="001A7CC4">
              <w:rPr>
                <w:sz w:val="24"/>
                <w:szCs w:val="24"/>
              </w:rPr>
              <w:t xml:space="preserve">nurodo </w:t>
            </w:r>
            <w:r w:rsidR="00EE19B9">
              <w:rPr>
                <w:sz w:val="24"/>
                <w:szCs w:val="24"/>
              </w:rPr>
              <w:t>skaičiavim</w:t>
            </w:r>
            <w:r w:rsidR="001A7CC4">
              <w:rPr>
                <w:sz w:val="24"/>
                <w:szCs w:val="24"/>
              </w:rPr>
              <w:t>ų</w:t>
            </w:r>
            <w:r w:rsidR="00EE19B9">
              <w:rPr>
                <w:sz w:val="24"/>
                <w:szCs w:val="24"/>
              </w:rPr>
              <w:t xml:space="preserve"> atskaitos tašk</w:t>
            </w:r>
            <w:r w:rsidR="001A7CC4">
              <w:rPr>
                <w:sz w:val="24"/>
                <w:szCs w:val="24"/>
              </w:rPr>
              <w:t>us, šaltinius, kurių duomenimis remiamasi</w:t>
            </w:r>
            <w:r w:rsidR="002A7D3B">
              <w:rPr>
                <w:sz w:val="24"/>
                <w:szCs w:val="24"/>
              </w:rPr>
              <w:t xml:space="preserve"> grindžiant atitiktį savarankiškai perkančiosios organizacijos suformuluotiems kriterijams ir pan. </w:t>
            </w:r>
            <w:r w:rsidR="00312E37">
              <w:rPr>
                <w:sz w:val="24"/>
                <w:szCs w:val="24"/>
              </w:rPr>
              <w:t>Tačiau Pirkimo atveju Perkančioji organizacija</w:t>
            </w:r>
            <w:r w:rsidR="002120D4">
              <w:rPr>
                <w:sz w:val="24"/>
                <w:szCs w:val="24"/>
              </w:rPr>
              <w:t>, techninės specifikacijos formuluotėje nurodžiusi „&lt;...&gt;</w:t>
            </w:r>
            <w:r w:rsidR="00BC2436">
              <w:rPr>
                <w:sz w:val="24"/>
                <w:szCs w:val="24"/>
              </w:rPr>
              <w:t xml:space="preserve"> </w:t>
            </w:r>
            <w:r w:rsidR="00BC2436" w:rsidRPr="00BC2436">
              <w:rPr>
                <w:sz w:val="24"/>
                <w:szCs w:val="24"/>
              </w:rPr>
              <w:t>tiekėjas privalo tiekti prekes ir teikti paslaugas, pagal principus nustatytus</w:t>
            </w:r>
            <w:r w:rsidR="00BC2436">
              <w:rPr>
                <w:sz w:val="24"/>
                <w:szCs w:val="24"/>
              </w:rPr>
              <w:t xml:space="preserve"> </w:t>
            </w:r>
            <w:r w:rsidR="00BC2436" w:rsidRPr="00BC2436">
              <w:rPr>
                <w:sz w:val="24"/>
                <w:szCs w:val="24"/>
              </w:rPr>
              <w:t>įsakymo 4.4. p. ir atitinkamose šio punkto papunkčiuose nurodytais kriterijais</w:t>
            </w:r>
            <w:r w:rsidR="00BC2436">
              <w:rPr>
                <w:sz w:val="24"/>
                <w:szCs w:val="24"/>
              </w:rPr>
              <w:t>“,</w:t>
            </w:r>
            <w:r w:rsidR="00035617">
              <w:rPr>
                <w:sz w:val="24"/>
                <w:szCs w:val="24"/>
              </w:rPr>
              <w:t xml:space="preserve"> </w:t>
            </w:r>
            <w:r w:rsidR="00B10232">
              <w:rPr>
                <w:sz w:val="24"/>
                <w:szCs w:val="24"/>
              </w:rPr>
              <w:t>suformulavo netikslią ir neaiškią techninės specifikacijos sąlygą, tokiu būdu pažeis</w:t>
            </w:r>
            <w:r w:rsidR="00477D64">
              <w:rPr>
                <w:sz w:val="24"/>
                <w:szCs w:val="24"/>
              </w:rPr>
              <w:t>dama</w:t>
            </w:r>
            <w:r w:rsidR="00B10232">
              <w:rPr>
                <w:sz w:val="24"/>
                <w:szCs w:val="24"/>
              </w:rPr>
              <w:t xml:space="preserve"> VPĮ 35 straipsnio 4 dal</w:t>
            </w:r>
            <w:r w:rsidR="00477D64">
              <w:rPr>
                <w:sz w:val="24"/>
                <w:szCs w:val="24"/>
              </w:rPr>
              <w:t>į</w:t>
            </w:r>
            <w:r w:rsidR="00B10232">
              <w:rPr>
                <w:sz w:val="24"/>
                <w:szCs w:val="24"/>
              </w:rPr>
              <w:t>, 37 straipsnio 4 dalies 1 punkt</w:t>
            </w:r>
            <w:r w:rsidR="00477D64">
              <w:rPr>
                <w:sz w:val="24"/>
                <w:szCs w:val="24"/>
              </w:rPr>
              <w:t>ą</w:t>
            </w:r>
            <w:r w:rsidR="00B10232">
              <w:rPr>
                <w:sz w:val="24"/>
                <w:szCs w:val="24"/>
              </w:rPr>
              <w:t>.</w:t>
            </w:r>
          </w:p>
        </w:tc>
      </w:tr>
      <w:tr w:rsidR="00F87B70" w:rsidRPr="00D02115" w14:paraId="4B3A2EA5" w14:textId="77777777" w:rsidTr="00AE4E49">
        <w:tc>
          <w:tcPr>
            <w:tcW w:w="567" w:type="dxa"/>
            <w:shd w:val="clear" w:color="auto" w:fill="auto"/>
            <w:vAlign w:val="center"/>
          </w:tcPr>
          <w:p w14:paraId="343AD3A0" w14:textId="1EE5ED8D" w:rsidR="00F87B70" w:rsidRPr="00271A34" w:rsidRDefault="002456F8" w:rsidP="0040599B">
            <w:pPr>
              <w:spacing w:before="120" w:after="120"/>
              <w:ind w:left="171" w:hanging="142"/>
              <w:jc w:val="both"/>
              <w:rPr>
                <w:sz w:val="24"/>
                <w:szCs w:val="24"/>
              </w:rPr>
            </w:pPr>
            <w:r>
              <w:rPr>
                <w:sz w:val="24"/>
                <w:szCs w:val="24"/>
              </w:rPr>
              <w:lastRenderedPageBreak/>
              <w:t>4</w:t>
            </w:r>
            <w:r w:rsidR="00F87B70" w:rsidRPr="00271A34">
              <w:rPr>
                <w:sz w:val="24"/>
                <w:szCs w:val="24"/>
              </w:rPr>
              <w:t xml:space="preserve">. </w:t>
            </w:r>
          </w:p>
        </w:tc>
        <w:tc>
          <w:tcPr>
            <w:tcW w:w="9072" w:type="dxa"/>
            <w:shd w:val="clear" w:color="auto" w:fill="auto"/>
            <w:vAlign w:val="center"/>
          </w:tcPr>
          <w:p w14:paraId="4FD576C4" w14:textId="77777777" w:rsidR="00F87B70" w:rsidRPr="00271A34" w:rsidRDefault="00F87B70" w:rsidP="0040599B">
            <w:pPr>
              <w:widowControl w:val="0"/>
              <w:jc w:val="both"/>
              <w:rPr>
                <w:sz w:val="24"/>
                <w:szCs w:val="24"/>
              </w:rPr>
            </w:pPr>
            <w:r>
              <w:rPr>
                <w:sz w:val="24"/>
                <w:szCs w:val="24"/>
              </w:rPr>
              <w:t>VPĮ 82 straipsnio 2 dalis</w:t>
            </w:r>
            <w:r>
              <w:rPr>
                <w:rStyle w:val="FootnoteReference"/>
                <w:sz w:val="24"/>
                <w:szCs w:val="24"/>
              </w:rPr>
              <w:footnoteReference w:id="29"/>
            </w:r>
          </w:p>
        </w:tc>
      </w:tr>
      <w:tr w:rsidR="003D21C5" w:rsidRPr="00D02115" w14:paraId="3EBC5746" w14:textId="77777777" w:rsidTr="000E42F3">
        <w:tc>
          <w:tcPr>
            <w:tcW w:w="9639" w:type="dxa"/>
            <w:gridSpan w:val="2"/>
            <w:shd w:val="clear" w:color="auto" w:fill="auto"/>
          </w:tcPr>
          <w:p w14:paraId="0D5D3635" w14:textId="06A06B47" w:rsidR="00920BB3" w:rsidRDefault="007101CC" w:rsidP="0040599B">
            <w:pPr>
              <w:ind w:firstLine="601"/>
              <w:jc w:val="both"/>
              <w:rPr>
                <w:iCs/>
                <w:sz w:val="24"/>
                <w:szCs w:val="24"/>
                <w:lang w:eastAsia="lt-LT"/>
              </w:rPr>
            </w:pPr>
            <w:r>
              <w:rPr>
                <w:iCs/>
                <w:sz w:val="24"/>
                <w:szCs w:val="24"/>
                <w:lang w:eastAsia="lt-LT"/>
              </w:rPr>
              <w:t xml:space="preserve">VPĮ 82 straipsnio 2 dalyje yra įtvirtinta perkančiųjų organizacijų pareiga </w:t>
            </w:r>
            <w:r w:rsidR="00DC3BF8">
              <w:rPr>
                <w:iCs/>
                <w:sz w:val="24"/>
                <w:szCs w:val="24"/>
                <w:lang w:eastAsia="lt-LT"/>
              </w:rPr>
              <w:t xml:space="preserve">įsigyti prekes, paslaugas ar darbus iš  (per) centrinės perkančiosios organizacijos (toliau – CPO), </w:t>
            </w:r>
            <w:r w:rsidR="00DC3BF8" w:rsidRPr="00DC3BF8">
              <w:rPr>
                <w:iCs/>
                <w:sz w:val="24"/>
                <w:szCs w:val="24"/>
                <w:lang w:eastAsia="lt-LT"/>
              </w:rPr>
              <w:t xml:space="preserve">jeigu Lietuvos Respublikoje veikiančios </w:t>
            </w:r>
            <w:r w:rsidR="00DC3BF8">
              <w:rPr>
                <w:iCs/>
                <w:sz w:val="24"/>
                <w:szCs w:val="24"/>
                <w:lang w:eastAsia="lt-LT"/>
              </w:rPr>
              <w:t>CPO</w:t>
            </w:r>
            <w:r w:rsidR="00DC3BF8" w:rsidRPr="00DC3BF8">
              <w:rPr>
                <w:iCs/>
                <w:sz w:val="24"/>
                <w:szCs w:val="24"/>
                <w:lang w:eastAsia="lt-LT"/>
              </w:rPr>
              <w:t xml:space="preserve">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w:t>
            </w:r>
            <w:r w:rsidR="00DC3BF8" w:rsidRPr="00B112A2">
              <w:rPr>
                <w:b/>
                <w:bCs/>
                <w:iCs/>
                <w:sz w:val="24"/>
                <w:szCs w:val="24"/>
                <w:lang w:eastAsia="lt-LT"/>
              </w:rPr>
              <w:t>motyvuoti savo sprendimą</w:t>
            </w:r>
            <w:r w:rsidR="00DC3BF8" w:rsidRPr="00DC3BF8">
              <w:rPr>
                <w:iCs/>
                <w:sz w:val="24"/>
                <w:szCs w:val="24"/>
                <w:lang w:eastAsia="lt-LT"/>
              </w:rPr>
              <w:t xml:space="preserve"> neatlikti pirkimo naudojantis </w:t>
            </w:r>
            <w:r w:rsidR="00B112A2">
              <w:rPr>
                <w:iCs/>
                <w:sz w:val="24"/>
                <w:szCs w:val="24"/>
                <w:lang w:eastAsia="lt-LT"/>
              </w:rPr>
              <w:t>CPO</w:t>
            </w:r>
            <w:r w:rsidR="00DC3BF8" w:rsidRPr="00DC3BF8">
              <w:rPr>
                <w:iCs/>
                <w:sz w:val="24"/>
                <w:szCs w:val="24"/>
                <w:lang w:eastAsia="lt-LT"/>
              </w:rPr>
              <w:t xml:space="preserve"> paslaugomis, tai patvirtinantį dokumentą paskelbti pirkėjo profilyje ir jį saugoti kartu su kitais pirkimo dokumentais </w:t>
            </w:r>
            <w:r w:rsidR="00B112A2">
              <w:rPr>
                <w:iCs/>
                <w:sz w:val="24"/>
                <w:szCs w:val="24"/>
                <w:lang w:eastAsia="lt-LT"/>
              </w:rPr>
              <w:t>VPĮ</w:t>
            </w:r>
            <w:r w:rsidR="00DC3BF8" w:rsidRPr="00DC3BF8">
              <w:rPr>
                <w:iCs/>
                <w:sz w:val="24"/>
                <w:szCs w:val="24"/>
                <w:lang w:eastAsia="lt-LT"/>
              </w:rPr>
              <w:t xml:space="preserve"> 97 straipsnyje nustatyta tvarka</w:t>
            </w:r>
            <w:r w:rsidR="00B112A2">
              <w:rPr>
                <w:iCs/>
                <w:sz w:val="24"/>
                <w:szCs w:val="24"/>
                <w:lang w:eastAsia="lt-LT"/>
              </w:rPr>
              <w:t>.</w:t>
            </w:r>
          </w:p>
          <w:p w14:paraId="0EB7DD95" w14:textId="763EE358" w:rsidR="00CE3471" w:rsidRPr="00271A34" w:rsidRDefault="00B81057" w:rsidP="0040599B">
            <w:pPr>
              <w:ind w:firstLine="601"/>
              <w:jc w:val="both"/>
              <w:rPr>
                <w:iCs/>
                <w:sz w:val="24"/>
                <w:szCs w:val="24"/>
                <w:lang w:eastAsia="lt-LT"/>
              </w:rPr>
            </w:pPr>
            <w:r>
              <w:rPr>
                <w:iCs/>
                <w:sz w:val="24"/>
                <w:szCs w:val="24"/>
                <w:lang w:eastAsia="lt-LT"/>
              </w:rPr>
              <w:lastRenderedPageBreak/>
              <w:t xml:space="preserve">Kadangi Tarnyba šioje vertinimo išvadoje nustatė, kad Pirkimas neskelbiamų derybų būdu VPĮ 71 straipsnio 1 dalies 3 punktu pagrindu buvo atliktas </w:t>
            </w:r>
            <w:r w:rsidR="003C7B76">
              <w:rPr>
                <w:iCs/>
                <w:sz w:val="24"/>
                <w:szCs w:val="24"/>
                <w:lang w:eastAsia="lt-LT"/>
              </w:rPr>
              <w:t>pažeid</w:t>
            </w:r>
            <w:r w:rsidR="00C5536A">
              <w:rPr>
                <w:iCs/>
                <w:sz w:val="24"/>
                <w:szCs w:val="24"/>
                <w:lang w:eastAsia="lt-LT"/>
              </w:rPr>
              <w:t>žiant</w:t>
            </w:r>
            <w:r w:rsidR="003C7B76">
              <w:rPr>
                <w:iCs/>
                <w:sz w:val="24"/>
                <w:szCs w:val="24"/>
                <w:lang w:eastAsia="lt-LT"/>
              </w:rPr>
              <w:t xml:space="preserve"> VPĮ</w:t>
            </w:r>
            <w:r>
              <w:rPr>
                <w:iCs/>
                <w:sz w:val="24"/>
                <w:szCs w:val="24"/>
                <w:lang w:eastAsia="lt-LT"/>
              </w:rPr>
              <w:t xml:space="preserve">, </w:t>
            </w:r>
            <w:r w:rsidR="00B112A2">
              <w:rPr>
                <w:iCs/>
                <w:sz w:val="24"/>
                <w:szCs w:val="24"/>
                <w:lang w:eastAsia="lt-LT"/>
              </w:rPr>
              <w:t>Perkančioji organizacija nei Pirkimo paraiškoje, nei Komisijos posėdžių protokoluose, nei kituose Tarnybai teiktuose</w:t>
            </w:r>
            <w:r w:rsidR="00B112A2" w:rsidRPr="00B112A2">
              <w:rPr>
                <w:rStyle w:val="FootnoteReference"/>
                <w:iCs/>
                <w:sz w:val="24"/>
                <w:szCs w:val="24"/>
                <w:lang w:eastAsia="lt-LT"/>
              </w:rPr>
              <w:footnoteReference w:id="30"/>
            </w:r>
            <w:r w:rsidR="00B112A2">
              <w:rPr>
                <w:iCs/>
                <w:sz w:val="24"/>
                <w:szCs w:val="24"/>
                <w:lang w:eastAsia="lt-LT"/>
              </w:rPr>
              <w:t xml:space="preserve"> dokumentuose nenurod</w:t>
            </w:r>
            <w:r w:rsidR="00A57E71">
              <w:rPr>
                <w:iCs/>
                <w:sz w:val="24"/>
                <w:szCs w:val="24"/>
                <w:lang w:eastAsia="lt-LT"/>
              </w:rPr>
              <w:t>žiusi</w:t>
            </w:r>
            <w:r w:rsidR="00B112A2">
              <w:rPr>
                <w:iCs/>
                <w:sz w:val="24"/>
                <w:szCs w:val="24"/>
                <w:lang w:eastAsia="lt-LT"/>
              </w:rPr>
              <w:t xml:space="preserve"> sprendimo Pirkimo objektą įsigyti ne iš (ne per) CPO </w:t>
            </w:r>
            <w:r w:rsidR="005849E6">
              <w:rPr>
                <w:iCs/>
                <w:sz w:val="24"/>
                <w:szCs w:val="24"/>
                <w:lang w:eastAsia="lt-LT"/>
              </w:rPr>
              <w:t>motyvų</w:t>
            </w:r>
            <w:r w:rsidR="00A57E71">
              <w:rPr>
                <w:iCs/>
                <w:sz w:val="24"/>
                <w:szCs w:val="24"/>
                <w:lang w:eastAsia="lt-LT"/>
              </w:rPr>
              <w:t>,</w:t>
            </w:r>
            <w:r w:rsidR="005849E6">
              <w:rPr>
                <w:iCs/>
                <w:sz w:val="24"/>
                <w:szCs w:val="24"/>
                <w:lang w:eastAsia="lt-LT"/>
              </w:rPr>
              <w:t xml:space="preserve"> pažeidė VPĮ 82 straipsnio 2 dalį.</w:t>
            </w:r>
          </w:p>
        </w:tc>
      </w:tr>
    </w:tbl>
    <w:p w14:paraId="5A6CF078" w14:textId="77777777" w:rsidR="003D21C5" w:rsidRPr="00D02115" w:rsidRDefault="003D21C5" w:rsidP="003D21C5">
      <w:pPr>
        <w:jc w:val="center"/>
        <w:rPr>
          <w:b/>
          <w:bCs/>
          <w:sz w:val="24"/>
          <w:szCs w:val="24"/>
        </w:rPr>
      </w:pPr>
    </w:p>
    <w:p w14:paraId="205215D8" w14:textId="77777777" w:rsidR="003D21C5" w:rsidRPr="00D02115" w:rsidRDefault="003D21C5" w:rsidP="003D21C5">
      <w:pPr>
        <w:jc w:val="center"/>
        <w:rPr>
          <w:b/>
          <w:bCs/>
          <w:sz w:val="24"/>
          <w:szCs w:val="24"/>
        </w:rPr>
      </w:pPr>
      <w:r w:rsidRPr="00D02115">
        <w:rPr>
          <w:b/>
          <w:bCs/>
          <w:sz w:val="24"/>
          <w:szCs w:val="24"/>
        </w:rPr>
        <w:t xml:space="preserve">III dalis. </w:t>
      </w:r>
      <w:r w:rsidRPr="00FC6B4D">
        <w:rPr>
          <w:b/>
          <w:bCs/>
          <w:sz w:val="24"/>
          <w:szCs w:val="24"/>
        </w:rPr>
        <w:t>Kiti nustatyti pažeidimai</w:t>
      </w:r>
    </w:p>
    <w:p w14:paraId="081CC8AD" w14:textId="77777777" w:rsidR="003D21C5" w:rsidRPr="00D02115"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2115" w14:paraId="024D98A2" w14:textId="77777777" w:rsidTr="006C5B4D">
        <w:tc>
          <w:tcPr>
            <w:tcW w:w="567" w:type="dxa"/>
            <w:shd w:val="clear" w:color="auto" w:fill="auto"/>
            <w:vAlign w:val="center"/>
          </w:tcPr>
          <w:p w14:paraId="67FB6B2F" w14:textId="77777777" w:rsidR="00890FBF" w:rsidRPr="00D02115" w:rsidRDefault="00890FBF" w:rsidP="006C5B4D">
            <w:pPr>
              <w:spacing w:before="120" w:after="120"/>
              <w:ind w:left="171" w:hanging="142"/>
              <w:jc w:val="center"/>
              <w:rPr>
                <w:szCs w:val="24"/>
              </w:rPr>
            </w:pPr>
          </w:p>
        </w:tc>
        <w:tc>
          <w:tcPr>
            <w:tcW w:w="9072" w:type="dxa"/>
            <w:shd w:val="clear" w:color="auto" w:fill="auto"/>
            <w:vAlign w:val="center"/>
          </w:tcPr>
          <w:p w14:paraId="334BE99A" w14:textId="749E62AF" w:rsidR="00890FBF" w:rsidRPr="00524C55" w:rsidRDefault="001D23DF" w:rsidP="006C5B4D">
            <w:pPr>
              <w:widowControl w:val="0"/>
              <w:rPr>
                <w:sz w:val="24"/>
                <w:szCs w:val="24"/>
              </w:rPr>
            </w:pPr>
            <w:r>
              <w:rPr>
                <w:sz w:val="24"/>
                <w:szCs w:val="24"/>
              </w:rPr>
              <w:t>-</w:t>
            </w:r>
          </w:p>
        </w:tc>
      </w:tr>
    </w:tbl>
    <w:p w14:paraId="0543AE8C" w14:textId="77777777" w:rsidR="003D21C5" w:rsidRDefault="003D21C5" w:rsidP="003D21C5">
      <w:pPr>
        <w:tabs>
          <w:tab w:val="left" w:pos="993"/>
        </w:tabs>
        <w:jc w:val="center"/>
        <w:rPr>
          <w:b/>
          <w:bCs/>
          <w:sz w:val="24"/>
          <w:szCs w:val="24"/>
        </w:rPr>
      </w:pPr>
    </w:p>
    <w:p w14:paraId="108BD6DA" w14:textId="77777777" w:rsidR="003D21C5" w:rsidRPr="00D02115" w:rsidRDefault="003D21C5" w:rsidP="003D21C5">
      <w:pPr>
        <w:tabs>
          <w:tab w:val="left" w:pos="993"/>
        </w:tabs>
        <w:jc w:val="center"/>
        <w:rPr>
          <w:b/>
          <w:bCs/>
          <w:sz w:val="24"/>
          <w:szCs w:val="24"/>
        </w:rPr>
      </w:pPr>
      <w:r w:rsidRPr="00D02115">
        <w:rPr>
          <w:b/>
          <w:bCs/>
          <w:sz w:val="24"/>
          <w:szCs w:val="24"/>
        </w:rPr>
        <w:t>IV dalis. Sprendimas</w:t>
      </w:r>
    </w:p>
    <w:p w14:paraId="5FBE2031" w14:textId="77777777" w:rsidR="003D21C5" w:rsidRPr="00D02115" w:rsidRDefault="003D21C5" w:rsidP="003D21C5">
      <w:pPr>
        <w:tabs>
          <w:tab w:val="left" w:pos="993"/>
        </w:tabs>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1BE5DE15" w14:textId="5DDEF3BB" w:rsidR="00134A0E" w:rsidRPr="00D02115" w:rsidRDefault="003963E6" w:rsidP="002C485D">
            <w:pPr>
              <w:ind w:firstLine="567"/>
              <w:jc w:val="both"/>
              <w:rPr>
                <w:rFonts w:eastAsia="Calibri"/>
                <w:bCs/>
                <w:sz w:val="24"/>
                <w:szCs w:val="24"/>
              </w:rPr>
            </w:pPr>
            <w:r w:rsidRPr="005052F6">
              <w:rPr>
                <w:rFonts w:eastAsia="Calibri"/>
                <w:bCs/>
                <w:sz w:val="24"/>
                <w:szCs w:val="24"/>
              </w:rPr>
              <w:t xml:space="preserve">Atsižvelgdama į </w:t>
            </w:r>
            <w:r w:rsidR="00134A0E" w:rsidRPr="005052F6">
              <w:rPr>
                <w:rFonts w:eastAsia="Calibri"/>
                <w:bCs/>
                <w:sz w:val="24"/>
                <w:szCs w:val="24"/>
              </w:rPr>
              <w:t xml:space="preserve">tai, kad </w:t>
            </w:r>
            <w:r w:rsidR="0073370E" w:rsidRPr="005052F6">
              <w:rPr>
                <w:rFonts w:eastAsia="Calibri"/>
                <w:bCs/>
                <w:sz w:val="24"/>
                <w:szCs w:val="24"/>
              </w:rPr>
              <w:t>NATO valstybių narių vadovų susitikimo rengin</w:t>
            </w:r>
            <w:r w:rsidR="00134A0E" w:rsidRPr="005052F6">
              <w:rPr>
                <w:rFonts w:eastAsia="Calibri"/>
                <w:bCs/>
                <w:sz w:val="24"/>
                <w:szCs w:val="24"/>
              </w:rPr>
              <w:t>ys jau įvyko</w:t>
            </w:r>
            <w:r w:rsidR="004B726F" w:rsidRPr="005052F6">
              <w:rPr>
                <w:rFonts w:eastAsia="Calibri"/>
                <w:bCs/>
                <w:sz w:val="24"/>
                <w:szCs w:val="24"/>
              </w:rPr>
              <w:t xml:space="preserve"> ir Sutartis yra įvykdyta,</w:t>
            </w:r>
            <w:r w:rsidR="0073370E" w:rsidRPr="005052F6">
              <w:rPr>
                <w:rFonts w:eastAsia="Calibri"/>
                <w:bCs/>
                <w:sz w:val="24"/>
                <w:szCs w:val="24"/>
              </w:rPr>
              <w:t xml:space="preserve"> </w:t>
            </w:r>
            <w:r w:rsidRPr="005052F6">
              <w:rPr>
                <w:rFonts w:eastAsia="Calibri"/>
                <w:bCs/>
                <w:sz w:val="24"/>
                <w:szCs w:val="24"/>
              </w:rPr>
              <w:t xml:space="preserve">Tarnyba </w:t>
            </w:r>
            <w:r w:rsidR="00DE05BB" w:rsidRPr="005052F6">
              <w:rPr>
                <w:rFonts w:eastAsia="Calibri"/>
                <w:bCs/>
                <w:sz w:val="24"/>
                <w:szCs w:val="24"/>
              </w:rPr>
              <w:t xml:space="preserve">neteikia rekomendacijų dėl Sutarties ir apsiriboja </w:t>
            </w:r>
            <w:r w:rsidR="00477D64" w:rsidRPr="005052F6">
              <w:rPr>
                <w:rFonts w:eastAsia="Calibri"/>
                <w:bCs/>
                <w:sz w:val="24"/>
                <w:szCs w:val="24"/>
              </w:rPr>
              <w:t xml:space="preserve">šios išvados II dalyje kvalifikuotų pažeidimų </w:t>
            </w:r>
            <w:r w:rsidR="00DE05BB" w:rsidRPr="005052F6">
              <w:rPr>
                <w:rFonts w:eastAsia="Calibri"/>
                <w:bCs/>
                <w:sz w:val="24"/>
                <w:szCs w:val="24"/>
              </w:rPr>
              <w:t>konstatavimu</w:t>
            </w:r>
            <w:r w:rsidRPr="005052F6">
              <w:rPr>
                <w:rFonts w:eastAsia="Calibri"/>
                <w:bCs/>
                <w:sz w:val="24"/>
                <w:szCs w:val="24"/>
              </w:rPr>
              <w:t>.</w:t>
            </w:r>
          </w:p>
        </w:tc>
      </w:tr>
    </w:tbl>
    <w:p w14:paraId="0810E47E" w14:textId="77777777" w:rsidR="003D21C5" w:rsidRDefault="003D21C5" w:rsidP="003D21C5">
      <w:pPr>
        <w:tabs>
          <w:tab w:val="left" w:pos="993"/>
        </w:tabs>
        <w:jc w:val="center"/>
        <w:rPr>
          <w:rFonts w:eastAsia="Calibri"/>
          <w:bCs/>
          <w:sz w:val="24"/>
          <w:szCs w:val="24"/>
        </w:rPr>
      </w:pPr>
    </w:p>
    <w:p w14:paraId="51A61D18" w14:textId="7777777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1A78009B" w:rsidR="00062E9A" w:rsidRDefault="00EF7CD0" w:rsidP="003756B1">
            <w:pPr>
              <w:ind w:firstLine="601"/>
              <w:jc w:val="both"/>
              <w:rPr>
                <w:bCs/>
                <w:sz w:val="24"/>
                <w:szCs w:val="24"/>
              </w:rPr>
            </w:pPr>
            <w:r>
              <w:rPr>
                <w:bCs/>
                <w:sz w:val="24"/>
                <w:szCs w:val="24"/>
              </w:rPr>
              <w:t>-</w:t>
            </w:r>
          </w:p>
        </w:tc>
      </w:tr>
    </w:tbl>
    <w:p w14:paraId="0546B310" w14:textId="77777777" w:rsidR="00251AA5" w:rsidRDefault="00251AA5" w:rsidP="00653E01">
      <w:pPr>
        <w:jc w:val="both"/>
        <w:rPr>
          <w:rFonts w:eastAsia="Calibri"/>
          <w:bCs/>
          <w:sz w:val="24"/>
          <w:szCs w:val="24"/>
        </w:rPr>
      </w:pPr>
    </w:p>
    <w:p w14:paraId="0C2BAFA8" w14:textId="77777777" w:rsidR="003756B1" w:rsidRDefault="003756B1" w:rsidP="00653E01">
      <w:pPr>
        <w:jc w:val="both"/>
        <w:rPr>
          <w:rFonts w:eastAsia="Calibri"/>
          <w:bCs/>
          <w:sz w:val="24"/>
          <w:szCs w:val="24"/>
        </w:rPr>
      </w:pPr>
    </w:p>
    <w:p w14:paraId="3C486884" w14:textId="0AEEBF29" w:rsidR="00653E01" w:rsidRDefault="00653E01" w:rsidP="00653E01">
      <w:pPr>
        <w:jc w:val="both"/>
        <w:rPr>
          <w:rFonts w:eastAsia="Calibri"/>
          <w:bCs/>
          <w:sz w:val="24"/>
          <w:szCs w:val="24"/>
        </w:rPr>
      </w:pPr>
      <w:r>
        <w:rPr>
          <w:rFonts w:eastAsia="Calibri"/>
          <w:bCs/>
          <w:sz w:val="24"/>
          <w:szCs w:val="24"/>
        </w:rPr>
        <w:t>Direktori</w:t>
      </w:r>
      <w:r w:rsidR="00FB1322">
        <w:rPr>
          <w:rFonts w:eastAsia="Calibri"/>
          <w:bCs/>
          <w:sz w:val="24"/>
          <w:szCs w:val="24"/>
        </w:rPr>
        <w:t>aus pavaduotoja</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sidR="003B36FF">
        <w:rPr>
          <w:rFonts w:eastAsia="Calibri"/>
          <w:bCs/>
          <w:sz w:val="24"/>
          <w:szCs w:val="24"/>
        </w:rPr>
        <w:tab/>
      </w:r>
      <w:r w:rsidR="003B36FF">
        <w:rPr>
          <w:rFonts w:eastAsia="Calibri"/>
          <w:bCs/>
          <w:sz w:val="24"/>
          <w:szCs w:val="24"/>
        </w:rPr>
        <w:tab/>
        <w:t xml:space="preserve">   </w:t>
      </w:r>
      <w:r w:rsidR="003C31CE">
        <w:rPr>
          <w:rFonts w:eastAsia="Calibri"/>
          <w:bCs/>
          <w:sz w:val="24"/>
          <w:szCs w:val="24"/>
        </w:rPr>
        <w:t>Viktorija Namavičienė</w:t>
      </w:r>
    </w:p>
    <w:p w14:paraId="67DD16B5" w14:textId="77777777" w:rsidR="008F75AC" w:rsidRPr="008F75AC" w:rsidRDefault="008F75AC" w:rsidP="008F75AC">
      <w:pPr>
        <w:rPr>
          <w:rFonts w:eastAsia="Calibri"/>
          <w:sz w:val="24"/>
          <w:szCs w:val="24"/>
        </w:rPr>
      </w:pPr>
    </w:p>
    <w:p w14:paraId="19701D01" w14:textId="77777777" w:rsidR="008F75AC" w:rsidRPr="008F75AC" w:rsidRDefault="008F75AC" w:rsidP="008F75AC">
      <w:pPr>
        <w:rPr>
          <w:rFonts w:eastAsia="Calibri"/>
          <w:sz w:val="24"/>
          <w:szCs w:val="24"/>
        </w:rPr>
      </w:pPr>
    </w:p>
    <w:p w14:paraId="38584576" w14:textId="77777777" w:rsidR="008F75AC" w:rsidRPr="008F75AC" w:rsidRDefault="008F75AC" w:rsidP="008F75AC">
      <w:pPr>
        <w:rPr>
          <w:rFonts w:eastAsia="Calibri"/>
          <w:sz w:val="24"/>
          <w:szCs w:val="24"/>
        </w:rPr>
      </w:pPr>
    </w:p>
    <w:p w14:paraId="064E0F89" w14:textId="77777777" w:rsidR="008F75AC" w:rsidRDefault="008F75AC" w:rsidP="008F75AC">
      <w:pPr>
        <w:rPr>
          <w:rFonts w:eastAsia="Calibri"/>
          <w:sz w:val="24"/>
          <w:szCs w:val="24"/>
        </w:rPr>
      </w:pPr>
    </w:p>
    <w:p w14:paraId="4C83550D" w14:textId="77777777" w:rsidR="008F75AC" w:rsidRDefault="008F75AC" w:rsidP="008F75AC">
      <w:pPr>
        <w:rPr>
          <w:rFonts w:eastAsia="Calibri"/>
          <w:sz w:val="24"/>
          <w:szCs w:val="24"/>
        </w:rPr>
      </w:pPr>
    </w:p>
    <w:p w14:paraId="075CBF0B" w14:textId="77777777" w:rsidR="008F75AC" w:rsidRDefault="008F75AC" w:rsidP="008F75AC">
      <w:pPr>
        <w:rPr>
          <w:rFonts w:eastAsia="Calibri"/>
          <w:sz w:val="24"/>
          <w:szCs w:val="24"/>
        </w:rPr>
      </w:pPr>
    </w:p>
    <w:p w14:paraId="22FF73A7" w14:textId="77777777" w:rsidR="0043323F" w:rsidRDefault="0043323F" w:rsidP="0084505A">
      <w:pPr>
        <w:tabs>
          <w:tab w:val="left" w:pos="900"/>
        </w:tabs>
        <w:spacing w:line="276" w:lineRule="auto"/>
        <w:rPr>
          <w:sz w:val="24"/>
          <w:szCs w:val="24"/>
        </w:rPr>
      </w:pPr>
    </w:p>
    <w:p w14:paraId="0DA45275" w14:textId="77777777" w:rsidR="0043323F" w:rsidRDefault="0043323F" w:rsidP="0084505A">
      <w:pPr>
        <w:tabs>
          <w:tab w:val="left" w:pos="900"/>
        </w:tabs>
        <w:spacing w:line="276" w:lineRule="auto"/>
        <w:rPr>
          <w:sz w:val="24"/>
          <w:szCs w:val="24"/>
        </w:rPr>
      </w:pPr>
    </w:p>
    <w:p w14:paraId="62CDD90B" w14:textId="77777777" w:rsidR="0043323F" w:rsidRDefault="0043323F" w:rsidP="0084505A">
      <w:pPr>
        <w:tabs>
          <w:tab w:val="left" w:pos="900"/>
        </w:tabs>
        <w:spacing w:line="276" w:lineRule="auto"/>
        <w:rPr>
          <w:sz w:val="24"/>
          <w:szCs w:val="24"/>
        </w:rPr>
      </w:pPr>
    </w:p>
    <w:p w14:paraId="29558FDF" w14:textId="77777777" w:rsidR="0043323F" w:rsidRDefault="0043323F" w:rsidP="0084505A">
      <w:pPr>
        <w:tabs>
          <w:tab w:val="left" w:pos="900"/>
        </w:tabs>
        <w:spacing w:line="276" w:lineRule="auto"/>
        <w:rPr>
          <w:sz w:val="24"/>
          <w:szCs w:val="24"/>
        </w:rPr>
      </w:pPr>
    </w:p>
    <w:p w14:paraId="16ED938F" w14:textId="77777777" w:rsidR="0043323F" w:rsidRDefault="0043323F" w:rsidP="0084505A">
      <w:pPr>
        <w:tabs>
          <w:tab w:val="left" w:pos="900"/>
        </w:tabs>
        <w:spacing w:line="276" w:lineRule="auto"/>
        <w:rPr>
          <w:sz w:val="24"/>
          <w:szCs w:val="24"/>
        </w:rPr>
      </w:pPr>
    </w:p>
    <w:p w14:paraId="564B179D" w14:textId="77777777" w:rsidR="00F27799" w:rsidRDefault="00F27799" w:rsidP="0084505A">
      <w:pPr>
        <w:tabs>
          <w:tab w:val="left" w:pos="900"/>
        </w:tabs>
        <w:spacing w:line="276" w:lineRule="auto"/>
        <w:rPr>
          <w:sz w:val="24"/>
          <w:szCs w:val="24"/>
        </w:rPr>
      </w:pPr>
    </w:p>
    <w:p w14:paraId="363C6191" w14:textId="77777777" w:rsidR="00F27799" w:rsidRDefault="00F27799" w:rsidP="0084505A">
      <w:pPr>
        <w:tabs>
          <w:tab w:val="left" w:pos="900"/>
        </w:tabs>
        <w:spacing w:line="276" w:lineRule="auto"/>
        <w:rPr>
          <w:sz w:val="24"/>
          <w:szCs w:val="24"/>
        </w:rPr>
      </w:pPr>
    </w:p>
    <w:p w14:paraId="1FFB4EA5" w14:textId="77777777" w:rsidR="00F27799" w:rsidRDefault="00F27799" w:rsidP="0084505A">
      <w:pPr>
        <w:tabs>
          <w:tab w:val="left" w:pos="900"/>
        </w:tabs>
        <w:spacing w:line="276" w:lineRule="auto"/>
        <w:rPr>
          <w:sz w:val="24"/>
          <w:szCs w:val="24"/>
        </w:rPr>
      </w:pPr>
    </w:p>
    <w:p w14:paraId="6084069B" w14:textId="77777777" w:rsidR="00F27799" w:rsidRDefault="00F27799" w:rsidP="0084505A">
      <w:pPr>
        <w:tabs>
          <w:tab w:val="left" w:pos="900"/>
        </w:tabs>
        <w:spacing w:line="276" w:lineRule="auto"/>
        <w:rPr>
          <w:sz w:val="24"/>
          <w:szCs w:val="24"/>
        </w:rPr>
      </w:pPr>
    </w:p>
    <w:p w14:paraId="0E19A803" w14:textId="77777777" w:rsidR="00F27799" w:rsidRDefault="00F27799" w:rsidP="0084505A">
      <w:pPr>
        <w:tabs>
          <w:tab w:val="left" w:pos="900"/>
        </w:tabs>
        <w:spacing w:line="276" w:lineRule="auto"/>
        <w:rPr>
          <w:sz w:val="24"/>
          <w:szCs w:val="24"/>
        </w:rPr>
      </w:pPr>
    </w:p>
    <w:p w14:paraId="3EA03801" w14:textId="77777777" w:rsidR="00F27799" w:rsidRDefault="00F27799" w:rsidP="0084505A">
      <w:pPr>
        <w:tabs>
          <w:tab w:val="left" w:pos="900"/>
        </w:tabs>
        <w:spacing w:line="276" w:lineRule="auto"/>
        <w:rPr>
          <w:sz w:val="24"/>
          <w:szCs w:val="24"/>
        </w:rPr>
      </w:pPr>
    </w:p>
    <w:p w14:paraId="16767CA8" w14:textId="77777777" w:rsidR="00F27799" w:rsidRDefault="00F27799" w:rsidP="0084505A">
      <w:pPr>
        <w:tabs>
          <w:tab w:val="left" w:pos="900"/>
        </w:tabs>
        <w:spacing w:line="276" w:lineRule="auto"/>
        <w:rPr>
          <w:sz w:val="24"/>
          <w:szCs w:val="24"/>
        </w:rPr>
      </w:pPr>
    </w:p>
    <w:p w14:paraId="3808CAAB" w14:textId="77777777" w:rsidR="00DC3A45" w:rsidRDefault="00DC3A45" w:rsidP="0084505A">
      <w:pPr>
        <w:tabs>
          <w:tab w:val="left" w:pos="900"/>
        </w:tabs>
        <w:spacing w:line="276" w:lineRule="auto"/>
        <w:rPr>
          <w:sz w:val="24"/>
          <w:szCs w:val="24"/>
        </w:rPr>
      </w:pPr>
    </w:p>
    <w:p w14:paraId="2B1F742A" w14:textId="77777777" w:rsidR="004C77F6" w:rsidRDefault="004C77F6" w:rsidP="0084505A">
      <w:pPr>
        <w:tabs>
          <w:tab w:val="left" w:pos="900"/>
        </w:tabs>
        <w:spacing w:line="276" w:lineRule="auto"/>
        <w:rPr>
          <w:sz w:val="24"/>
          <w:szCs w:val="24"/>
        </w:rPr>
      </w:pPr>
    </w:p>
    <w:p w14:paraId="23549AAF" w14:textId="77777777" w:rsidR="004C77F6" w:rsidRDefault="004C77F6" w:rsidP="0084505A">
      <w:pPr>
        <w:tabs>
          <w:tab w:val="left" w:pos="900"/>
        </w:tabs>
        <w:spacing w:line="276" w:lineRule="auto"/>
        <w:rPr>
          <w:sz w:val="24"/>
          <w:szCs w:val="24"/>
        </w:rPr>
      </w:pPr>
    </w:p>
    <w:sectPr w:rsidR="004C77F6" w:rsidSect="00A244DE">
      <w:headerReference w:type="even" r:id="rId10"/>
      <w:headerReference w:type="default" r:id="rId11"/>
      <w:footerReference w:type="first" r:id="rId12"/>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37E0" w14:textId="77777777" w:rsidR="006C4795" w:rsidRDefault="006C4795">
      <w:r>
        <w:separator/>
      </w:r>
    </w:p>
  </w:endnote>
  <w:endnote w:type="continuationSeparator" w:id="0">
    <w:p w14:paraId="0E8F1CAD" w14:textId="77777777" w:rsidR="006C4795" w:rsidRDefault="006C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769D" w14:textId="77777777" w:rsidR="006C4795" w:rsidRDefault="006C4795">
      <w:r>
        <w:separator/>
      </w:r>
    </w:p>
  </w:footnote>
  <w:footnote w:type="continuationSeparator" w:id="0">
    <w:p w14:paraId="7EFC807E" w14:textId="77777777" w:rsidR="006C4795" w:rsidRDefault="006C4795">
      <w:r>
        <w:continuationSeparator/>
      </w:r>
    </w:p>
  </w:footnote>
  <w:footnote w:id="1">
    <w:p w14:paraId="7739F54B" w14:textId="392CE4DD" w:rsidR="007840D4" w:rsidRDefault="007840D4" w:rsidP="00A03927">
      <w:pPr>
        <w:pStyle w:val="FootnoteText"/>
        <w:jc w:val="both"/>
      </w:pPr>
      <w:r>
        <w:rPr>
          <w:rStyle w:val="FootnoteReference"/>
        </w:rPr>
        <w:footnoteRef/>
      </w:r>
      <w:r>
        <w:t xml:space="preserve"> Tarnyba nevertino</w:t>
      </w:r>
      <w:r w:rsidR="00961717">
        <w:t xml:space="preserve"> 2022 m. rugpjūčio 1 d.</w:t>
      </w:r>
      <w:r>
        <w:t xml:space="preserve"> Perkančiosios organizacijos ir Lietuvos Respublikos užsienio reikalų ministerijos sudarytos bendradarbiavimo sutarties</w:t>
      </w:r>
      <w:r w:rsidR="00961717">
        <w:t xml:space="preserve"> Nr. 4.26-8-PJ02154</w:t>
      </w:r>
      <w:r>
        <w:t xml:space="preserve"> atitikties VPĮ ir jį įgyvendinantiems teisės aktams.</w:t>
      </w:r>
    </w:p>
  </w:footnote>
  <w:footnote w:id="2">
    <w:p w14:paraId="193EF24D" w14:textId="77777777" w:rsidR="00BA10F3" w:rsidRDefault="00BA10F3" w:rsidP="00A03927">
      <w:pPr>
        <w:pStyle w:val="FootnoteText"/>
        <w:jc w:val="both"/>
      </w:pPr>
      <w:r>
        <w:rPr>
          <w:rStyle w:val="FootnoteReference"/>
        </w:rPr>
        <w:footnoteRef/>
      </w:r>
      <w:r>
        <w:t xml:space="preserve"> „</w:t>
      </w:r>
      <w:r w:rsidRPr="00271A34">
        <w:t>Perkančioji organizacija užtikrina, kad vykdant pirkimą būtų laikomasi lygiateisiškumo, nediskriminavimo, abipusio pripažinimo, proporcingumo, skaidrumo principų</w:t>
      </w:r>
      <w:r>
        <w:t>“.</w:t>
      </w:r>
    </w:p>
  </w:footnote>
  <w:footnote w:id="3">
    <w:p w14:paraId="1EE23EC1" w14:textId="77777777" w:rsidR="00BA10F3" w:rsidRDefault="00BA10F3" w:rsidP="00A03927">
      <w:pPr>
        <w:pStyle w:val="FootnoteText"/>
        <w:jc w:val="both"/>
      </w:pPr>
      <w:r>
        <w:rPr>
          <w:rStyle w:val="FootnoteReference"/>
        </w:rPr>
        <w:footnoteRef/>
      </w:r>
      <w:r>
        <w:t xml:space="preserve"> „Prekės, paslaugos ar darbai neskelbiamų derybų būdu gali būti perkami, kai yra bent viena iš šių sąlygų: &lt;...&gt; 3)</w:t>
      </w:r>
      <w:r w:rsidRPr="00BF4A51">
        <w:t xml:space="preserve">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t>“.</w:t>
      </w:r>
    </w:p>
  </w:footnote>
  <w:footnote w:id="4">
    <w:p w14:paraId="2A6BE806" w14:textId="77777777" w:rsidR="000C1B52" w:rsidRDefault="000C1B52" w:rsidP="00A03927">
      <w:pPr>
        <w:pStyle w:val="FootnoteText"/>
        <w:jc w:val="both"/>
      </w:pPr>
      <w:r>
        <w:rPr>
          <w:rStyle w:val="FootnoteReference"/>
        </w:rPr>
        <w:footnoteRef/>
      </w:r>
      <w:r>
        <w:t xml:space="preserve"> Tarnybos </w:t>
      </w:r>
      <w:r>
        <w:rPr>
          <w:color w:val="000000"/>
        </w:rPr>
        <w:t xml:space="preserve">2023-05-04 raštas Nr. </w:t>
      </w:r>
      <w:r>
        <w:t>4S-475.</w:t>
      </w:r>
    </w:p>
  </w:footnote>
  <w:footnote w:id="5">
    <w:p w14:paraId="08B0F404" w14:textId="77777777" w:rsidR="000C1B52" w:rsidRDefault="000C1B52" w:rsidP="00A03927">
      <w:pPr>
        <w:pStyle w:val="FootnoteText"/>
        <w:jc w:val="both"/>
      </w:pPr>
      <w:r>
        <w:rPr>
          <w:rStyle w:val="FootnoteReference"/>
        </w:rPr>
        <w:footnoteRef/>
      </w:r>
      <w:r>
        <w:t xml:space="preserve"> Perkančiosios organizacijos </w:t>
      </w:r>
      <w:r w:rsidRPr="00965937">
        <w:t xml:space="preserve">2023-05-29 </w:t>
      </w:r>
      <w:r>
        <w:t xml:space="preserve">raštas </w:t>
      </w:r>
      <w:r w:rsidRPr="00965937">
        <w:t>Nr. 3S-1402</w:t>
      </w:r>
      <w:r>
        <w:t>.</w:t>
      </w:r>
    </w:p>
  </w:footnote>
  <w:footnote w:id="6">
    <w:p w14:paraId="0517D7B0" w14:textId="408A76BD" w:rsidR="00F55BDA" w:rsidRDefault="00F55BDA" w:rsidP="00F55BDA">
      <w:pPr>
        <w:pStyle w:val="FootnoteText"/>
        <w:jc w:val="both"/>
      </w:pPr>
      <w:r>
        <w:rPr>
          <w:rStyle w:val="FootnoteReference"/>
        </w:rPr>
        <w:footnoteRef/>
      </w:r>
      <w:r>
        <w:t xml:space="preserve"> AB „Telia Lietuva“ 2023-06-28 rašte Nr. 2023-02428 nurodyta: „&lt;...&gt; Už tarptautinius renginius atsakingi NATO sekretoriato atstovai buvo kviečiami apžiūrėti Litexpo patalpas 2022 m. rugsėjo viduryje. &lt;...&gt;“. Turint omenyje NATO valstybių narių vadovų susitikimo renginio svarbą Lietuvai ir kitoms šios organizacijos valstybėms narėms, manytina, kad toks NATO sekretoriato atstovų vizitas į Lietuvą turėjo būti organizuojamas kiek įmanoma anksčiau</w:t>
      </w:r>
      <w:r w:rsidR="006A4515">
        <w:t xml:space="preserve"> (ypatingai turint omenyje viešųjų pirkimų procedūroms pasirengti ir joms atlikti reikalingą laiką)</w:t>
      </w:r>
      <w:r>
        <w:t>, o ne, pavyzdžiui, 2022 m. rugsėjo mėn.</w:t>
      </w:r>
      <w:r w:rsidR="00F50B4D">
        <w:t>, kuomet iki susitikimo yra likę tik apie 10 mėn.</w:t>
      </w:r>
    </w:p>
  </w:footnote>
  <w:footnote w:id="7">
    <w:p w14:paraId="79159C81" w14:textId="31FB15B4" w:rsidR="00853194" w:rsidRDefault="00853194" w:rsidP="00A03927">
      <w:pPr>
        <w:pStyle w:val="FootnoteText"/>
        <w:jc w:val="both"/>
      </w:pPr>
      <w:r>
        <w:rPr>
          <w:rStyle w:val="FootnoteReference"/>
        </w:rPr>
        <w:footnoteRef/>
      </w:r>
      <w:r>
        <w:t xml:space="preserve"> LAT 2013-12-03 </w:t>
      </w:r>
      <w:r w:rsidR="005C27F3">
        <w:t>V</w:t>
      </w:r>
      <w:r w:rsidR="005C27F3" w:rsidRPr="005C27F3">
        <w:t>iešųjų pirkimų reglamentavimo ir teismų praktikos apžvalga (II) Nr. AC-39-1. Teismų praktika. 2013, 39, p. 520-652</w:t>
      </w:r>
      <w:r w:rsidR="005C27F3">
        <w:t>.</w:t>
      </w:r>
    </w:p>
  </w:footnote>
  <w:footnote w:id="8">
    <w:p w14:paraId="3EF189C3" w14:textId="4EF9C079" w:rsidR="00B07F94" w:rsidRDefault="00B07F94" w:rsidP="00A03927">
      <w:pPr>
        <w:pStyle w:val="FootnoteText"/>
        <w:jc w:val="both"/>
      </w:pPr>
      <w:r>
        <w:rPr>
          <w:rStyle w:val="FootnoteReference"/>
        </w:rPr>
        <w:footnoteRef/>
      </w:r>
      <w:r>
        <w:t xml:space="preserve"> VPĮ </w:t>
      </w:r>
      <w:r w:rsidR="001245AE">
        <w:t xml:space="preserve">(redakcija nuo </w:t>
      </w:r>
      <w:r w:rsidR="001245AE" w:rsidRPr="001245AE">
        <w:t>2022 m. liepos 12 d. iki 2022 m. gruodžio 29 d.)</w:t>
      </w:r>
      <w:r w:rsidR="001245AE">
        <w:t xml:space="preserve"> </w:t>
      </w:r>
      <w:r>
        <w:t>71 straipsnio 1 dalies 3 punktas.</w:t>
      </w:r>
    </w:p>
  </w:footnote>
  <w:footnote w:id="9">
    <w:p w14:paraId="2DA179FB" w14:textId="19F44B2C" w:rsidR="0033241B" w:rsidRDefault="0033241B" w:rsidP="0022072E">
      <w:pPr>
        <w:pStyle w:val="FootnoteText"/>
        <w:jc w:val="both"/>
      </w:pPr>
      <w:r>
        <w:rPr>
          <w:rStyle w:val="FootnoteReference"/>
        </w:rPr>
        <w:footnoteRef/>
      </w:r>
      <w:r>
        <w:t xml:space="preserve"> </w:t>
      </w:r>
      <w:r w:rsidRPr="0033241B">
        <w:t xml:space="preserve">„We look forward to meeting again in Spain in 2022, followed by our next meeting in Lithuania“. </w:t>
      </w:r>
      <w:hyperlink r:id="rId1" w:history="1">
        <w:r w:rsidR="00EF2C40" w:rsidRPr="00EF2C40">
          <w:rPr>
            <w:color w:val="0000FF"/>
            <w:u w:val="single"/>
          </w:rPr>
          <w:t>NATO - Official text: Brussels Summit Communiqué issued by NATO Heads of State and Government (2021), 14-Jun.-2021</w:t>
        </w:r>
      </w:hyperlink>
      <w:r w:rsidR="0078716D">
        <w:rPr>
          <w:color w:val="0000FF"/>
          <w:u w:val="single"/>
        </w:rPr>
        <w:t xml:space="preserve">; </w:t>
      </w:r>
      <w:r w:rsidR="0078716D" w:rsidRPr="0078716D">
        <w:t>Užsienio reikalų ministerijos parengtas ir 2022 m. gegužės 24 d. Teisės aktų registre užregistruot</w:t>
      </w:r>
      <w:r w:rsidR="00896A09">
        <w:t>o</w:t>
      </w:r>
      <w:r w:rsidR="0078716D" w:rsidRPr="0078716D">
        <w:t xml:space="preserve"> (TAIS registracijos Nr. 22- 8131) Lietuvos Respublikos įstatymo dėl Šiaurės Atlanto sutarties organizacijos šalių vadovų susitikimo Lietuvoje 2023 metais organizavimo projekt</w:t>
      </w:r>
      <w:r w:rsidR="00896A09">
        <w:t xml:space="preserve">o </w:t>
      </w:r>
      <w:r w:rsidR="0078716D" w:rsidRPr="0078716D">
        <w:t>aiškinama</w:t>
      </w:r>
      <w:r w:rsidR="0078716D">
        <w:t>sis</w:t>
      </w:r>
      <w:r w:rsidR="0078716D" w:rsidRPr="0078716D">
        <w:t xml:space="preserve"> rašt</w:t>
      </w:r>
      <w:r w:rsidR="0078716D">
        <w:t>as</w:t>
      </w:r>
      <w:r w:rsidR="00D22A88">
        <w:t xml:space="preserve">: </w:t>
      </w:r>
      <w:r w:rsidR="0022072E">
        <w:t>„&lt;...&gt; 2021 m. birželio 14 d. Šiaurės Atlanto sutarties organizacijos (toliau – NATO) šalys NATO šalių vadovų susitikime Briuselyje patvirtino sutarimą, kad 2022 metais NATO vadovų susitikimas vyks Madride, Ispanijoje, o kitas – Vilniuje, Lietuvoje. Šiuo metu yra pasiektas principinis NATO šalių sutarimas, kad 2022 m. birželio 29-30 d. Madride įvyksiančiame NATO šalių vadovų susitikime bus nustatyta, kad NATO šalių vadovų susitikimas Vilniuje įvyks 2023 metais.</w:t>
      </w:r>
      <w:r w:rsidR="00EF5698">
        <w:t xml:space="preserve"> </w:t>
      </w:r>
      <w:r w:rsidR="0022072E">
        <w:t>Lietuvos Respublikos įstatymo „Dėl Šiaurės Atlanto sutarties organizacijos šalių vadovų susitikimo Lietuvoje 2023 metais organizavimo“ projektas (toliau – Įstatymo projektas) parengtas siekiant sudaryti teisines, finansines ir organizacines sąlygas sklandžiam ir operatyviam Šiaurės Atlanto sutarties organizacijos šalių vadovų susitikimo Lietuvoje 2023 metais (toliau – NATO šalių vadovų susitikimas) organizavimui. &lt;...&gt;“.</w:t>
      </w:r>
    </w:p>
  </w:footnote>
  <w:footnote w:id="10">
    <w:p w14:paraId="2944D26A" w14:textId="010E5C9F" w:rsidR="00F53913" w:rsidRDefault="00F53913" w:rsidP="00F53913">
      <w:pPr>
        <w:pStyle w:val="FootnoteText"/>
        <w:jc w:val="both"/>
      </w:pPr>
      <w:r w:rsidRPr="0095132B">
        <w:rPr>
          <w:rStyle w:val="FootnoteReference"/>
        </w:rPr>
        <w:footnoteRef/>
      </w:r>
      <w:r w:rsidRPr="0095132B">
        <w:t xml:space="preserve"> </w:t>
      </w:r>
      <w:hyperlink r:id="rId2" w:history="1">
        <w:r w:rsidRPr="00DE3FF0">
          <w:rPr>
            <w:rStyle w:val="Hyperlink"/>
            <w:color w:val="auto"/>
          </w:rPr>
          <w:t>Užsienio reikalų ministerijos parengto Lietuvos Respublikos Vyriausybės nutarimo „Dėl Šiaurės Atlanto sutarties organizacijos šalių vadovų susitikimo Lietuvoje 2023 metais organizavimo“ projekto lydraštis</w:t>
        </w:r>
      </w:hyperlink>
      <w:r w:rsidRPr="00DE3FF0">
        <w:t xml:space="preserve">: „&lt;...&gt; </w:t>
      </w:r>
      <w:r w:rsidRPr="0095132B">
        <w:t>„Litexpo“ patalpos ir išorės erdvės yra Vilniuje tinkamiausia vieta, kuri atitiktų NATO nustatytus reikalavimus ir talpintų per 3 000 užsienio valstybių ir žiniasklaidos atstovų. Tai, kad tinkamiausia vieta NATO šalių vadovų susitikimui Vilniaus mieste yra „Litexpo“ patalpos ir išorės erdvės, patvirtino NATO reikalavimus išanalizavusi Vilniaus miesto savivaldybės administracija (2022 m. vasario 14 d. raštas Nr. A51-20341/22(3.3.2.12E-AD24) ir 2021 m. birželio 28‒30 d. Lietuvoje apsilankiusi NATO atstovų delegacija. &lt;...&gt;“.</w:t>
      </w:r>
    </w:p>
  </w:footnote>
  <w:footnote w:id="11">
    <w:p w14:paraId="7B877104" w14:textId="19A6F9C9" w:rsidR="001E2062" w:rsidRDefault="001E2062" w:rsidP="00C30123">
      <w:pPr>
        <w:pStyle w:val="FootnoteText"/>
        <w:jc w:val="both"/>
      </w:pPr>
      <w:r>
        <w:rPr>
          <w:rStyle w:val="FootnoteReference"/>
        </w:rPr>
        <w:footnoteRef/>
      </w:r>
      <w:r>
        <w:t xml:space="preserve"> </w:t>
      </w:r>
      <w:r w:rsidRPr="001E2062">
        <w:t>Ministro Pirmininko 2021 m. gruodžio 8 d. potvarki</w:t>
      </w:r>
      <w:r>
        <w:t>o</w:t>
      </w:r>
      <w:r w:rsidRPr="001E2062">
        <w:t xml:space="preserve"> Nr. 209</w:t>
      </w:r>
      <w:r>
        <w:t xml:space="preserve"> 2 </w:t>
      </w:r>
      <w:r w:rsidR="00C30123">
        <w:t>punktas: „</w:t>
      </w:r>
      <w:r w:rsidR="00C30123" w:rsidRPr="00C30123">
        <w:t>Pavedu darbo grupei:</w:t>
      </w:r>
      <w:r>
        <w:t xml:space="preserve"> „2.1. koordinuoti pasirengimo NATO šalių vadovų susitikimui Lietuvoje 2023 metais organizacinius, finansinius, teisinius ir kitus susijusius klausimus;</w:t>
      </w:r>
    </w:p>
    <w:p w14:paraId="4EC51F71" w14:textId="15ACDECF" w:rsidR="001E2062" w:rsidRDefault="001E2062" w:rsidP="00C30123">
      <w:pPr>
        <w:pStyle w:val="FootnoteText"/>
        <w:jc w:val="both"/>
      </w:pPr>
      <w:r>
        <w:t>2.2. iki 2022 m. vasario 1 d. parengti ir pateikti Vyriausybei planuojamo NATO šalių vadovų susitikimo Lietuvoje 2023 metais programos ir sąmatos projektus“.</w:t>
      </w:r>
    </w:p>
  </w:footnote>
  <w:footnote w:id="12">
    <w:p w14:paraId="1669A566" w14:textId="72C91F2E" w:rsidR="004723BF" w:rsidRPr="004B2689" w:rsidRDefault="004723BF" w:rsidP="004B2689">
      <w:pPr>
        <w:jc w:val="both"/>
      </w:pPr>
      <w:r>
        <w:rPr>
          <w:rStyle w:val="FootnoteReference"/>
        </w:rPr>
        <w:footnoteRef/>
      </w:r>
      <w:r>
        <w:t xml:space="preserve"> </w:t>
      </w:r>
      <w:r w:rsidRPr="004B2689">
        <w:t>„We look forward to meeting again, in Vilnius, in 2023“.</w:t>
      </w:r>
      <w:r>
        <w:rPr>
          <w:color w:val="000000"/>
          <w:sz w:val="24"/>
          <w:szCs w:val="24"/>
        </w:rPr>
        <w:t xml:space="preserve"> </w:t>
      </w:r>
      <w:hyperlink r:id="rId3" w:history="1">
        <w:r w:rsidRPr="004B2689">
          <w:rPr>
            <w:rFonts w:eastAsiaTheme="minorHAnsi"/>
            <w:color w:val="0000FF"/>
            <w:u w:val="single"/>
          </w:rPr>
          <w:t>NATO - Official text: Madrid Summit Declaration issued by NATO Heads of State and Government (2022), 29-Jun.-2022</w:t>
        </w:r>
      </w:hyperlink>
    </w:p>
  </w:footnote>
  <w:footnote w:id="13">
    <w:p w14:paraId="6860C4FE" w14:textId="2DC28863" w:rsidR="003F5D27" w:rsidRPr="004B2689" w:rsidRDefault="003F5D27" w:rsidP="003F5D27">
      <w:pPr>
        <w:pStyle w:val="FootnoteText"/>
        <w:jc w:val="both"/>
      </w:pPr>
      <w:r w:rsidRPr="004B2689">
        <w:rPr>
          <w:rStyle w:val="FootnoteReference"/>
        </w:rPr>
        <w:footnoteRef/>
      </w:r>
      <w:r w:rsidRPr="004B2689">
        <w:t xml:space="preserve"> </w:t>
      </w:r>
      <w:hyperlink r:id="rId4" w:history="1">
        <w:r w:rsidRPr="004B2689">
          <w:rPr>
            <w:rFonts w:eastAsiaTheme="minorHAnsi"/>
            <w:color w:val="0000FF"/>
            <w:u w:val="single"/>
          </w:rPr>
          <w:t>NATO - News: NATO Secretary General announces dates for 2023 Vilnius Summit, 09-Nov.-2022</w:t>
        </w:r>
      </w:hyperlink>
    </w:p>
  </w:footnote>
  <w:footnote w:id="14">
    <w:p w14:paraId="2D2BFF36" w14:textId="672B2B3C" w:rsidR="00707A9D" w:rsidRPr="004B2689" w:rsidRDefault="00707A9D" w:rsidP="00A03927">
      <w:pPr>
        <w:pStyle w:val="FootnoteText"/>
        <w:jc w:val="both"/>
      </w:pPr>
      <w:r w:rsidRPr="004B2689">
        <w:rPr>
          <w:rStyle w:val="FootnoteReference"/>
        </w:rPr>
        <w:footnoteRef/>
      </w:r>
      <w:r w:rsidRPr="004B2689">
        <w:t xml:space="preserve"> Pvz.: Europos Komisijos komunikatas „Europos Komisijos gairės, kaip naudotis viešųjų pirkimų sistema COVID-19 krizės sukeltos nepaprastosios padėties sąlygomis“ (2020/C 108 I/01); Europos Komisijos komunikatas „ES viešųjų pirkimų taisyklių taikymas ir dabartinė prieglobsčio krizė“ (COM(2015) 454 final).</w:t>
      </w:r>
    </w:p>
  </w:footnote>
  <w:footnote w:id="15">
    <w:p w14:paraId="2B437404" w14:textId="14A42134" w:rsidR="00AB319A" w:rsidRPr="00CF0B2D" w:rsidRDefault="00AB319A" w:rsidP="00BD6638">
      <w:pPr>
        <w:pStyle w:val="FootnoteText"/>
        <w:jc w:val="both"/>
      </w:pPr>
      <w:r w:rsidRPr="004B2689">
        <w:rPr>
          <w:rStyle w:val="FootnoteReference"/>
        </w:rPr>
        <w:footnoteRef/>
      </w:r>
      <w:r w:rsidRPr="004B2689">
        <w:t xml:space="preserve"> T. y.: „</w:t>
      </w:r>
      <w:r w:rsidRPr="004B2689">
        <w:rPr>
          <w:i/>
          <w:iCs/>
        </w:rPr>
        <w:t>Įvykiai, kurių atitinkama perkančioji organizacija negalėjo numatyti</w:t>
      </w:r>
      <w:r w:rsidRPr="004B2689">
        <w:t>“ (pvz.</w:t>
      </w:r>
      <w:r w:rsidR="008A253C" w:rsidRPr="004B2689">
        <w:t>:</w:t>
      </w:r>
      <w:r w:rsidRPr="004B2689">
        <w:t xml:space="preserve"> COVID-19</w:t>
      </w:r>
      <w:r w:rsidR="008A253C" w:rsidRPr="004B2689">
        <w:t xml:space="preserve"> pandemijos metu</w:t>
      </w:r>
      <w:r w:rsidRPr="004B2689">
        <w:t xml:space="preserve"> pacientų, kuriems reikia gydymo, skaičius</w:t>
      </w:r>
      <w:r w:rsidRPr="00CF0B2D">
        <w:t xml:space="preserve"> kasdien didėj</w:t>
      </w:r>
      <w:r w:rsidR="008A253C" w:rsidRPr="00CF0B2D">
        <w:t>o</w:t>
      </w:r>
      <w:r w:rsidRPr="00CF0B2D">
        <w:t xml:space="preserve"> </w:t>
      </w:r>
      <w:r w:rsidR="000F5757" w:rsidRPr="00CF0B2D">
        <w:t>labai sparčiai</w:t>
      </w:r>
      <w:r w:rsidRPr="00CF0B2D">
        <w:t>. Šių įvykių, ypač specifin</w:t>
      </w:r>
      <w:r w:rsidR="000F5757" w:rsidRPr="00CF0B2D">
        <w:t>io</w:t>
      </w:r>
      <w:r w:rsidRPr="00CF0B2D">
        <w:t xml:space="preserve"> jų pl</w:t>
      </w:r>
      <w:r w:rsidR="000F5757" w:rsidRPr="00CF0B2D">
        <w:t>i</w:t>
      </w:r>
      <w:r w:rsidR="00C544F8" w:rsidRPr="00CF0B2D">
        <w:t>ti</w:t>
      </w:r>
      <w:r w:rsidR="000F5757" w:rsidRPr="00CF0B2D">
        <w:t>mo</w:t>
      </w:r>
      <w:r w:rsidRPr="00CF0B2D">
        <w:t xml:space="preserve">, jokia perkančioji organizacija negalėjo numatyti. Akivaizdu, kad nebuvo galima iš anksto numatyti ir suplanuoti konkrečių ligoninių ir kitų sveikatos priežiūros įstaigų poreikių teikti gydymo paslaugas, asmens apsaugos priemones, </w:t>
      </w:r>
      <w:r w:rsidR="00F951E9">
        <w:t>plaučių vėdinimo aparatus</w:t>
      </w:r>
      <w:r w:rsidRPr="00CF0B2D">
        <w:t>, papildomas lovas ir papildomą intensyviąją priežiūrą bei ligoninių infrastruktūrą, įskaitant visą tam reikalingą techninę įrangą, todėl perkančiosioms organizacijoms tai yra įvykis, kurio nebuvo galima numatyti</w:t>
      </w:r>
      <w:r w:rsidR="00B763F4" w:rsidRPr="00CF0B2D">
        <w:t xml:space="preserve">; </w:t>
      </w:r>
      <w:r w:rsidR="00E06611" w:rsidRPr="00CF0B2D">
        <w:t>migrantų krizės metu d</w:t>
      </w:r>
      <w:r w:rsidR="004E31DC" w:rsidRPr="00CF0B2D">
        <w:t>augelyje valstybių narių per palyginti trumpą laikotarpį labai išaugo prieglobsčio prašančių asmenų skaičius.</w:t>
      </w:r>
      <w:r w:rsidR="000F5757" w:rsidRPr="00CF0B2D">
        <w:t xml:space="preserve"> </w:t>
      </w:r>
      <w:r w:rsidR="004E31DC" w:rsidRPr="00CF0B2D">
        <w:t>Natūralu, kad iš esmės konkrečios perkančiosios organizacijos nežinojo ir negalėjo prieš pakankamą laiką numatyti, koks bus prieglobsčio prašytojų, kuriais joms reikės pasirūpinti, skaičius. Konkrečios savivaldybės negalėjo iš anksto numatyti būtinybės suteikti būstą, tiekti prekes ir teikti paslaugas prieglobsčio prašytojams – todėl tai laikytina įvykiu, kurio jos numatyti negalėjo</w:t>
      </w:r>
      <w:r w:rsidR="00B763F4" w:rsidRPr="00CF0B2D">
        <w:t>)</w:t>
      </w:r>
      <w:r w:rsidR="0005467B" w:rsidRPr="00CF0B2D">
        <w:t>; „</w:t>
      </w:r>
      <w:r w:rsidR="0005467B" w:rsidRPr="00CF0B2D">
        <w:rPr>
          <w:i/>
          <w:iCs/>
        </w:rPr>
        <w:t>Ypatinga skuba, dėl kurios laikytis bendrųjų terminų neįmanoma“</w:t>
      </w:r>
      <w:r w:rsidR="0005467B" w:rsidRPr="00CF0B2D">
        <w:t xml:space="preserve"> (pvz.</w:t>
      </w:r>
      <w:r w:rsidR="00ED3860" w:rsidRPr="00CF0B2D">
        <w:t>,</w:t>
      </w:r>
      <w:r w:rsidR="0005467B" w:rsidRPr="00CF0B2D">
        <w:t xml:space="preserve"> </w:t>
      </w:r>
      <w:r w:rsidR="00532B44" w:rsidRPr="00CF0B2D">
        <w:t>nėra abejonių, kad neatidėliotin</w:t>
      </w:r>
      <w:r w:rsidR="00E06611" w:rsidRPr="00CF0B2D">
        <w:t>us</w:t>
      </w:r>
      <w:r w:rsidR="00532B44" w:rsidRPr="00CF0B2D">
        <w:t xml:space="preserve"> ligoninių ir sveikatos priežiūros įstaigų poreiki</w:t>
      </w:r>
      <w:r w:rsidR="00E06611" w:rsidRPr="00CF0B2D">
        <w:t>us</w:t>
      </w:r>
      <w:r w:rsidR="00532B44" w:rsidRPr="00CF0B2D">
        <w:t xml:space="preserve"> (prekių, paslaugų ir viešųjų darbų) </w:t>
      </w:r>
      <w:r w:rsidR="00E06611" w:rsidRPr="00CF0B2D">
        <w:t>arba į įvairias valstybes nares atvykstančių prieglobsčio prašytojų būtiniausius poreikius (būsto, prekių ir paslaugų) reikia patenkinti kaip galima</w:t>
      </w:r>
      <w:r w:rsidR="000F5757" w:rsidRPr="00CF0B2D">
        <w:t xml:space="preserve"> greičiau</w:t>
      </w:r>
      <w:r w:rsidR="00532B44" w:rsidRPr="00CF0B2D">
        <w:t>. Ar dėl to neįmanoma laikytis net labai trumpų pagreitintų procedūrų terminų, reik</w:t>
      </w:r>
      <w:r w:rsidR="000F5757" w:rsidRPr="00CF0B2D">
        <w:t>ia</w:t>
      </w:r>
      <w:r w:rsidR="00532B44" w:rsidRPr="00CF0B2D">
        <w:t xml:space="preserve"> įvertinti kiekvienu konkrečiu atveju, visų pirma kalbant apie </w:t>
      </w:r>
      <w:r w:rsidR="000F5757" w:rsidRPr="00CF0B2D">
        <w:t>labai</w:t>
      </w:r>
      <w:r w:rsidR="00532B44" w:rsidRPr="00CF0B2D">
        <w:t xml:space="preserve"> išaugusius neatidėliotinus poreikius kylant užsikrėtusiųjų</w:t>
      </w:r>
      <w:r w:rsidR="00E06611" w:rsidRPr="00CF0B2D">
        <w:t xml:space="preserve"> ar prieglobsčio prašančiųjų</w:t>
      </w:r>
      <w:r w:rsidR="00532B44" w:rsidRPr="00CF0B2D">
        <w:t xml:space="preserve"> statistikos kreivei. Kaip išaiškinta Teisingumo Teismo praktikoje, susiklosčius ypatingos skubos aplinkybėms viešasis pirkimas turi būti atliktas nedelsiant</w:t>
      </w:r>
      <w:r w:rsidR="00B04BDE" w:rsidRPr="00CF0B2D">
        <w:t xml:space="preserve">); </w:t>
      </w:r>
      <w:r w:rsidR="00FC4EBF" w:rsidRPr="00CF0B2D">
        <w:t>„</w:t>
      </w:r>
      <w:r w:rsidR="00FC4EBF" w:rsidRPr="00CF0B2D">
        <w:rPr>
          <w:i/>
          <w:iCs/>
        </w:rPr>
        <w:t xml:space="preserve">Nenumatyto įvykio ir didelės skubos priežastinis ryšys“ </w:t>
      </w:r>
      <w:r w:rsidR="00FC4EBF" w:rsidRPr="00CF0B2D">
        <w:t>(pvz.</w:t>
      </w:r>
      <w:r w:rsidR="00736FD7" w:rsidRPr="00CF0B2D">
        <w:t>:</w:t>
      </w:r>
      <w:r w:rsidR="00FC4EBF" w:rsidRPr="00CF0B2D">
        <w:t xml:space="preserve"> </w:t>
      </w:r>
      <w:r w:rsidR="002D251A" w:rsidRPr="00CF0B2D">
        <w:t>n</w:t>
      </w:r>
      <w:r w:rsidR="00FC4EBF" w:rsidRPr="00CF0B2D">
        <w:t>ėra pagrindo abejoti, kad neatidėliotini ligoninių ir sveikatos priežiūros įstaigų poreikiai yra tiesiogiai susiję su COVID-19 pandemija</w:t>
      </w:r>
      <w:r w:rsidR="00736FD7" w:rsidRPr="00CF0B2D">
        <w:t xml:space="preserve">; </w:t>
      </w:r>
      <w:r w:rsidR="00704EF4" w:rsidRPr="00CF0B2D">
        <w:t>j</w:t>
      </w:r>
      <w:r w:rsidR="00736FD7" w:rsidRPr="00CF0B2D">
        <w:t>ei pačius būtiniausius prieglobsčio prašytojų poreikius reikia patenkinti per labai trumpą laiką, negali būti jokių pagrįstų abejonių dėl priežastinio ryšio tarp prieglobsčio prašytojų skaičiaus padidėjimo ir būtinybės patenkinti jų poreikius</w:t>
      </w:r>
      <w:r w:rsidR="00FC4EBF" w:rsidRPr="00CF0B2D">
        <w:t>)</w:t>
      </w:r>
      <w:r w:rsidR="00482102" w:rsidRPr="00CF0B2D">
        <w:t>.</w:t>
      </w:r>
    </w:p>
  </w:footnote>
  <w:footnote w:id="16">
    <w:p w14:paraId="1920C0C5" w14:textId="4B1A5B2D" w:rsidR="003B2B5A" w:rsidRPr="00737C83" w:rsidRDefault="003B2B5A" w:rsidP="00BD6638">
      <w:pPr>
        <w:pStyle w:val="FootnoteText"/>
        <w:jc w:val="both"/>
        <w:rPr>
          <w:highlight w:val="yellow"/>
        </w:rPr>
      </w:pPr>
      <w:r w:rsidRPr="00CF0B2D">
        <w:rPr>
          <w:rStyle w:val="FootnoteReference"/>
        </w:rPr>
        <w:footnoteRef/>
      </w:r>
      <w:r w:rsidRPr="00CF0B2D">
        <w:t xml:space="preserve"> Perkančiosios organizacijos 2023-05-29 raštas Nr. 3S-1402.</w:t>
      </w:r>
    </w:p>
  </w:footnote>
  <w:footnote w:id="17">
    <w:p w14:paraId="27866CAD" w14:textId="6EEF1F59" w:rsidR="00DB41F7" w:rsidRPr="00CF0B2D" w:rsidRDefault="00DB41F7" w:rsidP="00BD6638">
      <w:pPr>
        <w:pStyle w:val="FootnoteText"/>
        <w:jc w:val="both"/>
      </w:pPr>
      <w:r w:rsidRPr="00CF0B2D">
        <w:rPr>
          <w:rStyle w:val="FootnoteReference"/>
        </w:rPr>
        <w:footnoteRef/>
      </w:r>
      <w:r w:rsidRPr="00CF0B2D">
        <w:t xml:space="preserve"> Europos Komisijos komunikatas „Europos Komisijos gairės, kaip naudotis viešųjų pirkimų sistema COVID-19 krizės sukeltos nepaprastosios padėties sąlygomis“ (2020/C 108 I/01).</w:t>
      </w:r>
    </w:p>
  </w:footnote>
  <w:footnote w:id="18">
    <w:p w14:paraId="305C13BC" w14:textId="5A01D72D" w:rsidR="004F032C" w:rsidRPr="00B1433F" w:rsidRDefault="004F032C" w:rsidP="006C6973">
      <w:pPr>
        <w:pStyle w:val="FootnoteText"/>
        <w:jc w:val="both"/>
      </w:pPr>
      <w:r w:rsidRPr="00CF0B2D">
        <w:rPr>
          <w:rStyle w:val="FootnoteReference"/>
        </w:rPr>
        <w:footnoteRef/>
      </w:r>
      <w:r w:rsidRPr="00CF0B2D">
        <w:t xml:space="preserve"> </w:t>
      </w:r>
      <w:r w:rsidRPr="00B1433F">
        <w:t>2013 m. birželio 20 d. Europos Sąjungos Teisingumo Teismo sprendimas byloje C-352/12.</w:t>
      </w:r>
    </w:p>
  </w:footnote>
  <w:footnote w:id="19">
    <w:p w14:paraId="1187F983" w14:textId="37B35049" w:rsidR="00820CF4" w:rsidRPr="00CF0B2D" w:rsidRDefault="00820CF4" w:rsidP="006C6973">
      <w:pPr>
        <w:pStyle w:val="FootnoteText"/>
        <w:jc w:val="both"/>
      </w:pPr>
      <w:r w:rsidRPr="00B1433F">
        <w:rPr>
          <w:rStyle w:val="FootnoteReference"/>
        </w:rPr>
        <w:footnoteRef/>
      </w:r>
      <w:r w:rsidRPr="00B1433F">
        <w:t xml:space="preserve"> </w:t>
      </w:r>
      <w:hyperlink r:id="rId5" w:history="1">
        <w:r w:rsidRPr="00B1433F">
          <w:rPr>
            <w:rStyle w:val="Hyperlink"/>
            <w:color w:val="auto"/>
          </w:rPr>
          <w:t>Tarnybos 2022 metų veiklos ataskaitos</w:t>
        </w:r>
      </w:hyperlink>
      <w:r w:rsidRPr="00B1433F">
        <w:t xml:space="preserve"> A </w:t>
      </w:r>
      <w:r w:rsidRPr="00CF0B2D">
        <w:t>priedas (Viešųjų pirkimų sistemos efektyvumo stebėsenos rodikliai 2019</w:t>
      </w:r>
      <w:r w:rsidR="008F4B58" w:rsidRPr="00CF0B2D">
        <w:t> - </w:t>
      </w:r>
      <w:r w:rsidRPr="00CF0B2D">
        <w:t>2022 m.).</w:t>
      </w:r>
    </w:p>
  </w:footnote>
  <w:footnote w:id="20">
    <w:p w14:paraId="67F2C3D2" w14:textId="5F28EDF2" w:rsidR="008F2BF3" w:rsidRDefault="008F2BF3" w:rsidP="006C6973">
      <w:pPr>
        <w:pStyle w:val="FootnoteText"/>
        <w:jc w:val="both"/>
      </w:pPr>
      <w:r>
        <w:rPr>
          <w:rStyle w:val="FootnoteReference"/>
        </w:rPr>
        <w:footnoteRef/>
      </w:r>
      <w:r>
        <w:t xml:space="preserve"> </w:t>
      </w:r>
      <w:r w:rsidR="006C6973">
        <w:t xml:space="preserve">Pvz., </w:t>
      </w:r>
      <w:r>
        <w:t xml:space="preserve">VPĮ </w:t>
      </w:r>
      <w:r w:rsidRPr="008F2BF3">
        <w:t>60 straipsnis: „ &lt;...&gt; 3. Skubos atveju, kai neįmanoma pirkimo atlikti laikantis šio straipsnio 1 dalyje nustatytų terminų, perkančioji organizacija turi teisę atvirą konkursą įvykdyti taikydama pagreitintą procedūrą, prieš tai skelbime apie pirkimą nurodžiusi tokį pasirinkimą pagrindžiančias priežastis. Tokiu atveju pasiūlymų pateikimo terminas nustatomas ne trumpesnis kaip: 1) 15 dienų nuo skelbimo apie pirkimą išsiuntimo iš Viešųjų pirkimų tarnybos dienos – tarptautinio pirkimo atveju“ &lt;...&gt;.</w:t>
      </w:r>
    </w:p>
  </w:footnote>
  <w:footnote w:id="21">
    <w:p w14:paraId="3E36E9D6" w14:textId="556F0016" w:rsidR="00737C83" w:rsidRPr="004F7B43" w:rsidRDefault="00737C83" w:rsidP="006C6973">
      <w:pPr>
        <w:pStyle w:val="FootnoteText"/>
        <w:jc w:val="both"/>
        <w:rPr>
          <w:highlight w:val="yellow"/>
        </w:rPr>
      </w:pPr>
      <w:r w:rsidRPr="00CF0B2D">
        <w:rPr>
          <w:rStyle w:val="FootnoteReference"/>
        </w:rPr>
        <w:footnoteRef/>
      </w:r>
      <w:r w:rsidRPr="00CF0B2D">
        <w:t xml:space="preserve"> </w:t>
      </w:r>
      <w:r w:rsidR="006B22C5" w:rsidRPr="00CF0B2D">
        <w:t>2023</w:t>
      </w:r>
      <w:r w:rsidR="008A641F" w:rsidRPr="00CF0B2D">
        <w:t>-07-</w:t>
      </w:r>
      <w:r w:rsidR="006B22C5" w:rsidRPr="00CF0B2D">
        <w:t>25 el. laiškas.</w:t>
      </w:r>
    </w:p>
  </w:footnote>
  <w:footnote w:id="22">
    <w:p w14:paraId="3A890FB8" w14:textId="1921F128" w:rsidR="00EF7603" w:rsidRPr="005052F6" w:rsidRDefault="00EF7603" w:rsidP="002E60E8">
      <w:pPr>
        <w:pStyle w:val="FootnoteText"/>
        <w:jc w:val="both"/>
      </w:pPr>
      <w:r w:rsidRPr="005052F6">
        <w:rPr>
          <w:rStyle w:val="FootnoteReference"/>
        </w:rPr>
        <w:footnoteRef/>
      </w:r>
      <w:r w:rsidRPr="005052F6">
        <w:t xml:space="preserve"> Atkreiptinas dėmesys, kad VPĮ 71 straipsnio 1 dalies 3 punkto trijų kumuliatyvių sąlygų kontekste, nesant nenumatyto įvykio sąlygos, automatiškai nesama ir kitos sąlygos – priežastinio ryšio tarp nenumatyto </w:t>
      </w:r>
      <w:r w:rsidR="002E60E8" w:rsidRPr="005052F6">
        <w:t>ir dėl to atsiradusios ypatingos skubos.</w:t>
      </w:r>
    </w:p>
  </w:footnote>
  <w:footnote w:id="23">
    <w:p w14:paraId="43879A76" w14:textId="6E93B0EA" w:rsidR="002444AD" w:rsidRPr="005052F6" w:rsidRDefault="002444AD" w:rsidP="002444AD">
      <w:pPr>
        <w:pStyle w:val="FootnoteText"/>
        <w:jc w:val="both"/>
      </w:pPr>
      <w:r w:rsidRPr="005052F6">
        <w:rPr>
          <w:rStyle w:val="FootnoteReference"/>
        </w:rPr>
        <w:footnoteRef/>
      </w:r>
      <w:r w:rsidRPr="005052F6">
        <w:t xml:space="preserve"> VPĮ 60 straipsnis: „</w:t>
      </w:r>
      <w:r w:rsidR="0096366E" w:rsidRPr="005052F6">
        <w:t xml:space="preserve"> &lt;...&gt; </w:t>
      </w:r>
      <w:r w:rsidRPr="005052F6">
        <w:t>3. Skubos atveju, kai neįmanoma pirkimo atlikti laikantis šio straipsnio 1 dalyje nustatytų terminų, perkančioji organizacija turi teisę atvirą konkursą įvykdyti taikydama pagreitintą procedūrą, prieš tai skelbime apie pirkimą nurodžiusi tokį pasirinkimą pagrindžiančias priežastis. Tokiu atveju pasiūlymų pateikimo terminas nustatomas ne trumpesnis kaip: 1) 15 dienų nuo skelbimo apie pirkimą išsiuntimo iš Viešųjų pirkimų tarnybos dienos – tarptautinio pirkimo atveju“</w:t>
      </w:r>
      <w:r w:rsidR="0096366E" w:rsidRPr="005052F6">
        <w:t xml:space="preserve"> &lt;...&gt;</w:t>
      </w:r>
      <w:r w:rsidRPr="005052F6">
        <w:t>.</w:t>
      </w:r>
    </w:p>
  </w:footnote>
  <w:footnote w:id="24">
    <w:p w14:paraId="53ADCAB5" w14:textId="4BCE573E" w:rsidR="00E35A2E" w:rsidRPr="005052F6" w:rsidRDefault="00E35A2E" w:rsidP="00BC195B">
      <w:pPr>
        <w:pStyle w:val="FootnoteText"/>
        <w:jc w:val="both"/>
      </w:pPr>
      <w:r w:rsidRPr="005052F6">
        <w:rPr>
          <w:rStyle w:val="FootnoteReference"/>
        </w:rPr>
        <w:footnoteRef/>
      </w:r>
      <w:r w:rsidRPr="005052F6">
        <w:t xml:space="preserve"> Pavyzdžiui, LAT 2009</w:t>
      </w:r>
      <w:r w:rsidR="00176630" w:rsidRPr="005052F6">
        <w:t>-11-</w:t>
      </w:r>
      <w:r w:rsidRPr="005052F6">
        <w:t>13 nutartis c. b. Nr. 3</w:t>
      </w:r>
      <w:r w:rsidR="008E7A8E" w:rsidRPr="005052F6">
        <w:t>K</w:t>
      </w:r>
      <w:r w:rsidRPr="005052F6">
        <w:t xml:space="preserve">-3-505/2009 ir LAT </w:t>
      </w:r>
      <w:r w:rsidR="00176630" w:rsidRPr="005052F6">
        <w:t>2013-12-03 Viešųjų pirkimų reglamentavimo ir teismų praktikos apžvalga (II) Nr. AC-39-1</w:t>
      </w:r>
      <w:r w:rsidRPr="005052F6">
        <w:t xml:space="preserve">: </w:t>
      </w:r>
      <w:r w:rsidR="00FB6ED5" w:rsidRPr="005052F6">
        <w:t>„&lt;...&gt; Laikytinas nepagrįstu argumentas, kad neskelbiamos derybos į jas pakviečiant tik vieną tiekėją buvo vykdomos, siekiant išvengti pirkimo procedūrų terminų pratęsimo, jeigu būtų gauta derybose dalyvavusių tiekėjų pretenzijų; pretenzijų padavimas kaip tiekėjų pažeistų teisių gynybos būdas yra rangovų teisė, bet ne pareiga; pretenzijų pateikimo preziumavimas nepateisina perkančiosios organizacijos veiksmų neteisėtumo į derybas pakviečiant tik vieną tiekėją. Be to, pretenzijų padavimas priklauso ir nuo perkančiosios organizacijos veiksmų teisėtumo. &lt;...&gt;“.</w:t>
      </w:r>
    </w:p>
  </w:footnote>
  <w:footnote w:id="25">
    <w:p w14:paraId="20BE2405" w14:textId="1A80363F" w:rsidR="004C7D04" w:rsidRDefault="00CB6A6E" w:rsidP="004C7D04">
      <w:pPr>
        <w:pStyle w:val="FootnoteText"/>
        <w:jc w:val="both"/>
      </w:pPr>
      <w:r>
        <w:rPr>
          <w:rStyle w:val="FootnoteReference"/>
        </w:rPr>
        <w:footnoteRef/>
      </w:r>
      <w:r>
        <w:t xml:space="preserve"> </w:t>
      </w:r>
      <w:r w:rsidR="0001370A">
        <w:t>Pvz., p</w:t>
      </w:r>
      <w:r>
        <w:t xml:space="preserve">rimintina, kad Europos Sąjungos </w:t>
      </w:r>
      <w:r w:rsidRPr="004C7D04">
        <w:t>Teisingumo Teismas ne kartą pripažino</w:t>
      </w:r>
      <w:r>
        <w:t xml:space="preserve"> (</w:t>
      </w:r>
      <w:r w:rsidR="009B422C">
        <w:t>žr.</w:t>
      </w:r>
      <w:r>
        <w:t>: s</w:t>
      </w:r>
      <w:r w:rsidRPr="00CB6A6E">
        <w:t>prendimas</w:t>
      </w:r>
      <w:r>
        <w:t xml:space="preserve"> byloje</w:t>
      </w:r>
      <w:r w:rsidRPr="00CB6A6E">
        <w:t xml:space="preserve"> Komisija prieš Vokietiją, </w:t>
      </w:r>
      <w:r>
        <w:t xml:space="preserve">Nr. </w:t>
      </w:r>
      <w:r w:rsidRPr="00CB6A6E">
        <w:t>C-318/94</w:t>
      </w:r>
      <w:r>
        <w:t>; s</w:t>
      </w:r>
      <w:r w:rsidRPr="00CB6A6E">
        <w:t xml:space="preserve">prendimas </w:t>
      </w:r>
      <w:r>
        <w:t xml:space="preserve">byloje </w:t>
      </w:r>
      <w:r w:rsidRPr="00CB6A6E">
        <w:t xml:space="preserve">Komisija prieš Graikiją, </w:t>
      </w:r>
      <w:r>
        <w:t xml:space="preserve">Nr. </w:t>
      </w:r>
      <w:r w:rsidRPr="00CB6A6E">
        <w:t>C-394/02</w:t>
      </w:r>
      <w:r>
        <w:t>)</w:t>
      </w:r>
      <w:r w:rsidRPr="004C7D04">
        <w:t>, kad valstybės institucijų veikla ir jos rezultatai nelaikytini nenumatomais įvykiais, nepaisant aplinkybės, jog konkrečiu atveju perkančioji organizacija nesitikėjo šios veiklos padarinių. Taigi</w:t>
      </w:r>
      <w:r w:rsidR="00A7611E">
        <w:t>, Užsienio reikalų ministerijos, Vyriausybės, Ministro Pirmininko</w:t>
      </w:r>
      <w:r w:rsidR="00170FE6">
        <w:t xml:space="preserve"> darbo grupės</w:t>
      </w:r>
      <w:r w:rsidR="00A7611E">
        <w:t xml:space="preserve"> ir kt. institucijų</w:t>
      </w:r>
      <w:r w:rsidRPr="004C7D04">
        <w:t xml:space="preserve"> tam tikrų konkrečių terminų, skirtų apibrėžti </w:t>
      </w:r>
      <w:r w:rsidR="00A7611E">
        <w:t>P</w:t>
      </w:r>
      <w:r w:rsidRPr="004C7D04">
        <w:t xml:space="preserve">erkančiosios organizacijos pareigą pradėti </w:t>
      </w:r>
      <w:r w:rsidR="00EE3405">
        <w:t>P</w:t>
      </w:r>
      <w:r w:rsidRPr="004C7D04">
        <w:t xml:space="preserve">irkimo procedūras ar jau turėti materializuotą </w:t>
      </w:r>
      <w:r w:rsidR="00EE3405">
        <w:t>P</w:t>
      </w:r>
      <w:r w:rsidRPr="004C7D04">
        <w:t>irkimo objektą, nustatymas</w:t>
      </w:r>
      <w:r w:rsidR="00A7611E">
        <w:t xml:space="preserve">, šių institucijų veikimo </w:t>
      </w:r>
      <w:r w:rsidR="00FD77AF">
        <w:t>trūkumai</w:t>
      </w:r>
      <w:r w:rsidR="00A7611E">
        <w:t>, neveikimas,</w:t>
      </w:r>
      <w:r w:rsidRPr="004C7D04">
        <w:t xml:space="preserve"> </w:t>
      </w:r>
      <w:r w:rsidR="00FC5512">
        <w:t xml:space="preserve">pats savaime </w:t>
      </w:r>
      <w:r w:rsidRPr="004C7D04">
        <w:t xml:space="preserve">nepateisina </w:t>
      </w:r>
      <w:r w:rsidR="001F6053">
        <w:t>neskelbiamų derybų</w:t>
      </w:r>
      <w:r w:rsidRPr="004C7D04">
        <w:t xml:space="preserve"> pirkimo būdo naudojimo</w:t>
      </w:r>
      <w:r w:rsidR="00AD2462">
        <w:t>.</w:t>
      </w:r>
    </w:p>
  </w:footnote>
  <w:footnote w:id="26">
    <w:p w14:paraId="1074A74C" w14:textId="77777777" w:rsidR="002456F8" w:rsidRDefault="002456F8" w:rsidP="00A03927">
      <w:pPr>
        <w:pStyle w:val="FootnoteText"/>
        <w:jc w:val="both"/>
      </w:pPr>
      <w:r w:rsidRPr="005052F6">
        <w:rPr>
          <w:rStyle w:val="FootnoteReference"/>
        </w:rPr>
        <w:footnoteRef/>
      </w:r>
      <w:r w:rsidRPr="005052F6">
        <w:t xml:space="preserve"> „Perkančioji organizacija, siekdama užkirsti kelią pirkimuose kylantiems interesų konfliktams, turi reikalauti, kad kiekvienas šio straipsnio 1 dalyje nurodytas asmuo</w:t>
      </w:r>
      <w:r w:rsidRPr="00F73C9F">
        <w:t xml:space="preserve"> pirkimo procedūrose dalyvautų ar su pirkimu susijusius sprendimus priimtų tik prieš tai pasirašęs konfidencialumo pasižadėjimą ir Viešųjų pirkimų tarnybos kartu su Vyriausiąja tarnybinės etikos komisija nustatytos formos nešališkumo deklaraciją</w:t>
      </w:r>
      <w:r>
        <w:t>“.</w:t>
      </w:r>
    </w:p>
  </w:footnote>
  <w:footnote w:id="27">
    <w:p w14:paraId="7157A915" w14:textId="77777777" w:rsidR="008F50EF" w:rsidRDefault="008F50EF" w:rsidP="00A03927">
      <w:pPr>
        <w:pStyle w:val="FootnoteText"/>
        <w:jc w:val="both"/>
      </w:pPr>
      <w:r>
        <w:rPr>
          <w:rStyle w:val="FootnoteReference"/>
        </w:rPr>
        <w:footnoteRef/>
      </w:r>
      <w:r>
        <w:t xml:space="preserve"> „</w:t>
      </w:r>
      <w:r w:rsidRPr="00F87B70">
        <w:t>Perkančioji organizacija pirkimo dokumentus rengia vadovaudamasi šio įstatymo nuostatomis. Pirkimo dokumentai turi būti tikslūs, aiškūs, be dviprasmybių, kad tiekėjai galėtų pateikti pasiūlymus, o perkančioji organizacija – nupirkti tai, ko reikia</w:t>
      </w:r>
      <w:r>
        <w:t>“.</w:t>
      </w:r>
    </w:p>
  </w:footnote>
  <w:footnote w:id="28">
    <w:p w14:paraId="4AFE7A46" w14:textId="77777777" w:rsidR="008F50EF" w:rsidRDefault="008F50EF" w:rsidP="00A03927">
      <w:pPr>
        <w:pStyle w:val="FootnoteText"/>
        <w:jc w:val="both"/>
      </w:pPr>
      <w:r>
        <w:rPr>
          <w:rStyle w:val="FootnoteReference"/>
        </w:rPr>
        <w:footnoteRef/>
      </w:r>
      <w:r>
        <w:t xml:space="preserve"> „Nepažeidžiant privalomų nacionalinių techninių reikalavimų tiek, kiek jie neprieštarauja Europos Sąjungos teisei, techninė specifikacija gali būti parengta šiais būdais arba šių būdų deriniu:</w:t>
      </w:r>
    </w:p>
    <w:p w14:paraId="1FA59BC9" w14:textId="77777777" w:rsidR="008F50EF" w:rsidRDefault="008F50EF" w:rsidP="00A03927">
      <w:pPr>
        <w:pStyle w:val="FootnoteText"/>
        <w:jc w:val="both"/>
      </w:pPr>
      <w:r>
        <w:t>1) apibūdinant norimą rezultatą arba nurodant pirkimo objekto funkcinius reikalavimus, įskaitant aplinkos apsaugos reikalavimus. Tokie reikalavimai turi būti tikslūs, kad tiekėjai galėtų parengti tinkamus pasiūlymus, o perkančioji organizacija – įsigyti reikalingų prekių, paslaugų ar darbų;“.</w:t>
      </w:r>
    </w:p>
  </w:footnote>
  <w:footnote w:id="29">
    <w:p w14:paraId="121C49EF" w14:textId="77777777" w:rsidR="00F87B70" w:rsidRDefault="00F87B70" w:rsidP="00A03927">
      <w:pPr>
        <w:pStyle w:val="FootnoteText"/>
        <w:jc w:val="both"/>
      </w:pPr>
      <w:r>
        <w:rPr>
          <w:rStyle w:val="FootnoteReference"/>
        </w:rPr>
        <w:footnoteRef/>
      </w:r>
      <w:r>
        <w:t xml:space="preserve"> „</w:t>
      </w:r>
      <w:r w:rsidRPr="004F4DDD">
        <w:t>Perkančiosios organizacijos, išskyrus Lietuvos Respublikos diplomatines atstovybes užsienio valstybėse, Lietuvos Respublikos atstovybes prie tarptautinių organizacijų, konsulines įstaigas ir specialiąsias misijas, privalo įsigyti prekių, paslaugų ir darbų šio straipsnio 1 dalyje nurodytu būdu,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tai patvirtinantį dokumentą paskelbti pirkėjo profilyje ir jį saugoti kartu su kitais pirkimo dokumentais šio įstatymo 97 straipsnyje nustatyta tvarka</w:t>
      </w:r>
      <w:r>
        <w:t>“.</w:t>
      </w:r>
    </w:p>
  </w:footnote>
  <w:footnote w:id="30">
    <w:p w14:paraId="3863B06D" w14:textId="77777777" w:rsidR="00B112A2" w:rsidRDefault="00B112A2" w:rsidP="00A03927">
      <w:pPr>
        <w:pStyle w:val="FootnoteText"/>
        <w:jc w:val="both"/>
      </w:pPr>
      <w:r>
        <w:rPr>
          <w:rStyle w:val="FootnoteReference"/>
        </w:rPr>
        <w:footnoteRef/>
      </w:r>
      <w:r>
        <w:t xml:space="preserve"> Perkančiosios organizacijos </w:t>
      </w:r>
      <w:r w:rsidRPr="00965937">
        <w:t xml:space="preserve">2023-05-29 </w:t>
      </w:r>
      <w:r>
        <w:t xml:space="preserve">raštas </w:t>
      </w:r>
      <w:r w:rsidRPr="00965937">
        <w:t>Nr. 3S-1402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0"/>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9AE"/>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47B"/>
    <w:rsid w:val="000220AE"/>
    <w:rsid w:val="0002259F"/>
    <w:rsid w:val="000228A3"/>
    <w:rsid w:val="00023291"/>
    <w:rsid w:val="00023304"/>
    <w:rsid w:val="000235E3"/>
    <w:rsid w:val="00023B43"/>
    <w:rsid w:val="00023C23"/>
    <w:rsid w:val="00023D2F"/>
    <w:rsid w:val="00024393"/>
    <w:rsid w:val="00024BE0"/>
    <w:rsid w:val="00025A81"/>
    <w:rsid w:val="00026144"/>
    <w:rsid w:val="00026734"/>
    <w:rsid w:val="000268FD"/>
    <w:rsid w:val="00026BC6"/>
    <w:rsid w:val="000275C8"/>
    <w:rsid w:val="00027BDD"/>
    <w:rsid w:val="00027CEE"/>
    <w:rsid w:val="000310F0"/>
    <w:rsid w:val="000310FD"/>
    <w:rsid w:val="000315EE"/>
    <w:rsid w:val="00032628"/>
    <w:rsid w:val="000327A3"/>
    <w:rsid w:val="00032A61"/>
    <w:rsid w:val="0003370C"/>
    <w:rsid w:val="00033A32"/>
    <w:rsid w:val="00033CC7"/>
    <w:rsid w:val="00034597"/>
    <w:rsid w:val="00034D09"/>
    <w:rsid w:val="000350B1"/>
    <w:rsid w:val="00035617"/>
    <w:rsid w:val="00035EB7"/>
    <w:rsid w:val="00036B71"/>
    <w:rsid w:val="00036D7B"/>
    <w:rsid w:val="0003700A"/>
    <w:rsid w:val="000377FD"/>
    <w:rsid w:val="00037A49"/>
    <w:rsid w:val="0004031D"/>
    <w:rsid w:val="000408AB"/>
    <w:rsid w:val="000428AB"/>
    <w:rsid w:val="000429D0"/>
    <w:rsid w:val="00043152"/>
    <w:rsid w:val="000439B1"/>
    <w:rsid w:val="00043E9E"/>
    <w:rsid w:val="00044105"/>
    <w:rsid w:val="00044AFE"/>
    <w:rsid w:val="000453FB"/>
    <w:rsid w:val="00045B87"/>
    <w:rsid w:val="000460CC"/>
    <w:rsid w:val="000466D3"/>
    <w:rsid w:val="000467D4"/>
    <w:rsid w:val="00046849"/>
    <w:rsid w:val="0004756D"/>
    <w:rsid w:val="000506A7"/>
    <w:rsid w:val="000506B5"/>
    <w:rsid w:val="000515C3"/>
    <w:rsid w:val="00051E8E"/>
    <w:rsid w:val="00052C07"/>
    <w:rsid w:val="00052D68"/>
    <w:rsid w:val="00053355"/>
    <w:rsid w:val="00053C22"/>
    <w:rsid w:val="00054002"/>
    <w:rsid w:val="0005431B"/>
    <w:rsid w:val="00054600"/>
    <w:rsid w:val="0005467B"/>
    <w:rsid w:val="00055561"/>
    <w:rsid w:val="00055576"/>
    <w:rsid w:val="00055CC1"/>
    <w:rsid w:val="00055E82"/>
    <w:rsid w:val="000563D2"/>
    <w:rsid w:val="00056901"/>
    <w:rsid w:val="00056E26"/>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4D0"/>
    <w:rsid w:val="00071027"/>
    <w:rsid w:val="00071704"/>
    <w:rsid w:val="000717C1"/>
    <w:rsid w:val="00071A23"/>
    <w:rsid w:val="00072251"/>
    <w:rsid w:val="00072775"/>
    <w:rsid w:val="00073128"/>
    <w:rsid w:val="00073EAD"/>
    <w:rsid w:val="00074502"/>
    <w:rsid w:val="00075402"/>
    <w:rsid w:val="0007600C"/>
    <w:rsid w:val="000767A4"/>
    <w:rsid w:val="00076CEA"/>
    <w:rsid w:val="00077262"/>
    <w:rsid w:val="00077A8F"/>
    <w:rsid w:val="00077DA4"/>
    <w:rsid w:val="00077E4B"/>
    <w:rsid w:val="000800D1"/>
    <w:rsid w:val="00080205"/>
    <w:rsid w:val="00080C3F"/>
    <w:rsid w:val="0008142D"/>
    <w:rsid w:val="00081FCD"/>
    <w:rsid w:val="00083B0D"/>
    <w:rsid w:val="000845C1"/>
    <w:rsid w:val="000859E9"/>
    <w:rsid w:val="00085B4B"/>
    <w:rsid w:val="0008682A"/>
    <w:rsid w:val="00087420"/>
    <w:rsid w:val="00087CE3"/>
    <w:rsid w:val="000900F8"/>
    <w:rsid w:val="00090AA8"/>
    <w:rsid w:val="00091503"/>
    <w:rsid w:val="0009207D"/>
    <w:rsid w:val="00092283"/>
    <w:rsid w:val="0009233A"/>
    <w:rsid w:val="000923FE"/>
    <w:rsid w:val="000925CB"/>
    <w:rsid w:val="00093365"/>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C7A"/>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972"/>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68CA"/>
    <w:rsid w:val="000C72F3"/>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5F85"/>
    <w:rsid w:val="000D6594"/>
    <w:rsid w:val="000D6784"/>
    <w:rsid w:val="000D6EAF"/>
    <w:rsid w:val="000E096C"/>
    <w:rsid w:val="000E0C06"/>
    <w:rsid w:val="000E0C48"/>
    <w:rsid w:val="000E0D7D"/>
    <w:rsid w:val="000E0F48"/>
    <w:rsid w:val="000E10A7"/>
    <w:rsid w:val="000E1347"/>
    <w:rsid w:val="000E164B"/>
    <w:rsid w:val="000E1D07"/>
    <w:rsid w:val="000E2AD7"/>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7133"/>
    <w:rsid w:val="000F7DDD"/>
    <w:rsid w:val="001002D2"/>
    <w:rsid w:val="0010032E"/>
    <w:rsid w:val="0010047E"/>
    <w:rsid w:val="00100BF3"/>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1F7"/>
    <w:rsid w:val="0011174A"/>
    <w:rsid w:val="001121F0"/>
    <w:rsid w:val="001128BA"/>
    <w:rsid w:val="001129AD"/>
    <w:rsid w:val="00113574"/>
    <w:rsid w:val="001137FC"/>
    <w:rsid w:val="00113C02"/>
    <w:rsid w:val="001150CC"/>
    <w:rsid w:val="00116832"/>
    <w:rsid w:val="00116F43"/>
    <w:rsid w:val="00117AAD"/>
    <w:rsid w:val="00120214"/>
    <w:rsid w:val="001205AB"/>
    <w:rsid w:val="00121512"/>
    <w:rsid w:val="00122266"/>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3070"/>
    <w:rsid w:val="00133213"/>
    <w:rsid w:val="00133344"/>
    <w:rsid w:val="00133672"/>
    <w:rsid w:val="00133C73"/>
    <w:rsid w:val="00134361"/>
    <w:rsid w:val="00134493"/>
    <w:rsid w:val="00134692"/>
    <w:rsid w:val="00134A0E"/>
    <w:rsid w:val="00134EE0"/>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43E3"/>
    <w:rsid w:val="001448E0"/>
    <w:rsid w:val="00145162"/>
    <w:rsid w:val="00145C1F"/>
    <w:rsid w:val="00146CE2"/>
    <w:rsid w:val="00146D63"/>
    <w:rsid w:val="001473E4"/>
    <w:rsid w:val="001507AF"/>
    <w:rsid w:val="00150919"/>
    <w:rsid w:val="0015114D"/>
    <w:rsid w:val="0015172A"/>
    <w:rsid w:val="00151E40"/>
    <w:rsid w:val="001523BF"/>
    <w:rsid w:val="00152858"/>
    <w:rsid w:val="001530D4"/>
    <w:rsid w:val="001531DC"/>
    <w:rsid w:val="0015397B"/>
    <w:rsid w:val="00153D28"/>
    <w:rsid w:val="00153D43"/>
    <w:rsid w:val="00154200"/>
    <w:rsid w:val="00155A27"/>
    <w:rsid w:val="00155C39"/>
    <w:rsid w:val="00155C4C"/>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25C"/>
    <w:rsid w:val="00165813"/>
    <w:rsid w:val="00165B5F"/>
    <w:rsid w:val="00166538"/>
    <w:rsid w:val="00166628"/>
    <w:rsid w:val="00166B23"/>
    <w:rsid w:val="0016707E"/>
    <w:rsid w:val="001672D8"/>
    <w:rsid w:val="0017077F"/>
    <w:rsid w:val="0017083A"/>
    <w:rsid w:val="001709FB"/>
    <w:rsid w:val="00170A17"/>
    <w:rsid w:val="00170BAD"/>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F02"/>
    <w:rsid w:val="001753A4"/>
    <w:rsid w:val="0017576A"/>
    <w:rsid w:val="001757A3"/>
    <w:rsid w:val="00175CAB"/>
    <w:rsid w:val="00176630"/>
    <w:rsid w:val="00176664"/>
    <w:rsid w:val="00176E36"/>
    <w:rsid w:val="0017740A"/>
    <w:rsid w:val="00177E59"/>
    <w:rsid w:val="00180706"/>
    <w:rsid w:val="0018148F"/>
    <w:rsid w:val="0018291E"/>
    <w:rsid w:val="00183779"/>
    <w:rsid w:val="0018488A"/>
    <w:rsid w:val="00184D84"/>
    <w:rsid w:val="001854D6"/>
    <w:rsid w:val="0018575F"/>
    <w:rsid w:val="001857CC"/>
    <w:rsid w:val="001862A6"/>
    <w:rsid w:val="001865B7"/>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A41"/>
    <w:rsid w:val="00193F9C"/>
    <w:rsid w:val="001941B6"/>
    <w:rsid w:val="0019468A"/>
    <w:rsid w:val="001947C6"/>
    <w:rsid w:val="00194A16"/>
    <w:rsid w:val="00196198"/>
    <w:rsid w:val="00196291"/>
    <w:rsid w:val="001962D7"/>
    <w:rsid w:val="001963D5"/>
    <w:rsid w:val="001970DE"/>
    <w:rsid w:val="00197406"/>
    <w:rsid w:val="00197D68"/>
    <w:rsid w:val="001A0060"/>
    <w:rsid w:val="001A02BA"/>
    <w:rsid w:val="001A02BE"/>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47DB"/>
    <w:rsid w:val="001A4AF1"/>
    <w:rsid w:val="001A5012"/>
    <w:rsid w:val="001A54E9"/>
    <w:rsid w:val="001A574C"/>
    <w:rsid w:val="001A5978"/>
    <w:rsid w:val="001A5F28"/>
    <w:rsid w:val="001A66D9"/>
    <w:rsid w:val="001A68FC"/>
    <w:rsid w:val="001A6C51"/>
    <w:rsid w:val="001A6C7D"/>
    <w:rsid w:val="001A77BC"/>
    <w:rsid w:val="001A7CC4"/>
    <w:rsid w:val="001B01BF"/>
    <w:rsid w:val="001B0624"/>
    <w:rsid w:val="001B07A8"/>
    <w:rsid w:val="001B112A"/>
    <w:rsid w:val="001B1775"/>
    <w:rsid w:val="001B2603"/>
    <w:rsid w:val="001B2907"/>
    <w:rsid w:val="001B2C71"/>
    <w:rsid w:val="001B2D19"/>
    <w:rsid w:val="001B2D97"/>
    <w:rsid w:val="001B44AC"/>
    <w:rsid w:val="001B457D"/>
    <w:rsid w:val="001B61DE"/>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FAD"/>
    <w:rsid w:val="001D1910"/>
    <w:rsid w:val="001D1A58"/>
    <w:rsid w:val="001D1E59"/>
    <w:rsid w:val="001D2042"/>
    <w:rsid w:val="001D23DF"/>
    <w:rsid w:val="001D2BE6"/>
    <w:rsid w:val="001D3B61"/>
    <w:rsid w:val="001D3DCE"/>
    <w:rsid w:val="001D512F"/>
    <w:rsid w:val="001D5209"/>
    <w:rsid w:val="001D5362"/>
    <w:rsid w:val="001D58DB"/>
    <w:rsid w:val="001D5ACD"/>
    <w:rsid w:val="001D5B90"/>
    <w:rsid w:val="001D68F4"/>
    <w:rsid w:val="001E03F4"/>
    <w:rsid w:val="001E0802"/>
    <w:rsid w:val="001E0F20"/>
    <w:rsid w:val="001E0F3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F1507"/>
    <w:rsid w:val="001F1830"/>
    <w:rsid w:val="001F1FF0"/>
    <w:rsid w:val="001F259A"/>
    <w:rsid w:val="001F269F"/>
    <w:rsid w:val="001F318E"/>
    <w:rsid w:val="001F3905"/>
    <w:rsid w:val="001F3A52"/>
    <w:rsid w:val="001F3B9C"/>
    <w:rsid w:val="001F3C4D"/>
    <w:rsid w:val="001F3F9C"/>
    <w:rsid w:val="001F45AE"/>
    <w:rsid w:val="001F52F2"/>
    <w:rsid w:val="001F556E"/>
    <w:rsid w:val="001F5E39"/>
    <w:rsid w:val="001F6053"/>
    <w:rsid w:val="001F6517"/>
    <w:rsid w:val="001F7070"/>
    <w:rsid w:val="001F7DA1"/>
    <w:rsid w:val="00200462"/>
    <w:rsid w:val="00200B67"/>
    <w:rsid w:val="002011C3"/>
    <w:rsid w:val="0020163D"/>
    <w:rsid w:val="002016D1"/>
    <w:rsid w:val="00201952"/>
    <w:rsid w:val="00201B2C"/>
    <w:rsid w:val="00201BF9"/>
    <w:rsid w:val="00201C10"/>
    <w:rsid w:val="0020247F"/>
    <w:rsid w:val="002026FC"/>
    <w:rsid w:val="00203BCD"/>
    <w:rsid w:val="002045E5"/>
    <w:rsid w:val="0020475F"/>
    <w:rsid w:val="00204975"/>
    <w:rsid w:val="00204E2F"/>
    <w:rsid w:val="00205544"/>
    <w:rsid w:val="002066DB"/>
    <w:rsid w:val="00206889"/>
    <w:rsid w:val="0020690B"/>
    <w:rsid w:val="00207281"/>
    <w:rsid w:val="002074A2"/>
    <w:rsid w:val="002074D0"/>
    <w:rsid w:val="002074DE"/>
    <w:rsid w:val="00207590"/>
    <w:rsid w:val="002075B2"/>
    <w:rsid w:val="002116D9"/>
    <w:rsid w:val="0021190D"/>
    <w:rsid w:val="00211E03"/>
    <w:rsid w:val="002120D4"/>
    <w:rsid w:val="002124C2"/>
    <w:rsid w:val="002128A0"/>
    <w:rsid w:val="0021425C"/>
    <w:rsid w:val="00214683"/>
    <w:rsid w:val="00214A81"/>
    <w:rsid w:val="00214F7B"/>
    <w:rsid w:val="0021516B"/>
    <w:rsid w:val="002155E2"/>
    <w:rsid w:val="00216D65"/>
    <w:rsid w:val="00217E11"/>
    <w:rsid w:val="0022072E"/>
    <w:rsid w:val="0022082D"/>
    <w:rsid w:val="00220D58"/>
    <w:rsid w:val="00221C1C"/>
    <w:rsid w:val="00221C4F"/>
    <w:rsid w:val="00221E1F"/>
    <w:rsid w:val="00222DFE"/>
    <w:rsid w:val="002239BC"/>
    <w:rsid w:val="00223E47"/>
    <w:rsid w:val="002247A8"/>
    <w:rsid w:val="002249A5"/>
    <w:rsid w:val="00224BE6"/>
    <w:rsid w:val="00225780"/>
    <w:rsid w:val="00225ED0"/>
    <w:rsid w:val="00226101"/>
    <w:rsid w:val="002270E1"/>
    <w:rsid w:val="00227D7B"/>
    <w:rsid w:val="00227E2A"/>
    <w:rsid w:val="00227F45"/>
    <w:rsid w:val="00227FCF"/>
    <w:rsid w:val="002303AA"/>
    <w:rsid w:val="00230848"/>
    <w:rsid w:val="00230FF8"/>
    <w:rsid w:val="0023192F"/>
    <w:rsid w:val="002325B4"/>
    <w:rsid w:val="00232EAC"/>
    <w:rsid w:val="002339C8"/>
    <w:rsid w:val="00233DEB"/>
    <w:rsid w:val="00233EC7"/>
    <w:rsid w:val="00234177"/>
    <w:rsid w:val="00234E8E"/>
    <w:rsid w:val="00234FC6"/>
    <w:rsid w:val="00235BB1"/>
    <w:rsid w:val="00235D12"/>
    <w:rsid w:val="00236059"/>
    <w:rsid w:val="00236A08"/>
    <w:rsid w:val="00237033"/>
    <w:rsid w:val="00237A6F"/>
    <w:rsid w:val="00237ED7"/>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E6A"/>
    <w:rsid w:val="0025138A"/>
    <w:rsid w:val="00251AA5"/>
    <w:rsid w:val="00251C58"/>
    <w:rsid w:val="002533B3"/>
    <w:rsid w:val="00253B42"/>
    <w:rsid w:val="002546CB"/>
    <w:rsid w:val="00255F48"/>
    <w:rsid w:val="002563D1"/>
    <w:rsid w:val="0025698D"/>
    <w:rsid w:val="002569E9"/>
    <w:rsid w:val="00256C1F"/>
    <w:rsid w:val="00256CEF"/>
    <w:rsid w:val="002571B3"/>
    <w:rsid w:val="002577E5"/>
    <w:rsid w:val="00260586"/>
    <w:rsid w:val="00260B9E"/>
    <w:rsid w:val="00262C68"/>
    <w:rsid w:val="0026487A"/>
    <w:rsid w:val="00264928"/>
    <w:rsid w:val="002652F3"/>
    <w:rsid w:val="00265354"/>
    <w:rsid w:val="00266362"/>
    <w:rsid w:val="00266F0D"/>
    <w:rsid w:val="00266F33"/>
    <w:rsid w:val="00266F4B"/>
    <w:rsid w:val="0026709A"/>
    <w:rsid w:val="0026782E"/>
    <w:rsid w:val="00267D74"/>
    <w:rsid w:val="00270221"/>
    <w:rsid w:val="00270FAB"/>
    <w:rsid w:val="00271A34"/>
    <w:rsid w:val="002727FF"/>
    <w:rsid w:val="002732E5"/>
    <w:rsid w:val="002737B9"/>
    <w:rsid w:val="00273AF1"/>
    <w:rsid w:val="002742B2"/>
    <w:rsid w:val="00274954"/>
    <w:rsid w:val="00274FB8"/>
    <w:rsid w:val="00275657"/>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E93"/>
    <w:rsid w:val="0028329A"/>
    <w:rsid w:val="00285104"/>
    <w:rsid w:val="0028515F"/>
    <w:rsid w:val="002854DA"/>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600"/>
    <w:rsid w:val="002B40F8"/>
    <w:rsid w:val="002B4497"/>
    <w:rsid w:val="002B52E1"/>
    <w:rsid w:val="002B54F2"/>
    <w:rsid w:val="002B560F"/>
    <w:rsid w:val="002B5FFD"/>
    <w:rsid w:val="002B64A5"/>
    <w:rsid w:val="002B64E7"/>
    <w:rsid w:val="002B6A22"/>
    <w:rsid w:val="002B6FEC"/>
    <w:rsid w:val="002B7015"/>
    <w:rsid w:val="002B7052"/>
    <w:rsid w:val="002B7863"/>
    <w:rsid w:val="002B79CB"/>
    <w:rsid w:val="002B7F75"/>
    <w:rsid w:val="002C04D0"/>
    <w:rsid w:val="002C0ED1"/>
    <w:rsid w:val="002C10F6"/>
    <w:rsid w:val="002C1493"/>
    <w:rsid w:val="002C18AB"/>
    <w:rsid w:val="002C341F"/>
    <w:rsid w:val="002C37A2"/>
    <w:rsid w:val="002C42C8"/>
    <w:rsid w:val="002C485D"/>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8DA"/>
    <w:rsid w:val="002D3BBF"/>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142A"/>
    <w:rsid w:val="002E1D0C"/>
    <w:rsid w:val="002E1EFF"/>
    <w:rsid w:val="002E214C"/>
    <w:rsid w:val="002E2391"/>
    <w:rsid w:val="002E2E9C"/>
    <w:rsid w:val="002E32C2"/>
    <w:rsid w:val="002E3546"/>
    <w:rsid w:val="002E480C"/>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110E"/>
    <w:rsid w:val="002F15FC"/>
    <w:rsid w:val="002F1E52"/>
    <w:rsid w:val="002F1F5F"/>
    <w:rsid w:val="002F2837"/>
    <w:rsid w:val="002F2B58"/>
    <w:rsid w:val="002F34B2"/>
    <w:rsid w:val="002F40CC"/>
    <w:rsid w:val="002F4533"/>
    <w:rsid w:val="002F49DB"/>
    <w:rsid w:val="002F4D98"/>
    <w:rsid w:val="002F566D"/>
    <w:rsid w:val="002F60E8"/>
    <w:rsid w:val="002F637B"/>
    <w:rsid w:val="002F6A88"/>
    <w:rsid w:val="002F6C5E"/>
    <w:rsid w:val="002F751E"/>
    <w:rsid w:val="002F7642"/>
    <w:rsid w:val="002F7C2B"/>
    <w:rsid w:val="002F7F97"/>
    <w:rsid w:val="00300CAD"/>
    <w:rsid w:val="00301FC1"/>
    <w:rsid w:val="0030258E"/>
    <w:rsid w:val="0030262A"/>
    <w:rsid w:val="00303446"/>
    <w:rsid w:val="00303488"/>
    <w:rsid w:val="00304217"/>
    <w:rsid w:val="00304358"/>
    <w:rsid w:val="0030473E"/>
    <w:rsid w:val="00305375"/>
    <w:rsid w:val="00305706"/>
    <w:rsid w:val="00305C99"/>
    <w:rsid w:val="00306C18"/>
    <w:rsid w:val="00306ED7"/>
    <w:rsid w:val="00307683"/>
    <w:rsid w:val="003079CA"/>
    <w:rsid w:val="003102B6"/>
    <w:rsid w:val="003103A2"/>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6284"/>
    <w:rsid w:val="00316624"/>
    <w:rsid w:val="0031754B"/>
    <w:rsid w:val="0031788D"/>
    <w:rsid w:val="003179BE"/>
    <w:rsid w:val="00317F93"/>
    <w:rsid w:val="0032013A"/>
    <w:rsid w:val="00320E5A"/>
    <w:rsid w:val="00320F80"/>
    <w:rsid w:val="00321C61"/>
    <w:rsid w:val="0032223E"/>
    <w:rsid w:val="00322CD2"/>
    <w:rsid w:val="00323923"/>
    <w:rsid w:val="00324100"/>
    <w:rsid w:val="00324147"/>
    <w:rsid w:val="003250FB"/>
    <w:rsid w:val="00325209"/>
    <w:rsid w:val="00325609"/>
    <w:rsid w:val="003258AF"/>
    <w:rsid w:val="00326457"/>
    <w:rsid w:val="00326B35"/>
    <w:rsid w:val="003271F3"/>
    <w:rsid w:val="00327CFF"/>
    <w:rsid w:val="00327D59"/>
    <w:rsid w:val="00327E2F"/>
    <w:rsid w:val="00330783"/>
    <w:rsid w:val="003307EB"/>
    <w:rsid w:val="0033158B"/>
    <w:rsid w:val="00331A57"/>
    <w:rsid w:val="00331EAE"/>
    <w:rsid w:val="0033241B"/>
    <w:rsid w:val="003331C0"/>
    <w:rsid w:val="00333580"/>
    <w:rsid w:val="00333906"/>
    <w:rsid w:val="00333C0F"/>
    <w:rsid w:val="00334538"/>
    <w:rsid w:val="00334B16"/>
    <w:rsid w:val="00335248"/>
    <w:rsid w:val="003354E4"/>
    <w:rsid w:val="0033554E"/>
    <w:rsid w:val="0033587A"/>
    <w:rsid w:val="0033621E"/>
    <w:rsid w:val="0033622A"/>
    <w:rsid w:val="003364DA"/>
    <w:rsid w:val="00337D02"/>
    <w:rsid w:val="0034024E"/>
    <w:rsid w:val="003406A1"/>
    <w:rsid w:val="00340786"/>
    <w:rsid w:val="00340AD7"/>
    <w:rsid w:val="00341013"/>
    <w:rsid w:val="003412E2"/>
    <w:rsid w:val="0034140A"/>
    <w:rsid w:val="0034142C"/>
    <w:rsid w:val="00341D5E"/>
    <w:rsid w:val="00341EC8"/>
    <w:rsid w:val="00341F3B"/>
    <w:rsid w:val="00342C10"/>
    <w:rsid w:val="00343ABB"/>
    <w:rsid w:val="00343B11"/>
    <w:rsid w:val="00343D8F"/>
    <w:rsid w:val="00344BE8"/>
    <w:rsid w:val="00344E7D"/>
    <w:rsid w:val="0034536A"/>
    <w:rsid w:val="00345464"/>
    <w:rsid w:val="00345B0A"/>
    <w:rsid w:val="00345C4B"/>
    <w:rsid w:val="00345D0B"/>
    <w:rsid w:val="00345D8C"/>
    <w:rsid w:val="00346B16"/>
    <w:rsid w:val="00350266"/>
    <w:rsid w:val="0035036E"/>
    <w:rsid w:val="00350400"/>
    <w:rsid w:val="003505CF"/>
    <w:rsid w:val="003507C5"/>
    <w:rsid w:val="00350917"/>
    <w:rsid w:val="00350A75"/>
    <w:rsid w:val="003511EB"/>
    <w:rsid w:val="00351336"/>
    <w:rsid w:val="00351E8D"/>
    <w:rsid w:val="0035223A"/>
    <w:rsid w:val="003532E3"/>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69B"/>
    <w:rsid w:val="00361879"/>
    <w:rsid w:val="00361C94"/>
    <w:rsid w:val="00362EE0"/>
    <w:rsid w:val="00363575"/>
    <w:rsid w:val="00363EB6"/>
    <w:rsid w:val="00364631"/>
    <w:rsid w:val="00364784"/>
    <w:rsid w:val="003647DF"/>
    <w:rsid w:val="00364827"/>
    <w:rsid w:val="003652E9"/>
    <w:rsid w:val="00366612"/>
    <w:rsid w:val="00366A1E"/>
    <w:rsid w:val="00366E8C"/>
    <w:rsid w:val="003676D6"/>
    <w:rsid w:val="00367940"/>
    <w:rsid w:val="00367FDA"/>
    <w:rsid w:val="00370483"/>
    <w:rsid w:val="00370536"/>
    <w:rsid w:val="003723FB"/>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80466"/>
    <w:rsid w:val="00380747"/>
    <w:rsid w:val="00380B80"/>
    <w:rsid w:val="00380CE0"/>
    <w:rsid w:val="0038171A"/>
    <w:rsid w:val="00382029"/>
    <w:rsid w:val="0038250F"/>
    <w:rsid w:val="0038303F"/>
    <w:rsid w:val="00383A20"/>
    <w:rsid w:val="00383E99"/>
    <w:rsid w:val="00384211"/>
    <w:rsid w:val="00385151"/>
    <w:rsid w:val="00385E25"/>
    <w:rsid w:val="003864FC"/>
    <w:rsid w:val="00386B32"/>
    <w:rsid w:val="00387160"/>
    <w:rsid w:val="00387B4F"/>
    <w:rsid w:val="00387ED7"/>
    <w:rsid w:val="003904F4"/>
    <w:rsid w:val="00391C83"/>
    <w:rsid w:val="003934B9"/>
    <w:rsid w:val="003934C7"/>
    <w:rsid w:val="00394AD3"/>
    <w:rsid w:val="00394BAF"/>
    <w:rsid w:val="00395519"/>
    <w:rsid w:val="00395CC5"/>
    <w:rsid w:val="003962D1"/>
    <w:rsid w:val="00396367"/>
    <w:rsid w:val="003963E6"/>
    <w:rsid w:val="003964C9"/>
    <w:rsid w:val="00396975"/>
    <w:rsid w:val="00396B0F"/>
    <w:rsid w:val="00396BE7"/>
    <w:rsid w:val="00397688"/>
    <w:rsid w:val="00397FD3"/>
    <w:rsid w:val="003A1533"/>
    <w:rsid w:val="003A1EFA"/>
    <w:rsid w:val="003A2C4D"/>
    <w:rsid w:val="003A2F7A"/>
    <w:rsid w:val="003A2FC4"/>
    <w:rsid w:val="003A34C1"/>
    <w:rsid w:val="003A3FCA"/>
    <w:rsid w:val="003A4151"/>
    <w:rsid w:val="003A434B"/>
    <w:rsid w:val="003A4571"/>
    <w:rsid w:val="003A4CEF"/>
    <w:rsid w:val="003A508F"/>
    <w:rsid w:val="003A51F3"/>
    <w:rsid w:val="003A5696"/>
    <w:rsid w:val="003A5803"/>
    <w:rsid w:val="003A649E"/>
    <w:rsid w:val="003A7A99"/>
    <w:rsid w:val="003B006E"/>
    <w:rsid w:val="003B093A"/>
    <w:rsid w:val="003B1118"/>
    <w:rsid w:val="003B1CB8"/>
    <w:rsid w:val="003B2AD6"/>
    <w:rsid w:val="003B2B5A"/>
    <w:rsid w:val="003B2D67"/>
    <w:rsid w:val="003B36AA"/>
    <w:rsid w:val="003B36FF"/>
    <w:rsid w:val="003B373E"/>
    <w:rsid w:val="003B3873"/>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15F6"/>
    <w:rsid w:val="003C1672"/>
    <w:rsid w:val="003C1BA7"/>
    <w:rsid w:val="003C1F7F"/>
    <w:rsid w:val="003C2853"/>
    <w:rsid w:val="003C285C"/>
    <w:rsid w:val="003C2C8B"/>
    <w:rsid w:val="003C31CE"/>
    <w:rsid w:val="003C31F3"/>
    <w:rsid w:val="003C3601"/>
    <w:rsid w:val="003C441C"/>
    <w:rsid w:val="003C47D5"/>
    <w:rsid w:val="003C4F5A"/>
    <w:rsid w:val="003C51B8"/>
    <w:rsid w:val="003C5758"/>
    <w:rsid w:val="003C6717"/>
    <w:rsid w:val="003C690D"/>
    <w:rsid w:val="003C77C4"/>
    <w:rsid w:val="003C7B76"/>
    <w:rsid w:val="003D06F2"/>
    <w:rsid w:val="003D0E0F"/>
    <w:rsid w:val="003D1369"/>
    <w:rsid w:val="003D1ED0"/>
    <w:rsid w:val="003D21C5"/>
    <w:rsid w:val="003D2CC2"/>
    <w:rsid w:val="003D2DA8"/>
    <w:rsid w:val="003D3D13"/>
    <w:rsid w:val="003D3D92"/>
    <w:rsid w:val="003D3FD9"/>
    <w:rsid w:val="003D443D"/>
    <w:rsid w:val="003D4521"/>
    <w:rsid w:val="003D507D"/>
    <w:rsid w:val="003D5878"/>
    <w:rsid w:val="003D5E0D"/>
    <w:rsid w:val="003D6049"/>
    <w:rsid w:val="003D667A"/>
    <w:rsid w:val="003D6BC9"/>
    <w:rsid w:val="003D6EC3"/>
    <w:rsid w:val="003D7E5C"/>
    <w:rsid w:val="003E03E4"/>
    <w:rsid w:val="003E05BF"/>
    <w:rsid w:val="003E06EF"/>
    <w:rsid w:val="003E11A7"/>
    <w:rsid w:val="003E18E5"/>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A4A"/>
    <w:rsid w:val="003F1034"/>
    <w:rsid w:val="003F2AFD"/>
    <w:rsid w:val="003F327D"/>
    <w:rsid w:val="003F380F"/>
    <w:rsid w:val="003F4D38"/>
    <w:rsid w:val="003F5351"/>
    <w:rsid w:val="003F54BD"/>
    <w:rsid w:val="003F5CFB"/>
    <w:rsid w:val="003F5D27"/>
    <w:rsid w:val="003F5EE6"/>
    <w:rsid w:val="003F6177"/>
    <w:rsid w:val="003F6798"/>
    <w:rsid w:val="003F6EA7"/>
    <w:rsid w:val="003F7368"/>
    <w:rsid w:val="003F73F5"/>
    <w:rsid w:val="003F7827"/>
    <w:rsid w:val="003F7ECB"/>
    <w:rsid w:val="00400419"/>
    <w:rsid w:val="004008FA"/>
    <w:rsid w:val="0040092E"/>
    <w:rsid w:val="00401089"/>
    <w:rsid w:val="00401FA5"/>
    <w:rsid w:val="00403221"/>
    <w:rsid w:val="004035CC"/>
    <w:rsid w:val="00403610"/>
    <w:rsid w:val="00404563"/>
    <w:rsid w:val="004048A1"/>
    <w:rsid w:val="004058F4"/>
    <w:rsid w:val="0040599B"/>
    <w:rsid w:val="00405FAE"/>
    <w:rsid w:val="00406205"/>
    <w:rsid w:val="00406380"/>
    <w:rsid w:val="0040682E"/>
    <w:rsid w:val="00407261"/>
    <w:rsid w:val="00407574"/>
    <w:rsid w:val="004076C4"/>
    <w:rsid w:val="00407A69"/>
    <w:rsid w:val="004104C9"/>
    <w:rsid w:val="00410B19"/>
    <w:rsid w:val="00410BFD"/>
    <w:rsid w:val="004114B1"/>
    <w:rsid w:val="00411C36"/>
    <w:rsid w:val="00412169"/>
    <w:rsid w:val="004126BE"/>
    <w:rsid w:val="004126D7"/>
    <w:rsid w:val="0041270B"/>
    <w:rsid w:val="0041282A"/>
    <w:rsid w:val="00412888"/>
    <w:rsid w:val="0041331C"/>
    <w:rsid w:val="004135DB"/>
    <w:rsid w:val="00413ACA"/>
    <w:rsid w:val="0041421A"/>
    <w:rsid w:val="00414BE7"/>
    <w:rsid w:val="00414FBC"/>
    <w:rsid w:val="00415487"/>
    <w:rsid w:val="00415897"/>
    <w:rsid w:val="004161FA"/>
    <w:rsid w:val="0041628F"/>
    <w:rsid w:val="00416599"/>
    <w:rsid w:val="004165BD"/>
    <w:rsid w:val="004168DD"/>
    <w:rsid w:val="00416C6C"/>
    <w:rsid w:val="00420432"/>
    <w:rsid w:val="00420796"/>
    <w:rsid w:val="0042079E"/>
    <w:rsid w:val="00420D05"/>
    <w:rsid w:val="0042101A"/>
    <w:rsid w:val="004211B8"/>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81"/>
    <w:rsid w:val="00433CCA"/>
    <w:rsid w:val="004341AA"/>
    <w:rsid w:val="00434257"/>
    <w:rsid w:val="00435799"/>
    <w:rsid w:val="00435984"/>
    <w:rsid w:val="0043638A"/>
    <w:rsid w:val="0043660F"/>
    <w:rsid w:val="00436732"/>
    <w:rsid w:val="00436AD6"/>
    <w:rsid w:val="00436CD9"/>
    <w:rsid w:val="00436FDA"/>
    <w:rsid w:val="0043702B"/>
    <w:rsid w:val="00437B7E"/>
    <w:rsid w:val="004403D8"/>
    <w:rsid w:val="00440447"/>
    <w:rsid w:val="00440C0F"/>
    <w:rsid w:val="00440E48"/>
    <w:rsid w:val="00440F15"/>
    <w:rsid w:val="00443055"/>
    <w:rsid w:val="004432B3"/>
    <w:rsid w:val="004434D2"/>
    <w:rsid w:val="00443892"/>
    <w:rsid w:val="004439DC"/>
    <w:rsid w:val="00444936"/>
    <w:rsid w:val="00444B7F"/>
    <w:rsid w:val="00445263"/>
    <w:rsid w:val="00445E61"/>
    <w:rsid w:val="00446BD5"/>
    <w:rsid w:val="00446DC6"/>
    <w:rsid w:val="00446FB3"/>
    <w:rsid w:val="0044729E"/>
    <w:rsid w:val="0044747C"/>
    <w:rsid w:val="004501F4"/>
    <w:rsid w:val="004506E9"/>
    <w:rsid w:val="00450745"/>
    <w:rsid w:val="00450875"/>
    <w:rsid w:val="0045154A"/>
    <w:rsid w:val="00451981"/>
    <w:rsid w:val="0045292C"/>
    <w:rsid w:val="0045415E"/>
    <w:rsid w:val="00454D65"/>
    <w:rsid w:val="00455302"/>
    <w:rsid w:val="00455443"/>
    <w:rsid w:val="00455BF0"/>
    <w:rsid w:val="0045647B"/>
    <w:rsid w:val="00456493"/>
    <w:rsid w:val="004567A8"/>
    <w:rsid w:val="00456D78"/>
    <w:rsid w:val="00456F48"/>
    <w:rsid w:val="004573F4"/>
    <w:rsid w:val="00457C60"/>
    <w:rsid w:val="00460340"/>
    <w:rsid w:val="00460447"/>
    <w:rsid w:val="0046214D"/>
    <w:rsid w:val="00462902"/>
    <w:rsid w:val="00462A10"/>
    <w:rsid w:val="00462D1D"/>
    <w:rsid w:val="00463EF5"/>
    <w:rsid w:val="00464185"/>
    <w:rsid w:val="004646FE"/>
    <w:rsid w:val="00464840"/>
    <w:rsid w:val="0046534A"/>
    <w:rsid w:val="004653D9"/>
    <w:rsid w:val="00465B94"/>
    <w:rsid w:val="00467004"/>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EA6"/>
    <w:rsid w:val="00480FC4"/>
    <w:rsid w:val="0048148B"/>
    <w:rsid w:val="00481832"/>
    <w:rsid w:val="00482102"/>
    <w:rsid w:val="00482923"/>
    <w:rsid w:val="00482B01"/>
    <w:rsid w:val="00483F3B"/>
    <w:rsid w:val="00484D75"/>
    <w:rsid w:val="0048507C"/>
    <w:rsid w:val="00485124"/>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A09DC"/>
    <w:rsid w:val="004A0BA5"/>
    <w:rsid w:val="004A0C0F"/>
    <w:rsid w:val="004A19F6"/>
    <w:rsid w:val="004A26A8"/>
    <w:rsid w:val="004A2BDD"/>
    <w:rsid w:val="004A2F66"/>
    <w:rsid w:val="004A312D"/>
    <w:rsid w:val="004A32E9"/>
    <w:rsid w:val="004A37DB"/>
    <w:rsid w:val="004A388E"/>
    <w:rsid w:val="004A3B31"/>
    <w:rsid w:val="004A4240"/>
    <w:rsid w:val="004A4F53"/>
    <w:rsid w:val="004A52EB"/>
    <w:rsid w:val="004A6052"/>
    <w:rsid w:val="004A6E8F"/>
    <w:rsid w:val="004A78DE"/>
    <w:rsid w:val="004B00A2"/>
    <w:rsid w:val="004B1B33"/>
    <w:rsid w:val="004B2626"/>
    <w:rsid w:val="004B2689"/>
    <w:rsid w:val="004B2AA5"/>
    <w:rsid w:val="004B33AE"/>
    <w:rsid w:val="004B452D"/>
    <w:rsid w:val="004B4602"/>
    <w:rsid w:val="004B4926"/>
    <w:rsid w:val="004B4C5B"/>
    <w:rsid w:val="004B5149"/>
    <w:rsid w:val="004B533D"/>
    <w:rsid w:val="004B5390"/>
    <w:rsid w:val="004B53AA"/>
    <w:rsid w:val="004B588B"/>
    <w:rsid w:val="004B5A43"/>
    <w:rsid w:val="004B5CFF"/>
    <w:rsid w:val="004B5F51"/>
    <w:rsid w:val="004B6006"/>
    <w:rsid w:val="004B67B9"/>
    <w:rsid w:val="004B6E7E"/>
    <w:rsid w:val="004B726F"/>
    <w:rsid w:val="004C0093"/>
    <w:rsid w:val="004C0C7C"/>
    <w:rsid w:val="004C108A"/>
    <w:rsid w:val="004C1640"/>
    <w:rsid w:val="004C1C26"/>
    <w:rsid w:val="004C38E6"/>
    <w:rsid w:val="004C39B1"/>
    <w:rsid w:val="004C3C36"/>
    <w:rsid w:val="004C3E53"/>
    <w:rsid w:val="004C40BB"/>
    <w:rsid w:val="004C44D9"/>
    <w:rsid w:val="004C4A1D"/>
    <w:rsid w:val="004C4A54"/>
    <w:rsid w:val="004C5000"/>
    <w:rsid w:val="004C52D6"/>
    <w:rsid w:val="004C65EA"/>
    <w:rsid w:val="004C6D4B"/>
    <w:rsid w:val="004C6D96"/>
    <w:rsid w:val="004C77F6"/>
    <w:rsid w:val="004C7D04"/>
    <w:rsid w:val="004D0168"/>
    <w:rsid w:val="004D03A6"/>
    <w:rsid w:val="004D0D4A"/>
    <w:rsid w:val="004D1BAD"/>
    <w:rsid w:val="004D1E32"/>
    <w:rsid w:val="004D2891"/>
    <w:rsid w:val="004D2C17"/>
    <w:rsid w:val="004D2D1A"/>
    <w:rsid w:val="004D30E1"/>
    <w:rsid w:val="004D45A5"/>
    <w:rsid w:val="004D46F3"/>
    <w:rsid w:val="004D49AA"/>
    <w:rsid w:val="004D4EDD"/>
    <w:rsid w:val="004D50DD"/>
    <w:rsid w:val="004D5376"/>
    <w:rsid w:val="004D5B54"/>
    <w:rsid w:val="004D61CF"/>
    <w:rsid w:val="004D63B3"/>
    <w:rsid w:val="004D6A5A"/>
    <w:rsid w:val="004D6B6A"/>
    <w:rsid w:val="004D6C99"/>
    <w:rsid w:val="004D6F2D"/>
    <w:rsid w:val="004E1FAC"/>
    <w:rsid w:val="004E31DC"/>
    <w:rsid w:val="004E38E0"/>
    <w:rsid w:val="004E3F13"/>
    <w:rsid w:val="004E4CA7"/>
    <w:rsid w:val="004E525E"/>
    <w:rsid w:val="004E5622"/>
    <w:rsid w:val="004E57D4"/>
    <w:rsid w:val="004E6066"/>
    <w:rsid w:val="004E61A1"/>
    <w:rsid w:val="004E62FF"/>
    <w:rsid w:val="004E6458"/>
    <w:rsid w:val="004E6C56"/>
    <w:rsid w:val="004E6EEA"/>
    <w:rsid w:val="004F032C"/>
    <w:rsid w:val="004F0A11"/>
    <w:rsid w:val="004F0B7A"/>
    <w:rsid w:val="004F1719"/>
    <w:rsid w:val="004F19FB"/>
    <w:rsid w:val="004F2642"/>
    <w:rsid w:val="004F2FEC"/>
    <w:rsid w:val="004F322C"/>
    <w:rsid w:val="004F3322"/>
    <w:rsid w:val="004F3323"/>
    <w:rsid w:val="004F398B"/>
    <w:rsid w:val="004F3C72"/>
    <w:rsid w:val="004F4C21"/>
    <w:rsid w:val="004F4DDD"/>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5001EC"/>
    <w:rsid w:val="005001FC"/>
    <w:rsid w:val="005003BF"/>
    <w:rsid w:val="0050047C"/>
    <w:rsid w:val="00500817"/>
    <w:rsid w:val="00501159"/>
    <w:rsid w:val="0050173D"/>
    <w:rsid w:val="005018D9"/>
    <w:rsid w:val="00501B31"/>
    <w:rsid w:val="0050248A"/>
    <w:rsid w:val="00502601"/>
    <w:rsid w:val="00502EDD"/>
    <w:rsid w:val="00503717"/>
    <w:rsid w:val="00503E26"/>
    <w:rsid w:val="0050528B"/>
    <w:rsid w:val="005052B8"/>
    <w:rsid w:val="005052F6"/>
    <w:rsid w:val="005055C0"/>
    <w:rsid w:val="00506014"/>
    <w:rsid w:val="005061BF"/>
    <w:rsid w:val="005062AA"/>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E90"/>
    <w:rsid w:val="0051460F"/>
    <w:rsid w:val="00514B13"/>
    <w:rsid w:val="00514BF7"/>
    <w:rsid w:val="00514F79"/>
    <w:rsid w:val="005150F8"/>
    <w:rsid w:val="00515225"/>
    <w:rsid w:val="005160B8"/>
    <w:rsid w:val="00516788"/>
    <w:rsid w:val="00516EE9"/>
    <w:rsid w:val="00516F30"/>
    <w:rsid w:val="00517079"/>
    <w:rsid w:val="005178A3"/>
    <w:rsid w:val="00517EEE"/>
    <w:rsid w:val="005201E3"/>
    <w:rsid w:val="00520908"/>
    <w:rsid w:val="00520F4D"/>
    <w:rsid w:val="00521668"/>
    <w:rsid w:val="00521B6B"/>
    <w:rsid w:val="00521D6C"/>
    <w:rsid w:val="00522644"/>
    <w:rsid w:val="00522C10"/>
    <w:rsid w:val="005239AB"/>
    <w:rsid w:val="0052419F"/>
    <w:rsid w:val="0052460B"/>
    <w:rsid w:val="00524BF1"/>
    <w:rsid w:val="00524C55"/>
    <w:rsid w:val="00525099"/>
    <w:rsid w:val="00526082"/>
    <w:rsid w:val="00526593"/>
    <w:rsid w:val="00530242"/>
    <w:rsid w:val="005308B9"/>
    <w:rsid w:val="0053098E"/>
    <w:rsid w:val="00530D55"/>
    <w:rsid w:val="00530E72"/>
    <w:rsid w:val="005317F6"/>
    <w:rsid w:val="00531F80"/>
    <w:rsid w:val="00532610"/>
    <w:rsid w:val="005328E3"/>
    <w:rsid w:val="00532B44"/>
    <w:rsid w:val="00532E39"/>
    <w:rsid w:val="00533305"/>
    <w:rsid w:val="00533398"/>
    <w:rsid w:val="00533A80"/>
    <w:rsid w:val="00534328"/>
    <w:rsid w:val="00534396"/>
    <w:rsid w:val="0053480B"/>
    <w:rsid w:val="00534AEF"/>
    <w:rsid w:val="005369BE"/>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3F95"/>
    <w:rsid w:val="00544EF6"/>
    <w:rsid w:val="005450AC"/>
    <w:rsid w:val="00545AC9"/>
    <w:rsid w:val="00546B50"/>
    <w:rsid w:val="00547417"/>
    <w:rsid w:val="005503B9"/>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F4A"/>
    <w:rsid w:val="005574FE"/>
    <w:rsid w:val="00557549"/>
    <w:rsid w:val="0055791B"/>
    <w:rsid w:val="00557C7F"/>
    <w:rsid w:val="0056002B"/>
    <w:rsid w:val="00560A8B"/>
    <w:rsid w:val="00560B12"/>
    <w:rsid w:val="00560C76"/>
    <w:rsid w:val="00561090"/>
    <w:rsid w:val="005615D9"/>
    <w:rsid w:val="00562347"/>
    <w:rsid w:val="00562480"/>
    <w:rsid w:val="00562688"/>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AE"/>
    <w:rsid w:val="005725B0"/>
    <w:rsid w:val="005725D8"/>
    <w:rsid w:val="00572B2E"/>
    <w:rsid w:val="00572EC0"/>
    <w:rsid w:val="0057317E"/>
    <w:rsid w:val="00573338"/>
    <w:rsid w:val="005736FB"/>
    <w:rsid w:val="00573F73"/>
    <w:rsid w:val="005740AD"/>
    <w:rsid w:val="00574B21"/>
    <w:rsid w:val="005757A0"/>
    <w:rsid w:val="005762AE"/>
    <w:rsid w:val="0057655A"/>
    <w:rsid w:val="0057679F"/>
    <w:rsid w:val="00576D20"/>
    <w:rsid w:val="00577408"/>
    <w:rsid w:val="00577552"/>
    <w:rsid w:val="00580C59"/>
    <w:rsid w:val="00580D09"/>
    <w:rsid w:val="005811EC"/>
    <w:rsid w:val="005818E1"/>
    <w:rsid w:val="00581C6B"/>
    <w:rsid w:val="00582109"/>
    <w:rsid w:val="0058267A"/>
    <w:rsid w:val="00582B7C"/>
    <w:rsid w:val="00582C13"/>
    <w:rsid w:val="00582CE7"/>
    <w:rsid w:val="00582D05"/>
    <w:rsid w:val="00582E72"/>
    <w:rsid w:val="00582E77"/>
    <w:rsid w:val="00582F9E"/>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904FB"/>
    <w:rsid w:val="00590521"/>
    <w:rsid w:val="00590F23"/>
    <w:rsid w:val="00591057"/>
    <w:rsid w:val="0059114D"/>
    <w:rsid w:val="005913B7"/>
    <w:rsid w:val="0059230F"/>
    <w:rsid w:val="0059241B"/>
    <w:rsid w:val="00592755"/>
    <w:rsid w:val="00592848"/>
    <w:rsid w:val="005929BE"/>
    <w:rsid w:val="00592B6F"/>
    <w:rsid w:val="00594096"/>
    <w:rsid w:val="00594765"/>
    <w:rsid w:val="005951E9"/>
    <w:rsid w:val="00595A44"/>
    <w:rsid w:val="005966E5"/>
    <w:rsid w:val="005967AD"/>
    <w:rsid w:val="00596DCB"/>
    <w:rsid w:val="005972D8"/>
    <w:rsid w:val="00597CEB"/>
    <w:rsid w:val="00597D0F"/>
    <w:rsid w:val="005A003E"/>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539D"/>
    <w:rsid w:val="005A5859"/>
    <w:rsid w:val="005A6127"/>
    <w:rsid w:val="005A6EB9"/>
    <w:rsid w:val="005B005A"/>
    <w:rsid w:val="005B0234"/>
    <w:rsid w:val="005B0845"/>
    <w:rsid w:val="005B0E98"/>
    <w:rsid w:val="005B0F81"/>
    <w:rsid w:val="005B118F"/>
    <w:rsid w:val="005B2A9D"/>
    <w:rsid w:val="005B3170"/>
    <w:rsid w:val="005B327B"/>
    <w:rsid w:val="005B609E"/>
    <w:rsid w:val="005B6253"/>
    <w:rsid w:val="005B6858"/>
    <w:rsid w:val="005B6914"/>
    <w:rsid w:val="005B6FCB"/>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6634"/>
    <w:rsid w:val="005D6DFD"/>
    <w:rsid w:val="005D6F79"/>
    <w:rsid w:val="005D706C"/>
    <w:rsid w:val="005D72B2"/>
    <w:rsid w:val="005D767B"/>
    <w:rsid w:val="005D7A7F"/>
    <w:rsid w:val="005D7BC1"/>
    <w:rsid w:val="005D7F5C"/>
    <w:rsid w:val="005E042B"/>
    <w:rsid w:val="005E0DD2"/>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12EB"/>
    <w:rsid w:val="005F1325"/>
    <w:rsid w:val="005F1627"/>
    <w:rsid w:val="005F18B6"/>
    <w:rsid w:val="005F1A12"/>
    <w:rsid w:val="005F3063"/>
    <w:rsid w:val="005F30FE"/>
    <w:rsid w:val="005F3602"/>
    <w:rsid w:val="005F3A60"/>
    <w:rsid w:val="005F410B"/>
    <w:rsid w:val="005F4144"/>
    <w:rsid w:val="005F4353"/>
    <w:rsid w:val="005F489B"/>
    <w:rsid w:val="005F568F"/>
    <w:rsid w:val="005F580D"/>
    <w:rsid w:val="005F59FB"/>
    <w:rsid w:val="005F5F70"/>
    <w:rsid w:val="005F650B"/>
    <w:rsid w:val="005F6C36"/>
    <w:rsid w:val="005F778E"/>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13F"/>
    <w:rsid w:val="00615EA7"/>
    <w:rsid w:val="00616027"/>
    <w:rsid w:val="00616255"/>
    <w:rsid w:val="006166C3"/>
    <w:rsid w:val="00616B3C"/>
    <w:rsid w:val="00617073"/>
    <w:rsid w:val="006174AC"/>
    <w:rsid w:val="00617575"/>
    <w:rsid w:val="00617673"/>
    <w:rsid w:val="00617735"/>
    <w:rsid w:val="00617AEB"/>
    <w:rsid w:val="00620667"/>
    <w:rsid w:val="0062084A"/>
    <w:rsid w:val="006210F1"/>
    <w:rsid w:val="0062158D"/>
    <w:rsid w:val="006216A1"/>
    <w:rsid w:val="0062276C"/>
    <w:rsid w:val="00622BC9"/>
    <w:rsid w:val="00622D95"/>
    <w:rsid w:val="00623098"/>
    <w:rsid w:val="006239BE"/>
    <w:rsid w:val="00623B43"/>
    <w:rsid w:val="00624306"/>
    <w:rsid w:val="00624EF8"/>
    <w:rsid w:val="006252AB"/>
    <w:rsid w:val="006268B1"/>
    <w:rsid w:val="00626943"/>
    <w:rsid w:val="00626EB9"/>
    <w:rsid w:val="00627EB6"/>
    <w:rsid w:val="006300F3"/>
    <w:rsid w:val="00630C86"/>
    <w:rsid w:val="00630EBC"/>
    <w:rsid w:val="00631130"/>
    <w:rsid w:val="0063136A"/>
    <w:rsid w:val="0063139C"/>
    <w:rsid w:val="0063180B"/>
    <w:rsid w:val="00632C0B"/>
    <w:rsid w:val="00632FCE"/>
    <w:rsid w:val="00633160"/>
    <w:rsid w:val="006335C9"/>
    <w:rsid w:val="00633E2F"/>
    <w:rsid w:val="0063452E"/>
    <w:rsid w:val="006346CD"/>
    <w:rsid w:val="006351CA"/>
    <w:rsid w:val="006354AC"/>
    <w:rsid w:val="006354C3"/>
    <w:rsid w:val="006358E2"/>
    <w:rsid w:val="00635A40"/>
    <w:rsid w:val="00635C40"/>
    <w:rsid w:val="00635C9B"/>
    <w:rsid w:val="00636004"/>
    <w:rsid w:val="00636878"/>
    <w:rsid w:val="00636C2D"/>
    <w:rsid w:val="006405EE"/>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55CF"/>
    <w:rsid w:val="006459E3"/>
    <w:rsid w:val="00645E59"/>
    <w:rsid w:val="006462AE"/>
    <w:rsid w:val="00646864"/>
    <w:rsid w:val="00646B3E"/>
    <w:rsid w:val="00646B59"/>
    <w:rsid w:val="00646FF2"/>
    <w:rsid w:val="00647066"/>
    <w:rsid w:val="0064738D"/>
    <w:rsid w:val="00647533"/>
    <w:rsid w:val="00647772"/>
    <w:rsid w:val="00647C11"/>
    <w:rsid w:val="00650A6B"/>
    <w:rsid w:val="00651A23"/>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222"/>
    <w:rsid w:val="00664877"/>
    <w:rsid w:val="006648F7"/>
    <w:rsid w:val="00664AE8"/>
    <w:rsid w:val="00664CE5"/>
    <w:rsid w:val="00665549"/>
    <w:rsid w:val="00665593"/>
    <w:rsid w:val="0066570C"/>
    <w:rsid w:val="00665CE3"/>
    <w:rsid w:val="00665FC3"/>
    <w:rsid w:val="00666FF9"/>
    <w:rsid w:val="00670AB3"/>
    <w:rsid w:val="00671CC4"/>
    <w:rsid w:val="00671DCE"/>
    <w:rsid w:val="00671F6B"/>
    <w:rsid w:val="00672311"/>
    <w:rsid w:val="00672C7D"/>
    <w:rsid w:val="00672F75"/>
    <w:rsid w:val="00673606"/>
    <w:rsid w:val="006736A5"/>
    <w:rsid w:val="006741F3"/>
    <w:rsid w:val="0067468D"/>
    <w:rsid w:val="00674770"/>
    <w:rsid w:val="00675214"/>
    <w:rsid w:val="006763BA"/>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89F"/>
    <w:rsid w:val="00697CA9"/>
    <w:rsid w:val="00697F96"/>
    <w:rsid w:val="006A0806"/>
    <w:rsid w:val="006A189E"/>
    <w:rsid w:val="006A18A6"/>
    <w:rsid w:val="006A33EE"/>
    <w:rsid w:val="006A409D"/>
    <w:rsid w:val="006A4515"/>
    <w:rsid w:val="006A4BC7"/>
    <w:rsid w:val="006A4C9E"/>
    <w:rsid w:val="006A4F1E"/>
    <w:rsid w:val="006A4F39"/>
    <w:rsid w:val="006A58F0"/>
    <w:rsid w:val="006A6DE5"/>
    <w:rsid w:val="006A702C"/>
    <w:rsid w:val="006B010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CC"/>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F42"/>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BA5"/>
    <w:rsid w:val="006D1C2C"/>
    <w:rsid w:val="006D2C70"/>
    <w:rsid w:val="006D3161"/>
    <w:rsid w:val="006D38C3"/>
    <w:rsid w:val="006D3F21"/>
    <w:rsid w:val="006D428D"/>
    <w:rsid w:val="006D44EB"/>
    <w:rsid w:val="006D4814"/>
    <w:rsid w:val="006D5A3B"/>
    <w:rsid w:val="006D602E"/>
    <w:rsid w:val="006D6071"/>
    <w:rsid w:val="006D6140"/>
    <w:rsid w:val="006D6F78"/>
    <w:rsid w:val="006D6FC3"/>
    <w:rsid w:val="006D7229"/>
    <w:rsid w:val="006E0DA2"/>
    <w:rsid w:val="006E1B48"/>
    <w:rsid w:val="006E2104"/>
    <w:rsid w:val="006E299F"/>
    <w:rsid w:val="006E2E2F"/>
    <w:rsid w:val="006E3837"/>
    <w:rsid w:val="006E3974"/>
    <w:rsid w:val="006E39F2"/>
    <w:rsid w:val="006E3F30"/>
    <w:rsid w:val="006E4727"/>
    <w:rsid w:val="006E498F"/>
    <w:rsid w:val="006E49B7"/>
    <w:rsid w:val="006E49E8"/>
    <w:rsid w:val="006E4CB0"/>
    <w:rsid w:val="006E4D64"/>
    <w:rsid w:val="006E5146"/>
    <w:rsid w:val="006E5236"/>
    <w:rsid w:val="006E548D"/>
    <w:rsid w:val="006E71D1"/>
    <w:rsid w:val="006E7CBA"/>
    <w:rsid w:val="006E7EF3"/>
    <w:rsid w:val="006F0B36"/>
    <w:rsid w:val="006F1685"/>
    <w:rsid w:val="006F21E1"/>
    <w:rsid w:val="006F31BE"/>
    <w:rsid w:val="006F3E0D"/>
    <w:rsid w:val="006F40CE"/>
    <w:rsid w:val="006F4E62"/>
    <w:rsid w:val="006F567F"/>
    <w:rsid w:val="006F58EC"/>
    <w:rsid w:val="006F596A"/>
    <w:rsid w:val="006F6A21"/>
    <w:rsid w:val="006F74BC"/>
    <w:rsid w:val="006F790F"/>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8B6"/>
    <w:rsid w:val="00704EF4"/>
    <w:rsid w:val="0070555E"/>
    <w:rsid w:val="00705697"/>
    <w:rsid w:val="0070579D"/>
    <w:rsid w:val="007064C6"/>
    <w:rsid w:val="00706BD4"/>
    <w:rsid w:val="0070702A"/>
    <w:rsid w:val="00707161"/>
    <w:rsid w:val="007074ED"/>
    <w:rsid w:val="00707A9D"/>
    <w:rsid w:val="00707E51"/>
    <w:rsid w:val="00710079"/>
    <w:rsid w:val="007101CC"/>
    <w:rsid w:val="007105E7"/>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F27"/>
    <w:rsid w:val="00725B83"/>
    <w:rsid w:val="00725C40"/>
    <w:rsid w:val="007265B1"/>
    <w:rsid w:val="0072687A"/>
    <w:rsid w:val="007269E3"/>
    <w:rsid w:val="00726B5A"/>
    <w:rsid w:val="00727867"/>
    <w:rsid w:val="00727CA6"/>
    <w:rsid w:val="00731C25"/>
    <w:rsid w:val="00732060"/>
    <w:rsid w:val="007331A0"/>
    <w:rsid w:val="007334D2"/>
    <w:rsid w:val="0073370E"/>
    <w:rsid w:val="00733D75"/>
    <w:rsid w:val="007340D3"/>
    <w:rsid w:val="0073429E"/>
    <w:rsid w:val="007344E8"/>
    <w:rsid w:val="00735168"/>
    <w:rsid w:val="0073573D"/>
    <w:rsid w:val="00735CDA"/>
    <w:rsid w:val="00736888"/>
    <w:rsid w:val="00736AF1"/>
    <w:rsid w:val="00736D35"/>
    <w:rsid w:val="00736FD7"/>
    <w:rsid w:val="00737260"/>
    <w:rsid w:val="00737302"/>
    <w:rsid w:val="00737C83"/>
    <w:rsid w:val="00737F39"/>
    <w:rsid w:val="0074007A"/>
    <w:rsid w:val="0074065E"/>
    <w:rsid w:val="00740980"/>
    <w:rsid w:val="00740CF7"/>
    <w:rsid w:val="00741687"/>
    <w:rsid w:val="0074199C"/>
    <w:rsid w:val="007421A8"/>
    <w:rsid w:val="00742ABC"/>
    <w:rsid w:val="00742DAD"/>
    <w:rsid w:val="00742E8E"/>
    <w:rsid w:val="00743340"/>
    <w:rsid w:val="00743C85"/>
    <w:rsid w:val="00743FF6"/>
    <w:rsid w:val="0074438F"/>
    <w:rsid w:val="007445CB"/>
    <w:rsid w:val="00744E44"/>
    <w:rsid w:val="007450B9"/>
    <w:rsid w:val="00745833"/>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C"/>
    <w:rsid w:val="0075374B"/>
    <w:rsid w:val="007538E9"/>
    <w:rsid w:val="0075448B"/>
    <w:rsid w:val="00755EA5"/>
    <w:rsid w:val="007567EA"/>
    <w:rsid w:val="00756C6D"/>
    <w:rsid w:val="00756EED"/>
    <w:rsid w:val="00760663"/>
    <w:rsid w:val="00760B50"/>
    <w:rsid w:val="00760B7C"/>
    <w:rsid w:val="00760CBC"/>
    <w:rsid w:val="007617B4"/>
    <w:rsid w:val="00761D43"/>
    <w:rsid w:val="00762A75"/>
    <w:rsid w:val="00762D6E"/>
    <w:rsid w:val="007633B4"/>
    <w:rsid w:val="007642CF"/>
    <w:rsid w:val="00764B1C"/>
    <w:rsid w:val="00764EFD"/>
    <w:rsid w:val="0076529A"/>
    <w:rsid w:val="007659C1"/>
    <w:rsid w:val="00765ED2"/>
    <w:rsid w:val="0076642F"/>
    <w:rsid w:val="00766568"/>
    <w:rsid w:val="00767717"/>
    <w:rsid w:val="00767B40"/>
    <w:rsid w:val="00767CFC"/>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58C"/>
    <w:rsid w:val="007805D4"/>
    <w:rsid w:val="00780851"/>
    <w:rsid w:val="00781269"/>
    <w:rsid w:val="007813E0"/>
    <w:rsid w:val="00781570"/>
    <w:rsid w:val="007817BE"/>
    <w:rsid w:val="007819ED"/>
    <w:rsid w:val="00781BB5"/>
    <w:rsid w:val="00782638"/>
    <w:rsid w:val="00782C55"/>
    <w:rsid w:val="00782E64"/>
    <w:rsid w:val="00782F2D"/>
    <w:rsid w:val="00783586"/>
    <w:rsid w:val="0078369F"/>
    <w:rsid w:val="00783977"/>
    <w:rsid w:val="007840D4"/>
    <w:rsid w:val="007843EF"/>
    <w:rsid w:val="00784BF7"/>
    <w:rsid w:val="00784E23"/>
    <w:rsid w:val="00785255"/>
    <w:rsid w:val="007853CD"/>
    <w:rsid w:val="0078550F"/>
    <w:rsid w:val="00786373"/>
    <w:rsid w:val="0078657B"/>
    <w:rsid w:val="007865A4"/>
    <w:rsid w:val="007868EA"/>
    <w:rsid w:val="0078716D"/>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65D6"/>
    <w:rsid w:val="00796719"/>
    <w:rsid w:val="00796721"/>
    <w:rsid w:val="00796751"/>
    <w:rsid w:val="00796C4B"/>
    <w:rsid w:val="00797218"/>
    <w:rsid w:val="00797958"/>
    <w:rsid w:val="00797BB4"/>
    <w:rsid w:val="00797EA3"/>
    <w:rsid w:val="007A0050"/>
    <w:rsid w:val="007A02B1"/>
    <w:rsid w:val="007A0B46"/>
    <w:rsid w:val="007A0C80"/>
    <w:rsid w:val="007A1057"/>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5CC"/>
    <w:rsid w:val="007A7CD9"/>
    <w:rsid w:val="007A7D5B"/>
    <w:rsid w:val="007A7FEC"/>
    <w:rsid w:val="007B0287"/>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BFB"/>
    <w:rsid w:val="007C043E"/>
    <w:rsid w:val="007C0ACD"/>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D0FBD"/>
    <w:rsid w:val="007D125A"/>
    <w:rsid w:val="007D1918"/>
    <w:rsid w:val="007D209F"/>
    <w:rsid w:val="007D2285"/>
    <w:rsid w:val="007D2DD5"/>
    <w:rsid w:val="007D30AA"/>
    <w:rsid w:val="007D3CE1"/>
    <w:rsid w:val="007D43BA"/>
    <w:rsid w:val="007D4ED7"/>
    <w:rsid w:val="007D5223"/>
    <w:rsid w:val="007D5459"/>
    <w:rsid w:val="007D550A"/>
    <w:rsid w:val="007D55D1"/>
    <w:rsid w:val="007D560A"/>
    <w:rsid w:val="007D561A"/>
    <w:rsid w:val="007D5673"/>
    <w:rsid w:val="007D6566"/>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A6A"/>
    <w:rsid w:val="007E4DE5"/>
    <w:rsid w:val="007E5283"/>
    <w:rsid w:val="007E52CB"/>
    <w:rsid w:val="007E535C"/>
    <w:rsid w:val="007E567E"/>
    <w:rsid w:val="007E5ED3"/>
    <w:rsid w:val="007E5F47"/>
    <w:rsid w:val="007E66B0"/>
    <w:rsid w:val="007E6D21"/>
    <w:rsid w:val="007E7008"/>
    <w:rsid w:val="007E732B"/>
    <w:rsid w:val="007F0A77"/>
    <w:rsid w:val="007F176B"/>
    <w:rsid w:val="007F1801"/>
    <w:rsid w:val="007F1F7C"/>
    <w:rsid w:val="007F32F8"/>
    <w:rsid w:val="007F33B1"/>
    <w:rsid w:val="007F39CC"/>
    <w:rsid w:val="007F3AAF"/>
    <w:rsid w:val="007F4704"/>
    <w:rsid w:val="007F4A23"/>
    <w:rsid w:val="007F4FC0"/>
    <w:rsid w:val="007F4FCB"/>
    <w:rsid w:val="007F52D0"/>
    <w:rsid w:val="007F5647"/>
    <w:rsid w:val="007F62F4"/>
    <w:rsid w:val="007F69E4"/>
    <w:rsid w:val="007F6A5D"/>
    <w:rsid w:val="007F75B9"/>
    <w:rsid w:val="007F7F92"/>
    <w:rsid w:val="008003D7"/>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37D9"/>
    <w:rsid w:val="00813E6B"/>
    <w:rsid w:val="00813F23"/>
    <w:rsid w:val="00813FA0"/>
    <w:rsid w:val="0081404E"/>
    <w:rsid w:val="00814D7C"/>
    <w:rsid w:val="00816002"/>
    <w:rsid w:val="0081696C"/>
    <w:rsid w:val="00816CE0"/>
    <w:rsid w:val="008175E3"/>
    <w:rsid w:val="00817A49"/>
    <w:rsid w:val="00820CF4"/>
    <w:rsid w:val="00820EAA"/>
    <w:rsid w:val="0082105B"/>
    <w:rsid w:val="00821F39"/>
    <w:rsid w:val="0082286C"/>
    <w:rsid w:val="00822D5E"/>
    <w:rsid w:val="00822DD1"/>
    <w:rsid w:val="00823A2B"/>
    <w:rsid w:val="0082410E"/>
    <w:rsid w:val="008241A3"/>
    <w:rsid w:val="00824C49"/>
    <w:rsid w:val="00824DCE"/>
    <w:rsid w:val="00825150"/>
    <w:rsid w:val="008252E5"/>
    <w:rsid w:val="00825C57"/>
    <w:rsid w:val="00825F68"/>
    <w:rsid w:val="008261DB"/>
    <w:rsid w:val="0082771B"/>
    <w:rsid w:val="00827945"/>
    <w:rsid w:val="00827A5A"/>
    <w:rsid w:val="00827D93"/>
    <w:rsid w:val="00830071"/>
    <w:rsid w:val="00830DED"/>
    <w:rsid w:val="00831E70"/>
    <w:rsid w:val="00832837"/>
    <w:rsid w:val="00832DBE"/>
    <w:rsid w:val="00832F10"/>
    <w:rsid w:val="008330BC"/>
    <w:rsid w:val="00833355"/>
    <w:rsid w:val="0083369F"/>
    <w:rsid w:val="00833833"/>
    <w:rsid w:val="00834585"/>
    <w:rsid w:val="008352BA"/>
    <w:rsid w:val="00835516"/>
    <w:rsid w:val="00835A10"/>
    <w:rsid w:val="00835E58"/>
    <w:rsid w:val="008360AF"/>
    <w:rsid w:val="008360FC"/>
    <w:rsid w:val="0083695F"/>
    <w:rsid w:val="00836AAA"/>
    <w:rsid w:val="00836AB0"/>
    <w:rsid w:val="008377DD"/>
    <w:rsid w:val="00840451"/>
    <w:rsid w:val="008405B0"/>
    <w:rsid w:val="00840688"/>
    <w:rsid w:val="008422BC"/>
    <w:rsid w:val="008429AC"/>
    <w:rsid w:val="008434A5"/>
    <w:rsid w:val="008438B9"/>
    <w:rsid w:val="00843987"/>
    <w:rsid w:val="00844076"/>
    <w:rsid w:val="0084505A"/>
    <w:rsid w:val="00845929"/>
    <w:rsid w:val="008462C8"/>
    <w:rsid w:val="008465EF"/>
    <w:rsid w:val="00846E64"/>
    <w:rsid w:val="008474D5"/>
    <w:rsid w:val="00847541"/>
    <w:rsid w:val="008477DD"/>
    <w:rsid w:val="00847AFE"/>
    <w:rsid w:val="00850421"/>
    <w:rsid w:val="0085054B"/>
    <w:rsid w:val="008509D8"/>
    <w:rsid w:val="00851128"/>
    <w:rsid w:val="00852B45"/>
    <w:rsid w:val="00853194"/>
    <w:rsid w:val="00853C52"/>
    <w:rsid w:val="00854578"/>
    <w:rsid w:val="00854AA2"/>
    <w:rsid w:val="00854F66"/>
    <w:rsid w:val="00855670"/>
    <w:rsid w:val="00855B10"/>
    <w:rsid w:val="00856642"/>
    <w:rsid w:val="00856FE5"/>
    <w:rsid w:val="008602CD"/>
    <w:rsid w:val="00860CF7"/>
    <w:rsid w:val="008611DF"/>
    <w:rsid w:val="008615D8"/>
    <w:rsid w:val="00861C2E"/>
    <w:rsid w:val="00861C52"/>
    <w:rsid w:val="008622DF"/>
    <w:rsid w:val="00862880"/>
    <w:rsid w:val="00862E08"/>
    <w:rsid w:val="008631DC"/>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6CB4"/>
    <w:rsid w:val="00886E9D"/>
    <w:rsid w:val="008879AD"/>
    <w:rsid w:val="00887AC0"/>
    <w:rsid w:val="00887F6B"/>
    <w:rsid w:val="0089022E"/>
    <w:rsid w:val="00890545"/>
    <w:rsid w:val="00890985"/>
    <w:rsid w:val="00890FBF"/>
    <w:rsid w:val="008920C2"/>
    <w:rsid w:val="008929C8"/>
    <w:rsid w:val="00893695"/>
    <w:rsid w:val="00893A25"/>
    <w:rsid w:val="00893BBD"/>
    <w:rsid w:val="00893F8A"/>
    <w:rsid w:val="0089443D"/>
    <w:rsid w:val="008944C3"/>
    <w:rsid w:val="008949B8"/>
    <w:rsid w:val="00894FBE"/>
    <w:rsid w:val="00895870"/>
    <w:rsid w:val="00896A09"/>
    <w:rsid w:val="00897B60"/>
    <w:rsid w:val="008A03FE"/>
    <w:rsid w:val="008A0987"/>
    <w:rsid w:val="008A0A57"/>
    <w:rsid w:val="008A0CCF"/>
    <w:rsid w:val="008A163E"/>
    <w:rsid w:val="008A190B"/>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BB3"/>
    <w:rsid w:val="008B1C6F"/>
    <w:rsid w:val="008B223F"/>
    <w:rsid w:val="008B30BF"/>
    <w:rsid w:val="008B349D"/>
    <w:rsid w:val="008B369B"/>
    <w:rsid w:val="008B4AF6"/>
    <w:rsid w:val="008B4C3F"/>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5084"/>
    <w:rsid w:val="008C5689"/>
    <w:rsid w:val="008C7228"/>
    <w:rsid w:val="008C7ADE"/>
    <w:rsid w:val="008C7C77"/>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572"/>
    <w:rsid w:val="008D77ED"/>
    <w:rsid w:val="008E0AE4"/>
    <w:rsid w:val="008E0CA9"/>
    <w:rsid w:val="008E140C"/>
    <w:rsid w:val="008E1DDE"/>
    <w:rsid w:val="008E20A5"/>
    <w:rsid w:val="008E2247"/>
    <w:rsid w:val="008E38C1"/>
    <w:rsid w:val="008E3AA1"/>
    <w:rsid w:val="008E3FC7"/>
    <w:rsid w:val="008E41D1"/>
    <w:rsid w:val="008E4263"/>
    <w:rsid w:val="008E43B1"/>
    <w:rsid w:val="008E4434"/>
    <w:rsid w:val="008E54E3"/>
    <w:rsid w:val="008E5EB0"/>
    <w:rsid w:val="008E6087"/>
    <w:rsid w:val="008E620F"/>
    <w:rsid w:val="008E6867"/>
    <w:rsid w:val="008E6CDE"/>
    <w:rsid w:val="008E6EDF"/>
    <w:rsid w:val="008E6EE9"/>
    <w:rsid w:val="008E70D2"/>
    <w:rsid w:val="008E7100"/>
    <w:rsid w:val="008E7582"/>
    <w:rsid w:val="008E778B"/>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C34"/>
    <w:rsid w:val="00901C61"/>
    <w:rsid w:val="0090236A"/>
    <w:rsid w:val="00902C30"/>
    <w:rsid w:val="009038A5"/>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1CFD"/>
    <w:rsid w:val="00912434"/>
    <w:rsid w:val="009138BE"/>
    <w:rsid w:val="00914193"/>
    <w:rsid w:val="00914770"/>
    <w:rsid w:val="00914DC2"/>
    <w:rsid w:val="00914E11"/>
    <w:rsid w:val="00914E47"/>
    <w:rsid w:val="00916E02"/>
    <w:rsid w:val="009172A4"/>
    <w:rsid w:val="009177A0"/>
    <w:rsid w:val="00920BB3"/>
    <w:rsid w:val="009210ED"/>
    <w:rsid w:val="00921973"/>
    <w:rsid w:val="00922DE5"/>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C6A"/>
    <w:rsid w:val="009322E8"/>
    <w:rsid w:val="00932774"/>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13D"/>
    <w:rsid w:val="00961717"/>
    <w:rsid w:val="00961CDB"/>
    <w:rsid w:val="00961D2E"/>
    <w:rsid w:val="009626F2"/>
    <w:rsid w:val="009628FE"/>
    <w:rsid w:val="00962A1E"/>
    <w:rsid w:val="00963451"/>
    <w:rsid w:val="0096366E"/>
    <w:rsid w:val="00963EE7"/>
    <w:rsid w:val="00963F1B"/>
    <w:rsid w:val="00964056"/>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1142"/>
    <w:rsid w:val="009730CD"/>
    <w:rsid w:val="0097361A"/>
    <w:rsid w:val="00974657"/>
    <w:rsid w:val="00974669"/>
    <w:rsid w:val="009748ED"/>
    <w:rsid w:val="00974AFF"/>
    <w:rsid w:val="00974B9C"/>
    <w:rsid w:val="00975231"/>
    <w:rsid w:val="009753BB"/>
    <w:rsid w:val="0097581A"/>
    <w:rsid w:val="00975D6E"/>
    <w:rsid w:val="009774F7"/>
    <w:rsid w:val="00977A35"/>
    <w:rsid w:val="009802E2"/>
    <w:rsid w:val="00980F37"/>
    <w:rsid w:val="00981EEB"/>
    <w:rsid w:val="00982FC0"/>
    <w:rsid w:val="00983160"/>
    <w:rsid w:val="009831BF"/>
    <w:rsid w:val="00983993"/>
    <w:rsid w:val="00983B40"/>
    <w:rsid w:val="009842F7"/>
    <w:rsid w:val="009845F9"/>
    <w:rsid w:val="0098503E"/>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0A21"/>
    <w:rsid w:val="00990CB8"/>
    <w:rsid w:val="0099149E"/>
    <w:rsid w:val="0099157D"/>
    <w:rsid w:val="00992407"/>
    <w:rsid w:val="009925E2"/>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D31"/>
    <w:rsid w:val="009A1A19"/>
    <w:rsid w:val="009A1A43"/>
    <w:rsid w:val="009A1ADF"/>
    <w:rsid w:val="009A1EDC"/>
    <w:rsid w:val="009A1FE0"/>
    <w:rsid w:val="009A27AB"/>
    <w:rsid w:val="009A2CF2"/>
    <w:rsid w:val="009A2E69"/>
    <w:rsid w:val="009A347D"/>
    <w:rsid w:val="009A3AAB"/>
    <w:rsid w:val="009A3AC4"/>
    <w:rsid w:val="009A404B"/>
    <w:rsid w:val="009A5367"/>
    <w:rsid w:val="009A57B8"/>
    <w:rsid w:val="009A65B0"/>
    <w:rsid w:val="009A707A"/>
    <w:rsid w:val="009A7CC2"/>
    <w:rsid w:val="009A7F65"/>
    <w:rsid w:val="009B0E4D"/>
    <w:rsid w:val="009B0E76"/>
    <w:rsid w:val="009B1AB6"/>
    <w:rsid w:val="009B2191"/>
    <w:rsid w:val="009B2513"/>
    <w:rsid w:val="009B2799"/>
    <w:rsid w:val="009B2FD7"/>
    <w:rsid w:val="009B3BBD"/>
    <w:rsid w:val="009B422C"/>
    <w:rsid w:val="009B4276"/>
    <w:rsid w:val="009B5B29"/>
    <w:rsid w:val="009B5DB9"/>
    <w:rsid w:val="009B6325"/>
    <w:rsid w:val="009B6AAD"/>
    <w:rsid w:val="009B6FC8"/>
    <w:rsid w:val="009B709B"/>
    <w:rsid w:val="009B70B4"/>
    <w:rsid w:val="009B775F"/>
    <w:rsid w:val="009B78C3"/>
    <w:rsid w:val="009B79A7"/>
    <w:rsid w:val="009B7DC7"/>
    <w:rsid w:val="009C0CF4"/>
    <w:rsid w:val="009C2007"/>
    <w:rsid w:val="009C217A"/>
    <w:rsid w:val="009C2D5F"/>
    <w:rsid w:val="009C2EEE"/>
    <w:rsid w:val="009C3526"/>
    <w:rsid w:val="009C376D"/>
    <w:rsid w:val="009C3D03"/>
    <w:rsid w:val="009C476B"/>
    <w:rsid w:val="009C4840"/>
    <w:rsid w:val="009C48C9"/>
    <w:rsid w:val="009C503B"/>
    <w:rsid w:val="009C51F2"/>
    <w:rsid w:val="009C595F"/>
    <w:rsid w:val="009C59D3"/>
    <w:rsid w:val="009C5A4C"/>
    <w:rsid w:val="009C62F0"/>
    <w:rsid w:val="009C6A46"/>
    <w:rsid w:val="009C7661"/>
    <w:rsid w:val="009C7B40"/>
    <w:rsid w:val="009D018D"/>
    <w:rsid w:val="009D0FA0"/>
    <w:rsid w:val="009D12E2"/>
    <w:rsid w:val="009D19FF"/>
    <w:rsid w:val="009D3EC8"/>
    <w:rsid w:val="009D47CD"/>
    <w:rsid w:val="009D485B"/>
    <w:rsid w:val="009D48D8"/>
    <w:rsid w:val="009D53D1"/>
    <w:rsid w:val="009D5887"/>
    <w:rsid w:val="009D5929"/>
    <w:rsid w:val="009D5DAC"/>
    <w:rsid w:val="009D5FEA"/>
    <w:rsid w:val="009D69BC"/>
    <w:rsid w:val="009D7033"/>
    <w:rsid w:val="009D74F5"/>
    <w:rsid w:val="009D75CB"/>
    <w:rsid w:val="009D78D2"/>
    <w:rsid w:val="009E0D27"/>
    <w:rsid w:val="009E14FF"/>
    <w:rsid w:val="009E1A07"/>
    <w:rsid w:val="009E1EAE"/>
    <w:rsid w:val="009E2D7F"/>
    <w:rsid w:val="009E420D"/>
    <w:rsid w:val="009E4291"/>
    <w:rsid w:val="009E45DD"/>
    <w:rsid w:val="009E56E9"/>
    <w:rsid w:val="009E576D"/>
    <w:rsid w:val="009E58BC"/>
    <w:rsid w:val="009E590A"/>
    <w:rsid w:val="009E5B76"/>
    <w:rsid w:val="009E6B4A"/>
    <w:rsid w:val="009E6EB6"/>
    <w:rsid w:val="009E768E"/>
    <w:rsid w:val="009E7D0C"/>
    <w:rsid w:val="009F0003"/>
    <w:rsid w:val="009F0F79"/>
    <w:rsid w:val="009F1114"/>
    <w:rsid w:val="009F13E9"/>
    <w:rsid w:val="009F152B"/>
    <w:rsid w:val="009F1576"/>
    <w:rsid w:val="009F1654"/>
    <w:rsid w:val="009F1E6E"/>
    <w:rsid w:val="009F1EF5"/>
    <w:rsid w:val="009F2476"/>
    <w:rsid w:val="009F2590"/>
    <w:rsid w:val="009F2EC1"/>
    <w:rsid w:val="009F41CA"/>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334"/>
    <w:rsid w:val="00A01466"/>
    <w:rsid w:val="00A01B97"/>
    <w:rsid w:val="00A01F9A"/>
    <w:rsid w:val="00A02138"/>
    <w:rsid w:val="00A02672"/>
    <w:rsid w:val="00A02DA7"/>
    <w:rsid w:val="00A031CB"/>
    <w:rsid w:val="00A03927"/>
    <w:rsid w:val="00A03A71"/>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C5B"/>
    <w:rsid w:val="00A15ECC"/>
    <w:rsid w:val="00A16045"/>
    <w:rsid w:val="00A1665E"/>
    <w:rsid w:val="00A170D5"/>
    <w:rsid w:val="00A20561"/>
    <w:rsid w:val="00A205F0"/>
    <w:rsid w:val="00A205FF"/>
    <w:rsid w:val="00A20DDC"/>
    <w:rsid w:val="00A21935"/>
    <w:rsid w:val="00A21966"/>
    <w:rsid w:val="00A221E9"/>
    <w:rsid w:val="00A22C6E"/>
    <w:rsid w:val="00A22E8A"/>
    <w:rsid w:val="00A23EBB"/>
    <w:rsid w:val="00A244DE"/>
    <w:rsid w:val="00A24D9A"/>
    <w:rsid w:val="00A2504B"/>
    <w:rsid w:val="00A25084"/>
    <w:rsid w:val="00A253DE"/>
    <w:rsid w:val="00A25D2E"/>
    <w:rsid w:val="00A26587"/>
    <w:rsid w:val="00A268EA"/>
    <w:rsid w:val="00A26FAE"/>
    <w:rsid w:val="00A27500"/>
    <w:rsid w:val="00A277D8"/>
    <w:rsid w:val="00A300BD"/>
    <w:rsid w:val="00A306EA"/>
    <w:rsid w:val="00A30B95"/>
    <w:rsid w:val="00A3153C"/>
    <w:rsid w:val="00A3206B"/>
    <w:rsid w:val="00A32BD1"/>
    <w:rsid w:val="00A34ADE"/>
    <w:rsid w:val="00A34F04"/>
    <w:rsid w:val="00A356AE"/>
    <w:rsid w:val="00A364DD"/>
    <w:rsid w:val="00A3686E"/>
    <w:rsid w:val="00A36CF3"/>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1D3"/>
    <w:rsid w:val="00A455CD"/>
    <w:rsid w:val="00A45F9E"/>
    <w:rsid w:val="00A46517"/>
    <w:rsid w:val="00A46827"/>
    <w:rsid w:val="00A47035"/>
    <w:rsid w:val="00A4740E"/>
    <w:rsid w:val="00A475C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46"/>
    <w:rsid w:val="00A64665"/>
    <w:rsid w:val="00A648F5"/>
    <w:rsid w:val="00A64FBB"/>
    <w:rsid w:val="00A6568B"/>
    <w:rsid w:val="00A6596D"/>
    <w:rsid w:val="00A65C13"/>
    <w:rsid w:val="00A65F3B"/>
    <w:rsid w:val="00A664F2"/>
    <w:rsid w:val="00A66AEB"/>
    <w:rsid w:val="00A66CA5"/>
    <w:rsid w:val="00A67074"/>
    <w:rsid w:val="00A679F0"/>
    <w:rsid w:val="00A717B9"/>
    <w:rsid w:val="00A719B6"/>
    <w:rsid w:val="00A72210"/>
    <w:rsid w:val="00A736B7"/>
    <w:rsid w:val="00A73A36"/>
    <w:rsid w:val="00A73EA2"/>
    <w:rsid w:val="00A74919"/>
    <w:rsid w:val="00A74958"/>
    <w:rsid w:val="00A74A8A"/>
    <w:rsid w:val="00A74C7C"/>
    <w:rsid w:val="00A754C1"/>
    <w:rsid w:val="00A75B24"/>
    <w:rsid w:val="00A75D37"/>
    <w:rsid w:val="00A7611E"/>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9C3"/>
    <w:rsid w:val="00A94AB8"/>
    <w:rsid w:val="00A94C8F"/>
    <w:rsid w:val="00A94E23"/>
    <w:rsid w:val="00A95564"/>
    <w:rsid w:val="00A95B62"/>
    <w:rsid w:val="00A95CC1"/>
    <w:rsid w:val="00A95DF9"/>
    <w:rsid w:val="00A9670A"/>
    <w:rsid w:val="00A9755B"/>
    <w:rsid w:val="00A97753"/>
    <w:rsid w:val="00A979BE"/>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B7E"/>
    <w:rsid w:val="00AA6E20"/>
    <w:rsid w:val="00AA7411"/>
    <w:rsid w:val="00AA7688"/>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14C2"/>
    <w:rsid w:val="00AC24AE"/>
    <w:rsid w:val="00AC2847"/>
    <w:rsid w:val="00AC2CA8"/>
    <w:rsid w:val="00AC2FB8"/>
    <w:rsid w:val="00AC3287"/>
    <w:rsid w:val="00AC3839"/>
    <w:rsid w:val="00AC389C"/>
    <w:rsid w:val="00AC420B"/>
    <w:rsid w:val="00AC487A"/>
    <w:rsid w:val="00AC4987"/>
    <w:rsid w:val="00AC65E5"/>
    <w:rsid w:val="00AC6B92"/>
    <w:rsid w:val="00AC6C0C"/>
    <w:rsid w:val="00AC6CD7"/>
    <w:rsid w:val="00AC720E"/>
    <w:rsid w:val="00AC74CC"/>
    <w:rsid w:val="00AC7FBB"/>
    <w:rsid w:val="00AD0AFB"/>
    <w:rsid w:val="00AD1162"/>
    <w:rsid w:val="00AD1CA8"/>
    <w:rsid w:val="00AD1F1A"/>
    <w:rsid w:val="00AD2462"/>
    <w:rsid w:val="00AD2C3C"/>
    <w:rsid w:val="00AD304E"/>
    <w:rsid w:val="00AD322D"/>
    <w:rsid w:val="00AD337D"/>
    <w:rsid w:val="00AD3848"/>
    <w:rsid w:val="00AD3F4A"/>
    <w:rsid w:val="00AD4220"/>
    <w:rsid w:val="00AD4E00"/>
    <w:rsid w:val="00AD4FCC"/>
    <w:rsid w:val="00AD552A"/>
    <w:rsid w:val="00AD5861"/>
    <w:rsid w:val="00AD598C"/>
    <w:rsid w:val="00AD6013"/>
    <w:rsid w:val="00AD6706"/>
    <w:rsid w:val="00AD6A3C"/>
    <w:rsid w:val="00AD6B9F"/>
    <w:rsid w:val="00AD7852"/>
    <w:rsid w:val="00AD79AA"/>
    <w:rsid w:val="00AD7C62"/>
    <w:rsid w:val="00AD7CA1"/>
    <w:rsid w:val="00AD7D6F"/>
    <w:rsid w:val="00AD7FF6"/>
    <w:rsid w:val="00AE0619"/>
    <w:rsid w:val="00AE0C34"/>
    <w:rsid w:val="00AE1A40"/>
    <w:rsid w:val="00AE1A79"/>
    <w:rsid w:val="00AE28C8"/>
    <w:rsid w:val="00AE3AD0"/>
    <w:rsid w:val="00AE3C6F"/>
    <w:rsid w:val="00AE4710"/>
    <w:rsid w:val="00AE482D"/>
    <w:rsid w:val="00AE4CB2"/>
    <w:rsid w:val="00AE4EAF"/>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472"/>
    <w:rsid w:val="00AF45FA"/>
    <w:rsid w:val="00AF4F64"/>
    <w:rsid w:val="00AF51EA"/>
    <w:rsid w:val="00AF5612"/>
    <w:rsid w:val="00AF5DF1"/>
    <w:rsid w:val="00AF63C7"/>
    <w:rsid w:val="00AF6EA4"/>
    <w:rsid w:val="00AF74E4"/>
    <w:rsid w:val="00AF77D9"/>
    <w:rsid w:val="00AF7EA8"/>
    <w:rsid w:val="00AF7EB1"/>
    <w:rsid w:val="00B01368"/>
    <w:rsid w:val="00B013C5"/>
    <w:rsid w:val="00B0166B"/>
    <w:rsid w:val="00B01BDD"/>
    <w:rsid w:val="00B01E17"/>
    <w:rsid w:val="00B024EC"/>
    <w:rsid w:val="00B02571"/>
    <w:rsid w:val="00B02593"/>
    <w:rsid w:val="00B02C0D"/>
    <w:rsid w:val="00B02D0E"/>
    <w:rsid w:val="00B02D49"/>
    <w:rsid w:val="00B035EC"/>
    <w:rsid w:val="00B03899"/>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7031"/>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847"/>
    <w:rsid w:val="00B24DEE"/>
    <w:rsid w:val="00B25A4E"/>
    <w:rsid w:val="00B25C75"/>
    <w:rsid w:val="00B307C3"/>
    <w:rsid w:val="00B308D0"/>
    <w:rsid w:val="00B31475"/>
    <w:rsid w:val="00B31A6B"/>
    <w:rsid w:val="00B32794"/>
    <w:rsid w:val="00B32DCA"/>
    <w:rsid w:val="00B32EA2"/>
    <w:rsid w:val="00B334B9"/>
    <w:rsid w:val="00B33832"/>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A14"/>
    <w:rsid w:val="00B56FD3"/>
    <w:rsid w:val="00B57403"/>
    <w:rsid w:val="00B60F6A"/>
    <w:rsid w:val="00B61442"/>
    <w:rsid w:val="00B61E88"/>
    <w:rsid w:val="00B61FDD"/>
    <w:rsid w:val="00B624D1"/>
    <w:rsid w:val="00B62719"/>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82C"/>
    <w:rsid w:val="00B81F27"/>
    <w:rsid w:val="00B82014"/>
    <w:rsid w:val="00B8230D"/>
    <w:rsid w:val="00B8243C"/>
    <w:rsid w:val="00B82FC1"/>
    <w:rsid w:val="00B83750"/>
    <w:rsid w:val="00B84681"/>
    <w:rsid w:val="00B848C8"/>
    <w:rsid w:val="00B85328"/>
    <w:rsid w:val="00B85F0B"/>
    <w:rsid w:val="00B86138"/>
    <w:rsid w:val="00B863DC"/>
    <w:rsid w:val="00B86A23"/>
    <w:rsid w:val="00B8717A"/>
    <w:rsid w:val="00B87FB3"/>
    <w:rsid w:val="00B90429"/>
    <w:rsid w:val="00B91874"/>
    <w:rsid w:val="00B91C82"/>
    <w:rsid w:val="00B91FFE"/>
    <w:rsid w:val="00B9229D"/>
    <w:rsid w:val="00B92AEE"/>
    <w:rsid w:val="00B95292"/>
    <w:rsid w:val="00B954B3"/>
    <w:rsid w:val="00B95635"/>
    <w:rsid w:val="00B95DB7"/>
    <w:rsid w:val="00B9645F"/>
    <w:rsid w:val="00B96A68"/>
    <w:rsid w:val="00B96F7B"/>
    <w:rsid w:val="00B97066"/>
    <w:rsid w:val="00B97470"/>
    <w:rsid w:val="00BA03C5"/>
    <w:rsid w:val="00BA0805"/>
    <w:rsid w:val="00BA10F3"/>
    <w:rsid w:val="00BA13EE"/>
    <w:rsid w:val="00BA144C"/>
    <w:rsid w:val="00BA1BD5"/>
    <w:rsid w:val="00BA1C36"/>
    <w:rsid w:val="00BA25B9"/>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BD5"/>
    <w:rsid w:val="00BC03C4"/>
    <w:rsid w:val="00BC08AC"/>
    <w:rsid w:val="00BC0A19"/>
    <w:rsid w:val="00BC0A90"/>
    <w:rsid w:val="00BC0FC8"/>
    <w:rsid w:val="00BC195B"/>
    <w:rsid w:val="00BC1974"/>
    <w:rsid w:val="00BC2436"/>
    <w:rsid w:val="00BC2522"/>
    <w:rsid w:val="00BC27C9"/>
    <w:rsid w:val="00BC2A65"/>
    <w:rsid w:val="00BC36FD"/>
    <w:rsid w:val="00BC3D29"/>
    <w:rsid w:val="00BC4E29"/>
    <w:rsid w:val="00BC53ED"/>
    <w:rsid w:val="00BC54DA"/>
    <w:rsid w:val="00BC5D5D"/>
    <w:rsid w:val="00BC61D9"/>
    <w:rsid w:val="00BC6417"/>
    <w:rsid w:val="00BC7D78"/>
    <w:rsid w:val="00BD0E5E"/>
    <w:rsid w:val="00BD1205"/>
    <w:rsid w:val="00BD1226"/>
    <w:rsid w:val="00BD19A9"/>
    <w:rsid w:val="00BD1A39"/>
    <w:rsid w:val="00BD2C08"/>
    <w:rsid w:val="00BD312F"/>
    <w:rsid w:val="00BD37DB"/>
    <w:rsid w:val="00BD3837"/>
    <w:rsid w:val="00BD3B36"/>
    <w:rsid w:val="00BD3B68"/>
    <w:rsid w:val="00BD461A"/>
    <w:rsid w:val="00BD4760"/>
    <w:rsid w:val="00BD5624"/>
    <w:rsid w:val="00BD5DBD"/>
    <w:rsid w:val="00BD63C5"/>
    <w:rsid w:val="00BD6638"/>
    <w:rsid w:val="00BD6836"/>
    <w:rsid w:val="00BD7C29"/>
    <w:rsid w:val="00BD7CFA"/>
    <w:rsid w:val="00BD7F83"/>
    <w:rsid w:val="00BE1BF2"/>
    <w:rsid w:val="00BE1D7A"/>
    <w:rsid w:val="00BE239A"/>
    <w:rsid w:val="00BE277F"/>
    <w:rsid w:val="00BE2C41"/>
    <w:rsid w:val="00BE2CE5"/>
    <w:rsid w:val="00BE3384"/>
    <w:rsid w:val="00BE3491"/>
    <w:rsid w:val="00BE4059"/>
    <w:rsid w:val="00BE4C48"/>
    <w:rsid w:val="00BE4CDB"/>
    <w:rsid w:val="00BE4D85"/>
    <w:rsid w:val="00BE573C"/>
    <w:rsid w:val="00BE5897"/>
    <w:rsid w:val="00BE5F43"/>
    <w:rsid w:val="00BE6C5A"/>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C0010B"/>
    <w:rsid w:val="00C00241"/>
    <w:rsid w:val="00C00D92"/>
    <w:rsid w:val="00C01B02"/>
    <w:rsid w:val="00C020FD"/>
    <w:rsid w:val="00C02B40"/>
    <w:rsid w:val="00C02BBC"/>
    <w:rsid w:val="00C030C0"/>
    <w:rsid w:val="00C0375B"/>
    <w:rsid w:val="00C038F7"/>
    <w:rsid w:val="00C043DC"/>
    <w:rsid w:val="00C04AB2"/>
    <w:rsid w:val="00C05666"/>
    <w:rsid w:val="00C05E31"/>
    <w:rsid w:val="00C06460"/>
    <w:rsid w:val="00C0685E"/>
    <w:rsid w:val="00C068C8"/>
    <w:rsid w:val="00C06CB5"/>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30123"/>
    <w:rsid w:val="00C3102D"/>
    <w:rsid w:val="00C31B68"/>
    <w:rsid w:val="00C320E7"/>
    <w:rsid w:val="00C3254B"/>
    <w:rsid w:val="00C3256F"/>
    <w:rsid w:val="00C32DDD"/>
    <w:rsid w:val="00C33AC5"/>
    <w:rsid w:val="00C340F0"/>
    <w:rsid w:val="00C345C8"/>
    <w:rsid w:val="00C347DD"/>
    <w:rsid w:val="00C34AFB"/>
    <w:rsid w:val="00C34E57"/>
    <w:rsid w:val="00C351E3"/>
    <w:rsid w:val="00C355DC"/>
    <w:rsid w:val="00C37ACD"/>
    <w:rsid w:val="00C417A4"/>
    <w:rsid w:val="00C41C06"/>
    <w:rsid w:val="00C43011"/>
    <w:rsid w:val="00C43728"/>
    <w:rsid w:val="00C43AC4"/>
    <w:rsid w:val="00C43BF9"/>
    <w:rsid w:val="00C442AA"/>
    <w:rsid w:val="00C4443B"/>
    <w:rsid w:val="00C44DBA"/>
    <w:rsid w:val="00C44FF6"/>
    <w:rsid w:val="00C45B3F"/>
    <w:rsid w:val="00C46270"/>
    <w:rsid w:val="00C46A1F"/>
    <w:rsid w:val="00C47080"/>
    <w:rsid w:val="00C470EF"/>
    <w:rsid w:val="00C472BD"/>
    <w:rsid w:val="00C47406"/>
    <w:rsid w:val="00C47FE7"/>
    <w:rsid w:val="00C50224"/>
    <w:rsid w:val="00C50CA6"/>
    <w:rsid w:val="00C50FCB"/>
    <w:rsid w:val="00C5156E"/>
    <w:rsid w:val="00C51ACD"/>
    <w:rsid w:val="00C539A3"/>
    <w:rsid w:val="00C544F8"/>
    <w:rsid w:val="00C5536A"/>
    <w:rsid w:val="00C55B08"/>
    <w:rsid w:val="00C55B1E"/>
    <w:rsid w:val="00C55F76"/>
    <w:rsid w:val="00C57782"/>
    <w:rsid w:val="00C57CF0"/>
    <w:rsid w:val="00C600B6"/>
    <w:rsid w:val="00C6037D"/>
    <w:rsid w:val="00C60599"/>
    <w:rsid w:val="00C616E4"/>
    <w:rsid w:val="00C61786"/>
    <w:rsid w:val="00C62B4C"/>
    <w:rsid w:val="00C62E82"/>
    <w:rsid w:val="00C63366"/>
    <w:rsid w:val="00C647CB"/>
    <w:rsid w:val="00C6491E"/>
    <w:rsid w:val="00C6533D"/>
    <w:rsid w:val="00C65FBC"/>
    <w:rsid w:val="00C66173"/>
    <w:rsid w:val="00C66352"/>
    <w:rsid w:val="00C6658A"/>
    <w:rsid w:val="00C667FC"/>
    <w:rsid w:val="00C668E3"/>
    <w:rsid w:val="00C66CE8"/>
    <w:rsid w:val="00C67194"/>
    <w:rsid w:val="00C67724"/>
    <w:rsid w:val="00C700AB"/>
    <w:rsid w:val="00C7098A"/>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9A"/>
    <w:rsid w:val="00C82884"/>
    <w:rsid w:val="00C8291A"/>
    <w:rsid w:val="00C829B5"/>
    <w:rsid w:val="00C82F24"/>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59DD"/>
    <w:rsid w:val="00C95B7C"/>
    <w:rsid w:val="00C9636E"/>
    <w:rsid w:val="00C96A96"/>
    <w:rsid w:val="00C96BFF"/>
    <w:rsid w:val="00C96CAB"/>
    <w:rsid w:val="00C96CBB"/>
    <w:rsid w:val="00C96F1B"/>
    <w:rsid w:val="00CA07B7"/>
    <w:rsid w:val="00CA07DA"/>
    <w:rsid w:val="00CA09B7"/>
    <w:rsid w:val="00CA0FFC"/>
    <w:rsid w:val="00CA181A"/>
    <w:rsid w:val="00CA2851"/>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30EE"/>
    <w:rsid w:val="00CC538E"/>
    <w:rsid w:val="00CC5646"/>
    <w:rsid w:val="00CC59F2"/>
    <w:rsid w:val="00CC5CDB"/>
    <w:rsid w:val="00CC6BE9"/>
    <w:rsid w:val="00CC712A"/>
    <w:rsid w:val="00CC7B88"/>
    <w:rsid w:val="00CC7C26"/>
    <w:rsid w:val="00CD0696"/>
    <w:rsid w:val="00CD0D68"/>
    <w:rsid w:val="00CD1854"/>
    <w:rsid w:val="00CD1EC9"/>
    <w:rsid w:val="00CD2684"/>
    <w:rsid w:val="00CD29A8"/>
    <w:rsid w:val="00CD2C73"/>
    <w:rsid w:val="00CD36B0"/>
    <w:rsid w:val="00CD3767"/>
    <w:rsid w:val="00CD43D2"/>
    <w:rsid w:val="00CD58D3"/>
    <w:rsid w:val="00CD5C8A"/>
    <w:rsid w:val="00CD5D62"/>
    <w:rsid w:val="00CD607B"/>
    <w:rsid w:val="00CD6188"/>
    <w:rsid w:val="00CD6608"/>
    <w:rsid w:val="00CD6D14"/>
    <w:rsid w:val="00CD6DC4"/>
    <w:rsid w:val="00CD6F53"/>
    <w:rsid w:val="00CD7116"/>
    <w:rsid w:val="00CD717C"/>
    <w:rsid w:val="00CD771E"/>
    <w:rsid w:val="00CE03DA"/>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F93"/>
    <w:rsid w:val="00CF3E00"/>
    <w:rsid w:val="00CF3E6C"/>
    <w:rsid w:val="00CF4493"/>
    <w:rsid w:val="00CF49AA"/>
    <w:rsid w:val="00CF4CFF"/>
    <w:rsid w:val="00CF5680"/>
    <w:rsid w:val="00CF58A8"/>
    <w:rsid w:val="00CF58BB"/>
    <w:rsid w:val="00CF5BE9"/>
    <w:rsid w:val="00CF68A5"/>
    <w:rsid w:val="00CF6EBC"/>
    <w:rsid w:val="00CF6ED4"/>
    <w:rsid w:val="00CF79A8"/>
    <w:rsid w:val="00CF7E96"/>
    <w:rsid w:val="00D00E29"/>
    <w:rsid w:val="00D01379"/>
    <w:rsid w:val="00D01598"/>
    <w:rsid w:val="00D01FA1"/>
    <w:rsid w:val="00D02115"/>
    <w:rsid w:val="00D021FE"/>
    <w:rsid w:val="00D022B3"/>
    <w:rsid w:val="00D02D27"/>
    <w:rsid w:val="00D04041"/>
    <w:rsid w:val="00D042D2"/>
    <w:rsid w:val="00D04BBF"/>
    <w:rsid w:val="00D04E3D"/>
    <w:rsid w:val="00D05206"/>
    <w:rsid w:val="00D0552A"/>
    <w:rsid w:val="00D05D06"/>
    <w:rsid w:val="00D0713A"/>
    <w:rsid w:val="00D07CF2"/>
    <w:rsid w:val="00D103A0"/>
    <w:rsid w:val="00D10D48"/>
    <w:rsid w:val="00D115F4"/>
    <w:rsid w:val="00D11675"/>
    <w:rsid w:val="00D119FF"/>
    <w:rsid w:val="00D11A4A"/>
    <w:rsid w:val="00D12C80"/>
    <w:rsid w:val="00D12F62"/>
    <w:rsid w:val="00D13843"/>
    <w:rsid w:val="00D13962"/>
    <w:rsid w:val="00D13CAE"/>
    <w:rsid w:val="00D14546"/>
    <w:rsid w:val="00D159F9"/>
    <w:rsid w:val="00D16825"/>
    <w:rsid w:val="00D16D01"/>
    <w:rsid w:val="00D17CDA"/>
    <w:rsid w:val="00D200BB"/>
    <w:rsid w:val="00D20C21"/>
    <w:rsid w:val="00D214E2"/>
    <w:rsid w:val="00D215F6"/>
    <w:rsid w:val="00D22153"/>
    <w:rsid w:val="00D22A2E"/>
    <w:rsid w:val="00D22A88"/>
    <w:rsid w:val="00D2434A"/>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E20"/>
    <w:rsid w:val="00D337AF"/>
    <w:rsid w:val="00D339F0"/>
    <w:rsid w:val="00D34E04"/>
    <w:rsid w:val="00D35789"/>
    <w:rsid w:val="00D3670A"/>
    <w:rsid w:val="00D368FD"/>
    <w:rsid w:val="00D36C75"/>
    <w:rsid w:val="00D373C3"/>
    <w:rsid w:val="00D37A20"/>
    <w:rsid w:val="00D37AE0"/>
    <w:rsid w:val="00D37CA9"/>
    <w:rsid w:val="00D405C3"/>
    <w:rsid w:val="00D40D40"/>
    <w:rsid w:val="00D41058"/>
    <w:rsid w:val="00D41882"/>
    <w:rsid w:val="00D4218A"/>
    <w:rsid w:val="00D42C23"/>
    <w:rsid w:val="00D42E97"/>
    <w:rsid w:val="00D42EFA"/>
    <w:rsid w:val="00D437F1"/>
    <w:rsid w:val="00D43939"/>
    <w:rsid w:val="00D4499D"/>
    <w:rsid w:val="00D456B7"/>
    <w:rsid w:val="00D46271"/>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3DAD"/>
    <w:rsid w:val="00D5417A"/>
    <w:rsid w:val="00D546AA"/>
    <w:rsid w:val="00D54D31"/>
    <w:rsid w:val="00D5547E"/>
    <w:rsid w:val="00D556C1"/>
    <w:rsid w:val="00D55D87"/>
    <w:rsid w:val="00D567B0"/>
    <w:rsid w:val="00D56BEA"/>
    <w:rsid w:val="00D56D8B"/>
    <w:rsid w:val="00D57EA6"/>
    <w:rsid w:val="00D61033"/>
    <w:rsid w:val="00D626E0"/>
    <w:rsid w:val="00D626E5"/>
    <w:rsid w:val="00D62889"/>
    <w:rsid w:val="00D62AC2"/>
    <w:rsid w:val="00D630C8"/>
    <w:rsid w:val="00D63143"/>
    <w:rsid w:val="00D64152"/>
    <w:rsid w:val="00D643CA"/>
    <w:rsid w:val="00D64C6C"/>
    <w:rsid w:val="00D64EDC"/>
    <w:rsid w:val="00D64FAF"/>
    <w:rsid w:val="00D65771"/>
    <w:rsid w:val="00D657F6"/>
    <w:rsid w:val="00D66211"/>
    <w:rsid w:val="00D664E2"/>
    <w:rsid w:val="00D6686D"/>
    <w:rsid w:val="00D66A64"/>
    <w:rsid w:val="00D6737B"/>
    <w:rsid w:val="00D70550"/>
    <w:rsid w:val="00D7062B"/>
    <w:rsid w:val="00D71AF4"/>
    <w:rsid w:val="00D72634"/>
    <w:rsid w:val="00D72BB1"/>
    <w:rsid w:val="00D73C3F"/>
    <w:rsid w:val="00D73CF3"/>
    <w:rsid w:val="00D74661"/>
    <w:rsid w:val="00D74A0D"/>
    <w:rsid w:val="00D74BC3"/>
    <w:rsid w:val="00D74E6B"/>
    <w:rsid w:val="00D757E5"/>
    <w:rsid w:val="00D75D32"/>
    <w:rsid w:val="00D75F7D"/>
    <w:rsid w:val="00D75F99"/>
    <w:rsid w:val="00D76315"/>
    <w:rsid w:val="00D763F8"/>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12A"/>
    <w:rsid w:val="00D942AB"/>
    <w:rsid w:val="00D944B0"/>
    <w:rsid w:val="00D946C9"/>
    <w:rsid w:val="00D947B6"/>
    <w:rsid w:val="00D94D3E"/>
    <w:rsid w:val="00D95358"/>
    <w:rsid w:val="00D96311"/>
    <w:rsid w:val="00D967B3"/>
    <w:rsid w:val="00D96926"/>
    <w:rsid w:val="00D96B27"/>
    <w:rsid w:val="00D96BEC"/>
    <w:rsid w:val="00D97024"/>
    <w:rsid w:val="00DA18F5"/>
    <w:rsid w:val="00DA1C70"/>
    <w:rsid w:val="00DA2A24"/>
    <w:rsid w:val="00DA49D6"/>
    <w:rsid w:val="00DA4E8C"/>
    <w:rsid w:val="00DA5533"/>
    <w:rsid w:val="00DA5833"/>
    <w:rsid w:val="00DA5BB6"/>
    <w:rsid w:val="00DA5EAA"/>
    <w:rsid w:val="00DA5FE7"/>
    <w:rsid w:val="00DA60C1"/>
    <w:rsid w:val="00DA6383"/>
    <w:rsid w:val="00DA6480"/>
    <w:rsid w:val="00DA6507"/>
    <w:rsid w:val="00DA69D0"/>
    <w:rsid w:val="00DA6D1A"/>
    <w:rsid w:val="00DA6EB0"/>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454"/>
    <w:rsid w:val="00DC14DB"/>
    <w:rsid w:val="00DC1BB9"/>
    <w:rsid w:val="00DC1F20"/>
    <w:rsid w:val="00DC2A38"/>
    <w:rsid w:val="00DC3A45"/>
    <w:rsid w:val="00DC3BE2"/>
    <w:rsid w:val="00DC3BF8"/>
    <w:rsid w:val="00DC4F69"/>
    <w:rsid w:val="00DC4FB5"/>
    <w:rsid w:val="00DC57FE"/>
    <w:rsid w:val="00DC5D24"/>
    <w:rsid w:val="00DC627D"/>
    <w:rsid w:val="00DC6292"/>
    <w:rsid w:val="00DC6CB9"/>
    <w:rsid w:val="00DC6EE2"/>
    <w:rsid w:val="00DC70D3"/>
    <w:rsid w:val="00DC743D"/>
    <w:rsid w:val="00DC764F"/>
    <w:rsid w:val="00DD083B"/>
    <w:rsid w:val="00DD092E"/>
    <w:rsid w:val="00DD0FE2"/>
    <w:rsid w:val="00DD26EA"/>
    <w:rsid w:val="00DD2AC3"/>
    <w:rsid w:val="00DD2C4D"/>
    <w:rsid w:val="00DD2C9A"/>
    <w:rsid w:val="00DD3350"/>
    <w:rsid w:val="00DD3BA9"/>
    <w:rsid w:val="00DD3FC9"/>
    <w:rsid w:val="00DD40D8"/>
    <w:rsid w:val="00DD453A"/>
    <w:rsid w:val="00DD511A"/>
    <w:rsid w:val="00DD5406"/>
    <w:rsid w:val="00DD69D8"/>
    <w:rsid w:val="00DD6B59"/>
    <w:rsid w:val="00DD6FF1"/>
    <w:rsid w:val="00DD7006"/>
    <w:rsid w:val="00DD75A6"/>
    <w:rsid w:val="00DE05BB"/>
    <w:rsid w:val="00DE15B7"/>
    <w:rsid w:val="00DE22FF"/>
    <w:rsid w:val="00DE2388"/>
    <w:rsid w:val="00DE23F7"/>
    <w:rsid w:val="00DE2453"/>
    <w:rsid w:val="00DE3552"/>
    <w:rsid w:val="00DE3FF0"/>
    <w:rsid w:val="00DE4B6D"/>
    <w:rsid w:val="00DE5053"/>
    <w:rsid w:val="00DE5310"/>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5C1A"/>
    <w:rsid w:val="00DF64C3"/>
    <w:rsid w:val="00DF669D"/>
    <w:rsid w:val="00DF72B2"/>
    <w:rsid w:val="00DF75BF"/>
    <w:rsid w:val="00DF7AE3"/>
    <w:rsid w:val="00E00CCF"/>
    <w:rsid w:val="00E01234"/>
    <w:rsid w:val="00E01475"/>
    <w:rsid w:val="00E01F4F"/>
    <w:rsid w:val="00E02102"/>
    <w:rsid w:val="00E02450"/>
    <w:rsid w:val="00E02CDD"/>
    <w:rsid w:val="00E02E4F"/>
    <w:rsid w:val="00E0365B"/>
    <w:rsid w:val="00E03CAA"/>
    <w:rsid w:val="00E05526"/>
    <w:rsid w:val="00E05C3E"/>
    <w:rsid w:val="00E06611"/>
    <w:rsid w:val="00E06A4E"/>
    <w:rsid w:val="00E06C93"/>
    <w:rsid w:val="00E0756A"/>
    <w:rsid w:val="00E1020E"/>
    <w:rsid w:val="00E10247"/>
    <w:rsid w:val="00E10488"/>
    <w:rsid w:val="00E109EA"/>
    <w:rsid w:val="00E10B87"/>
    <w:rsid w:val="00E1176B"/>
    <w:rsid w:val="00E117ED"/>
    <w:rsid w:val="00E11AC6"/>
    <w:rsid w:val="00E11CC2"/>
    <w:rsid w:val="00E12248"/>
    <w:rsid w:val="00E12303"/>
    <w:rsid w:val="00E124BD"/>
    <w:rsid w:val="00E13347"/>
    <w:rsid w:val="00E133DA"/>
    <w:rsid w:val="00E1387D"/>
    <w:rsid w:val="00E13ABC"/>
    <w:rsid w:val="00E1506E"/>
    <w:rsid w:val="00E151C0"/>
    <w:rsid w:val="00E15B48"/>
    <w:rsid w:val="00E16B59"/>
    <w:rsid w:val="00E16CAF"/>
    <w:rsid w:val="00E172D1"/>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E21"/>
    <w:rsid w:val="00E45505"/>
    <w:rsid w:val="00E462FD"/>
    <w:rsid w:val="00E46B51"/>
    <w:rsid w:val="00E4757C"/>
    <w:rsid w:val="00E47785"/>
    <w:rsid w:val="00E47DEF"/>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B1E"/>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1DAE"/>
    <w:rsid w:val="00EA2A99"/>
    <w:rsid w:val="00EA2D86"/>
    <w:rsid w:val="00EA3BC6"/>
    <w:rsid w:val="00EA465B"/>
    <w:rsid w:val="00EA47C7"/>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56"/>
    <w:rsid w:val="00EB1882"/>
    <w:rsid w:val="00EB23F4"/>
    <w:rsid w:val="00EB3B6A"/>
    <w:rsid w:val="00EB3BA0"/>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E0064"/>
    <w:rsid w:val="00EE014D"/>
    <w:rsid w:val="00EE0B08"/>
    <w:rsid w:val="00EE19B9"/>
    <w:rsid w:val="00EE1B05"/>
    <w:rsid w:val="00EE2602"/>
    <w:rsid w:val="00EE277F"/>
    <w:rsid w:val="00EE2AEC"/>
    <w:rsid w:val="00EE2B7C"/>
    <w:rsid w:val="00EE3405"/>
    <w:rsid w:val="00EE378D"/>
    <w:rsid w:val="00EE3893"/>
    <w:rsid w:val="00EE4097"/>
    <w:rsid w:val="00EE514D"/>
    <w:rsid w:val="00EE6416"/>
    <w:rsid w:val="00EE64D1"/>
    <w:rsid w:val="00EE6758"/>
    <w:rsid w:val="00EE6A9E"/>
    <w:rsid w:val="00EE6B9A"/>
    <w:rsid w:val="00EE6BF4"/>
    <w:rsid w:val="00EE7474"/>
    <w:rsid w:val="00EF07D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F87"/>
    <w:rsid w:val="00EF714A"/>
    <w:rsid w:val="00EF7603"/>
    <w:rsid w:val="00EF7C0B"/>
    <w:rsid w:val="00EF7C5F"/>
    <w:rsid w:val="00EF7C68"/>
    <w:rsid w:val="00EF7CD0"/>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202D"/>
    <w:rsid w:val="00F1228D"/>
    <w:rsid w:val="00F12901"/>
    <w:rsid w:val="00F129B8"/>
    <w:rsid w:val="00F12C15"/>
    <w:rsid w:val="00F12F16"/>
    <w:rsid w:val="00F13539"/>
    <w:rsid w:val="00F139D9"/>
    <w:rsid w:val="00F13A5D"/>
    <w:rsid w:val="00F13BCB"/>
    <w:rsid w:val="00F13C77"/>
    <w:rsid w:val="00F14722"/>
    <w:rsid w:val="00F1560D"/>
    <w:rsid w:val="00F15764"/>
    <w:rsid w:val="00F15BB7"/>
    <w:rsid w:val="00F1648D"/>
    <w:rsid w:val="00F170B2"/>
    <w:rsid w:val="00F17B34"/>
    <w:rsid w:val="00F17CA4"/>
    <w:rsid w:val="00F2041D"/>
    <w:rsid w:val="00F205D0"/>
    <w:rsid w:val="00F215B1"/>
    <w:rsid w:val="00F21C5B"/>
    <w:rsid w:val="00F21E4E"/>
    <w:rsid w:val="00F224BA"/>
    <w:rsid w:val="00F2281E"/>
    <w:rsid w:val="00F22D2D"/>
    <w:rsid w:val="00F2378C"/>
    <w:rsid w:val="00F23F0C"/>
    <w:rsid w:val="00F2446B"/>
    <w:rsid w:val="00F244B9"/>
    <w:rsid w:val="00F25F42"/>
    <w:rsid w:val="00F2646D"/>
    <w:rsid w:val="00F264D0"/>
    <w:rsid w:val="00F2658F"/>
    <w:rsid w:val="00F2687F"/>
    <w:rsid w:val="00F27753"/>
    <w:rsid w:val="00F27799"/>
    <w:rsid w:val="00F300A9"/>
    <w:rsid w:val="00F30476"/>
    <w:rsid w:val="00F309FD"/>
    <w:rsid w:val="00F30F3A"/>
    <w:rsid w:val="00F32428"/>
    <w:rsid w:val="00F32762"/>
    <w:rsid w:val="00F327BB"/>
    <w:rsid w:val="00F32A8E"/>
    <w:rsid w:val="00F32AEA"/>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4247"/>
    <w:rsid w:val="00F5458A"/>
    <w:rsid w:val="00F5499A"/>
    <w:rsid w:val="00F54A6F"/>
    <w:rsid w:val="00F5530C"/>
    <w:rsid w:val="00F55BDA"/>
    <w:rsid w:val="00F56746"/>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573"/>
    <w:rsid w:val="00F636FE"/>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A76"/>
    <w:rsid w:val="00F72B39"/>
    <w:rsid w:val="00F73391"/>
    <w:rsid w:val="00F73AB4"/>
    <w:rsid w:val="00F73C9F"/>
    <w:rsid w:val="00F73CEF"/>
    <w:rsid w:val="00F73DAD"/>
    <w:rsid w:val="00F73FC0"/>
    <w:rsid w:val="00F741BC"/>
    <w:rsid w:val="00F75737"/>
    <w:rsid w:val="00F75962"/>
    <w:rsid w:val="00F75C32"/>
    <w:rsid w:val="00F75CB5"/>
    <w:rsid w:val="00F75D57"/>
    <w:rsid w:val="00F75E6C"/>
    <w:rsid w:val="00F76476"/>
    <w:rsid w:val="00F76A12"/>
    <w:rsid w:val="00F76CD2"/>
    <w:rsid w:val="00F771B3"/>
    <w:rsid w:val="00F7730D"/>
    <w:rsid w:val="00F7749D"/>
    <w:rsid w:val="00F77C22"/>
    <w:rsid w:val="00F8066D"/>
    <w:rsid w:val="00F81BE3"/>
    <w:rsid w:val="00F81EE3"/>
    <w:rsid w:val="00F822F1"/>
    <w:rsid w:val="00F823E7"/>
    <w:rsid w:val="00F828EA"/>
    <w:rsid w:val="00F829BC"/>
    <w:rsid w:val="00F830CF"/>
    <w:rsid w:val="00F83953"/>
    <w:rsid w:val="00F83E2B"/>
    <w:rsid w:val="00F8431B"/>
    <w:rsid w:val="00F843A1"/>
    <w:rsid w:val="00F843C4"/>
    <w:rsid w:val="00F8496A"/>
    <w:rsid w:val="00F84ABB"/>
    <w:rsid w:val="00F85784"/>
    <w:rsid w:val="00F85B47"/>
    <w:rsid w:val="00F85E20"/>
    <w:rsid w:val="00F85F57"/>
    <w:rsid w:val="00F8609A"/>
    <w:rsid w:val="00F86215"/>
    <w:rsid w:val="00F8646C"/>
    <w:rsid w:val="00F869E6"/>
    <w:rsid w:val="00F86F1F"/>
    <w:rsid w:val="00F87B70"/>
    <w:rsid w:val="00F87C35"/>
    <w:rsid w:val="00F90553"/>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9D1"/>
    <w:rsid w:val="00FA0294"/>
    <w:rsid w:val="00FA0C34"/>
    <w:rsid w:val="00FA178F"/>
    <w:rsid w:val="00FA23A8"/>
    <w:rsid w:val="00FA2718"/>
    <w:rsid w:val="00FA2B8C"/>
    <w:rsid w:val="00FA2BF8"/>
    <w:rsid w:val="00FA3073"/>
    <w:rsid w:val="00FA3191"/>
    <w:rsid w:val="00FA387C"/>
    <w:rsid w:val="00FA3BF6"/>
    <w:rsid w:val="00FA3CC2"/>
    <w:rsid w:val="00FA3D77"/>
    <w:rsid w:val="00FA444A"/>
    <w:rsid w:val="00FA48EF"/>
    <w:rsid w:val="00FA4D3B"/>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DE7"/>
    <w:rsid w:val="00FC400D"/>
    <w:rsid w:val="00FC46CB"/>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3E99"/>
    <w:rsid w:val="00FD4057"/>
    <w:rsid w:val="00FD445A"/>
    <w:rsid w:val="00FD581E"/>
    <w:rsid w:val="00FD5B2F"/>
    <w:rsid w:val="00FD60BE"/>
    <w:rsid w:val="00FD77AF"/>
    <w:rsid w:val="00FE027D"/>
    <w:rsid w:val="00FE0AA9"/>
    <w:rsid w:val="00FE1625"/>
    <w:rsid w:val="00FE17BB"/>
    <w:rsid w:val="00FE26A4"/>
    <w:rsid w:val="00FE27E3"/>
    <w:rsid w:val="00FE31AD"/>
    <w:rsid w:val="00FE485F"/>
    <w:rsid w:val="00FE4860"/>
    <w:rsid w:val="00FE545C"/>
    <w:rsid w:val="00FE5CC6"/>
    <w:rsid w:val="00FE65EF"/>
    <w:rsid w:val="00FE72D9"/>
    <w:rsid w:val="00FE75F7"/>
    <w:rsid w:val="00FE7902"/>
    <w:rsid w:val="00FF013B"/>
    <w:rsid w:val="00FF0320"/>
    <w:rsid w:val="00FF05C3"/>
    <w:rsid w:val="00FF0706"/>
    <w:rsid w:val="00FF0A3D"/>
    <w:rsid w:val="00FF0E24"/>
    <w:rsid w:val="00FF19F2"/>
    <w:rsid w:val="00FF1E35"/>
    <w:rsid w:val="00FF2051"/>
    <w:rsid w:val="00FF2270"/>
    <w:rsid w:val="00FF2D05"/>
    <w:rsid w:val="00FF3B29"/>
    <w:rsid w:val="00FF47BB"/>
    <w:rsid w:val="00FF58CD"/>
    <w:rsid w:val="00FF5B71"/>
    <w:rsid w:val="00FF6085"/>
    <w:rsid w:val="00FF60FC"/>
    <w:rsid w:val="00FF6404"/>
    <w:rsid w:val="00FF67B2"/>
    <w:rsid w:val="00FF6905"/>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ato.int/cps/en/natohq/official_texts_196951.htm" TargetMode="External"/><Relationship Id="rId2" Type="http://schemas.openxmlformats.org/officeDocument/2006/relationships/hyperlink" Target="https://e-seimas.lrs.lt/portal/legalAct/lt/TAK/89822f80e6f111ec896de0b71e988500?jfwid=-178ja6v5x6" TargetMode="External"/><Relationship Id="rId1" Type="http://schemas.openxmlformats.org/officeDocument/2006/relationships/hyperlink" Target="https://www.nato.int/cps/en/natohq/news_185000.htm" TargetMode="External"/><Relationship Id="rId5" Type="http://schemas.openxmlformats.org/officeDocument/2006/relationships/hyperlink" Target="https://vpt.lrv.lt/uploads/vpt/documents/files/Vie%C5%A1%C5%B3j%C5%B3%20pirkim%C5%B3%20tarnybos%202022%20met%C5%B3%20veiklos%20ataskaita.pdf" TargetMode="External"/><Relationship Id="rId4" Type="http://schemas.openxmlformats.org/officeDocument/2006/relationships/hyperlink" Target="https://www.nato.int/cps/en/natohq/news_208802.htm?selectedLocal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17</TotalTime>
  <Pages>10</Pages>
  <Words>4526</Words>
  <Characters>25799</Characters>
  <Application>Microsoft Office Word</Application>
  <DocSecurity>0</DocSecurity>
  <Lines>214</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2020-09-01T12:00:00Z</cp:lastPrinted>
  <dcterms:created xsi:type="dcterms:W3CDTF">2023-10-13T16:43:00Z</dcterms:created>
  <dcterms:modified xsi:type="dcterms:W3CDTF">2023-10-16T05:57:00Z</dcterms:modified>
</cp:coreProperties>
</file>