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5811E787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41EC1503" w14:textId="77777777" w:rsidR="002A07F4" w:rsidRDefault="002A07F4" w:rsidP="00EE6033">
      <w:pPr>
        <w:spacing w:line="254" w:lineRule="auto"/>
        <w:ind w:right="49"/>
        <w:rPr>
          <w:b/>
          <w:szCs w:val="24"/>
        </w:rPr>
      </w:pPr>
    </w:p>
    <w:p w14:paraId="18EEEE4E" w14:textId="77777777" w:rsidR="002A07F4" w:rsidRDefault="002A07F4" w:rsidP="002A07F4">
      <w:pPr>
        <w:rPr>
          <w:sz w:val="14"/>
          <w:szCs w:val="14"/>
        </w:rPr>
      </w:pPr>
    </w:p>
    <w:tbl>
      <w:tblPr>
        <w:tblW w:w="103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794"/>
        <w:gridCol w:w="425"/>
        <w:gridCol w:w="1418"/>
        <w:gridCol w:w="709"/>
        <w:gridCol w:w="1984"/>
      </w:tblGrid>
      <w:tr w:rsidR="002A07F4" w14:paraId="1E57E292" w14:textId="77777777" w:rsidTr="00D22AB2">
        <w:trPr>
          <w:cantSplit/>
          <w:trHeight w:val="80"/>
        </w:trPr>
        <w:tc>
          <w:tcPr>
            <w:tcW w:w="5794" w:type="dxa"/>
            <w:vMerge w:val="restart"/>
          </w:tcPr>
          <w:p w14:paraId="7A3F2EC0" w14:textId="11A83573" w:rsidR="006A3C82" w:rsidRPr="0051717F" w:rsidRDefault="0051717F" w:rsidP="004B33C3">
            <w:pPr>
              <w:ind w:left="-108"/>
              <w:rPr>
                <w:szCs w:val="24"/>
              </w:rPr>
            </w:pPr>
            <w:r w:rsidRPr="0051717F">
              <w:rPr>
                <w:szCs w:val="24"/>
              </w:rPr>
              <w:t>Druskininkų savivaldybės administracijai</w:t>
            </w:r>
          </w:p>
          <w:p w14:paraId="6765F656" w14:textId="436BD87B" w:rsidR="0051717F" w:rsidRPr="0051717F" w:rsidRDefault="0051717F" w:rsidP="004B33C3">
            <w:pPr>
              <w:shd w:val="clear" w:color="auto" w:fill="FFFFFF"/>
              <w:spacing w:line="300" w:lineRule="atLeast"/>
              <w:ind w:left="-108"/>
              <w:rPr>
                <w:color w:val="333333"/>
                <w:szCs w:val="24"/>
                <w:lang w:eastAsia="lt-LT"/>
              </w:rPr>
            </w:pPr>
            <w:r w:rsidRPr="0051717F">
              <w:rPr>
                <w:color w:val="333333"/>
                <w:szCs w:val="24"/>
                <w:lang w:eastAsia="lt-LT"/>
              </w:rPr>
              <w:t>Vilniaus al. 18</w:t>
            </w:r>
          </w:p>
          <w:p w14:paraId="4DA82845" w14:textId="49115039" w:rsidR="0051717F" w:rsidRPr="0051717F" w:rsidRDefault="0051717F" w:rsidP="004B33C3">
            <w:pPr>
              <w:shd w:val="clear" w:color="auto" w:fill="FFFFFF"/>
              <w:spacing w:line="300" w:lineRule="atLeast"/>
              <w:ind w:left="-108"/>
              <w:rPr>
                <w:color w:val="333333"/>
                <w:szCs w:val="24"/>
                <w:lang w:eastAsia="lt-LT"/>
              </w:rPr>
            </w:pPr>
            <w:r w:rsidRPr="0051717F">
              <w:rPr>
                <w:color w:val="333333"/>
                <w:szCs w:val="24"/>
                <w:lang w:eastAsia="lt-LT"/>
              </w:rPr>
              <w:t>66119 Druskininkai</w:t>
            </w:r>
          </w:p>
          <w:p w14:paraId="025595AC" w14:textId="77777777" w:rsidR="0051717F" w:rsidRDefault="0051717F" w:rsidP="004B33C3">
            <w:pPr>
              <w:ind w:left="-108"/>
              <w:rPr>
                <w:szCs w:val="24"/>
              </w:rPr>
            </w:pPr>
          </w:p>
          <w:p w14:paraId="6911BAD2" w14:textId="2D3EAD28" w:rsidR="009B5BCD" w:rsidRPr="002D1150" w:rsidRDefault="006A3C82" w:rsidP="004B33C3">
            <w:pPr>
              <w:ind w:left="-108"/>
              <w:rPr>
                <w:szCs w:val="24"/>
              </w:rPr>
            </w:pPr>
            <w:r w:rsidRPr="00980BF7">
              <w:rPr>
                <w:szCs w:val="24"/>
              </w:rPr>
              <w:t xml:space="preserve">El. p. </w:t>
            </w:r>
            <w:r w:rsidR="004B33C3">
              <w:rPr>
                <w:szCs w:val="24"/>
              </w:rPr>
              <w:t>info</w:t>
            </w:r>
            <w:r w:rsidRPr="00980BF7">
              <w:rPr>
                <w:szCs w:val="24"/>
                <w:lang w:val="en-US"/>
              </w:rPr>
              <w:t>@</w:t>
            </w:r>
            <w:r w:rsidR="00E01ECB">
              <w:rPr>
                <w:szCs w:val="24"/>
                <w:lang w:val="en-US"/>
              </w:rPr>
              <w:t>druskininkai</w:t>
            </w:r>
            <w:r w:rsidRPr="00980BF7">
              <w:rPr>
                <w:szCs w:val="24"/>
                <w:lang w:val="en-US"/>
              </w:rPr>
              <w:t>.lt</w:t>
            </w:r>
          </w:p>
          <w:p w14:paraId="70DEE9E2" w14:textId="77777777" w:rsidR="004771DB" w:rsidRDefault="004771DB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  <w:lang w:val="en-US"/>
              </w:rPr>
            </w:pPr>
          </w:p>
          <w:p w14:paraId="3BB3D592" w14:textId="61CDE7AF" w:rsidR="004E0C13" w:rsidRPr="004E0C13" w:rsidRDefault="004B33C3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30730D">
              <w:rPr>
                <w:szCs w:val="24"/>
              </w:rPr>
              <w:t>š</w:t>
            </w:r>
            <w:r>
              <w:rPr>
                <w:szCs w:val="24"/>
              </w:rPr>
              <w:t xml:space="preserve">Į Lietuvos verslo paramos </w:t>
            </w:r>
            <w:r w:rsidR="004E0C13" w:rsidRPr="004E0C13">
              <w:rPr>
                <w:szCs w:val="24"/>
              </w:rPr>
              <w:t>agentūrai</w:t>
            </w:r>
          </w:p>
          <w:p w14:paraId="2A1B439B" w14:textId="6B9B7A54" w:rsidR="004E0C13" w:rsidRDefault="004B33C3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Savanorių pr. 28</w:t>
            </w:r>
          </w:p>
          <w:p w14:paraId="45B9FD32" w14:textId="044EB109" w:rsidR="004E0C13" w:rsidRPr="004E0C13" w:rsidRDefault="004B33C3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03116 Vilnius</w:t>
            </w:r>
          </w:p>
          <w:p w14:paraId="6DF9CA69" w14:textId="77777777" w:rsidR="004B33C3" w:rsidRDefault="004B33C3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</w:p>
          <w:p w14:paraId="070FCF59" w14:textId="4801E38C" w:rsidR="00667C50" w:rsidRDefault="00383004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  <w:r w:rsidRPr="004E0C13">
              <w:rPr>
                <w:szCs w:val="24"/>
              </w:rPr>
              <w:t xml:space="preserve">El.p. </w:t>
            </w:r>
            <w:hyperlink r:id="rId9" w:history="1">
              <w:r w:rsidR="00A41CC8" w:rsidRPr="009D2BAD">
                <w:rPr>
                  <w:rStyle w:val="Hyperlink"/>
                  <w:szCs w:val="24"/>
                </w:rPr>
                <w:t>info@lvpa.lt</w:t>
              </w:r>
            </w:hyperlink>
          </w:p>
          <w:p w14:paraId="2170A8DB" w14:textId="77777777" w:rsidR="00A41CC8" w:rsidRPr="004E0C13" w:rsidRDefault="00A41CC8" w:rsidP="004B33C3">
            <w:pPr>
              <w:shd w:val="clear" w:color="auto" w:fill="FFFFFF"/>
              <w:tabs>
                <w:tab w:val="left" w:pos="900"/>
              </w:tabs>
              <w:ind w:left="-108"/>
              <w:rPr>
                <w:szCs w:val="24"/>
              </w:rPr>
            </w:pPr>
          </w:p>
          <w:p w14:paraId="33CBD7C2" w14:textId="6CD35248" w:rsidR="004771DB" w:rsidRDefault="004771DB" w:rsidP="00667C50">
            <w:pPr>
              <w:shd w:val="clear" w:color="auto" w:fill="FFFFFF"/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425" w:type="dxa"/>
          </w:tcPr>
          <w:p w14:paraId="2E21012C" w14:textId="77777777" w:rsidR="002A07F4" w:rsidRDefault="002A07F4">
            <w:pPr>
              <w:tabs>
                <w:tab w:val="left" w:pos="900"/>
              </w:tabs>
              <w:ind w:right="49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336CAB4" w14:textId="3445097C" w:rsidR="002A07F4" w:rsidRDefault="00445498" w:rsidP="00445498">
            <w:pPr>
              <w:ind w:left="-108"/>
              <w:jc w:val="both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59209E">
              <w:rPr>
                <w:szCs w:val="24"/>
              </w:rPr>
              <w:t>-</w:t>
            </w:r>
            <w:r w:rsidR="004B33C3">
              <w:rPr>
                <w:szCs w:val="24"/>
              </w:rPr>
              <w:t>12</w:t>
            </w:r>
            <w:r w:rsidR="005730EF">
              <w:rPr>
                <w:szCs w:val="24"/>
              </w:rPr>
              <w:t>-</w:t>
            </w:r>
            <w:r w:rsidR="00AC135F">
              <w:rPr>
                <w:szCs w:val="24"/>
              </w:rPr>
              <w:t>04</w:t>
            </w:r>
          </w:p>
        </w:tc>
        <w:tc>
          <w:tcPr>
            <w:tcW w:w="709" w:type="dxa"/>
            <w:hideMark/>
          </w:tcPr>
          <w:p w14:paraId="280B2D70" w14:textId="0F33060C" w:rsidR="002A07F4" w:rsidRDefault="002A07F4">
            <w:pPr>
              <w:tabs>
                <w:tab w:val="left" w:pos="900"/>
              </w:tabs>
              <w:ind w:right="49"/>
              <w:rPr>
                <w:szCs w:val="24"/>
              </w:rPr>
            </w:pPr>
            <w:r>
              <w:rPr>
                <w:szCs w:val="24"/>
              </w:rPr>
              <w:t>Nr.</w:t>
            </w:r>
            <w:r w:rsidR="00C27163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FDAF78E" w14:textId="7E877FA7" w:rsidR="009456F5" w:rsidRDefault="00981FC1" w:rsidP="005730EF">
            <w:pPr>
              <w:tabs>
                <w:tab w:val="center" w:pos="451"/>
              </w:tabs>
              <w:ind w:left="354" w:right="49" w:hanging="1171"/>
              <w:rPr>
                <w:szCs w:val="24"/>
              </w:rPr>
            </w:pPr>
            <w:r>
              <w:rPr>
                <w:szCs w:val="24"/>
              </w:rPr>
              <w:t>4S</w:t>
            </w:r>
            <w:r w:rsidR="00F06BFC">
              <w:rPr>
                <w:szCs w:val="24"/>
              </w:rPr>
              <w:t xml:space="preserve">  </w:t>
            </w:r>
            <w:r>
              <w:rPr>
                <w:szCs w:val="24"/>
              </w:rPr>
              <w:t>-</w:t>
            </w:r>
            <w:r w:rsidR="00C27163">
              <w:rPr>
                <w:szCs w:val="24"/>
              </w:rPr>
              <w:t xml:space="preserve">-    </w:t>
            </w:r>
            <w:r w:rsidR="0059209E">
              <w:rPr>
                <w:szCs w:val="24"/>
              </w:rPr>
              <w:t>4S-</w:t>
            </w:r>
            <w:r w:rsidR="00AC135F">
              <w:rPr>
                <w:szCs w:val="24"/>
              </w:rPr>
              <w:t xml:space="preserve">1108 </w:t>
            </w:r>
            <w:r w:rsidR="009D0FFA">
              <w:rPr>
                <w:szCs w:val="24"/>
              </w:rPr>
              <w:t>(</w:t>
            </w:r>
            <w:r w:rsidR="00F650AA">
              <w:rPr>
                <w:szCs w:val="24"/>
              </w:rPr>
              <w:t>8.3</w:t>
            </w:r>
            <w:r w:rsidR="009D0FFA">
              <w:rPr>
                <w:szCs w:val="24"/>
              </w:rPr>
              <w:t>)</w:t>
            </w:r>
          </w:p>
        </w:tc>
      </w:tr>
      <w:tr w:rsidR="002A07F4" w14:paraId="2F537F57" w14:textId="77777777" w:rsidTr="00D22AB2">
        <w:trPr>
          <w:cantSplit/>
          <w:trHeight w:val="380"/>
        </w:trPr>
        <w:tc>
          <w:tcPr>
            <w:tcW w:w="5794" w:type="dxa"/>
            <w:vMerge/>
            <w:vAlign w:val="center"/>
            <w:hideMark/>
          </w:tcPr>
          <w:p w14:paraId="2C9BC8AB" w14:textId="77777777" w:rsidR="002A07F4" w:rsidRDefault="002A07F4">
            <w:pPr>
              <w:rPr>
                <w:szCs w:val="24"/>
              </w:rPr>
            </w:pPr>
          </w:p>
        </w:tc>
        <w:tc>
          <w:tcPr>
            <w:tcW w:w="425" w:type="dxa"/>
          </w:tcPr>
          <w:p w14:paraId="56C5FEFA" w14:textId="77777777" w:rsidR="004B33C3" w:rsidRDefault="004B33C3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</w:p>
          <w:p w14:paraId="441F64E1" w14:textId="77777777" w:rsidR="004B33C3" w:rsidRDefault="004B33C3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</w:p>
          <w:p w14:paraId="2721D210" w14:textId="77777777" w:rsidR="004B33C3" w:rsidRDefault="004B33C3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</w:p>
          <w:p w14:paraId="1228E2C6" w14:textId="77777777" w:rsidR="004B33C3" w:rsidRDefault="004B33C3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</w:p>
          <w:p w14:paraId="556E3B58" w14:textId="77777777" w:rsidR="004B33C3" w:rsidRDefault="004B33C3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</w:p>
          <w:p w14:paraId="6F6E027D" w14:textId="45908C96" w:rsidR="002A07F4" w:rsidRDefault="002A07F4">
            <w:pPr>
              <w:tabs>
                <w:tab w:val="left" w:pos="900"/>
              </w:tabs>
              <w:ind w:right="4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Į </w:t>
            </w:r>
          </w:p>
        </w:tc>
        <w:tc>
          <w:tcPr>
            <w:tcW w:w="1418" w:type="dxa"/>
          </w:tcPr>
          <w:p w14:paraId="4DE10E8A" w14:textId="77777777" w:rsidR="004B33C3" w:rsidRDefault="00BB387C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037ADCD" w14:textId="77777777" w:rsidR="004B33C3" w:rsidRDefault="004B33C3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</w:p>
          <w:p w14:paraId="78037085" w14:textId="77777777" w:rsidR="004B33C3" w:rsidRDefault="004B33C3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</w:p>
          <w:p w14:paraId="2D248D9F" w14:textId="77777777" w:rsidR="004B33C3" w:rsidRDefault="004B33C3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</w:p>
          <w:p w14:paraId="0610C03D" w14:textId="77777777" w:rsidR="004B33C3" w:rsidRDefault="004B33C3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</w:p>
          <w:p w14:paraId="6A62625B" w14:textId="41508871" w:rsidR="009456F5" w:rsidRDefault="002A07F4" w:rsidP="00A966F4">
            <w:pPr>
              <w:tabs>
                <w:tab w:val="left" w:pos="900"/>
              </w:tabs>
              <w:ind w:left="-105" w:right="49"/>
              <w:rPr>
                <w:szCs w:val="24"/>
              </w:rPr>
            </w:pPr>
            <w:r w:rsidRPr="00F35058">
              <w:rPr>
                <w:szCs w:val="24"/>
              </w:rPr>
              <w:t>20</w:t>
            </w:r>
            <w:r w:rsidR="00A966F4">
              <w:rPr>
                <w:szCs w:val="24"/>
              </w:rPr>
              <w:t>20-</w:t>
            </w:r>
            <w:r w:rsidR="004B33C3">
              <w:rPr>
                <w:szCs w:val="24"/>
              </w:rPr>
              <w:t>11</w:t>
            </w:r>
            <w:r w:rsidR="00A966F4">
              <w:rPr>
                <w:szCs w:val="24"/>
              </w:rPr>
              <w:t>-</w:t>
            </w:r>
            <w:r w:rsidR="004B33C3">
              <w:rPr>
                <w:szCs w:val="24"/>
              </w:rPr>
              <w:t>17</w:t>
            </w:r>
          </w:p>
        </w:tc>
        <w:tc>
          <w:tcPr>
            <w:tcW w:w="709" w:type="dxa"/>
          </w:tcPr>
          <w:p w14:paraId="1675BF71" w14:textId="77777777" w:rsidR="004B33C3" w:rsidRDefault="004B33C3">
            <w:pPr>
              <w:tabs>
                <w:tab w:val="left" w:pos="900"/>
              </w:tabs>
              <w:ind w:right="49"/>
              <w:rPr>
                <w:szCs w:val="24"/>
              </w:rPr>
            </w:pPr>
          </w:p>
          <w:p w14:paraId="6D32F488" w14:textId="77777777" w:rsidR="004B33C3" w:rsidRDefault="004B33C3">
            <w:pPr>
              <w:tabs>
                <w:tab w:val="left" w:pos="900"/>
              </w:tabs>
              <w:ind w:right="49"/>
              <w:rPr>
                <w:szCs w:val="24"/>
              </w:rPr>
            </w:pPr>
          </w:p>
          <w:p w14:paraId="4E240DA2" w14:textId="77777777" w:rsidR="004B33C3" w:rsidRDefault="004B33C3">
            <w:pPr>
              <w:tabs>
                <w:tab w:val="left" w:pos="900"/>
              </w:tabs>
              <w:ind w:right="49"/>
              <w:rPr>
                <w:szCs w:val="24"/>
              </w:rPr>
            </w:pPr>
          </w:p>
          <w:p w14:paraId="25F4C558" w14:textId="77777777" w:rsidR="004B33C3" w:rsidRDefault="004B33C3">
            <w:pPr>
              <w:tabs>
                <w:tab w:val="left" w:pos="900"/>
              </w:tabs>
              <w:ind w:right="49"/>
              <w:rPr>
                <w:szCs w:val="24"/>
              </w:rPr>
            </w:pPr>
          </w:p>
          <w:p w14:paraId="4C944005" w14:textId="77777777" w:rsidR="004B33C3" w:rsidRDefault="004B33C3">
            <w:pPr>
              <w:tabs>
                <w:tab w:val="left" w:pos="900"/>
              </w:tabs>
              <w:ind w:right="49"/>
              <w:rPr>
                <w:szCs w:val="24"/>
              </w:rPr>
            </w:pPr>
          </w:p>
          <w:p w14:paraId="5B641B18" w14:textId="3A438D65" w:rsidR="002A07F4" w:rsidRDefault="002A07F4">
            <w:pPr>
              <w:tabs>
                <w:tab w:val="left" w:pos="900"/>
              </w:tabs>
              <w:ind w:right="49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984" w:type="dxa"/>
          </w:tcPr>
          <w:p w14:paraId="48B1E559" w14:textId="77777777" w:rsidR="004B33C3" w:rsidRDefault="004B33C3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1BD66243" w14:textId="77777777" w:rsidR="004B33C3" w:rsidRDefault="004B33C3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1418285B" w14:textId="77777777" w:rsidR="004B33C3" w:rsidRDefault="004B33C3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53E71D8F" w14:textId="77777777" w:rsidR="004B33C3" w:rsidRDefault="004B33C3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3021B167" w14:textId="77777777" w:rsidR="004B33C3" w:rsidRDefault="004B33C3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649B25C9" w14:textId="76132E7A" w:rsidR="00F06BFC" w:rsidRDefault="00BB2F31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  <w:r>
              <w:rPr>
                <w:szCs w:val="24"/>
              </w:rPr>
              <w:t>R4-3981</w:t>
            </w:r>
          </w:p>
          <w:p w14:paraId="2F058535" w14:textId="77777777" w:rsidR="00F06BFC" w:rsidRDefault="00F06BFC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  <w:p w14:paraId="2A703FFC" w14:textId="38E493C7" w:rsidR="00F06BFC" w:rsidRDefault="00F06BFC" w:rsidP="00F06BFC">
            <w:pPr>
              <w:tabs>
                <w:tab w:val="left" w:pos="900"/>
              </w:tabs>
              <w:ind w:right="-250"/>
              <w:rPr>
                <w:szCs w:val="24"/>
              </w:rPr>
            </w:pPr>
          </w:p>
        </w:tc>
      </w:tr>
    </w:tbl>
    <w:p w14:paraId="6AB88BBA" w14:textId="44D5400D" w:rsidR="00A41CC8" w:rsidRDefault="002A07F4" w:rsidP="00A41CC8">
      <w:pPr>
        <w:spacing w:line="360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VERTINIMO IŠVADA</w:t>
      </w:r>
    </w:p>
    <w:p w14:paraId="0D5B3723" w14:textId="77777777" w:rsidR="00DB1DAF" w:rsidRDefault="00DB1DAF" w:rsidP="00A41CC8">
      <w:pPr>
        <w:ind w:firstLine="851"/>
        <w:jc w:val="both"/>
        <w:rPr>
          <w:bCs/>
          <w:szCs w:val="24"/>
        </w:rPr>
      </w:pPr>
    </w:p>
    <w:p w14:paraId="70A4DBF7" w14:textId="44438614" w:rsidR="002A07F4" w:rsidRDefault="002A07F4" w:rsidP="00A41CC8">
      <w:pPr>
        <w:ind w:firstLine="959"/>
        <w:jc w:val="both"/>
        <w:rPr>
          <w:szCs w:val="24"/>
        </w:rPr>
      </w:pPr>
      <w:r w:rsidRPr="00F35058">
        <w:rPr>
          <w:bCs/>
          <w:szCs w:val="24"/>
        </w:rPr>
        <w:t>Viešųjų pirkimų tarnyba (toliau – Tarnyba), vadovaudamasi</w:t>
      </w:r>
      <w:r w:rsidRPr="00D47DCF">
        <w:rPr>
          <w:bCs/>
          <w:szCs w:val="24"/>
        </w:rPr>
        <w:t xml:space="preserve"> </w:t>
      </w:r>
      <w:r w:rsidRPr="00F35058">
        <w:rPr>
          <w:bCs/>
          <w:szCs w:val="24"/>
        </w:rPr>
        <w:t xml:space="preserve">Lietuvos Respublikos </w:t>
      </w:r>
      <w:r w:rsidR="00DB32B8">
        <w:rPr>
          <w:bCs/>
          <w:szCs w:val="24"/>
        </w:rPr>
        <w:t xml:space="preserve">viešųjų </w:t>
      </w:r>
      <w:r w:rsidRPr="00F35058">
        <w:rPr>
          <w:bCs/>
          <w:szCs w:val="24"/>
        </w:rPr>
        <w:t>pirkimų</w:t>
      </w:r>
      <w:r>
        <w:rPr>
          <w:bCs/>
          <w:szCs w:val="24"/>
        </w:rPr>
        <w:t xml:space="preserve"> </w:t>
      </w:r>
      <w:r w:rsidRPr="00F35058">
        <w:rPr>
          <w:bCs/>
          <w:szCs w:val="24"/>
        </w:rPr>
        <w:t>įstatym</w:t>
      </w:r>
      <w:r w:rsidR="000D6E31">
        <w:rPr>
          <w:bCs/>
          <w:szCs w:val="24"/>
        </w:rPr>
        <w:t xml:space="preserve">o </w:t>
      </w:r>
      <w:r w:rsidR="003C43BD">
        <w:rPr>
          <w:bCs/>
          <w:szCs w:val="24"/>
        </w:rPr>
        <w:t>9</w:t>
      </w:r>
      <w:r w:rsidR="003C43BD" w:rsidRPr="008D6FEE">
        <w:rPr>
          <w:bCs/>
          <w:szCs w:val="24"/>
        </w:rPr>
        <w:t>5 straipsnio 1 dalies 2 punktu</w:t>
      </w:r>
      <w:r w:rsidRPr="00F35058">
        <w:rPr>
          <w:bCs/>
          <w:szCs w:val="24"/>
        </w:rPr>
        <w:t xml:space="preserve">, atliko </w:t>
      </w:r>
      <w:r w:rsidR="004B33C3">
        <w:rPr>
          <w:bCs/>
          <w:szCs w:val="24"/>
        </w:rPr>
        <w:t>Druskininkų savivaldybės administracijos</w:t>
      </w:r>
      <w:r w:rsidR="00DB1DAF">
        <w:rPr>
          <w:szCs w:val="24"/>
        </w:rPr>
        <w:t xml:space="preserve"> </w:t>
      </w:r>
      <w:r w:rsidRPr="00F35058">
        <w:rPr>
          <w:szCs w:val="24"/>
        </w:rPr>
        <w:t>vykd</w:t>
      </w:r>
      <w:r w:rsidR="00E97A54">
        <w:rPr>
          <w:szCs w:val="24"/>
        </w:rPr>
        <w:t>yto</w:t>
      </w:r>
      <w:r w:rsidRPr="00F35058">
        <w:rPr>
          <w:szCs w:val="24"/>
        </w:rPr>
        <w:t xml:space="preserve"> pirkimo vertinimą</w:t>
      </w:r>
      <w:r w:rsidR="004B33C3">
        <w:rPr>
          <w:szCs w:val="24"/>
        </w:rPr>
        <w:t xml:space="preserve"> (VĮ Lietuvos verslo paramos agentūros prašymu).</w:t>
      </w:r>
    </w:p>
    <w:p w14:paraId="3AFA7892" w14:textId="77777777" w:rsidR="004B33C3" w:rsidRPr="004B33C3" w:rsidRDefault="004B33C3" w:rsidP="00A41CC8">
      <w:pPr>
        <w:ind w:firstLine="959"/>
        <w:jc w:val="both"/>
        <w:rPr>
          <w:szCs w:val="24"/>
        </w:rPr>
      </w:pPr>
    </w:p>
    <w:p w14:paraId="7F977FBF" w14:textId="54555223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b/>
          <w:szCs w:val="24"/>
        </w:rPr>
        <w:t>I dalis. Bendra informacija</w:t>
      </w:r>
    </w:p>
    <w:p w14:paraId="683CFC67" w14:textId="77777777" w:rsidR="00A41CC8" w:rsidRDefault="00A41CC8" w:rsidP="002A07F4">
      <w:pPr>
        <w:spacing w:line="254" w:lineRule="auto"/>
        <w:ind w:right="49"/>
        <w:jc w:val="center"/>
        <w:rPr>
          <w:szCs w:val="24"/>
        </w:rPr>
      </w:pPr>
    </w:p>
    <w:p w14:paraId="720CCDAD" w14:textId="77777777" w:rsidR="002A07F4" w:rsidRDefault="002A07F4" w:rsidP="002A07F4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14:paraId="554FA865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976" w14:textId="421A9FCB"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833" w14:textId="4088FA75" w:rsidR="002A07F4" w:rsidRPr="00FC334E" w:rsidRDefault="00D93F3E" w:rsidP="00D93F3E">
            <w:pPr>
              <w:spacing w:line="254" w:lineRule="auto"/>
              <w:jc w:val="both"/>
              <w:rPr>
                <w:szCs w:val="24"/>
              </w:rPr>
            </w:pPr>
            <w:r w:rsidRPr="00D93F3E">
              <w:rPr>
                <w:szCs w:val="24"/>
              </w:rPr>
              <w:t>„</w:t>
            </w:r>
            <w:r w:rsidR="003C5166">
              <w:rPr>
                <w:szCs w:val="24"/>
              </w:rPr>
              <w:t>E</w:t>
            </w:r>
            <w:r w:rsidR="00BA35E4">
              <w:rPr>
                <w:szCs w:val="24"/>
              </w:rPr>
              <w:t>-rinkodaros paslaugos“</w:t>
            </w:r>
            <w:r>
              <w:rPr>
                <w:szCs w:val="24"/>
              </w:rPr>
              <w:t xml:space="preserve"> </w:t>
            </w:r>
            <w:r w:rsidR="003A52B5">
              <w:rPr>
                <w:szCs w:val="24"/>
              </w:rPr>
              <w:t xml:space="preserve">2019-06-10 skelbtas </w:t>
            </w:r>
            <w:r w:rsidRPr="002307A6">
              <w:rPr>
                <w:szCs w:val="24"/>
              </w:rPr>
              <w:t>Centrinėje viešųjų pirkimų</w:t>
            </w:r>
            <w:r>
              <w:rPr>
                <w:szCs w:val="24"/>
              </w:rPr>
              <w:t xml:space="preserve"> informacinėje</w:t>
            </w:r>
            <w:r w:rsidRPr="002307A6">
              <w:rPr>
                <w:szCs w:val="24"/>
              </w:rPr>
              <w:t xml:space="preserve"> sistemoje, pirkimo Nr. </w:t>
            </w:r>
            <w:r w:rsidR="003C5166">
              <w:rPr>
                <w:szCs w:val="24"/>
              </w:rPr>
              <w:t>437755</w:t>
            </w:r>
            <w:r w:rsidR="009B5BCD" w:rsidRPr="005A0C51">
              <w:rPr>
                <w:szCs w:val="24"/>
              </w:rPr>
              <w:t xml:space="preserve"> (toliau – Pirkimas</w:t>
            </w:r>
            <w:r w:rsidR="009B5BC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2A07F4" w14:paraId="13F23A68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478C" w14:textId="77777777" w:rsidR="002A07F4" w:rsidRDefault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  <w:r w:rsidR="00A41CC8">
              <w:rPr>
                <w:rFonts w:eastAsia="Calibri"/>
              </w:rPr>
              <w:t>.</w:t>
            </w:r>
          </w:p>
          <w:p w14:paraId="6BFC098C" w14:textId="12A013FB" w:rsidR="00A41CC8" w:rsidRPr="002A07F4" w:rsidRDefault="00A41CC8">
            <w:pPr>
              <w:jc w:val="both"/>
              <w:rPr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6A" w14:textId="09B0E1AA" w:rsidR="002A07F4" w:rsidRPr="002A07F4" w:rsidRDefault="002A07F4" w:rsidP="006D281F">
            <w:pPr>
              <w:spacing w:line="254" w:lineRule="auto"/>
              <w:jc w:val="both"/>
              <w:rPr>
                <w:szCs w:val="24"/>
              </w:rPr>
            </w:pPr>
            <w:r w:rsidRPr="00F35058">
              <w:rPr>
                <w:bCs/>
                <w:szCs w:val="24"/>
              </w:rPr>
              <w:t xml:space="preserve">Lietuvos Respublikos </w:t>
            </w:r>
            <w:r w:rsidR="003C43BD">
              <w:rPr>
                <w:bCs/>
                <w:szCs w:val="24"/>
              </w:rPr>
              <w:t xml:space="preserve">viešųjų </w:t>
            </w:r>
            <w:r w:rsidRPr="00F35058">
              <w:rPr>
                <w:bCs/>
                <w:szCs w:val="24"/>
              </w:rPr>
              <w:t>pirkimų</w:t>
            </w:r>
            <w:r w:rsidR="003C43BD">
              <w:rPr>
                <w:bCs/>
                <w:szCs w:val="24"/>
              </w:rPr>
              <w:t xml:space="preserve"> </w:t>
            </w:r>
            <w:r w:rsidRPr="00F35058">
              <w:rPr>
                <w:bCs/>
                <w:szCs w:val="24"/>
              </w:rPr>
              <w:t>įstatym</w:t>
            </w:r>
            <w:r>
              <w:rPr>
                <w:bCs/>
                <w:szCs w:val="24"/>
              </w:rPr>
              <w:t>a</w:t>
            </w:r>
            <w:r w:rsidRPr="00F35058">
              <w:rPr>
                <w:bCs/>
                <w:szCs w:val="24"/>
              </w:rPr>
              <w:t xml:space="preserve">s </w:t>
            </w:r>
            <w:r w:rsidRPr="0022241D">
              <w:rPr>
                <w:bCs/>
                <w:szCs w:val="24"/>
              </w:rPr>
              <w:t>(redakcija nuo 201</w:t>
            </w:r>
            <w:r w:rsidR="005677A9" w:rsidRPr="0022241D">
              <w:rPr>
                <w:bCs/>
                <w:szCs w:val="24"/>
              </w:rPr>
              <w:t>9</w:t>
            </w:r>
            <w:r w:rsidR="003C43BD" w:rsidRPr="0022241D">
              <w:rPr>
                <w:bCs/>
                <w:szCs w:val="24"/>
              </w:rPr>
              <w:t>-</w:t>
            </w:r>
            <w:r w:rsidR="0030730D">
              <w:rPr>
                <w:bCs/>
                <w:szCs w:val="24"/>
              </w:rPr>
              <w:t>01-01</w:t>
            </w:r>
            <w:r w:rsidRPr="0022241D">
              <w:rPr>
                <w:bCs/>
                <w:szCs w:val="24"/>
              </w:rPr>
              <w:t xml:space="preserve">) </w:t>
            </w:r>
            <w:r w:rsidRPr="00F35058">
              <w:rPr>
                <w:bCs/>
                <w:szCs w:val="24"/>
              </w:rPr>
              <w:t xml:space="preserve">(toliau – </w:t>
            </w:r>
            <w:r w:rsidR="003C43BD" w:rsidRPr="00F35058">
              <w:rPr>
                <w:bCs/>
                <w:szCs w:val="24"/>
              </w:rPr>
              <w:t>Įstatymas</w:t>
            </w:r>
            <w:r w:rsidRPr="00F3505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</w:p>
        </w:tc>
      </w:tr>
      <w:tr w:rsidR="002A07F4" w14:paraId="7B7FD9D8" w14:textId="77777777" w:rsidTr="00CC153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FB6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D7F" w14:textId="77777777" w:rsidR="002A07F4" w:rsidRDefault="004A6375" w:rsidP="004A6375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Supaprastintas a</w:t>
            </w:r>
            <w:r w:rsidR="009B5BCD" w:rsidRPr="00F35058">
              <w:rPr>
                <w:szCs w:val="24"/>
              </w:rPr>
              <w:t xml:space="preserve">tviras </w:t>
            </w:r>
            <w:r w:rsidR="002A07F4" w:rsidRPr="00F35058">
              <w:rPr>
                <w:szCs w:val="24"/>
              </w:rPr>
              <w:t>konkursas</w:t>
            </w:r>
            <w:r w:rsidR="002A07F4">
              <w:rPr>
                <w:szCs w:val="24"/>
              </w:rPr>
              <w:t>.</w:t>
            </w:r>
          </w:p>
          <w:p w14:paraId="6E458157" w14:textId="08441256" w:rsidR="00A41CC8" w:rsidRPr="00F35058" w:rsidRDefault="00A41CC8" w:rsidP="004A6375">
            <w:pPr>
              <w:spacing w:before="60" w:after="60"/>
              <w:jc w:val="both"/>
              <w:rPr>
                <w:szCs w:val="24"/>
              </w:rPr>
            </w:pPr>
          </w:p>
        </w:tc>
      </w:tr>
      <w:tr w:rsidR="002A07F4" w14:paraId="0D2D661A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26A1" w14:textId="77777777" w:rsid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Planuojama (nenurodoma, jeigu pirkimas vertinamas iki vokų su pasiūlymais atplėšimo procedūros), faktinė pirkimo/sutarties vertė Eur be PVM</w:t>
            </w:r>
            <w:r w:rsidR="00A41CC8">
              <w:rPr>
                <w:rFonts w:eastAsia="Calibri"/>
              </w:rPr>
              <w:t>.</w:t>
            </w:r>
          </w:p>
          <w:p w14:paraId="72D51B64" w14:textId="340A4C0C" w:rsidR="00A41CC8" w:rsidRPr="002A07F4" w:rsidRDefault="00A41CC8" w:rsidP="002A07F4">
            <w:pPr>
              <w:jc w:val="both"/>
              <w:rPr>
                <w:rFonts w:eastAsia="Calibri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924" w14:textId="4794BF3F" w:rsidR="003C43BD" w:rsidRDefault="00C76961" w:rsidP="00762B8C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Planuojama Pirkimo vertė </w:t>
            </w:r>
            <w:r w:rsidRPr="00C76961">
              <w:rPr>
                <w:szCs w:val="24"/>
              </w:rPr>
              <w:t xml:space="preserve">154340,00 </w:t>
            </w:r>
            <w:r w:rsidR="002C27E4">
              <w:rPr>
                <w:szCs w:val="24"/>
              </w:rPr>
              <w:t>E</w:t>
            </w:r>
            <w:r w:rsidRPr="00C76961">
              <w:rPr>
                <w:szCs w:val="24"/>
              </w:rPr>
              <w:t>urų be PVM</w:t>
            </w:r>
            <w:r>
              <w:rPr>
                <w:szCs w:val="24"/>
              </w:rPr>
              <w:t>.</w:t>
            </w:r>
          </w:p>
          <w:p w14:paraId="3E98F64B" w14:textId="62FC79CD" w:rsidR="00C76961" w:rsidRPr="00C76961" w:rsidRDefault="00C76961" w:rsidP="00762B8C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Pirkimo sutarties vertė –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99825,00 Eur su PVM.</w:t>
            </w:r>
          </w:p>
        </w:tc>
      </w:tr>
      <w:tr w:rsidR="002A07F4" w14:paraId="110D0C7B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4F6" w14:textId="77777777" w:rsid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Tiekėjas / teikėjas / rangovas / koncesininkas, juridinio asmens kodas (su kuriuo sudaryta sutartis)</w:t>
            </w:r>
            <w:r w:rsidR="00A41CC8">
              <w:rPr>
                <w:rFonts w:eastAsia="Calibri"/>
              </w:rPr>
              <w:t>.</w:t>
            </w:r>
          </w:p>
          <w:p w14:paraId="21B2B888" w14:textId="3841B663" w:rsidR="00A41CC8" w:rsidRPr="002A07F4" w:rsidRDefault="00A41CC8" w:rsidP="002A07F4">
            <w:pPr>
              <w:jc w:val="both"/>
              <w:rPr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F03" w14:textId="29E36768" w:rsidR="002A07F4" w:rsidRPr="002A07F4" w:rsidRDefault="00C76961" w:rsidP="002A07F4">
            <w:pPr>
              <w:spacing w:line="254" w:lineRule="auto"/>
              <w:jc w:val="both"/>
              <w:rPr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UAB </w:t>
            </w:r>
            <w:r w:rsidR="002C27E4">
              <w:rPr>
                <w:rFonts w:ascii="TimesNewRomanPSMT" w:eastAsiaTheme="minorHAnsi" w:hAnsi="TimesNewRomanPSMT" w:cs="TimesNewRomanPSMT"/>
                <w:szCs w:val="24"/>
              </w:rPr>
              <w:t>„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Skaitmeninė rinkodara</w:t>
            </w:r>
            <w:r w:rsidR="002C27E4">
              <w:rPr>
                <w:rFonts w:ascii="TimesNewRomanPSMT" w:eastAsiaTheme="minorHAnsi" w:hAnsi="TimesNewRomanPSMT" w:cs="TimesNewRomanPSMT"/>
                <w:szCs w:val="24"/>
              </w:rPr>
              <w:t>“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(303141692).</w:t>
            </w:r>
          </w:p>
        </w:tc>
      </w:tr>
      <w:tr w:rsidR="002A07F4" w14:paraId="189D3881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DDC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lastRenderedPageBreak/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A84" w14:textId="77777777" w:rsidR="002A07F4" w:rsidRDefault="0021427A" w:rsidP="0002011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Dalinis </w:t>
            </w:r>
            <w:r w:rsidR="002A07F4" w:rsidRPr="00F35058">
              <w:rPr>
                <w:szCs w:val="24"/>
              </w:rPr>
              <w:t xml:space="preserve">vertinimas </w:t>
            </w:r>
            <w:r>
              <w:rPr>
                <w:szCs w:val="24"/>
              </w:rPr>
              <w:t>(</w:t>
            </w:r>
            <w:r w:rsidR="001C46E2">
              <w:rPr>
                <w:szCs w:val="24"/>
              </w:rPr>
              <w:t>ekonominio naudingumo kriterijai</w:t>
            </w:r>
            <w:r w:rsidR="00BC7925">
              <w:rPr>
                <w:szCs w:val="24"/>
              </w:rPr>
              <w:t>,</w:t>
            </w:r>
            <w:r w:rsidR="00765001">
              <w:rPr>
                <w:szCs w:val="24"/>
              </w:rPr>
              <w:t xml:space="preserve"> kvalifikaciniai reikalavimai specialistams, pasiūlymų vertinimas</w:t>
            </w:r>
            <w:r w:rsidR="001C46E2">
              <w:rPr>
                <w:szCs w:val="24"/>
              </w:rPr>
              <w:t>)</w:t>
            </w:r>
            <w:r w:rsidR="003C4844">
              <w:rPr>
                <w:szCs w:val="24"/>
              </w:rPr>
              <w:t xml:space="preserve"> </w:t>
            </w:r>
            <w:r w:rsidR="0025094E">
              <w:rPr>
                <w:szCs w:val="24"/>
              </w:rPr>
              <w:t>/</w:t>
            </w:r>
            <w:r w:rsidR="002A07F4" w:rsidRPr="00F35058">
              <w:rPr>
                <w:szCs w:val="24"/>
              </w:rPr>
              <w:t xml:space="preserve"> Pirkimo </w:t>
            </w:r>
            <w:r w:rsidR="002A07F4" w:rsidRPr="004F7DE0">
              <w:rPr>
                <w:szCs w:val="24"/>
              </w:rPr>
              <w:t xml:space="preserve">vertinimas </w:t>
            </w:r>
            <w:r w:rsidRPr="004F7DE0">
              <w:rPr>
                <w:szCs w:val="24"/>
              </w:rPr>
              <w:t xml:space="preserve">po </w:t>
            </w:r>
            <w:r w:rsidR="00765001" w:rsidRPr="004F7DE0">
              <w:rPr>
                <w:szCs w:val="24"/>
              </w:rPr>
              <w:t xml:space="preserve">Pirkimo sutarties </w:t>
            </w:r>
            <w:r w:rsidR="004F7DE0" w:rsidRPr="004F7DE0">
              <w:rPr>
                <w:szCs w:val="24"/>
              </w:rPr>
              <w:t>įvykdymo</w:t>
            </w:r>
            <w:r w:rsidR="00020116" w:rsidRPr="004F7DE0">
              <w:rPr>
                <w:szCs w:val="24"/>
              </w:rPr>
              <w:t>.</w:t>
            </w:r>
          </w:p>
          <w:p w14:paraId="0D7D3D16" w14:textId="07D6F8C6" w:rsidR="00A41CC8" w:rsidRPr="002A07F4" w:rsidRDefault="00A41CC8" w:rsidP="00020116">
            <w:pPr>
              <w:spacing w:line="254" w:lineRule="auto"/>
              <w:jc w:val="both"/>
              <w:rPr>
                <w:szCs w:val="24"/>
              </w:rPr>
            </w:pPr>
          </w:p>
        </w:tc>
      </w:tr>
      <w:tr w:rsidR="002A07F4" w14:paraId="0F9E7A14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997" w14:textId="77777777"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057" w14:textId="77777777" w:rsidR="00EC341A" w:rsidRDefault="00BC7925" w:rsidP="00383004">
            <w:pPr>
              <w:tabs>
                <w:tab w:val="left" w:pos="900"/>
              </w:tabs>
              <w:ind w:left="35" w:right="49"/>
              <w:jc w:val="both"/>
              <w:rPr>
                <w:color w:val="333333"/>
                <w:sz w:val="23"/>
                <w:szCs w:val="23"/>
                <w:lang w:eastAsia="lt-LT"/>
              </w:rPr>
            </w:pPr>
            <w:r w:rsidRPr="00BC7925">
              <w:rPr>
                <w:color w:val="333333"/>
                <w:sz w:val="23"/>
                <w:szCs w:val="23"/>
                <w:lang w:eastAsia="lt-LT"/>
              </w:rPr>
              <w:t xml:space="preserve">Pirkimas vykdomas įgyvendinant 2014–2020 metų Europos Sąjungos fondų investicijų veiksmų programos 5 prioriteto „Aplinkosauga, gamtos išteklių darnus naudojimas ir prisitaikymas prie klimato kaitos“ Nr. 05.4.1-LVPA-K-808 priemonę „Prioritetinių turizmo plėtros regionų e-rinkodara“ projektą „Atrask Dzūkijos </w:t>
            </w:r>
            <w:r w:rsidRPr="008276D1">
              <w:rPr>
                <w:color w:val="333333"/>
                <w:sz w:val="23"/>
                <w:szCs w:val="23"/>
                <w:lang w:eastAsia="lt-LT"/>
              </w:rPr>
              <w:t>gamtą ir kultūrą“.</w:t>
            </w:r>
            <w:r w:rsidR="00FB0F10" w:rsidRPr="008276D1">
              <w:rPr>
                <w:color w:val="333333"/>
                <w:sz w:val="23"/>
                <w:szCs w:val="23"/>
                <w:lang w:eastAsia="lt-LT"/>
              </w:rPr>
              <w:t xml:space="preserve"> Įgyvendinančioji institucija –</w:t>
            </w:r>
            <w:r w:rsidRPr="008276D1">
              <w:rPr>
                <w:color w:val="333333"/>
                <w:sz w:val="23"/>
                <w:szCs w:val="23"/>
                <w:lang w:eastAsia="lt-LT"/>
              </w:rPr>
              <w:t xml:space="preserve"> V</w:t>
            </w:r>
            <w:r w:rsidR="008276D1" w:rsidRPr="008276D1">
              <w:rPr>
                <w:color w:val="333333"/>
                <w:sz w:val="23"/>
                <w:szCs w:val="23"/>
                <w:lang w:eastAsia="lt-LT"/>
              </w:rPr>
              <w:t>š</w:t>
            </w:r>
            <w:r w:rsidRPr="008276D1">
              <w:rPr>
                <w:color w:val="333333"/>
                <w:sz w:val="23"/>
                <w:szCs w:val="23"/>
                <w:lang w:eastAsia="lt-LT"/>
              </w:rPr>
              <w:t>Į Lietuvos verslo paramos agentūra</w:t>
            </w:r>
            <w:r w:rsidR="00FB0F10" w:rsidRPr="00840ECB">
              <w:rPr>
                <w:color w:val="333333"/>
                <w:sz w:val="23"/>
                <w:szCs w:val="23"/>
                <w:lang w:eastAsia="lt-LT"/>
              </w:rPr>
              <w:t xml:space="preserve"> (toliau – LVPA).</w:t>
            </w:r>
          </w:p>
          <w:p w14:paraId="3A45BA45" w14:textId="77777777" w:rsidR="00A41CC8" w:rsidRDefault="00A41CC8" w:rsidP="00383004">
            <w:pPr>
              <w:tabs>
                <w:tab w:val="left" w:pos="900"/>
              </w:tabs>
              <w:ind w:left="35" w:right="49"/>
              <w:jc w:val="both"/>
              <w:rPr>
                <w:szCs w:val="24"/>
              </w:rPr>
            </w:pPr>
          </w:p>
          <w:p w14:paraId="095EA9A3" w14:textId="4DE7376A" w:rsidR="007E6934" w:rsidRPr="00BC7925" w:rsidRDefault="007E6934" w:rsidP="00383004">
            <w:pPr>
              <w:tabs>
                <w:tab w:val="left" w:pos="900"/>
              </w:tabs>
              <w:ind w:left="35" w:right="49"/>
              <w:jc w:val="both"/>
              <w:rPr>
                <w:szCs w:val="24"/>
              </w:rPr>
            </w:pPr>
          </w:p>
        </w:tc>
      </w:tr>
      <w:tr w:rsidR="002A07F4" w14:paraId="4BC74502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1D05" w14:textId="2007BDF6" w:rsidR="001419D9" w:rsidRDefault="001419D9" w:rsidP="001419D9">
            <w:pPr>
              <w:jc w:val="both"/>
              <w:rPr>
                <w:rFonts w:eastAsia="Calibri"/>
                <w:i/>
              </w:rPr>
            </w:pPr>
            <w:r w:rsidRPr="001419D9">
              <w:rPr>
                <w:rFonts w:eastAsia="Calibri"/>
                <w:i/>
              </w:rPr>
              <w:t>Jei dėl pirkimo/sutarties vyksta teismo procesas, nurodyti ieškinio (skundo) dalykus, bylos šalių pavadinimus, ar taikomos laikinosios apsaugos priemonės, teisminio nagrinėjimo stadija, pvz., apygardos, apeliacinis teismas.</w:t>
            </w:r>
          </w:p>
          <w:p w14:paraId="640F587D" w14:textId="77777777" w:rsidR="007E6934" w:rsidRDefault="007E6934" w:rsidP="001419D9">
            <w:pPr>
              <w:jc w:val="both"/>
              <w:rPr>
                <w:rFonts w:eastAsia="Calibri"/>
                <w:i/>
              </w:rPr>
            </w:pPr>
          </w:p>
          <w:p w14:paraId="7A6690A0" w14:textId="1A150388" w:rsidR="002A07F4" w:rsidRPr="003454A0" w:rsidRDefault="00F93FDC" w:rsidP="0008725E">
            <w:pPr>
              <w:ind w:firstLine="88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36AF335F" w14:textId="77777777" w:rsidR="002A07F4" w:rsidRPr="002A07F4" w:rsidRDefault="002A07F4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CC1530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0E27" w14:textId="77777777" w:rsidR="00607032" w:rsidRPr="002A07F4" w:rsidRDefault="00607032" w:rsidP="00CC1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DE9E" w14:textId="77777777" w:rsidR="002C27E4" w:rsidRDefault="009C7C91" w:rsidP="00BF2348">
            <w:pPr>
              <w:jc w:val="both"/>
              <w:rPr>
                <w:sz w:val="23"/>
                <w:szCs w:val="23"/>
              </w:rPr>
            </w:pPr>
            <w:r w:rsidRPr="00923665">
              <w:rPr>
                <w:szCs w:val="24"/>
              </w:rPr>
              <w:t>Įstatymo 17 straipsnio 1 dalis</w:t>
            </w:r>
            <w:r w:rsidRPr="00923665">
              <w:rPr>
                <w:rStyle w:val="FootnoteReference"/>
                <w:szCs w:val="24"/>
              </w:rPr>
              <w:footnoteReference w:id="1"/>
            </w:r>
            <w:r w:rsidR="00131B8A">
              <w:rPr>
                <w:szCs w:val="24"/>
              </w:rPr>
              <w:t>,</w:t>
            </w:r>
            <w:r w:rsidR="00BF2348">
              <w:rPr>
                <w:sz w:val="23"/>
                <w:szCs w:val="23"/>
              </w:rPr>
              <w:t xml:space="preserve"> </w:t>
            </w:r>
          </w:p>
          <w:p w14:paraId="32249CC0" w14:textId="77777777" w:rsidR="00A41CC8" w:rsidRDefault="00BF2348" w:rsidP="00BF2348">
            <w:pPr>
              <w:jc w:val="both"/>
              <w:rPr>
                <w:bCs/>
                <w:sz w:val="23"/>
                <w:szCs w:val="23"/>
              </w:rPr>
            </w:pPr>
            <w:r w:rsidRPr="009A205C">
              <w:rPr>
                <w:bCs/>
                <w:sz w:val="23"/>
                <w:szCs w:val="23"/>
              </w:rPr>
              <w:t>Įstatymo 55 straipsnio 5 dalis</w:t>
            </w:r>
            <w:r>
              <w:rPr>
                <w:rStyle w:val="FootnoteReference"/>
                <w:bCs/>
                <w:sz w:val="23"/>
                <w:szCs w:val="23"/>
              </w:rPr>
              <w:footnoteReference w:id="2"/>
            </w:r>
            <w:r>
              <w:rPr>
                <w:bCs/>
                <w:sz w:val="23"/>
                <w:szCs w:val="23"/>
              </w:rPr>
              <w:t>.</w:t>
            </w:r>
          </w:p>
          <w:p w14:paraId="57D6A95F" w14:textId="3BC2903F" w:rsidR="007E6934" w:rsidRPr="00A41CC8" w:rsidRDefault="007E6934" w:rsidP="00BF2348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245BA6" w:rsidRPr="00245BA6" w14:paraId="05790260" w14:textId="77777777" w:rsidTr="00CC153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D064" w14:textId="3585C9E8" w:rsidR="0089716C" w:rsidRDefault="0024320D" w:rsidP="00C76961">
            <w:pPr>
              <w:ind w:left="57" w:right="57" w:firstLine="826"/>
              <w:jc w:val="both"/>
              <w:rPr>
                <w:bCs/>
              </w:rPr>
            </w:pPr>
            <w:r w:rsidRPr="0066162F">
              <w:rPr>
                <w:szCs w:val="24"/>
              </w:rPr>
              <w:t>Pirkimo sąlygos p</w:t>
            </w:r>
            <w:r w:rsidR="00883AF8" w:rsidRPr="0066162F">
              <w:rPr>
                <w:szCs w:val="24"/>
              </w:rPr>
              <w:t>a</w:t>
            </w:r>
            <w:r w:rsidR="00A86683">
              <w:rPr>
                <w:szCs w:val="24"/>
              </w:rPr>
              <w:t>tvirtintos</w:t>
            </w:r>
            <w:r w:rsidR="00883AF8" w:rsidRPr="0066162F">
              <w:rPr>
                <w:szCs w:val="24"/>
              </w:rPr>
              <w:t xml:space="preserve"> </w:t>
            </w:r>
            <w:r w:rsidR="00F93FDC">
              <w:rPr>
                <w:szCs w:val="24"/>
              </w:rPr>
              <w:t>Pirkimo k</w:t>
            </w:r>
            <w:r w:rsidRPr="0066162F">
              <w:rPr>
                <w:szCs w:val="24"/>
              </w:rPr>
              <w:t>omisijos 2019-</w:t>
            </w:r>
            <w:r w:rsidR="00F93FDC">
              <w:rPr>
                <w:szCs w:val="24"/>
              </w:rPr>
              <w:t>06-10</w:t>
            </w:r>
            <w:r w:rsidRPr="0066162F">
              <w:rPr>
                <w:szCs w:val="24"/>
              </w:rPr>
              <w:t xml:space="preserve"> posėd</w:t>
            </w:r>
            <w:r w:rsidR="00F93FDC">
              <w:rPr>
                <w:szCs w:val="24"/>
              </w:rPr>
              <w:t>yje</w:t>
            </w:r>
            <w:r w:rsidR="00A86683">
              <w:rPr>
                <w:szCs w:val="24"/>
              </w:rPr>
              <w:t xml:space="preserve"> </w:t>
            </w:r>
            <w:r w:rsidR="00F93FDC">
              <w:rPr>
                <w:szCs w:val="24"/>
              </w:rPr>
              <w:t>(</w:t>
            </w:r>
            <w:r w:rsidRPr="0066162F">
              <w:rPr>
                <w:szCs w:val="24"/>
              </w:rPr>
              <w:t>protoko</w:t>
            </w:r>
            <w:r w:rsidR="00B97A10">
              <w:rPr>
                <w:szCs w:val="24"/>
              </w:rPr>
              <w:t>l</w:t>
            </w:r>
            <w:r w:rsidR="00F93FDC">
              <w:rPr>
                <w:szCs w:val="24"/>
              </w:rPr>
              <w:t>as</w:t>
            </w:r>
            <w:r w:rsidRPr="0066162F">
              <w:rPr>
                <w:szCs w:val="24"/>
              </w:rPr>
              <w:t xml:space="preserve"> Nr.</w:t>
            </w:r>
            <w:r w:rsidR="00B97A10">
              <w:rPr>
                <w:szCs w:val="24"/>
              </w:rPr>
              <w:t xml:space="preserve"> 1)</w:t>
            </w:r>
            <w:r w:rsidRPr="0066162F">
              <w:rPr>
                <w:szCs w:val="24"/>
              </w:rPr>
              <w:t xml:space="preserve"> (toliau – Pirkimo sąlygos).</w:t>
            </w:r>
            <w:r w:rsidR="00F93FDC" w:rsidRPr="00832581">
              <w:rPr>
                <w:color w:val="000000"/>
                <w:spacing w:val="2"/>
              </w:rPr>
              <w:t xml:space="preserve"> </w:t>
            </w:r>
            <w:r w:rsidR="00B97A10">
              <w:rPr>
                <w:color w:val="000000"/>
                <w:spacing w:val="2"/>
              </w:rPr>
              <w:t>Pirkimo sąlygų 10.2 punkte nustatyta, kad pasiūlymai vertinami pagal</w:t>
            </w:r>
            <w:r w:rsidR="00B97A10" w:rsidRPr="00832581">
              <w:rPr>
                <w:b/>
              </w:rPr>
              <w:t xml:space="preserve"> </w:t>
            </w:r>
            <w:r w:rsidR="00B97A10" w:rsidRPr="00B97A10">
              <w:rPr>
                <w:bCs/>
              </w:rPr>
              <w:t>ekonomiškai naudingiausio pasiūlymo vertinimo kriterij</w:t>
            </w:r>
            <w:r w:rsidR="00B97A10">
              <w:rPr>
                <w:bCs/>
              </w:rPr>
              <w:t xml:space="preserve">ų. Iš viso nustatyti šeši kriterijai. </w:t>
            </w:r>
            <w:r w:rsidR="002C27E4" w:rsidRPr="0081030C">
              <w:rPr>
                <w:bCs/>
              </w:rPr>
              <w:t xml:space="preserve">Šio </w:t>
            </w:r>
            <w:r w:rsidR="002C27E4" w:rsidRPr="0081030C">
              <w:rPr>
                <w:bCs/>
                <w:u w:val="single"/>
              </w:rPr>
              <w:t>v</w:t>
            </w:r>
            <w:r w:rsidR="00B97A10" w:rsidRPr="0081030C">
              <w:rPr>
                <w:bCs/>
                <w:u w:val="single"/>
              </w:rPr>
              <w:t>ertinimo objektas yra „II kriterijus – E-Rinkodaros priemonių kūrybiškumas“ ir III kriterijus – „</w:t>
            </w:r>
            <w:r w:rsidR="00B97A10" w:rsidRPr="0081030C">
              <w:rPr>
                <w:bCs/>
                <w:u w:val="single"/>
                <w:lang w:eastAsia="ar-SA"/>
              </w:rPr>
              <w:t>E-rinkodaros priemonių pagrįstumas ir veiksmingumas“</w:t>
            </w:r>
            <w:r w:rsidR="006264FB" w:rsidRPr="0081030C">
              <w:rPr>
                <w:bCs/>
                <w:lang w:eastAsia="ar-SA"/>
              </w:rPr>
              <w:t xml:space="preserve"> (</w:t>
            </w:r>
            <w:r w:rsidR="006264FB" w:rsidRPr="0081030C">
              <w:rPr>
                <w:bCs/>
                <w:i/>
                <w:iCs/>
                <w:lang w:eastAsia="ar-SA"/>
              </w:rPr>
              <w:t>pagal kitus kriterijus yra kiekybiškai įvertinami pasiūlymai</w:t>
            </w:r>
            <w:r w:rsidR="006264FB">
              <w:rPr>
                <w:bCs/>
                <w:lang w:eastAsia="ar-SA"/>
              </w:rPr>
              <w:t>).</w:t>
            </w:r>
            <w:r w:rsidR="00B97A10">
              <w:rPr>
                <w:bCs/>
                <w:lang w:eastAsia="ar-SA"/>
              </w:rPr>
              <w:t xml:space="preserve"> Pirkimo sąlygų 1 priede (</w:t>
            </w:r>
            <w:bookmarkStart w:id="0" w:name="_Toc306090201"/>
            <w:r w:rsidR="00B97A10" w:rsidRPr="00BA32F1">
              <w:rPr>
                <w:bCs/>
              </w:rPr>
              <w:t>A DALIS. TIEKĖJO TECHNINIS PASIŪLYMAS</w:t>
            </w:r>
            <w:bookmarkEnd w:id="0"/>
            <w:r w:rsidR="00BA32F1">
              <w:rPr>
                <w:bCs/>
              </w:rPr>
              <w:t xml:space="preserve">) nustatyta, kad tiekėjas privalo pateikti paslaugų </w:t>
            </w:r>
            <w:r w:rsidR="00BA32F1" w:rsidRPr="00BA32F1">
              <w:rPr>
                <w:b/>
              </w:rPr>
              <w:t>aprašymus</w:t>
            </w:r>
            <w:r w:rsidR="00BA32F1">
              <w:rPr>
                <w:bCs/>
              </w:rPr>
              <w:t xml:space="preserve"> pagal II ir III kriterijus, </w:t>
            </w:r>
            <w:r w:rsidR="00BA32F1" w:rsidRPr="0081030C">
              <w:rPr>
                <w:bCs/>
                <w:u w:val="single"/>
              </w:rPr>
              <w:t>atsižvelgdamas į Pirkimo sąlygų 10.2 punkte nurodytus reikalavimus</w:t>
            </w:r>
            <w:r w:rsidR="00BA32F1">
              <w:rPr>
                <w:bCs/>
              </w:rPr>
              <w:t xml:space="preserve">. Taip pat nurodyta, kad „Bendrieji paslaugų reikalavimai“ nurodyti Pirkimo sąlygų 3 priede „Techninė specifikacija“ (toliau – Techninė specifikacija). </w:t>
            </w:r>
            <w:r w:rsidR="00BA32F1" w:rsidRPr="001A7A08">
              <w:rPr>
                <w:bCs/>
                <w:u w:val="single"/>
              </w:rPr>
              <w:t xml:space="preserve">Pažymėtina, kad Pirkimo sąlygų 10.2 punkte </w:t>
            </w:r>
            <w:r w:rsidR="00BA32F1" w:rsidRPr="0081030C">
              <w:rPr>
                <w:b/>
                <w:u w:val="single"/>
              </w:rPr>
              <w:t>nenustatyti</w:t>
            </w:r>
            <w:r w:rsidR="00BA32F1" w:rsidRPr="001A7A08">
              <w:rPr>
                <w:bCs/>
                <w:u w:val="single"/>
              </w:rPr>
              <w:t xml:space="preserve"> jokie reikalavimai „aprašymams“</w:t>
            </w:r>
            <w:r w:rsidR="00BA32F1">
              <w:rPr>
                <w:bCs/>
              </w:rPr>
              <w:t xml:space="preserve"> (nurodyti tik kriterijų pavadinimai ir jų lyginamieji svoriai).</w:t>
            </w:r>
            <w:r w:rsidR="001A7A08">
              <w:rPr>
                <w:bCs/>
              </w:rPr>
              <w:t xml:space="preserve"> Techninėje specifikacijoje reikalavimai pagal vertinimo kriterijus taip pat neišskirti</w:t>
            </w:r>
            <w:r w:rsidR="0081030C">
              <w:rPr>
                <w:bCs/>
              </w:rPr>
              <w:t>.</w:t>
            </w:r>
            <w:r w:rsidR="001A7A08">
              <w:rPr>
                <w:bCs/>
              </w:rPr>
              <w:t xml:space="preserve"> </w:t>
            </w:r>
            <w:r w:rsidR="00C76961">
              <w:rPr>
                <w:bCs/>
              </w:rPr>
              <w:t xml:space="preserve">Tiekėjai rengdami </w:t>
            </w:r>
            <w:r w:rsidR="00B20C0E">
              <w:rPr>
                <w:bCs/>
              </w:rPr>
              <w:t>„aprašymus“ turėjo nuspėti Perkančiosios organizacijos poreikius arba atsižvelgti į Pirkimo sąlygų 10.4 punkte</w:t>
            </w:r>
            <w:r w:rsidR="00BA32F1">
              <w:rPr>
                <w:bCs/>
              </w:rPr>
              <w:t xml:space="preserve"> </w:t>
            </w:r>
            <w:r w:rsidR="00B20C0E">
              <w:rPr>
                <w:bCs/>
              </w:rPr>
              <w:t xml:space="preserve">pateiktas vertinimo sąlygas. Tačiau vertinimo sąlygos (balų mažėjimo tvarka) </w:t>
            </w:r>
            <w:r w:rsidR="00B20C0E" w:rsidRPr="00F94D34">
              <w:rPr>
                <w:b/>
              </w:rPr>
              <w:t>nėra nuoseklios</w:t>
            </w:r>
            <w:r w:rsidR="0027496A" w:rsidRPr="00F94D34">
              <w:rPr>
                <w:b/>
              </w:rPr>
              <w:t xml:space="preserve"> ir aiškios</w:t>
            </w:r>
            <w:r w:rsidR="0027496A">
              <w:rPr>
                <w:bCs/>
              </w:rPr>
              <w:t>. P</w:t>
            </w:r>
            <w:r w:rsidR="0089716C">
              <w:rPr>
                <w:bCs/>
              </w:rPr>
              <w:t>a</w:t>
            </w:r>
            <w:r w:rsidR="0027496A">
              <w:rPr>
                <w:bCs/>
              </w:rPr>
              <w:t>v</w:t>
            </w:r>
            <w:r w:rsidR="0089716C">
              <w:rPr>
                <w:bCs/>
              </w:rPr>
              <w:t>y</w:t>
            </w:r>
            <w:r w:rsidR="0027496A">
              <w:rPr>
                <w:bCs/>
              </w:rPr>
              <w:t>z</w:t>
            </w:r>
            <w:r w:rsidR="0089716C">
              <w:rPr>
                <w:bCs/>
              </w:rPr>
              <w:t>džiui:</w:t>
            </w:r>
          </w:p>
          <w:p w14:paraId="66A40FB8" w14:textId="3EFC03A6" w:rsidR="00CD600C" w:rsidRPr="00CD600C" w:rsidRDefault="0089716C" w:rsidP="00864EE7">
            <w:pPr>
              <w:pStyle w:val="ListParagraph"/>
              <w:numPr>
                <w:ilvl w:val="0"/>
                <w:numId w:val="34"/>
              </w:numPr>
              <w:ind w:left="32" w:right="57" w:firstLine="851"/>
              <w:jc w:val="both"/>
              <w:rPr>
                <w:bCs/>
              </w:rPr>
            </w:pPr>
            <w:r w:rsidRPr="00CD600C">
              <w:rPr>
                <w:bCs/>
              </w:rPr>
              <w:t>vertinant pagal II kriterijų (E-Rinkodaros priemonių kūrybiškumas)</w:t>
            </w:r>
            <w:r w:rsidR="00CD600C" w:rsidRPr="00CD600C">
              <w:rPr>
                <w:bCs/>
              </w:rPr>
              <w:t>:</w:t>
            </w:r>
          </w:p>
          <w:p w14:paraId="19CC406D" w14:textId="51DA57C2" w:rsidR="00B97A10" w:rsidRPr="00CD600C" w:rsidRDefault="00CD600C" w:rsidP="00864EE7">
            <w:pPr>
              <w:pStyle w:val="ListParagraph"/>
              <w:ind w:left="32" w:right="57" w:firstLine="851"/>
              <w:jc w:val="both"/>
              <w:rPr>
                <w:bCs/>
              </w:rPr>
            </w:pPr>
            <w:r>
              <w:rPr>
                <w:bCs/>
              </w:rPr>
              <w:t>(1.1)</w:t>
            </w:r>
            <w:r w:rsidR="0089716C" w:rsidRPr="00CD600C">
              <w:rPr>
                <w:bCs/>
              </w:rPr>
              <w:t xml:space="preserve"> „gerai“ vertinamas „</w:t>
            </w:r>
            <w:r w:rsidR="0089716C" w:rsidRPr="00CD600C">
              <w:rPr>
                <w:bCs/>
                <w:u w:val="single"/>
              </w:rPr>
              <w:t>s</w:t>
            </w:r>
            <w:r w:rsidR="0089716C" w:rsidRPr="00CD600C">
              <w:rPr>
                <w:bCs/>
                <w:iCs/>
                <w:u w:val="single"/>
              </w:rPr>
              <w:t>iūlomas komunikacijos kampanijos pavadinimas</w:t>
            </w:r>
            <w:r w:rsidR="0089716C" w:rsidRPr="00CD600C">
              <w:rPr>
                <w:bCs/>
                <w:iCs/>
              </w:rPr>
              <w:t xml:space="preserve">“ (nurodyta daug savybių – „originalus, įtaigus, lengvai įsimenantis, </w:t>
            </w:r>
            <w:r w:rsidR="0089716C" w:rsidRPr="00CD600C">
              <w:rPr>
                <w:bCs/>
                <w:iCs/>
                <w:shd w:val="clear" w:color="auto" w:fill="FFFFFF" w:themeFill="background1"/>
              </w:rPr>
              <w:t>trumpas,</w:t>
            </w:r>
            <w:r w:rsidR="0089716C" w:rsidRPr="00CD600C">
              <w:rPr>
                <w:bCs/>
                <w:iCs/>
              </w:rPr>
              <w:t xml:space="preserve"> aiškus ir atitinkantis kampanijos idėją“). Tačiau vertinimuose „vidutiniškai“ ir „silpnai“</w:t>
            </w:r>
            <w:r w:rsidR="00961093">
              <w:rPr>
                <w:bCs/>
                <w:iCs/>
              </w:rPr>
              <w:t xml:space="preserve"> </w:t>
            </w:r>
            <w:r w:rsidR="00591651">
              <w:rPr>
                <w:bCs/>
                <w:iCs/>
              </w:rPr>
              <w:t>visai</w:t>
            </w:r>
            <w:r w:rsidR="00961093" w:rsidRPr="0081030C">
              <w:rPr>
                <w:bCs/>
                <w:iCs/>
              </w:rPr>
              <w:t xml:space="preserve"> </w:t>
            </w:r>
            <w:r w:rsidR="00591651">
              <w:rPr>
                <w:bCs/>
                <w:iCs/>
              </w:rPr>
              <w:t>ne</w:t>
            </w:r>
            <w:r w:rsidR="00961093" w:rsidRPr="0081030C">
              <w:rPr>
                <w:bCs/>
                <w:iCs/>
              </w:rPr>
              <w:t>vertinama</w:t>
            </w:r>
            <w:r w:rsidR="0081030C" w:rsidRPr="0081030C">
              <w:rPr>
                <w:bCs/>
                <w:iCs/>
              </w:rPr>
              <w:t>s</w:t>
            </w:r>
            <w:r w:rsidR="0089716C" w:rsidRPr="0081030C">
              <w:rPr>
                <w:bCs/>
                <w:iCs/>
              </w:rPr>
              <w:t xml:space="preserve"> </w:t>
            </w:r>
            <w:r w:rsidR="0089716C" w:rsidRPr="00CD600C">
              <w:rPr>
                <w:bCs/>
                <w:iCs/>
              </w:rPr>
              <w:t>„</w:t>
            </w:r>
            <w:r w:rsidR="0089716C" w:rsidRPr="00CD600C">
              <w:rPr>
                <w:bCs/>
              </w:rPr>
              <w:t>s</w:t>
            </w:r>
            <w:r w:rsidR="0089716C" w:rsidRPr="00CD600C">
              <w:rPr>
                <w:bCs/>
                <w:iCs/>
              </w:rPr>
              <w:t>iūloma</w:t>
            </w:r>
            <w:r w:rsidR="0081030C">
              <w:rPr>
                <w:bCs/>
                <w:iCs/>
              </w:rPr>
              <w:t>s</w:t>
            </w:r>
            <w:r w:rsidR="0089716C" w:rsidRPr="00CD600C">
              <w:rPr>
                <w:bCs/>
                <w:iCs/>
              </w:rPr>
              <w:t xml:space="preserve"> komunikacijos kampanijos </w:t>
            </w:r>
            <w:r w:rsidR="0081030C" w:rsidRPr="00CD600C">
              <w:rPr>
                <w:bCs/>
                <w:iCs/>
              </w:rPr>
              <w:t>pavadinim</w:t>
            </w:r>
            <w:r w:rsidR="0081030C">
              <w:rPr>
                <w:bCs/>
                <w:iCs/>
              </w:rPr>
              <w:t>as</w:t>
            </w:r>
            <w:r w:rsidR="0089716C" w:rsidRPr="00CD600C">
              <w:rPr>
                <w:bCs/>
                <w:iCs/>
              </w:rPr>
              <w:t>“</w:t>
            </w:r>
            <w:r w:rsidR="003E6258">
              <w:rPr>
                <w:bCs/>
                <w:iCs/>
              </w:rPr>
              <w:t>;</w:t>
            </w:r>
          </w:p>
          <w:p w14:paraId="347FF5C2" w14:textId="724F602E" w:rsidR="00607032" w:rsidRPr="00B97A10" w:rsidRDefault="00CD600C" w:rsidP="00864EE7">
            <w:pPr>
              <w:shd w:val="clear" w:color="auto" w:fill="FFFFFF"/>
              <w:ind w:left="32" w:firstLine="851"/>
              <w:jc w:val="both"/>
              <w:rPr>
                <w:bCs/>
              </w:rPr>
            </w:pPr>
            <w:r>
              <w:rPr>
                <w:bCs/>
              </w:rPr>
              <w:lastRenderedPageBreak/>
              <w:t>(1.2) „vidutiniškai“ vertinama, kai „</w:t>
            </w:r>
            <w:r w:rsidRPr="00EB6D1F">
              <w:rPr>
                <w:bCs/>
                <w:i/>
                <w:iCs/>
              </w:rPr>
              <w:t>siūloma komunikacijos kampanijos idėja aiški, atitinka kampanijos idėją, bet neoriginali, standartinė, sunkiai įsimenanti</w:t>
            </w:r>
            <w:r>
              <w:rPr>
                <w:bCs/>
                <w:iCs/>
              </w:rPr>
              <w:t xml:space="preserve">“. </w:t>
            </w:r>
            <w:r w:rsidR="00D37A17">
              <w:rPr>
                <w:bCs/>
                <w:iCs/>
              </w:rPr>
              <w:t xml:space="preserve">Pastebėtina, kad </w:t>
            </w:r>
            <w:r>
              <w:rPr>
                <w:bCs/>
                <w:iCs/>
              </w:rPr>
              <w:t>Perkančiosios organizacijos paaiškinime</w:t>
            </w:r>
            <w:r>
              <w:rPr>
                <w:rStyle w:val="FootnoteReference"/>
                <w:bCs/>
                <w:iCs/>
              </w:rPr>
              <w:footnoteReference w:id="3"/>
            </w:r>
            <w:r>
              <w:rPr>
                <w:bCs/>
                <w:iCs/>
              </w:rPr>
              <w:t xml:space="preserve"> nurodyta, kad </w:t>
            </w:r>
            <w:r w:rsidR="00D37A17">
              <w:rPr>
                <w:bCs/>
                <w:iCs/>
              </w:rPr>
              <w:t>„</w:t>
            </w:r>
            <w:r w:rsidR="00EB6D1F">
              <w:rPr>
                <w:bCs/>
                <w:iCs/>
              </w:rPr>
              <w:t>k</w:t>
            </w:r>
            <w:r w:rsidR="00D37A17">
              <w:rPr>
                <w:bCs/>
                <w:iCs/>
              </w:rPr>
              <w:t xml:space="preserve">ampanijos idėja“ </w:t>
            </w:r>
            <w:r w:rsidR="009E133D">
              <w:rPr>
                <w:bCs/>
                <w:iCs/>
              </w:rPr>
              <w:t>tai</w:t>
            </w:r>
            <w:r w:rsidR="00D37A17">
              <w:rPr>
                <w:bCs/>
                <w:iCs/>
              </w:rPr>
              <w:t xml:space="preserve"> </w:t>
            </w:r>
            <w:r w:rsidR="008549C0">
              <w:rPr>
                <w:bCs/>
                <w:iCs/>
              </w:rPr>
              <w:t>„</w:t>
            </w:r>
            <w:r w:rsidR="00D37A17">
              <w:rPr>
                <w:bCs/>
                <w:iCs/>
              </w:rPr>
              <w:t>kampanijos įgyvendinimo koncepcija</w:t>
            </w:r>
            <w:r w:rsidR="008549C0">
              <w:rPr>
                <w:bCs/>
                <w:iCs/>
              </w:rPr>
              <w:t>“</w:t>
            </w:r>
            <w:r w:rsidR="00D37A17">
              <w:rPr>
                <w:bCs/>
                <w:iCs/>
              </w:rPr>
              <w:t>.</w:t>
            </w:r>
            <w:r w:rsidR="008549C0">
              <w:rPr>
                <w:bCs/>
                <w:iCs/>
              </w:rPr>
              <w:t xml:space="preserve"> Taigi šiuo atveju, nors siūloma koncepcija ir aiški, ir atitinka kampanijos idėją, bet „neoriginali, standartinė ir sunkiai įsimenanti“ bus įvertinta tik „vidutiniškai“. Kaip nustatomas „originalumas“</w:t>
            </w:r>
            <w:r w:rsidR="003E35CD">
              <w:rPr>
                <w:bCs/>
                <w:iCs/>
              </w:rPr>
              <w:t>,</w:t>
            </w:r>
            <w:r w:rsidR="008549C0">
              <w:rPr>
                <w:bCs/>
                <w:iCs/>
              </w:rPr>
              <w:t xml:space="preserve"> „standartiškumas“, ar kaip matuojamas „įsimintinumas“ – Pirkimo sąlygose nenurodyta</w:t>
            </w:r>
            <w:r w:rsidR="00864EE7">
              <w:rPr>
                <w:bCs/>
                <w:iCs/>
              </w:rPr>
              <w:t>.</w:t>
            </w:r>
          </w:p>
          <w:p w14:paraId="7A5CADBB" w14:textId="7E449C7F" w:rsidR="003E6258" w:rsidRDefault="003E6258" w:rsidP="00B97A10">
            <w:pPr>
              <w:shd w:val="clear" w:color="auto" w:fill="FFFFFF"/>
              <w:ind w:firstLine="883"/>
              <w:jc w:val="both"/>
              <w:rPr>
                <w:bCs/>
                <w:u w:val="single"/>
                <w:lang w:eastAsia="ar-SA"/>
              </w:rPr>
            </w:pPr>
            <w:r>
              <w:rPr>
                <w:color w:val="000000"/>
                <w:spacing w:val="2"/>
              </w:rPr>
              <w:t>(2) vertinant pagal III kriterijų (</w:t>
            </w:r>
            <w:r w:rsidRPr="00BA32F1">
              <w:rPr>
                <w:bCs/>
                <w:u w:val="single"/>
              </w:rPr>
              <w:t>„</w:t>
            </w:r>
            <w:r w:rsidRPr="00BA32F1">
              <w:rPr>
                <w:bCs/>
                <w:u w:val="single"/>
                <w:lang w:eastAsia="ar-SA"/>
              </w:rPr>
              <w:t>E-rinkodaros priemonių pagrįstumas ir veiksmingumas</w:t>
            </w:r>
            <w:r>
              <w:rPr>
                <w:bCs/>
                <w:u w:val="single"/>
                <w:lang w:eastAsia="ar-SA"/>
              </w:rPr>
              <w:t>):</w:t>
            </w:r>
          </w:p>
          <w:p w14:paraId="54689F20" w14:textId="67515711" w:rsidR="00B97A10" w:rsidRPr="00BF3B20" w:rsidRDefault="003E6258" w:rsidP="0007757E">
            <w:pPr>
              <w:shd w:val="clear" w:color="auto" w:fill="FFFFFF"/>
              <w:ind w:firstLine="883"/>
              <w:jc w:val="both"/>
              <w:rPr>
                <w:color w:val="000000"/>
                <w:spacing w:val="2"/>
                <w:lang w:val="sv-SE"/>
              </w:rPr>
            </w:pPr>
            <w:r w:rsidRPr="0053554C">
              <w:rPr>
                <w:bCs/>
                <w:lang w:eastAsia="ar-SA"/>
              </w:rPr>
              <w:t>(2.</w:t>
            </w:r>
            <w:r w:rsidR="0081030C">
              <w:rPr>
                <w:bCs/>
                <w:lang w:eastAsia="ar-SA"/>
              </w:rPr>
              <w:t>1</w:t>
            </w:r>
            <w:r w:rsidRPr="0053554C">
              <w:rPr>
                <w:bCs/>
                <w:lang w:eastAsia="ar-SA"/>
              </w:rPr>
              <w:t xml:space="preserve">) </w:t>
            </w:r>
            <w:r w:rsidR="0053554C">
              <w:rPr>
                <w:bCs/>
                <w:lang w:eastAsia="ar-SA"/>
              </w:rPr>
              <w:t>„gerai“ reikalavimuose yra vertinami „būdai“ –„</w:t>
            </w:r>
            <w:r w:rsidR="0053554C" w:rsidRPr="0053554C">
              <w:rPr>
                <w:bCs/>
                <w:i/>
              </w:rPr>
              <w:t xml:space="preserve">aiškiai aprašyti ir racionaliai numatyti </w:t>
            </w:r>
            <w:r w:rsidR="0053554C" w:rsidRPr="0053554C">
              <w:rPr>
                <w:i/>
              </w:rPr>
              <w:t>siūlomų idėjų aktualumo ir kokybės užtikrinimo būdai</w:t>
            </w:r>
            <w:r w:rsidR="0053554C">
              <w:t xml:space="preserve">“, „vidutiniškai“ </w:t>
            </w:r>
            <w:r w:rsidR="00BF3B20">
              <w:t xml:space="preserve">ir „silpnai“ </w:t>
            </w:r>
            <w:r w:rsidR="0053554C">
              <w:t>reikalavimuose vertinami „principai“– „</w:t>
            </w:r>
            <w:r w:rsidR="0053554C" w:rsidRPr="0053554C">
              <w:rPr>
                <w:bCs/>
                <w:i/>
              </w:rPr>
              <w:t>aprašyta komunikacijos kompanijos organizavimo principai &lt;...&gt;</w:t>
            </w:r>
            <w:r w:rsidR="0053554C">
              <w:rPr>
                <w:bCs/>
                <w:iCs/>
              </w:rPr>
              <w:t>“</w:t>
            </w:r>
            <w:r w:rsidR="00BF3B20">
              <w:rPr>
                <w:bCs/>
                <w:iCs/>
              </w:rPr>
              <w:t xml:space="preserve"> ir „</w:t>
            </w:r>
            <w:r w:rsidR="00BF3B20" w:rsidRPr="00BF3B20">
              <w:rPr>
                <w:bCs/>
                <w:i/>
                <w:szCs w:val="24"/>
              </w:rPr>
              <w:t>aprašyti mažiau nei pusė komunikacijos kompanijos organizavimo principai</w:t>
            </w:r>
            <w:r w:rsidR="00BF3B20" w:rsidRPr="00BF3B20">
              <w:rPr>
                <w:bCs/>
                <w:iCs/>
              </w:rPr>
              <w:t>“</w:t>
            </w:r>
            <w:r w:rsidR="00BF3B20">
              <w:rPr>
                <w:bCs/>
                <w:iCs/>
              </w:rPr>
              <w:t>;</w:t>
            </w:r>
          </w:p>
          <w:p w14:paraId="0CCCCFDF" w14:textId="796FB5C8" w:rsidR="0049127F" w:rsidRDefault="00BF3B20" w:rsidP="0007757E">
            <w:pPr>
              <w:pStyle w:val="ListParagraph"/>
              <w:tabs>
                <w:tab w:val="left" w:pos="225"/>
              </w:tabs>
              <w:ind w:left="0" w:firstLine="883"/>
              <w:jc w:val="both"/>
              <w:rPr>
                <w:bCs/>
                <w:iCs/>
              </w:rPr>
            </w:pPr>
            <w:r>
              <w:rPr>
                <w:color w:val="000000"/>
                <w:spacing w:val="2"/>
              </w:rPr>
              <w:t>(2.</w:t>
            </w:r>
            <w:r w:rsidR="0081030C">
              <w:rPr>
                <w:color w:val="000000"/>
                <w:spacing w:val="2"/>
              </w:rPr>
              <w:t>2</w:t>
            </w:r>
            <w:r>
              <w:rPr>
                <w:color w:val="000000"/>
                <w:spacing w:val="2"/>
              </w:rPr>
              <w:t xml:space="preserve">) </w:t>
            </w:r>
            <w:r w:rsidR="00186BD6">
              <w:rPr>
                <w:color w:val="000000"/>
                <w:spacing w:val="2"/>
              </w:rPr>
              <w:t xml:space="preserve">„vidutiniškai“ ir „silpnai“ </w:t>
            </w:r>
            <w:r w:rsidR="0081030C">
              <w:rPr>
                <w:color w:val="000000"/>
                <w:spacing w:val="2"/>
              </w:rPr>
              <w:t>vertinimuose</w:t>
            </w:r>
            <w:r w:rsidR="00186BD6">
              <w:rPr>
                <w:color w:val="000000"/>
                <w:spacing w:val="2"/>
              </w:rPr>
              <w:t xml:space="preserve"> v</w:t>
            </w:r>
            <w:r>
              <w:rPr>
                <w:color w:val="000000"/>
                <w:spacing w:val="2"/>
              </w:rPr>
              <w:t xml:space="preserve">artojamos </w:t>
            </w:r>
            <w:r w:rsidR="0081030C">
              <w:rPr>
                <w:color w:val="000000"/>
                <w:spacing w:val="2"/>
              </w:rPr>
              <w:t>nuo vertintojo interpretavimo priklausančios sąvokos</w:t>
            </w:r>
            <w:r w:rsidR="00186BD6">
              <w:rPr>
                <w:color w:val="000000"/>
                <w:spacing w:val="2"/>
              </w:rPr>
              <w:t>, kaip „</w:t>
            </w:r>
            <w:r w:rsidR="00186BD6" w:rsidRPr="00186BD6">
              <w:rPr>
                <w:i/>
                <w:iCs/>
              </w:rPr>
              <w:t>kyla abejonių dėl kai kurių principų įgyvendinimo</w:t>
            </w:r>
            <w:r w:rsidR="00186BD6" w:rsidRPr="00186BD6">
              <w:rPr>
                <w:bCs/>
                <w:iCs/>
              </w:rPr>
              <w:t>“</w:t>
            </w:r>
            <w:r w:rsidR="00186BD6">
              <w:rPr>
                <w:bCs/>
                <w:iCs/>
              </w:rPr>
              <w:t>, „</w:t>
            </w:r>
            <w:r w:rsidR="00186BD6" w:rsidRPr="00186BD6">
              <w:rPr>
                <w:bCs/>
                <w:i/>
              </w:rPr>
              <w:t>kyla įtarimų, kad projekto kokybė pasirinkus daugiau nei vieną įgyvendinimo vietą nukentės</w:t>
            </w:r>
            <w:r w:rsidR="00186BD6">
              <w:rPr>
                <w:bCs/>
                <w:iCs/>
              </w:rPr>
              <w:t>“, „</w:t>
            </w:r>
            <w:r w:rsidR="00186BD6" w:rsidRPr="00186BD6">
              <w:rPr>
                <w:i/>
                <w:iCs/>
                <w:lang w:eastAsia="ar-SA"/>
              </w:rPr>
              <w:t>abejojama, kad komunikacijos kompanija bus realiai įgyvendinamas</w:t>
            </w:r>
            <w:r w:rsidR="00186BD6">
              <w:rPr>
                <w:lang w:eastAsia="ar-SA"/>
              </w:rPr>
              <w:t xml:space="preserve">, </w:t>
            </w:r>
            <w:r w:rsidR="0049127F">
              <w:rPr>
                <w:lang w:eastAsia="ar-SA"/>
              </w:rPr>
              <w:t>„</w:t>
            </w:r>
            <w:r w:rsidR="0049127F" w:rsidRPr="0049127F">
              <w:rPr>
                <w:bCs/>
                <w:i/>
              </w:rPr>
              <w:t>kyla abejonių dėl daugumos veiklų įgyvendinimo realumo</w:t>
            </w:r>
            <w:r w:rsidR="0049127F">
              <w:rPr>
                <w:bCs/>
                <w:iCs/>
              </w:rPr>
              <w:t>“;</w:t>
            </w:r>
          </w:p>
          <w:p w14:paraId="17E89144" w14:textId="5CCF8836" w:rsidR="0007757E" w:rsidRPr="00832581" w:rsidRDefault="0049127F" w:rsidP="0007757E">
            <w:pPr>
              <w:pStyle w:val="ListParagraph"/>
              <w:tabs>
                <w:tab w:val="left" w:pos="214"/>
              </w:tabs>
              <w:ind w:left="0" w:firstLine="883"/>
              <w:jc w:val="both"/>
              <w:rPr>
                <w:lang w:eastAsia="ar-SA"/>
              </w:rPr>
            </w:pPr>
            <w:r>
              <w:rPr>
                <w:bCs/>
                <w:iCs/>
              </w:rPr>
              <w:t>(2</w:t>
            </w:r>
            <w:r w:rsidR="00052B06">
              <w:rPr>
                <w:bCs/>
                <w:iCs/>
              </w:rPr>
              <w:t>.</w:t>
            </w:r>
            <w:r w:rsidR="0081030C">
              <w:rPr>
                <w:bCs/>
                <w:iCs/>
              </w:rPr>
              <w:t>3</w:t>
            </w:r>
            <w:r>
              <w:rPr>
                <w:bCs/>
                <w:iCs/>
              </w:rPr>
              <w:t>) „</w:t>
            </w:r>
            <w:r w:rsidRPr="00832581">
              <w:rPr>
                <w:lang w:eastAsia="ar-SA"/>
              </w:rPr>
              <w:t>Kampanijos įgyvendinimo kalendorinis planas</w:t>
            </w:r>
            <w:r>
              <w:rPr>
                <w:lang w:eastAsia="ar-SA"/>
              </w:rPr>
              <w:t>“</w:t>
            </w:r>
            <w:r>
              <w:rPr>
                <w:bCs/>
                <w:iCs/>
              </w:rPr>
              <w:t xml:space="preserve"> „gerai“ reikalavimuose vertinamas </w:t>
            </w:r>
            <w:r w:rsidR="009A4DBE">
              <w:rPr>
                <w:bCs/>
                <w:iCs/>
              </w:rPr>
              <w:t xml:space="preserve">kaip </w:t>
            </w:r>
            <w:r>
              <w:rPr>
                <w:bCs/>
                <w:iCs/>
              </w:rPr>
              <w:t>– „</w:t>
            </w:r>
            <w:r w:rsidRPr="0049127F">
              <w:rPr>
                <w:i/>
                <w:iCs/>
                <w:szCs w:val="24"/>
                <w:lang w:eastAsia="ar-SA"/>
              </w:rPr>
              <w:t xml:space="preserve">detalus, aiškiai </w:t>
            </w:r>
            <w:r w:rsidRPr="009E133D">
              <w:rPr>
                <w:i/>
                <w:iCs/>
                <w:szCs w:val="24"/>
                <w:u w:val="single"/>
                <w:lang w:eastAsia="ar-SA"/>
              </w:rPr>
              <w:t>struktūruotas (detalizuot</w:t>
            </w:r>
            <w:r w:rsidR="009A4DBE" w:rsidRPr="009E133D">
              <w:rPr>
                <w:i/>
                <w:iCs/>
                <w:szCs w:val="24"/>
                <w:u w:val="single"/>
                <w:lang w:eastAsia="ar-SA"/>
              </w:rPr>
              <w:t>a</w:t>
            </w:r>
            <w:r w:rsidRPr="009E133D">
              <w:rPr>
                <w:i/>
                <w:iCs/>
                <w:szCs w:val="24"/>
                <w:u w:val="single"/>
                <w:lang w:eastAsia="ar-SA"/>
              </w:rPr>
              <w:t>s</w:t>
            </w:r>
            <w:r w:rsidRPr="0049127F">
              <w:rPr>
                <w:i/>
                <w:iCs/>
                <w:szCs w:val="24"/>
                <w:lang w:eastAsia="ar-SA"/>
              </w:rPr>
              <w:t>), logiškai pagrįstas</w:t>
            </w:r>
            <w:r w:rsidRPr="0049127F">
              <w:rPr>
                <w:lang w:val="sv-SE" w:eastAsia="ar-SA"/>
              </w:rPr>
              <w:t>”</w:t>
            </w:r>
            <w:r w:rsidR="0007757E">
              <w:rPr>
                <w:lang w:val="sv-SE" w:eastAsia="ar-SA"/>
              </w:rPr>
              <w:t xml:space="preserve">, </w:t>
            </w:r>
            <w:r w:rsidR="0007757E">
              <w:rPr>
                <w:lang w:eastAsia="ar-SA"/>
              </w:rPr>
              <w:t>„</w:t>
            </w:r>
            <w:r w:rsidR="0007757E">
              <w:rPr>
                <w:lang w:val="sv-SE" w:eastAsia="ar-SA"/>
              </w:rPr>
              <w:t xml:space="preserve">vidutiniškai” reiklavimuose </w:t>
            </w:r>
            <w:r w:rsidR="009A4DBE">
              <w:rPr>
                <w:lang w:val="sv-SE" w:eastAsia="ar-SA"/>
              </w:rPr>
              <w:t xml:space="preserve">vertinamas kaip </w:t>
            </w:r>
            <w:r w:rsidR="0007757E">
              <w:rPr>
                <w:lang w:val="sv-SE" w:eastAsia="ar-SA"/>
              </w:rPr>
              <w:t xml:space="preserve">– </w:t>
            </w:r>
            <w:r w:rsidR="0007757E">
              <w:rPr>
                <w:lang w:eastAsia="ar-SA"/>
              </w:rPr>
              <w:t>„</w:t>
            </w:r>
            <w:r w:rsidR="0007757E" w:rsidRPr="0007757E">
              <w:rPr>
                <w:i/>
                <w:iCs/>
                <w:lang w:eastAsia="ar-SA"/>
              </w:rPr>
              <w:t xml:space="preserve">kampanijos įgyvendinimo kalendorinis planas </w:t>
            </w:r>
            <w:r w:rsidR="0007757E" w:rsidRPr="009E133D">
              <w:rPr>
                <w:i/>
                <w:iCs/>
                <w:u w:val="single"/>
                <w:lang w:eastAsia="ar-SA"/>
              </w:rPr>
              <w:t>struktūruotas, bet nėra detalizuotas</w:t>
            </w:r>
            <w:r w:rsidR="0007757E" w:rsidRPr="0007757E">
              <w:rPr>
                <w:i/>
                <w:iCs/>
                <w:lang w:eastAsia="ar-SA"/>
              </w:rPr>
              <w:t>, yra fragmentiškas (nepakankamai aiškiai ar dalis jų praleista) ir/arba trūksta loginio pagrindimo</w:t>
            </w:r>
            <w:r w:rsidR="0007757E">
              <w:rPr>
                <w:lang w:eastAsia="ar-SA"/>
              </w:rPr>
              <w:t>“</w:t>
            </w:r>
            <w:r w:rsidR="00052B06">
              <w:rPr>
                <w:lang w:eastAsia="ar-SA"/>
              </w:rPr>
              <w:t>.</w:t>
            </w:r>
          </w:p>
          <w:p w14:paraId="48E88276" w14:textId="20A9666C" w:rsidR="0037018D" w:rsidRDefault="006154D5" w:rsidP="00CD0E2A">
            <w:pPr>
              <w:ind w:firstLine="883"/>
              <w:jc w:val="both"/>
            </w:pPr>
            <w:r>
              <w:rPr>
                <w:lang w:eastAsia="ar-SA"/>
              </w:rPr>
              <w:t xml:space="preserve">Techninės specifikacijos </w:t>
            </w:r>
            <w:r w:rsidRPr="00832581">
              <w:t>6.4.</w:t>
            </w:r>
            <w:r>
              <w:t xml:space="preserve"> punkte nustatyta, kad </w:t>
            </w:r>
            <w:r w:rsidRPr="009A4DBE">
              <w:t>„</w:t>
            </w:r>
            <w:r w:rsidRPr="009A4DBE">
              <w:rPr>
                <w:i/>
                <w:iCs/>
              </w:rPr>
              <w:t xml:space="preserve">Tiekėjas turės pasirengti komunikacijos kompanijos veiksmų planą. Kampanijos komunikacijos veiksmų planą </w:t>
            </w:r>
            <w:r w:rsidRPr="009A4DBE">
              <w:rPr>
                <w:i/>
                <w:iCs/>
                <w:u w:val="single"/>
              </w:rPr>
              <w:t>turi apimti 6 mėn. laikotarpį</w:t>
            </w:r>
            <w:r w:rsidRPr="009A4DBE">
              <w:rPr>
                <w:i/>
                <w:iCs/>
              </w:rPr>
              <w:t xml:space="preserve">. Jame paslaugų tiekėjas pasiūlo </w:t>
            </w:r>
            <w:r w:rsidRPr="009A4DBE">
              <w:rPr>
                <w:i/>
                <w:iCs/>
                <w:u w:val="single"/>
              </w:rPr>
              <w:t>reklamos priemonių sklaidos koncepciją, jos įgyvendinimo strategiją, išdėstymą laike</w:t>
            </w:r>
            <w:r w:rsidRPr="009A4DBE">
              <w:rPr>
                <w:i/>
                <w:iCs/>
              </w:rPr>
              <w:t xml:space="preserve">, jei reikia – tikslinės auditorijos diferenciaciją. Tiekėjas </w:t>
            </w:r>
            <w:r w:rsidRPr="009A4DBE">
              <w:rPr>
                <w:i/>
                <w:iCs/>
                <w:u w:val="single"/>
              </w:rPr>
              <w:t>nurodo ir pagrindžia siūlomus kiekybinius ir kokybinius reklamos sklaidos rodiklius</w:t>
            </w:r>
            <w:r w:rsidRPr="009A4DBE">
              <w:rPr>
                <w:i/>
                <w:iCs/>
              </w:rPr>
              <w:t xml:space="preserve"> pagal savo pasiūlytą reklamos koncepciją ir planuojamą  pasiekti auditoriją</w:t>
            </w:r>
            <w:r w:rsidRPr="006154D5">
              <w:rPr>
                <w:bCs/>
                <w:i/>
                <w:iCs/>
              </w:rPr>
              <w:t xml:space="preserve"> – siūlomas laikas, pasiekiamumas</w:t>
            </w:r>
            <w:r w:rsidRPr="00832581">
              <w:rPr>
                <w:bCs/>
                <w:iCs/>
              </w:rPr>
              <w:t>.</w:t>
            </w:r>
            <w:r>
              <w:rPr>
                <w:bCs/>
                <w:iCs/>
              </w:rPr>
              <w:t>“</w:t>
            </w:r>
          </w:p>
          <w:p w14:paraId="59D2304D" w14:textId="291246ED" w:rsidR="00CD0E2A" w:rsidRPr="00832581" w:rsidRDefault="009A4DBE" w:rsidP="00CD0E2A">
            <w:pPr>
              <w:ind w:firstLine="883"/>
              <w:jc w:val="both"/>
            </w:pPr>
            <w:r>
              <w:rPr>
                <w:lang w:eastAsia="ar-SA"/>
              </w:rPr>
              <w:t>Pažymėtina, kad</w:t>
            </w:r>
            <w:r w:rsidR="00CD0E2A">
              <w:rPr>
                <w:lang w:eastAsia="ar-SA"/>
              </w:rPr>
              <w:t>: (</w:t>
            </w:r>
            <w:r w:rsidR="00CD0E2A" w:rsidRPr="00CD0E2A">
              <w:rPr>
                <w:i/>
                <w:iCs/>
                <w:lang w:eastAsia="ar-SA"/>
              </w:rPr>
              <w:t>i</w:t>
            </w:r>
            <w:r w:rsidR="00CD0E2A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vertinim</w:t>
            </w:r>
            <w:r w:rsidR="00052B06">
              <w:rPr>
                <w:lang w:eastAsia="ar-SA"/>
              </w:rPr>
              <w:t>uose</w:t>
            </w:r>
            <w:r>
              <w:rPr>
                <w:lang w:eastAsia="ar-SA"/>
              </w:rPr>
              <w:t xml:space="preserve"> („gerai“, </w:t>
            </w:r>
            <w:r w:rsidR="00052B06">
              <w:rPr>
                <w:lang w:eastAsia="ar-SA"/>
              </w:rPr>
              <w:t>„</w:t>
            </w:r>
            <w:r>
              <w:rPr>
                <w:lang w:eastAsia="ar-SA"/>
              </w:rPr>
              <w:t>vidutiniškai“)  vartojam</w:t>
            </w:r>
            <w:r w:rsidR="009B6963">
              <w:rPr>
                <w:lang w:eastAsia="ar-SA"/>
              </w:rPr>
              <w:t>os abstrakčios, įvairiai</w:t>
            </w:r>
            <w:r>
              <w:rPr>
                <w:lang w:eastAsia="ar-SA"/>
              </w:rPr>
              <w:t xml:space="preserve"> </w:t>
            </w:r>
            <w:r w:rsidR="009B6963" w:rsidRPr="00940A57">
              <w:rPr>
                <w:szCs w:val="24"/>
              </w:rPr>
              <w:t>interpretuojamos sąvokos, nepateikti paaiškinimai kuo praktiškai viena sąvoka skiriasi nuo kit</w:t>
            </w:r>
            <w:r w:rsidR="009B6963">
              <w:rPr>
                <w:szCs w:val="24"/>
              </w:rPr>
              <w:t>os</w:t>
            </w:r>
            <w:r w:rsidR="00D771F4">
              <w:rPr>
                <w:szCs w:val="24"/>
                <w:lang w:eastAsia="ar-SA"/>
              </w:rPr>
              <w:t>, pvz., „</w:t>
            </w:r>
            <w:r w:rsidR="00D771F4" w:rsidRPr="0049127F">
              <w:rPr>
                <w:i/>
                <w:iCs/>
                <w:szCs w:val="24"/>
                <w:lang w:eastAsia="ar-SA"/>
              </w:rPr>
              <w:t>aiškiai struktūruotas (detalizuot</w:t>
            </w:r>
            <w:r w:rsidR="00D771F4">
              <w:rPr>
                <w:i/>
                <w:iCs/>
                <w:szCs w:val="24"/>
                <w:lang w:eastAsia="ar-SA"/>
              </w:rPr>
              <w:t>a</w:t>
            </w:r>
            <w:r w:rsidR="00D771F4" w:rsidRPr="0049127F">
              <w:rPr>
                <w:i/>
                <w:iCs/>
                <w:szCs w:val="24"/>
                <w:lang w:eastAsia="ar-SA"/>
              </w:rPr>
              <w:t>s</w:t>
            </w:r>
            <w:r w:rsidR="00D771F4">
              <w:rPr>
                <w:i/>
                <w:iCs/>
                <w:szCs w:val="24"/>
                <w:lang w:eastAsia="ar-SA"/>
              </w:rPr>
              <w:t xml:space="preserve">)“ – </w:t>
            </w:r>
            <w:r w:rsidR="00D771F4" w:rsidRPr="00D771F4">
              <w:rPr>
                <w:szCs w:val="24"/>
                <w:lang w:eastAsia="ar-SA"/>
              </w:rPr>
              <w:t>suprantama kaip viena reikšmė</w:t>
            </w:r>
            <w:r w:rsidR="00CD0E2A">
              <w:rPr>
                <w:szCs w:val="24"/>
                <w:lang w:eastAsia="ar-SA"/>
              </w:rPr>
              <w:t xml:space="preserve"> apibūdinti</w:t>
            </w:r>
            <w:r w:rsidR="00D771F4" w:rsidRPr="00D771F4">
              <w:rPr>
                <w:szCs w:val="24"/>
                <w:lang w:eastAsia="ar-SA"/>
              </w:rPr>
              <w:t>, tačiau, kai nurodoma</w:t>
            </w:r>
            <w:r w:rsidR="00D771F4">
              <w:rPr>
                <w:i/>
                <w:iCs/>
                <w:szCs w:val="24"/>
                <w:lang w:eastAsia="ar-SA"/>
              </w:rPr>
              <w:t xml:space="preserve"> „</w:t>
            </w:r>
            <w:r w:rsidR="00D771F4" w:rsidRPr="0007757E">
              <w:rPr>
                <w:i/>
                <w:iCs/>
                <w:lang w:eastAsia="ar-SA"/>
              </w:rPr>
              <w:t>struktūruotas, bet nėra detalizuotas</w:t>
            </w:r>
            <w:r w:rsidR="00D771F4">
              <w:rPr>
                <w:i/>
                <w:iCs/>
                <w:lang w:eastAsia="ar-SA"/>
              </w:rPr>
              <w:t>“</w:t>
            </w:r>
            <w:r w:rsidR="00CD0E2A">
              <w:rPr>
                <w:i/>
                <w:iCs/>
                <w:lang w:eastAsia="ar-SA"/>
              </w:rPr>
              <w:t xml:space="preserve">– suprantamos kaip dvi atskiros reikšmės apibūdinti, (ii) </w:t>
            </w:r>
            <w:r w:rsidR="00CD0E2A" w:rsidRPr="00CD0E2A">
              <w:rPr>
                <w:lang w:eastAsia="ar-SA"/>
              </w:rPr>
              <w:t>vertinimų reikalavimai nesusieti</w:t>
            </w:r>
            <w:r w:rsidR="00CD0E2A">
              <w:rPr>
                <w:i/>
                <w:iCs/>
                <w:lang w:eastAsia="ar-SA"/>
              </w:rPr>
              <w:t xml:space="preserve"> / </w:t>
            </w:r>
            <w:r w:rsidR="00CD0E2A" w:rsidRPr="00CD0E2A">
              <w:rPr>
                <w:lang w:eastAsia="ar-SA"/>
              </w:rPr>
              <w:t>neatitinka Techninės specifikacijos reikalavimų, pvz.</w:t>
            </w:r>
            <w:r w:rsidR="00CD0E2A">
              <w:rPr>
                <w:lang w:eastAsia="ar-SA"/>
              </w:rPr>
              <w:t>, k</w:t>
            </w:r>
            <w:r w:rsidR="00CD0E2A" w:rsidRPr="00832581">
              <w:rPr>
                <w:lang w:eastAsia="ar-SA"/>
              </w:rPr>
              <w:t>ampanijos įgyvendinimo kalendorinis planas</w:t>
            </w:r>
            <w:r w:rsidR="00CD0E2A">
              <w:rPr>
                <w:bCs/>
                <w:iCs/>
              </w:rPr>
              <w:t xml:space="preserve"> „gerai“ reikalavimuose vertinamas kaip – „</w:t>
            </w:r>
            <w:r w:rsidR="00CD0E2A" w:rsidRPr="0049127F">
              <w:rPr>
                <w:i/>
                <w:iCs/>
                <w:szCs w:val="24"/>
                <w:lang w:eastAsia="ar-SA"/>
              </w:rPr>
              <w:t>logiškai pagrįstas</w:t>
            </w:r>
            <w:r w:rsidR="00CD0E2A" w:rsidRPr="0049127F">
              <w:rPr>
                <w:lang w:val="sv-SE" w:eastAsia="ar-SA"/>
              </w:rPr>
              <w:t>”</w:t>
            </w:r>
            <w:r w:rsidR="00CD0E2A">
              <w:rPr>
                <w:lang w:val="sv-SE" w:eastAsia="ar-SA"/>
              </w:rPr>
              <w:t xml:space="preserve">, o Techninėje specifikacijoje nurodyta, kad </w:t>
            </w:r>
            <w:r w:rsidR="00CD0E2A">
              <w:rPr>
                <w:lang w:eastAsia="ar-SA"/>
              </w:rPr>
              <w:t>„&lt;...&gt; t</w:t>
            </w:r>
            <w:r w:rsidR="00CD0E2A" w:rsidRPr="009A4DBE">
              <w:rPr>
                <w:i/>
                <w:iCs/>
              </w:rPr>
              <w:t xml:space="preserve">iekėjas </w:t>
            </w:r>
            <w:r w:rsidR="00CD0E2A" w:rsidRPr="009A4DBE">
              <w:rPr>
                <w:i/>
                <w:iCs/>
                <w:u w:val="single"/>
              </w:rPr>
              <w:t>nurodo ir pagrindžia siūlomus kiekybinius ir kokybinius reklamos sklaidos rodiklius</w:t>
            </w:r>
            <w:r w:rsidR="00CD0E2A" w:rsidRPr="009A4DBE">
              <w:rPr>
                <w:i/>
                <w:iCs/>
              </w:rPr>
              <w:t xml:space="preserve"> pagal savo pasiūlytą reklamos koncepciją ir planuojamą  pasiekti auditoriją</w:t>
            </w:r>
            <w:r w:rsidR="00CD0E2A" w:rsidRPr="006154D5">
              <w:rPr>
                <w:bCs/>
                <w:i/>
                <w:iCs/>
              </w:rPr>
              <w:t xml:space="preserve"> – siūlomas laikas, pasiekiamumas</w:t>
            </w:r>
            <w:r w:rsidR="00CD0E2A" w:rsidRPr="00832581">
              <w:rPr>
                <w:bCs/>
                <w:iCs/>
              </w:rPr>
              <w:t>.</w:t>
            </w:r>
            <w:r w:rsidR="00CD0E2A">
              <w:rPr>
                <w:bCs/>
                <w:iCs/>
              </w:rPr>
              <w:t>“</w:t>
            </w:r>
          </w:p>
          <w:p w14:paraId="4F60F638" w14:textId="3D37B41C" w:rsidR="00AA2D33" w:rsidRPr="00E83F37" w:rsidRDefault="00E83F37" w:rsidP="00E83F37">
            <w:pPr>
              <w:pStyle w:val="ListParagraph"/>
              <w:tabs>
                <w:tab w:val="left" w:pos="214"/>
              </w:tabs>
              <w:ind w:left="0" w:firstLine="883"/>
              <w:jc w:val="both"/>
              <w:rPr>
                <w:lang w:eastAsia="ar-SA"/>
              </w:rPr>
            </w:pPr>
            <w:r>
              <w:rPr>
                <w:szCs w:val="24"/>
              </w:rPr>
              <w:t xml:space="preserve">Tarnyba pažymi, kad tuo </w:t>
            </w:r>
            <w:r w:rsidRPr="000D3A5E">
              <w:rPr>
                <w:szCs w:val="24"/>
              </w:rPr>
              <w:t xml:space="preserve">sudarytos </w:t>
            </w:r>
            <w:r w:rsidR="00253F0B">
              <w:rPr>
                <w:szCs w:val="24"/>
              </w:rPr>
              <w:t>sąlygos</w:t>
            </w:r>
            <w:r w:rsidR="00253F0B" w:rsidRPr="000D3A5E">
              <w:rPr>
                <w:szCs w:val="24"/>
              </w:rPr>
              <w:t xml:space="preserve"> </w:t>
            </w:r>
            <w:r w:rsidRPr="000D3A5E">
              <w:rPr>
                <w:szCs w:val="24"/>
              </w:rPr>
              <w:t xml:space="preserve">subjektyviam, neskaidriam pasiūlymų vertinimui. Atitinkamai tiekėjams sudėtinga įvertinti, kaip turi būti parengtas pasiūlymas, tikintis gauti aukščiausią įvertinimą, nes kiekvienas savaip gali suprasti </w:t>
            </w:r>
            <w:r>
              <w:rPr>
                <w:szCs w:val="24"/>
              </w:rPr>
              <w:t>vertinimo aprašymus, nesant</w:t>
            </w:r>
            <w:r w:rsidR="0037018D">
              <w:rPr>
                <w:szCs w:val="24"/>
              </w:rPr>
              <w:t xml:space="preserve"> Pirkimo sąlygose/</w:t>
            </w:r>
            <w:r>
              <w:rPr>
                <w:szCs w:val="24"/>
              </w:rPr>
              <w:t>Techninėje specifikacijoje su tuo susijusios informacijos/reikalavimų</w:t>
            </w:r>
            <w:r w:rsidR="003E35CD">
              <w:rPr>
                <w:szCs w:val="24"/>
              </w:rPr>
              <w:t>.</w:t>
            </w:r>
          </w:p>
          <w:p w14:paraId="08A5CE42" w14:textId="4892CAF4" w:rsidR="0037169E" w:rsidRPr="005F5140" w:rsidRDefault="0037169E" w:rsidP="0037169E">
            <w:pPr>
              <w:shd w:val="clear" w:color="auto" w:fill="FFFFFF"/>
              <w:tabs>
                <w:tab w:val="left" w:pos="900"/>
              </w:tabs>
              <w:ind w:firstLine="880"/>
              <w:jc w:val="both"/>
            </w:pPr>
            <w:r w:rsidRPr="005F5140">
              <w:rPr>
                <w:szCs w:val="24"/>
              </w:rPr>
              <w:t>Šiuo atveju akcentuotina LAT nutartis</w:t>
            </w:r>
            <w:r w:rsidRPr="005F5140">
              <w:rPr>
                <w:rStyle w:val="FootnoteReference"/>
                <w:szCs w:val="24"/>
              </w:rPr>
              <w:footnoteReference w:id="4"/>
            </w:r>
            <w:r w:rsidRPr="005F5140">
              <w:rPr>
                <w:szCs w:val="24"/>
              </w:rPr>
              <w:t xml:space="preserve"> byloje, kurioje buvo kilęs ginčas iš esmės dėl tokios pačio</w:t>
            </w:r>
            <w:r w:rsidR="00CC424D">
              <w:rPr>
                <w:szCs w:val="24"/>
              </w:rPr>
              <w:t>s</w:t>
            </w:r>
            <w:r w:rsidRPr="005F5140">
              <w:rPr>
                <w:szCs w:val="24"/>
              </w:rPr>
              <w:t xml:space="preserve"> nekonkrečios, sunkiai pamatuojamos ekonominio naudingumo vertinimo kriterijų balų skyrimo tvarkos. LAT konstatavo, kad </w:t>
            </w:r>
            <w:r w:rsidRPr="005F5140">
              <w:rPr>
                <w:i/>
                <w:szCs w:val="24"/>
              </w:rPr>
              <w:t>„</w:t>
            </w:r>
            <w:r w:rsidRPr="005F5140">
              <w:rPr>
                <w:i/>
              </w:rPr>
              <w:t xml:space="preserve">&lt;...&gt;  </w:t>
            </w:r>
            <w:r w:rsidRPr="005F5140">
              <w:rPr>
                <w:b/>
                <w:i/>
              </w:rPr>
              <w:t xml:space="preserve">tais atvejais, kai pagal perkančiosios organizacijos parengtas pirkimo sąlygas sprendžiant dėl tiekėjų pasiūlymų ekonominio naudingumo vertinamas ne konkretus matmuo (pvz., fizikinis dydis), </w:t>
            </w:r>
            <w:r w:rsidRPr="005F5140">
              <w:rPr>
                <w:i/>
              </w:rPr>
              <w:t xml:space="preserve">tačiau prašoma pateikti nurodyto kriterijaus </w:t>
            </w:r>
            <w:r w:rsidRPr="001836A5">
              <w:rPr>
                <w:b/>
                <w:i/>
              </w:rPr>
              <w:t>aprašymą,</w:t>
            </w:r>
            <w:r w:rsidRPr="005F5140">
              <w:rPr>
                <w:i/>
              </w:rPr>
              <w:t xml:space="preserve"> </w:t>
            </w:r>
            <w:r w:rsidRPr="005F5140">
              <w:rPr>
                <w:i/>
                <w:u w:val="single"/>
              </w:rPr>
              <w:t xml:space="preserve">perkančiajai organizacijai kyla pareiga kuo tiksliau ir detaliau aprašyti vertinimo kriterijus, kuriais </w:t>
            </w:r>
            <w:r w:rsidRPr="005F5140">
              <w:rPr>
                <w:i/>
                <w:u w:val="single"/>
              </w:rPr>
              <w:lastRenderedPageBreak/>
              <w:t xml:space="preserve">remiantis bus skiriami konkretūs pasiūlymo ekonominio naudingumo balai. </w:t>
            </w:r>
            <w:r w:rsidRPr="005F5140">
              <w:rPr>
                <w:i/>
              </w:rPr>
              <w:t>&lt;...&gt; Pirkimo sąlygose nenustačius detalios kriterijų vertinimo sistemos, buvo sukurta situacija, kai konkretaus pasiūlymo vertinimas priklausys nuo subjektyvaus vertintojo požiūrio, perkančiosios organizacijos poreikių ar motyvų, o tai neatitinka VPĮ įtvirtinto skaidrumo imperatyvo</w:t>
            </w:r>
            <w:r w:rsidRPr="005F5140">
              <w:t xml:space="preserve">“. </w:t>
            </w:r>
          </w:p>
          <w:p w14:paraId="1CCAA1E9" w14:textId="77777777" w:rsidR="00A41CC8" w:rsidRDefault="0037169E" w:rsidP="00A41CC8">
            <w:pPr>
              <w:ind w:firstLine="880"/>
              <w:jc w:val="both"/>
              <w:rPr>
                <w:szCs w:val="24"/>
              </w:rPr>
            </w:pPr>
            <w:r w:rsidRPr="005F5140">
              <w:rPr>
                <w:szCs w:val="24"/>
              </w:rPr>
              <w:t>Atsižvelgiant į išdėstytą, Tarnyba konstatuoja, kad pasirinkta pasiūlymų vertinimo tvarka, suteikia Perkančiajai organizacijai galimybes subjektyviam pasiūlymų vertinimui</w:t>
            </w:r>
            <w:r w:rsidR="009A34A8">
              <w:rPr>
                <w:szCs w:val="24"/>
              </w:rPr>
              <w:t>.</w:t>
            </w:r>
            <w:r w:rsidRPr="005F5140">
              <w:rPr>
                <w:szCs w:val="24"/>
              </w:rPr>
              <w:t xml:space="preserve"> </w:t>
            </w:r>
            <w:r w:rsidR="009A34A8" w:rsidRPr="005F5140">
              <w:rPr>
                <w:szCs w:val="24"/>
              </w:rPr>
              <w:t xml:space="preserve">Tuo </w:t>
            </w:r>
            <w:r w:rsidRPr="005F5140">
              <w:rPr>
                <w:szCs w:val="24"/>
              </w:rPr>
              <w:t xml:space="preserve">neužtikrinama veiksminga tiekėjų konkurencija ir pažeidžiami Įstatymo 55 straipsnio 5 dalies reikalavimai </w:t>
            </w:r>
            <w:r w:rsidR="00C61A6F">
              <w:rPr>
                <w:szCs w:val="24"/>
              </w:rPr>
              <w:t xml:space="preserve">bei </w:t>
            </w:r>
            <w:r w:rsidRPr="005F5140">
              <w:rPr>
                <w:szCs w:val="24"/>
              </w:rPr>
              <w:t xml:space="preserve">Įstatymo 17 straipsnio 1 dalyje </w:t>
            </w:r>
            <w:r w:rsidR="00CC424D">
              <w:rPr>
                <w:szCs w:val="24"/>
              </w:rPr>
              <w:t>įtvirtintas skaidrumo principas</w:t>
            </w:r>
            <w:r w:rsidR="00A41CC8">
              <w:rPr>
                <w:szCs w:val="24"/>
              </w:rPr>
              <w:t>.</w:t>
            </w:r>
          </w:p>
          <w:p w14:paraId="252E8A36" w14:textId="7ABC16FB" w:rsidR="00A41CC8" w:rsidRPr="00A41CC8" w:rsidRDefault="00A41CC8" w:rsidP="00A41CC8">
            <w:pPr>
              <w:ind w:firstLine="880"/>
              <w:jc w:val="both"/>
              <w:rPr>
                <w:szCs w:val="24"/>
              </w:rPr>
            </w:pPr>
          </w:p>
        </w:tc>
      </w:tr>
    </w:tbl>
    <w:p w14:paraId="705B5BBA" w14:textId="77777777" w:rsidR="006109A4" w:rsidRDefault="006109A4" w:rsidP="00A41CC8">
      <w:pPr>
        <w:rPr>
          <w:b/>
          <w:szCs w:val="24"/>
        </w:rPr>
      </w:pPr>
    </w:p>
    <w:p w14:paraId="617AB81D" w14:textId="77777777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1A204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77777777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17AA" w14:textId="77777777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77777777" w:rsidR="002A07F4" w:rsidRPr="002A07F4" w:rsidRDefault="001A204A">
            <w:pPr>
              <w:tabs>
                <w:tab w:val="left" w:pos="993"/>
              </w:tabs>
              <w:ind w:right="49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14:paraId="56AD0C8A" w14:textId="77777777" w:rsidR="009D370E" w:rsidRPr="002A07F4" w:rsidRDefault="009D370E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107C4B1F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B824" w14:textId="360AB7A5" w:rsidR="00A86034" w:rsidRDefault="007F0C16" w:rsidP="00C61A6F">
            <w:pPr>
              <w:ind w:firstLine="880"/>
              <w:jc w:val="both"/>
              <w:rPr>
                <w:bCs/>
                <w:szCs w:val="24"/>
                <w:lang w:eastAsia="lt-LT"/>
              </w:rPr>
            </w:pPr>
            <w:r w:rsidRPr="007F0C16">
              <w:rPr>
                <w:bCs/>
                <w:szCs w:val="24"/>
                <w:lang w:eastAsia="lt-LT"/>
              </w:rPr>
              <w:t>Tarnyba,</w:t>
            </w:r>
            <w:r w:rsidR="00C5702F">
              <w:rPr>
                <w:bCs/>
                <w:szCs w:val="24"/>
                <w:lang w:eastAsia="lt-LT"/>
              </w:rPr>
              <w:t xml:space="preserve"> atlikusi Pirkimo dalinį vertinim</w:t>
            </w:r>
            <w:r w:rsidR="00A86034">
              <w:rPr>
                <w:bCs/>
                <w:szCs w:val="24"/>
                <w:lang w:eastAsia="lt-LT"/>
              </w:rPr>
              <w:t>ą:</w:t>
            </w:r>
          </w:p>
          <w:p w14:paraId="29491AF2" w14:textId="0E3B5FBE" w:rsidR="00C61A6F" w:rsidRPr="00A86034" w:rsidRDefault="00A22CAF" w:rsidP="00A54DD2">
            <w:pPr>
              <w:pStyle w:val="ListParagraph"/>
              <w:numPr>
                <w:ilvl w:val="0"/>
                <w:numId w:val="36"/>
              </w:numPr>
              <w:ind w:left="32" w:firstLine="848"/>
              <w:jc w:val="both"/>
              <w:rPr>
                <w:szCs w:val="24"/>
              </w:rPr>
            </w:pPr>
            <w:r w:rsidRPr="00A86034">
              <w:rPr>
                <w:bCs/>
                <w:szCs w:val="24"/>
                <w:lang w:eastAsia="lt-LT"/>
              </w:rPr>
              <w:t>Vertinimo išvados II dalyje</w:t>
            </w:r>
            <w:r w:rsidR="00C5702F" w:rsidRPr="00A86034">
              <w:rPr>
                <w:bCs/>
                <w:szCs w:val="24"/>
                <w:lang w:eastAsia="lt-LT"/>
              </w:rPr>
              <w:t xml:space="preserve"> konstatavo, kad Perkančioji organizacija</w:t>
            </w:r>
            <w:r w:rsidR="00C61A6F" w:rsidRPr="00A86034">
              <w:rPr>
                <w:bCs/>
                <w:szCs w:val="24"/>
                <w:lang w:eastAsia="lt-LT"/>
              </w:rPr>
              <w:t>, Pirkimo dokumentuose nustatydama</w:t>
            </w:r>
            <w:r w:rsidR="00C61A6F" w:rsidRPr="00A86034">
              <w:rPr>
                <w:szCs w:val="24"/>
              </w:rPr>
              <w:t xml:space="preserve"> pasiūlymų vertinimo tvarką, neužtikrino veiksmingos tiekėjų konkurencijos ir</w:t>
            </w:r>
            <w:r w:rsidR="003E0232" w:rsidRPr="00A86034">
              <w:rPr>
                <w:szCs w:val="24"/>
              </w:rPr>
              <w:t xml:space="preserve"> </w:t>
            </w:r>
            <w:r w:rsidR="00C61A6F" w:rsidRPr="00A86034">
              <w:rPr>
                <w:szCs w:val="24"/>
              </w:rPr>
              <w:t>pažeidė Įstatymo 55 straipsnio 5 dalies reikalavimus</w:t>
            </w:r>
            <w:r w:rsidR="00F72B7F" w:rsidRPr="00A86034">
              <w:rPr>
                <w:szCs w:val="24"/>
              </w:rPr>
              <w:t xml:space="preserve"> bei</w:t>
            </w:r>
            <w:r w:rsidR="00C61A6F" w:rsidRPr="00A86034">
              <w:rPr>
                <w:szCs w:val="24"/>
              </w:rPr>
              <w:t xml:space="preserve"> Įstatymo 17 straipsnio 1 dalyje įtvirtintą skaidrumo principą</w:t>
            </w:r>
            <w:r w:rsidR="00F72B7F" w:rsidRPr="00A86034">
              <w:rPr>
                <w:szCs w:val="24"/>
              </w:rPr>
              <w:t>.</w:t>
            </w:r>
          </w:p>
          <w:p w14:paraId="3EDCE637" w14:textId="6DA6807A" w:rsidR="00263AFF" w:rsidRDefault="00A86034" w:rsidP="009676F4">
            <w:pPr>
              <w:pStyle w:val="ListParagraph"/>
              <w:numPr>
                <w:ilvl w:val="0"/>
                <w:numId w:val="36"/>
              </w:numPr>
              <w:ind w:left="32" w:firstLine="880"/>
              <w:jc w:val="both"/>
              <w:rPr>
                <w:bCs/>
                <w:szCs w:val="24"/>
                <w:lang w:eastAsia="lt-LT"/>
              </w:rPr>
            </w:pPr>
            <w:r w:rsidRPr="00577FBE">
              <w:rPr>
                <w:szCs w:val="24"/>
              </w:rPr>
              <w:t>Įvertinusi Pirkimo sąlygų 3.1.2 p. nustatytą kvalifikacinį reikalavimą</w:t>
            </w:r>
            <w:r w:rsidR="007B15CB">
              <w:rPr>
                <w:rStyle w:val="FootnoteReference"/>
                <w:szCs w:val="24"/>
              </w:rPr>
              <w:footnoteReference w:id="5"/>
            </w:r>
            <w:r w:rsidRPr="00577FBE">
              <w:rPr>
                <w:szCs w:val="24"/>
              </w:rPr>
              <w:t xml:space="preserve"> </w:t>
            </w:r>
            <w:r w:rsidR="00664934">
              <w:rPr>
                <w:szCs w:val="24"/>
              </w:rPr>
              <w:t xml:space="preserve">(toliau – Reikalavimas) </w:t>
            </w:r>
            <w:r w:rsidR="00263AFF" w:rsidRPr="00577FBE">
              <w:rPr>
                <w:bCs/>
                <w:szCs w:val="24"/>
                <w:lang w:eastAsia="lt-LT"/>
              </w:rPr>
              <w:t>nenustatė Įstatymo nuostatų pažeidimų. Teikiame paaiškinimus bei pagrindžiančius argumentus, į ką buvo atsižvelgta atliekant Pirkimo</w:t>
            </w:r>
            <w:r w:rsidR="00577FBE">
              <w:rPr>
                <w:bCs/>
                <w:szCs w:val="24"/>
                <w:lang w:eastAsia="lt-LT"/>
              </w:rPr>
              <w:t xml:space="preserve"> šioje</w:t>
            </w:r>
            <w:r w:rsidR="00263AFF" w:rsidRPr="00577FBE">
              <w:rPr>
                <w:bCs/>
                <w:szCs w:val="24"/>
                <w:lang w:eastAsia="lt-LT"/>
              </w:rPr>
              <w:t xml:space="preserve"> dal</w:t>
            </w:r>
            <w:r w:rsidR="00577FBE">
              <w:rPr>
                <w:bCs/>
                <w:szCs w:val="24"/>
                <w:lang w:eastAsia="lt-LT"/>
              </w:rPr>
              <w:t>yje</w:t>
            </w:r>
            <w:r w:rsidR="00263AFF" w:rsidRPr="00577FBE">
              <w:rPr>
                <w:bCs/>
                <w:szCs w:val="24"/>
                <w:lang w:eastAsia="lt-LT"/>
              </w:rPr>
              <w:t xml:space="preserve"> vertinimą:</w:t>
            </w:r>
          </w:p>
          <w:p w14:paraId="685F0F07" w14:textId="59C065D9" w:rsidR="004333E2" w:rsidRPr="00577FBE" w:rsidRDefault="00664934" w:rsidP="00F876B2">
            <w:pPr>
              <w:pStyle w:val="ListParagraph"/>
              <w:numPr>
                <w:ilvl w:val="0"/>
                <w:numId w:val="37"/>
              </w:numPr>
              <w:ind w:left="0" w:firstLine="912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Reikalavime nustatyta, kad paslaugų tinkamam tiekimui turi būti pasiūlyta „</w:t>
            </w:r>
            <w:r w:rsidR="00F876B2">
              <w:rPr>
                <w:bCs/>
                <w:szCs w:val="24"/>
                <w:lang w:eastAsia="lt-LT"/>
              </w:rPr>
              <w:t>komunikacijos grupė“, susidedanti iš vadovo-eksperto ir specialisto-eksperto. Minimume</w:t>
            </w:r>
            <w:r w:rsidR="00CA071C">
              <w:rPr>
                <w:bCs/>
                <w:szCs w:val="24"/>
                <w:lang w:eastAsia="lt-LT"/>
              </w:rPr>
              <w:t xml:space="preserve"> –</w:t>
            </w:r>
            <w:r w:rsidR="00F876B2">
              <w:rPr>
                <w:bCs/>
                <w:szCs w:val="24"/>
                <w:lang w:eastAsia="lt-LT"/>
              </w:rPr>
              <w:t xml:space="preserve"> du asmenys, bet vykdant sutartį tiekėjas gali pasitelkti ir daugiau specialistų. Vadovui-ekspertui ir specialistui-ekspertui, atsižvelgiant į jų funkcijas, keliami </w:t>
            </w:r>
            <w:r w:rsidR="00F876B2" w:rsidRPr="00F876B2">
              <w:rPr>
                <w:bCs/>
                <w:szCs w:val="24"/>
                <w:u w:val="single"/>
                <w:lang w:eastAsia="lt-LT"/>
              </w:rPr>
              <w:t>skirtingi</w:t>
            </w:r>
            <w:r w:rsidR="00F876B2">
              <w:rPr>
                <w:bCs/>
                <w:szCs w:val="24"/>
                <w:lang w:eastAsia="lt-LT"/>
              </w:rPr>
              <w:t xml:space="preserve"> išsilavinimo, profesinės patirties (sritis ir trukmė), patirties projektų įgyvendinime reikalavimai;</w:t>
            </w:r>
          </w:p>
          <w:p w14:paraId="657A2C62" w14:textId="4A4EEEA5" w:rsidR="00263AFF" w:rsidRPr="009D2294" w:rsidRDefault="000E67D6" w:rsidP="00E82DF2">
            <w:pPr>
              <w:ind w:firstLine="88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(i</w:t>
            </w:r>
            <w:r w:rsidR="004333E2">
              <w:rPr>
                <w:szCs w:val="24"/>
              </w:rPr>
              <w:t>i)</w:t>
            </w:r>
            <w:r>
              <w:rPr>
                <w:szCs w:val="24"/>
              </w:rPr>
              <w:t xml:space="preserve"> </w:t>
            </w:r>
            <w:r w:rsidR="004333E2">
              <w:rPr>
                <w:szCs w:val="24"/>
              </w:rPr>
              <w:t>Perkančiosios organizacijos</w:t>
            </w:r>
            <w:r w:rsidRPr="00CF2EDB">
              <w:rPr>
                <w:szCs w:val="24"/>
              </w:rPr>
              <w:t xml:space="preserve"> paaiškinimas</w:t>
            </w:r>
            <w:r w:rsidRPr="00CF2EDB">
              <w:rPr>
                <w:rStyle w:val="FootnoteReference"/>
                <w:szCs w:val="24"/>
              </w:rPr>
              <w:footnoteReference w:id="6"/>
            </w:r>
            <w:r w:rsidRPr="00CF2EDB">
              <w:rPr>
                <w:szCs w:val="24"/>
              </w:rPr>
              <w:t xml:space="preserve"> </w:t>
            </w:r>
            <w:r w:rsidR="004333E2">
              <w:rPr>
                <w:szCs w:val="24"/>
              </w:rPr>
              <w:t xml:space="preserve">– </w:t>
            </w:r>
            <w:r w:rsidRPr="00CF2EDB">
              <w:rPr>
                <w:szCs w:val="24"/>
              </w:rPr>
              <w:t>„</w:t>
            </w:r>
            <w:r w:rsidRPr="00CF2EDB">
              <w:rPr>
                <w:i/>
                <w:szCs w:val="24"/>
                <w:lang w:eastAsia="lt-LT"/>
              </w:rPr>
              <w:t>Pagal Metodikos</w:t>
            </w:r>
            <w:r w:rsidR="004C6B77">
              <w:rPr>
                <w:rStyle w:val="FootnoteReference"/>
                <w:i/>
                <w:szCs w:val="24"/>
                <w:lang w:eastAsia="lt-LT"/>
              </w:rPr>
              <w:footnoteReference w:id="7"/>
            </w:r>
            <w:r w:rsidRPr="00CF2EDB">
              <w:rPr>
                <w:i/>
                <w:szCs w:val="24"/>
                <w:lang w:eastAsia="lt-LT"/>
              </w:rPr>
              <w:t xml:space="preserve"> reikalavimus, PO negali nustatyti tos pačios kvalifikacijos ir toms pačioms funkcijoms vykdyti didesnio nei minimalus specialistų (personalo) skaičiaus (pvz. turėti bent 2 darbų vadovus, 2 grupės vadovus ar pan.); </w:t>
            </w:r>
            <w:r w:rsidRPr="00D346B7">
              <w:rPr>
                <w:i/>
                <w:szCs w:val="24"/>
                <w:u w:val="single"/>
                <w:lang w:eastAsia="lt-LT"/>
              </w:rPr>
              <w:t>PO reikalavo turėti už sutarties vykdymą atsakingų specialistų grupę, iš kurių vienas yra grupės vadovas, kitas – specialistas, jų kvalifikacija ir funkcijos skirtingos.</w:t>
            </w:r>
            <w:r w:rsidRPr="00CF2EDB">
              <w:rPr>
                <w:i/>
                <w:szCs w:val="24"/>
                <w:lang w:eastAsia="lt-LT"/>
              </w:rPr>
              <w:t xml:space="preserve"> Toks reikalavimas yra proporcingas ir būtinas atsižvelgiant į perkamą objektą ir jo apimtis, atitinkantis Metodikos ir VPĮ </w:t>
            </w:r>
            <w:r w:rsidRPr="009D2294">
              <w:rPr>
                <w:i/>
                <w:szCs w:val="24"/>
                <w:lang w:eastAsia="lt-LT"/>
              </w:rPr>
              <w:t>reikalavimus</w:t>
            </w:r>
            <w:r w:rsidRPr="009D2294">
              <w:rPr>
                <w:szCs w:val="24"/>
                <w:lang w:eastAsia="lt-LT"/>
              </w:rPr>
              <w:t>“</w:t>
            </w:r>
            <w:r w:rsidR="004333E2" w:rsidRPr="009D2294">
              <w:rPr>
                <w:szCs w:val="24"/>
                <w:lang w:eastAsia="lt-LT"/>
              </w:rPr>
              <w:t>, pagrįstas.</w:t>
            </w:r>
          </w:p>
          <w:p w14:paraId="4168DF47" w14:textId="43C4585A" w:rsidR="006D1EE9" w:rsidRPr="009D2294" w:rsidRDefault="006D1EE9" w:rsidP="006D1EE9">
            <w:pPr>
              <w:pStyle w:val="Punktas"/>
              <w:numPr>
                <w:ilvl w:val="0"/>
                <w:numId w:val="0"/>
              </w:numPr>
              <w:spacing w:before="0" w:after="0"/>
              <w:ind w:left="32" w:firstLine="851"/>
              <w:contextualSpacing/>
              <w:rPr>
                <w:b w:val="0"/>
                <w:lang w:eastAsia="lt-LT"/>
              </w:rPr>
            </w:pPr>
            <w:r w:rsidRPr="009D2294">
              <w:rPr>
                <w:b w:val="0"/>
              </w:rPr>
              <w:lastRenderedPageBreak/>
              <w:t xml:space="preserve">(3) </w:t>
            </w:r>
            <w:r w:rsidR="009B419C">
              <w:rPr>
                <w:b w:val="0"/>
              </w:rPr>
              <w:t>Į</w:t>
            </w:r>
            <w:r w:rsidRPr="009D2294">
              <w:rPr>
                <w:b w:val="0"/>
              </w:rPr>
              <w:t>vertinusi LVPA nurodytas aplinkybes, susijusias su „</w:t>
            </w:r>
            <w:r w:rsidRPr="009D2294">
              <w:rPr>
                <w:b w:val="0"/>
                <w:i/>
                <w:iCs/>
              </w:rPr>
              <w:t>eksperto pasitelkimu pasiūlymams įvertinti</w:t>
            </w:r>
            <w:r w:rsidRPr="009D2294">
              <w:rPr>
                <w:b w:val="0"/>
              </w:rPr>
              <w:t xml:space="preserve">“, nenustatė Įstatymo nuostatų pažeidimų. </w:t>
            </w:r>
            <w:r w:rsidRPr="009D2294">
              <w:rPr>
                <w:b w:val="0"/>
                <w:lang w:eastAsia="lt-LT"/>
              </w:rPr>
              <w:t>Teikiame paaiškinimus bei pagrindžiančius argumentus, į ką buvo atsižvelgta atliekant Pirkimo šioje dalyje vertinimą:</w:t>
            </w:r>
          </w:p>
          <w:p w14:paraId="6F4A6CC6" w14:textId="6B30B266" w:rsidR="006D1EE9" w:rsidRPr="009D2294" w:rsidRDefault="009D2294" w:rsidP="009D2294">
            <w:pPr>
              <w:pStyle w:val="Punktas"/>
              <w:numPr>
                <w:ilvl w:val="0"/>
                <w:numId w:val="0"/>
              </w:numPr>
              <w:spacing w:before="0" w:after="0"/>
              <w:ind w:firstLine="883"/>
              <w:contextualSpacing/>
              <w:rPr>
                <w:b w:val="0"/>
              </w:rPr>
            </w:pPr>
            <w:r>
              <w:rPr>
                <w:b w:val="0"/>
                <w:color w:val="000000"/>
                <w:lang w:eastAsia="lt-LT"/>
              </w:rPr>
              <w:t xml:space="preserve">(i) </w:t>
            </w:r>
            <w:r w:rsidR="006D1EE9" w:rsidRPr="009D2294">
              <w:rPr>
                <w:b w:val="0"/>
                <w:color w:val="000000"/>
                <w:lang w:eastAsia="lt-LT"/>
              </w:rPr>
              <w:t>pažymėtina, kad vadovaujantis Įstatymo 19 straipsnio 1 dalimi, „</w:t>
            </w:r>
            <w:r w:rsidR="006D1EE9" w:rsidRPr="009D2294">
              <w:rPr>
                <w:b w:val="0"/>
                <w:i/>
                <w:iCs/>
                <w:color w:val="000000"/>
                <w:lang w:eastAsia="lt-LT"/>
              </w:rPr>
              <w:t>perkančioji organizacija pirkimo(pirkimų) procedūroms atlikti privalo &lt;...&gt; sudaryti viešojo pirkimo komisiją (toliau – Komisiją), nustatyti jai užduotis ir suteikti visus įgaliojimus toms užduotims atlikti</w:t>
            </w:r>
            <w:r w:rsidR="006D1EE9" w:rsidRPr="009D2294">
              <w:rPr>
                <w:b w:val="0"/>
                <w:color w:val="000000"/>
                <w:lang w:eastAsia="lt-LT"/>
              </w:rPr>
              <w:t xml:space="preserve">.“ </w:t>
            </w:r>
            <w:r w:rsidR="006D1EE9" w:rsidRPr="009D2294">
              <w:rPr>
                <w:b w:val="0"/>
              </w:rPr>
              <w:t>Įstatymo 19 straipsnio 2 dalyje nustatyta, kad „</w:t>
            </w:r>
            <w:r w:rsidR="006D1EE9" w:rsidRPr="009D2294">
              <w:rPr>
                <w:b w:val="0"/>
                <w:i/>
                <w:iCs/>
              </w:rPr>
              <w:t>Komisiją sudaranti perkančioji organizacija turi teisę pasikviesti ekspertų – dalyko žinovų konsultuoti klausimu, kuriam reikia specialių žinių ar vertinimo</w:t>
            </w:r>
            <w:r w:rsidR="006D1EE9" w:rsidRPr="009D2294">
              <w:rPr>
                <w:b w:val="0"/>
              </w:rPr>
              <w:t xml:space="preserve">“. </w:t>
            </w:r>
            <w:r w:rsidR="006D1EE9" w:rsidRPr="009D2294">
              <w:rPr>
                <w:b w:val="0"/>
                <w:color w:val="000000"/>
                <w:lang w:eastAsia="lt-LT"/>
              </w:rPr>
              <w:t xml:space="preserve">Nors Komisiją sudaranti perkančioji organizacija turi teisę pasikviesti ekspertų – dalyko žinovų konsultuoti klausimus, kuriam reikia specialių žinių, tačiau tokiam ekspertui negali būti perduodamos visos Komisijos funkcijos ir užduotys. Toks ekspertas, jei jis nėra Komisijos narys, gali pareikšti savo nuomonę, į kurią galėtų atsižvelgti Komisija priimdama sprendimus, tačiau jis negali priiminėti sprendimų, juo labiau tai daryti vienašališkai (todėl </w:t>
            </w:r>
            <w:r w:rsidR="00750329">
              <w:rPr>
                <w:b w:val="0"/>
                <w:color w:val="000000"/>
                <w:lang w:eastAsia="lt-LT"/>
              </w:rPr>
              <w:t xml:space="preserve">nagrinėjamu atveju, </w:t>
            </w:r>
            <w:r w:rsidR="006D1EE9" w:rsidRPr="009D2294">
              <w:rPr>
                <w:b w:val="0"/>
                <w:color w:val="000000"/>
                <w:lang w:eastAsia="lt-LT"/>
              </w:rPr>
              <w:t xml:space="preserve">Komisijos priimti sprendimai </w:t>
            </w:r>
            <w:r w:rsidR="00750329">
              <w:rPr>
                <w:b w:val="0"/>
                <w:color w:val="000000"/>
                <w:lang w:eastAsia="lt-LT"/>
              </w:rPr>
              <w:t xml:space="preserve">pagrįstai </w:t>
            </w:r>
            <w:r w:rsidR="006D1EE9" w:rsidRPr="009D2294">
              <w:rPr>
                <w:b w:val="0"/>
                <w:color w:val="000000"/>
                <w:lang w:eastAsia="lt-LT"/>
              </w:rPr>
              <w:t xml:space="preserve">skiriasi nuo eksperto nuomonės); </w:t>
            </w:r>
          </w:p>
          <w:p w14:paraId="153BDACC" w14:textId="5F9BD9ED" w:rsidR="006D1EE9" w:rsidRPr="009D2294" w:rsidRDefault="006D1EE9" w:rsidP="009D2294">
            <w:pPr>
              <w:pStyle w:val="Punktas"/>
              <w:numPr>
                <w:ilvl w:val="0"/>
                <w:numId w:val="37"/>
              </w:numPr>
              <w:spacing w:before="0" w:after="0"/>
              <w:ind w:left="32" w:firstLine="880"/>
              <w:contextualSpacing/>
              <w:rPr>
                <w:b w:val="0"/>
              </w:rPr>
            </w:pPr>
            <w:r w:rsidRPr="009D2294">
              <w:rPr>
                <w:b w:val="0"/>
              </w:rPr>
              <w:t>Perkančiosios organizacijos Apraše</w:t>
            </w:r>
            <w:r w:rsidRPr="009D2294">
              <w:rPr>
                <w:rStyle w:val="FootnoteReference"/>
                <w:b w:val="0"/>
              </w:rPr>
              <w:footnoteReference w:id="8"/>
            </w:r>
            <w:r w:rsidRPr="009D2294">
              <w:rPr>
                <w:b w:val="0"/>
              </w:rPr>
              <w:t xml:space="preserve"> pateiktos tik rekomendacijos dėl ekspertų </w:t>
            </w:r>
            <w:r w:rsidR="007B5165">
              <w:rPr>
                <w:b w:val="0"/>
              </w:rPr>
              <w:t xml:space="preserve">pasitelkimo ir jų </w:t>
            </w:r>
            <w:r w:rsidR="007B5165" w:rsidRPr="009D2294">
              <w:rPr>
                <w:b w:val="0"/>
              </w:rPr>
              <w:t>skaičiaus</w:t>
            </w:r>
            <w:r w:rsidRPr="009D2294">
              <w:rPr>
                <w:b w:val="0"/>
              </w:rPr>
              <w:t>;</w:t>
            </w:r>
          </w:p>
          <w:p w14:paraId="3445891F" w14:textId="4588A48E" w:rsidR="006D1EE9" w:rsidRDefault="006D1EE9" w:rsidP="009D2294">
            <w:pPr>
              <w:pStyle w:val="Punktas"/>
              <w:numPr>
                <w:ilvl w:val="0"/>
                <w:numId w:val="37"/>
              </w:numPr>
              <w:spacing w:before="0" w:after="0"/>
              <w:ind w:left="40" w:firstLine="843"/>
              <w:contextualSpacing/>
              <w:rPr>
                <w:b w:val="0"/>
              </w:rPr>
            </w:pPr>
            <w:r w:rsidRPr="009D2294">
              <w:rPr>
                <w:b w:val="0"/>
              </w:rPr>
              <w:t>Perkančiosios organizacijos eksperto pasitelkimas pagal Paslaugų teikimo sutartį</w:t>
            </w:r>
            <w:r w:rsidRPr="009D2294">
              <w:rPr>
                <w:rStyle w:val="FootnoteReference"/>
                <w:b w:val="0"/>
              </w:rPr>
              <w:footnoteReference w:id="9"/>
            </w:r>
            <w:r w:rsidRPr="009D2294">
              <w:rPr>
                <w:b w:val="0"/>
              </w:rPr>
              <w:t xml:space="preserve"> (2018-10-25 Nr. 26-659-(7.7) su UAB „Viešųjų pirkimų ekspertų grupė) </w:t>
            </w:r>
            <w:r w:rsidR="009D2294" w:rsidRPr="009D2294">
              <w:rPr>
                <w:b w:val="0"/>
              </w:rPr>
              <w:t xml:space="preserve">(toliau –Sutartis) </w:t>
            </w:r>
            <w:r w:rsidRPr="009D2294">
              <w:rPr>
                <w:b w:val="0"/>
              </w:rPr>
              <w:t>atitinka Sutarties objektą (konsultavimo dėl pasiūlymų vertinimo paslaugos plačiąją prasme, nes sprendimus dėl tiekėjų pasiūlymų vertinimo priėmė Komisija</w:t>
            </w:r>
            <w:r w:rsidRPr="009B4823">
              <w:rPr>
                <w:b w:val="0"/>
              </w:rPr>
              <w:t>). Vertinti „eksperto“ kvalifikacij</w:t>
            </w:r>
            <w:r w:rsidR="00792402" w:rsidRPr="009B4823">
              <w:rPr>
                <w:b w:val="0"/>
              </w:rPr>
              <w:t>os tinkamumą</w:t>
            </w:r>
            <w:r w:rsidRPr="009B4823">
              <w:rPr>
                <w:b w:val="0"/>
              </w:rPr>
              <w:t xml:space="preserve"> Tarnyb</w:t>
            </w:r>
            <w:r w:rsidR="00792402" w:rsidRPr="009B4823">
              <w:rPr>
                <w:b w:val="0"/>
              </w:rPr>
              <w:t>a</w:t>
            </w:r>
            <w:r w:rsidRPr="009B4823">
              <w:rPr>
                <w:b w:val="0"/>
              </w:rPr>
              <w:t xml:space="preserve"> </w:t>
            </w:r>
            <w:r w:rsidR="00792402" w:rsidRPr="009B4823">
              <w:rPr>
                <w:b w:val="0"/>
              </w:rPr>
              <w:t>neturi pagrindo</w:t>
            </w:r>
            <w:r w:rsidRPr="009B4823">
              <w:rPr>
                <w:b w:val="0"/>
              </w:rPr>
              <w:t>. Atkr</w:t>
            </w:r>
            <w:r w:rsidRPr="009D2294">
              <w:rPr>
                <w:b w:val="0"/>
              </w:rPr>
              <w:t>eiptinas dėmesys, kad „ekspertų paslaugas“ Perkančioji organizacija įsigijo viešojo pirkimo būdu pagal savo poreikius</w:t>
            </w:r>
            <w:r w:rsidR="00042EF4">
              <w:rPr>
                <w:b w:val="0"/>
              </w:rPr>
              <w:t>;</w:t>
            </w:r>
          </w:p>
          <w:p w14:paraId="39B5EA1F" w14:textId="6B5841A9" w:rsidR="00042EF4" w:rsidRDefault="00042EF4" w:rsidP="00042EF4">
            <w:pPr>
              <w:pStyle w:val="Punktas"/>
              <w:numPr>
                <w:ilvl w:val="0"/>
                <w:numId w:val="37"/>
              </w:numPr>
              <w:spacing w:before="0" w:after="0"/>
              <w:ind w:left="174" w:firstLine="738"/>
              <w:contextualSpacing/>
              <w:rPr>
                <w:b w:val="0"/>
              </w:rPr>
            </w:pPr>
            <w:r w:rsidRPr="00042EF4">
              <w:rPr>
                <w:b w:val="0"/>
              </w:rPr>
              <w:t>Komisija 2019-07-16 posėdyje (protokolas Nr.10) priėmė sprendimą (</w:t>
            </w:r>
            <w:r w:rsidRPr="00042EF4">
              <w:rPr>
                <w:b w:val="0"/>
                <w:i/>
                <w:iCs/>
              </w:rPr>
              <w:t>tiekėjų pasiūlymus užkoduoti</w:t>
            </w:r>
            <w:r w:rsidRPr="00042EF4">
              <w:rPr>
                <w:b w:val="0"/>
              </w:rPr>
              <w:t>) dėl tiekėjų informavimo apie techninių pasiūlymų vertinimo rezultatus</w:t>
            </w:r>
            <w:r w:rsidR="00763B7F">
              <w:rPr>
                <w:b w:val="0"/>
              </w:rPr>
              <w:t xml:space="preserve"> (</w:t>
            </w:r>
            <w:r w:rsidR="00763B7F" w:rsidRPr="00750329">
              <w:rPr>
                <w:b w:val="0"/>
                <w:i/>
                <w:iCs/>
              </w:rPr>
              <w:t>kad nebūtų atskleisti Pirkime dalyvaujantys tiekėja</w:t>
            </w:r>
            <w:r w:rsidR="00763B7F">
              <w:rPr>
                <w:b w:val="0"/>
              </w:rPr>
              <w:t>i)</w:t>
            </w:r>
            <w:r w:rsidRPr="00042EF4">
              <w:rPr>
                <w:b w:val="0"/>
              </w:rPr>
              <w:t xml:space="preserve">, o ne dėl </w:t>
            </w:r>
            <w:r>
              <w:rPr>
                <w:b w:val="0"/>
              </w:rPr>
              <w:t>eksperto vertinimo;</w:t>
            </w:r>
          </w:p>
          <w:p w14:paraId="3E5AE2EB" w14:textId="103D8147" w:rsidR="00042EF4" w:rsidRPr="007F1C95" w:rsidRDefault="005C09DD" w:rsidP="007F1C95">
            <w:pPr>
              <w:pStyle w:val="Punktas"/>
              <w:numPr>
                <w:ilvl w:val="0"/>
                <w:numId w:val="37"/>
              </w:numPr>
              <w:spacing w:before="0" w:after="0"/>
              <w:ind w:left="174" w:firstLine="738"/>
              <w:contextualSpacing/>
              <w:rPr>
                <w:b w:val="0"/>
              </w:rPr>
            </w:pPr>
            <w:r>
              <w:rPr>
                <w:b w:val="0"/>
              </w:rPr>
              <w:t xml:space="preserve">Perkančiosios organizacijos 2020-10-23 rašte </w:t>
            </w:r>
            <w:r w:rsidR="002755BA">
              <w:rPr>
                <w:b w:val="0"/>
              </w:rPr>
              <w:t>N</w:t>
            </w:r>
            <w:r w:rsidR="002755BA" w:rsidRPr="002755BA">
              <w:rPr>
                <w:b w:val="0"/>
              </w:rPr>
              <w:t>r. S12-3054</w:t>
            </w:r>
            <w:r w:rsidR="002755BA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="002755BA">
              <w:rPr>
                <w:b w:val="0"/>
              </w:rPr>
              <w:t>adresuotame</w:t>
            </w:r>
            <w:r>
              <w:rPr>
                <w:b w:val="0"/>
              </w:rPr>
              <w:t xml:space="preserve"> LVPA) nurodyta, kad ekspertas buvo pasirašęs nešališkumo deklaraciją bei konfidencialumo pasižadėjimą (atitinka Įstatymo 21 straipsnio 2 dalies reikalavimus).</w:t>
            </w:r>
          </w:p>
          <w:p w14:paraId="1113536F" w14:textId="0D0B3E84" w:rsidR="00D52673" w:rsidRDefault="009B419C" w:rsidP="00D52673">
            <w:pPr>
              <w:pStyle w:val="ListParagraph"/>
              <w:numPr>
                <w:ilvl w:val="0"/>
                <w:numId w:val="48"/>
              </w:numPr>
              <w:ind w:left="32" w:firstLine="851"/>
              <w:jc w:val="both"/>
              <w:rPr>
                <w:szCs w:val="24"/>
                <w:lang w:eastAsia="lt-LT"/>
              </w:rPr>
            </w:pPr>
            <w:r w:rsidRPr="00D52673">
              <w:t xml:space="preserve">Įvertinusi tiekėjo pasiūlymo vertinimą </w:t>
            </w:r>
            <w:r w:rsidRPr="004467D1">
              <w:rPr>
                <w:i/>
                <w:iCs/>
              </w:rPr>
              <w:t>(priimtą sprendimą atmesti, kaip neatitinkantį Techninės specifikacijos reikalavimų</w:t>
            </w:r>
            <w:r w:rsidRPr="00D52673">
              <w:t xml:space="preserve">) dėl paslaugų teikimo trukmės, Tarnyba nenustatė Įstatymo nuostatų </w:t>
            </w:r>
            <w:r w:rsidR="004467D1" w:rsidRPr="00D52673">
              <w:t>pažeidimų</w:t>
            </w:r>
            <w:r w:rsidR="00E15907" w:rsidRPr="00D52673">
              <w:t>.</w:t>
            </w:r>
            <w:r w:rsidR="00D52673" w:rsidRPr="00D52673">
              <w:t xml:space="preserve"> </w:t>
            </w:r>
            <w:r w:rsidR="00D52673" w:rsidRPr="00D52673">
              <w:rPr>
                <w:szCs w:val="24"/>
                <w:lang w:eastAsia="lt-LT"/>
              </w:rPr>
              <w:t>Teikiame paaiškinimus bei pagrindžiančius argumentus, į ką buvo atsižvelgta atliekant Pirkimo šioje dalyje vertinimą:</w:t>
            </w:r>
          </w:p>
          <w:p w14:paraId="5D84C1A8" w14:textId="422D5FC5" w:rsidR="0012705F" w:rsidRPr="0012705F" w:rsidRDefault="00916F66" w:rsidP="00B477AE">
            <w:pPr>
              <w:pStyle w:val="ListParagraph"/>
              <w:widowControl w:val="0"/>
              <w:numPr>
                <w:ilvl w:val="0"/>
                <w:numId w:val="50"/>
              </w:numPr>
              <w:ind w:left="32" w:firstLine="851"/>
              <w:jc w:val="both"/>
              <w:rPr>
                <w:szCs w:val="24"/>
              </w:rPr>
            </w:pPr>
            <w:r w:rsidRPr="0012705F">
              <w:rPr>
                <w:szCs w:val="24"/>
                <w:lang w:eastAsia="lt-LT"/>
              </w:rPr>
              <w:t>Skelbime apie Pirkimą nurodyta, kad sutarties trukmė 8 mėn.</w:t>
            </w:r>
            <w:r w:rsidR="0012705F" w:rsidRPr="0012705F">
              <w:rPr>
                <w:szCs w:val="24"/>
                <w:lang w:eastAsia="lt-LT"/>
              </w:rPr>
              <w:t xml:space="preserve"> </w:t>
            </w:r>
            <w:r w:rsidR="002755BA">
              <w:rPr>
                <w:szCs w:val="24"/>
                <w:lang w:eastAsia="lt-LT"/>
              </w:rPr>
              <w:t xml:space="preserve">Pirkimo sąlygų 3 priedo (Techninė specifikacija) </w:t>
            </w:r>
            <w:r w:rsidR="002755BA" w:rsidRPr="00832581">
              <w:t>6.4.</w:t>
            </w:r>
            <w:r w:rsidR="002755BA">
              <w:t xml:space="preserve"> punkte nustatyta, kad „</w:t>
            </w:r>
            <w:r w:rsidR="002755BA" w:rsidRPr="004B3704">
              <w:rPr>
                <w:b/>
                <w:bCs/>
              </w:rPr>
              <w:t>Tiekėjas turės pasirengti komunikacijos kompanijos veiksmų planą</w:t>
            </w:r>
            <w:r w:rsidR="002755BA" w:rsidRPr="00832581">
              <w:t xml:space="preserve">. Kampanijos komunikacijos veiksmų planą </w:t>
            </w:r>
            <w:r w:rsidR="002755BA" w:rsidRPr="004B3704">
              <w:rPr>
                <w:b/>
                <w:bCs/>
              </w:rPr>
              <w:t>turi apimti 6 mėn. laikotarpį</w:t>
            </w:r>
            <w:r w:rsidR="002755BA" w:rsidRPr="005C362B">
              <w:t>.</w:t>
            </w:r>
            <w:r w:rsidR="002755BA">
              <w:t>“</w:t>
            </w:r>
            <w:r w:rsidR="002755BA">
              <w:rPr>
                <w:szCs w:val="24"/>
                <w:lang w:eastAsia="lt-LT"/>
              </w:rPr>
              <w:t xml:space="preserve"> </w:t>
            </w:r>
            <w:r w:rsidR="0012705F" w:rsidRPr="0012705F">
              <w:rPr>
                <w:bCs/>
              </w:rPr>
              <w:t xml:space="preserve">Pirkimo sąlygų 5 priedo (Pirkimo sutarties projektas, toliau – Sutarties projektas) </w:t>
            </w:r>
            <w:r w:rsidR="0012705F" w:rsidRPr="0012705F">
              <w:rPr>
                <w:szCs w:val="24"/>
              </w:rPr>
              <w:t xml:space="preserve">13.2. </w:t>
            </w:r>
            <w:r w:rsidR="0012705F">
              <w:rPr>
                <w:szCs w:val="24"/>
              </w:rPr>
              <w:t>punkte nustatyta, kad „</w:t>
            </w:r>
            <w:r w:rsidR="0012705F" w:rsidRPr="0012705F">
              <w:rPr>
                <w:i/>
                <w:iCs/>
                <w:szCs w:val="24"/>
              </w:rPr>
              <w:t>Paslaugų suteikimo terminas –</w:t>
            </w:r>
            <w:r w:rsidR="0012705F" w:rsidRPr="0012705F">
              <w:rPr>
                <w:b/>
                <w:i/>
                <w:iCs/>
                <w:szCs w:val="24"/>
              </w:rPr>
              <w:t>6 mėnesiai</w:t>
            </w:r>
            <w:r w:rsidR="0012705F" w:rsidRPr="0012705F">
              <w:rPr>
                <w:i/>
                <w:iCs/>
                <w:szCs w:val="24"/>
              </w:rPr>
              <w:t xml:space="preserve"> nuo šios Sutarties įsigaliojimo dieno</w:t>
            </w:r>
            <w:r w:rsidR="0012705F" w:rsidRPr="0012705F">
              <w:rPr>
                <w:szCs w:val="24"/>
              </w:rPr>
              <w:t>s</w:t>
            </w:r>
            <w:r w:rsidR="0012705F">
              <w:rPr>
                <w:szCs w:val="24"/>
              </w:rPr>
              <w:t xml:space="preserve">“, Sutarties projekto 3.2 punkte nustatytas atsiskaitymo terminas – </w:t>
            </w:r>
            <w:r w:rsidR="0012705F" w:rsidRPr="00B477AE">
              <w:rPr>
                <w:i/>
                <w:iCs/>
                <w:szCs w:val="24"/>
              </w:rPr>
              <w:t>„&lt;...&gt;</w:t>
            </w:r>
            <w:r w:rsidR="0012705F" w:rsidRPr="00B477AE">
              <w:rPr>
                <w:i/>
                <w:iCs/>
              </w:rPr>
              <w:t xml:space="preserve"> ne vėliau kaip per 60 (šešiasdešimt) dienų nuo Paslaugų priėmimo–perdavimo akto pasirašymo ir visų Sutarties  5.2 – 5.4 punktuose nurodytų dokumentų pateikimo dienos</w:t>
            </w:r>
            <w:r w:rsidR="00B477AE">
              <w:t>“</w:t>
            </w:r>
            <w:r w:rsidR="00275CC9">
              <w:t>. Todėl tiekėjo siūloma komunikacijos kompanijos 9 mėn. trukmė, ne</w:t>
            </w:r>
            <w:r w:rsidR="002755BA">
              <w:t>t</w:t>
            </w:r>
            <w:r w:rsidR="00275CC9">
              <w:t xml:space="preserve"> ir įskaitant atsiskaitymo laikotarpį, yra neatitinkanti Pirkimo dokumentų reikalavimų</w:t>
            </w:r>
            <w:r w:rsidR="004068A2">
              <w:t>.</w:t>
            </w:r>
          </w:p>
          <w:p w14:paraId="7315E40B" w14:textId="7ECB5290" w:rsidR="0085239E" w:rsidRPr="00CF2EDB" w:rsidRDefault="002755BA" w:rsidP="0085239E">
            <w:pPr>
              <w:pStyle w:val="Default"/>
              <w:ind w:firstLine="720"/>
              <w:contextualSpacing/>
              <w:jc w:val="both"/>
              <w:rPr>
                <w:color w:val="auto"/>
              </w:rPr>
            </w:pPr>
            <w:r>
              <w:rPr>
                <w:bCs/>
              </w:rPr>
              <w:t xml:space="preserve">(ii) </w:t>
            </w:r>
            <w:r w:rsidR="009E0EEA">
              <w:rPr>
                <w:bCs/>
              </w:rPr>
              <w:t xml:space="preserve">Komisijos prašymai tiekėjų patikslinti pasiūlymus dėl </w:t>
            </w:r>
            <w:r w:rsidR="0085239E">
              <w:rPr>
                <w:bCs/>
              </w:rPr>
              <w:t>„</w:t>
            </w:r>
            <w:r w:rsidR="0085239E" w:rsidRPr="00CF2EDB">
              <w:t>pasiūlymo galiojimą užtikrinan</w:t>
            </w:r>
            <w:r w:rsidR="0085239E">
              <w:t>čio</w:t>
            </w:r>
            <w:r w:rsidR="0085239E" w:rsidRPr="00CF2EDB">
              <w:t xml:space="preserve"> dokumen</w:t>
            </w:r>
            <w:r w:rsidR="0085239E">
              <w:t>to pateikimo“</w:t>
            </w:r>
            <w:r w:rsidR="0085239E" w:rsidRPr="00CF2EDB">
              <w:rPr>
                <w:color w:val="auto"/>
              </w:rPr>
              <w:t xml:space="preserve"> </w:t>
            </w:r>
            <w:r w:rsidR="0085239E">
              <w:rPr>
                <w:color w:val="auto"/>
              </w:rPr>
              <w:t>ar „aritmetinių klaidų ištaisymo“</w:t>
            </w:r>
            <w:r w:rsidR="0085239E">
              <w:rPr>
                <w:rStyle w:val="FootnoteReference"/>
                <w:color w:val="auto"/>
              </w:rPr>
              <w:footnoteReference w:id="10"/>
            </w:r>
            <w:r w:rsidR="0031553B">
              <w:rPr>
                <w:color w:val="auto"/>
              </w:rPr>
              <w:t xml:space="preserve"> </w:t>
            </w:r>
            <w:r w:rsidR="00DC238F">
              <w:rPr>
                <w:color w:val="auto"/>
              </w:rPr>
              <w:t>(</w:t>
            </w:r>
            <w:r w:rsidR="00DC238F" w:rsidRPr="00DC238F">
              <w:rPr>
                <w:i/>
                <w:iCs/>
                <w:color w:val="auto"/>
              </w:rPr>
              <w:t>Įstatyme įtvirtinta teisė</w:t>
            </w:r>
            <w:r w:rsidR="00DC238F">
              <w:rPr>
                <w:color w:val="auto"/>
              </w:rPr>
              <w:t xml:space="preserve">) </w:t>
            </w:r>
            <w:r w:rsidR="0031553B">
              <w:rPr>
                <w:color w:val="auto"/>
              </w:rPr>
              <w:lastRenderedPageBreak/>
              <w:t>negali būti tapatinami su prašymu „patikslinti paslaugų teikimo trukmę“ pasiūlyme, kai ji tiekėjo pasiūlyme jau nurodyta neatitinkanti Pirkimo dokumentų reikalavimų.</w:t>
            </w:r>
            <w:r w:rsidR="0085239E" w:rsidRPr="00CF2EDB">
              <w:rPr>
                <w:color w:val="auto"/>
              </w:rPr>
              <w:t xml:space="preserve"> </w:t>
            </w:r>
          </w:p>
          <w:p w14:paraId="432BF433" w14:textId="77777777" w:rsidR="002A07F4" w:rsidRDefault="000D6E31" w:rsidP="00E82DF2">
            <w:pPr>
              <w:ind w:firstLine="880"/>
              <w:jc w:val="both"/>
              <w:rPr>
                <w:bCs/>
                <w:szCs w:val="24"/>
                <w:lang w:eastAsia="lt-LT"/>
              </w:rPr>
            </w:pPr>
            <w:r w:rsidRPr="007F0C16">
              <w:rPr>
                <w:bCs/>
                <w:szCs w:val="24"/>
                <w:lang w:eastAsia="lt-LT"/>
              </w:rPr>
              <w:t>Vadovaujantis Lietuvos Respublikos administracinių bylų teisenos įstatymo 5 ir 17 straipsniais, nesutikę su Tarnybos sprendimu, Jūs galite jį apskųsti teismui šio įstatymo nustatyta tvarka.</w:t>
            </w:r>
          </w:p>
          <w:p w14:paraId="17C8E16A" w14:textId="522DD407" w:rsidR="00A41CC8" w:rsidRPr="004D04C1" w:rsidRDefault="00A41CC8" w:rsidP="00E82DF2">
            <w:pPr>
              <w:ind w:firstLine="880"/>
              <w:jc w:val="both"/>
              <w:rPr>
                <w:szCs w:val="24"/>
              </w:rPr>
            </w:pPr>
          </w:p>
        </w:tc>
      </w:tr>
    </w:tbl>
    <w:p w14:paraId="64D1C22C" w14:textId="77777777" w:rsidR="00BB474D" w:rsidRDefault="00BB474D" w:rsidP="00492B0D">
      <w:pPr>
        <w:jc w:val="center"/>
        <w:rPr>
          <w:b/>
          <w:szCs w:val="24"/>
        </w:rPr>
      </w:pPr>
    </w:p>
    <w:p w14:paraId="2BD85237" w14:textId="77777777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721" w14:textId="455B2207" w:rsidR="006B4DD7" w:rsidRPr="007F65A7" w:rsidRDefault="006B4DD7" w:rsidP="003042B1">
            <w:pPr>
              <w:ind w:firstLine="880"/>
              <w:jc w:val="both"/>
              <w:rPr>
                <w:szCs w:val="24"/>
              </w:rPr>
            </w:pPr>
          </w:p>
        </w:tc>
      </w:tr>
      <w:tr w:rsidR="00903272" w:rsidRPr="004D04C1" w14:paraId="04D30B29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EFD" w14:textId="77777777" w:rsidR="00903272" w:rsidRDefault="00903272" w:rsidP="0031553B">
            <w:pPr>
              <w:pStyle w:val="Punktas"/>
              <w:numPr>
                <w:ilvl w:val="0"/>
                <w:numId w:val="0"/>
              </w:numPr>
              <w:spacing w:before="0" w:after="0"/>
              <w:ind w:left="32" w:firstLine="851"/>
              <w:contextualSpacing/>
              <w:rPr>
                <w:rStyle w:val="CommentReference"/>
              </w:rPr>
            </w:pPr>
          </w:p>
          <w:p w14:paraId="6FE37A2D" w14:textId="2B7B6CDE" w:rsidR="0031553B" w:rsidRDefault="0031553B" w:rsidP="0031553B">
            <w:pPr>
              <w:pStyle w:val="Punktas"/>
              <w:numPr>
                <w:ilvl w:val="0"/>
                <w:numId w:val="0"/>
              </w:numPr>
              <w:spacing w:before="0" w:after="0"/>
              <w:ind w:left="32" w:firstLine="851"/>
              <w:contextualSpacing/>
              <w:rPr>
                <w:rStyle w:val="CommentReference"/>
              </w:rPr>
            </w:pPr>
          </w:p>
        </w:tc>
      </w:tr>
    </w:tbl>
    <w:p w14:paraId="2250D327" w14:textId="77777777" w:rsidR="002A07F4" w:rsidRPr="004D04C1" w:rsidRDefault="002A07F4" w:rsidP="002A07F4">
      <w:pPr>
        <w:jc w:val="both"/>
        <w:rPr>
          <w:b/>
          <w:szCs w:val="24"/>
        </w:rPr>
      </w:pPr>
    </w:p>
    <w:p w14:paraId="11C15424" w14:textId="77777777" w:rsidR="002A07F4" w:rsidRPr="004D04C1" w:rsidRDefault="002A07F4" w:rsidP="002A07F4">
      <w:pPr>
        <w:rPr>
          <w:sz w:val="14"/>
          <w:szCs w:val="14"/>
        </w:rPr>
      </w:pPr>
    </w:p>
    <w:p w14:paraId="04F4160F" w14:textId="77777777" w:rsidR="00881889" w:rsidRPr="002A07F4" w:rsidRDefault="00881889" w:rsidP="002A07F4">
      <w:pPr>
        <w:rPr>
          <w:sz w:val="14"/>
          <w:szCs w:val="14"/>
        </w:rPr>
      </w:pPr>
    </w:p>
    <w:p w14:paraId="20CCFD73" w14:textId="77777777" w:rsidR="00470B38" w:rsidRDefault="00470B38" w:rsidP="00470B38">
      <w:pPr>
        <w:rPr>
          <w:szCs w:val="24"/>
        </w:rPr>
      </w:pPr>
    </w:p>
    <w:p w14:paraId="43A46AD5" w14:textId="65127C88" w:rsidR="00470B38" w:rsidRPr="002A4741" w:rsidRDefault="00470B38" w:rsidP="00470B38">
      <w:pPr>
        <w:rPr>
          <w:szCs w:val="24"/>
        </w:rPr>
      </w:pPr>
      <w:r w:rsidRPr="002A4741">
        <w:rPr>
          <w:szCs w:val="24"/>
        </w:rPr>
        <w:t xml:space="preserve">Direktoriaus </w:t>
      </w:r>
      <w:r w:rsidR="00BC715C">
        <w:rPr>
          <w:szCs w:val="24"/>
        </w:rPr>
        <w:tab/>
      </w:r>
      <w:r w:rsidR="00BC715C">
        <w:rPr>
          <w:szCs w:val="24"/>
        </w:rPr>
        <w:tab/>
      </w:r>
      <w:r w:rsidR="00BC715C">
        <w:rPr>
          <w:szCs w:val="24"/>
        </w:rPr>
        <w:tab/>
      </w:r>
      <w:r w:rsidR="00BC715C">
        <w:rPr>
          <w:szCs w:val="24"/>
        </w:rPr>
        <w:tab/>
      </w:r>
      <w:r w:rsidR="00BC715C">
        <w:rPr>
          <w:szCs w:val="24"/>
        </w:rPr>
        <w:tab/>
        <w:t xml:space="preserve">                  </w:t>
      </w:r>
      <w:r w:rsidR="008E6B73">
        <w:rPr>
          <w:szCs w:val="24"/>
        </w:rPr>
        <w:t xml:space="preserve">   </w:t>
      </w:r>
      <w:r w:rsidR="00BC715C">
        <w:rPr>
          <w:szCs w:val="24"/>
        </w:rPr>
        <w:t xml:space="preserve"> </w:t>
      </w:r>
      <w:r w:rsidR="007C0AC7">
        <w:rPr>
          <w:szCs w:val="24"/>
        </w:rPr>
        <w:t xml:space="preserve"> </w:t>
      </w:r>
      <w:r w:rsidR="00BC715C">
        <w:rPr>
          <w:szCs w:val="24"/>
        </w:rPr>
        <w:t xml:space="preserve"> Darius Ved</w:t>
      </w:r>
      <w:r w:rsidR="0045504E">
        <w:rPr>
          <w:szCs w:val="24"/>
        </w:rPr>
        <w:t>r</w:t>
      </w:r>
      <w:r w:rsidR="00BC715C">
        <w:rPr>
          <w:szCs w:val="24"/>
        </w:rPr>
        <w:t>ickas</w:t>
      </w:r>
    </w:p>
    <w:p w14:paraId="15A35502" w14:textId="77777777" w:rsidR="00470B38" w:rsidRPr="002A4741" w:rsidRDefault="00470B38" w:rsidP="00470B38">
      <w:pPr>
        <w:tabs>
          <w:tab w:val="left" w:pos="720"/>
        </w:tabs>
        <w:rPr>
          <w:bCs/>
          <w:szCs w:val="24"/>
        </w:rPr>
      </w:pPr>
    </w:p>
    <w:p w14:paraId="3600E938" w14:textId="77777777" w:rsidR="00470B38" w:rsidRDefault="00470B38" w:rsidP="00470B38">
      <w:pPr>
        <w:jc w:val="both"/>
        <w:rPr>
          <w:szCs w:val="24"/>
        </w:rPr>
      </w:pPr>
    </w:p>
    <w:p w14:paraId="4D9504C3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68E48C85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22EFC8CC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1A949B40" w14:textId="3DF4DFD1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52149947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7B490704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3B9F1692" w14:textId="77777777" w:rsidR="00A15D26" w:rsidRDefault="00A15D26" w:rsidP="00B903C8">
      <w:pPr>
        <w:tabs>
          <w:tab w:val="left" w:pos="900"/>
        </w:tabs>
        <w:jc w:val="both"/>
        <w:rPr>
          <w:sz w:val="20"/>
        </w:rPr>
      </w:pPr>
    </w:p>
    <w:p w14:paraId="6B53A8CA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037F3340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41DDE2A9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784D4103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46C40534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2EFEDD0F" w14:textId="77777777" w:rsidR="005D542A" w:rsidRDefault="005D542A" w:rsidP="00B903C8">
      <w:pPr>
        <w:tabs>
          <w:tab w:val="left" w:pos="900"/>
        </w:tabs>
        <w:jc w:val="both"/>
        <w:rPr>
          <w:sz w:val="20"/>
        </w:rPr>
      </w:pPr>
    </w:p>
    <w:p w14:paraId="02734F1C" w14:textId="77777777" w:rsidR="005D542A" w:rsidRDefault="005D542A" w:rsidP="00B903C8">
      <w:pPr>
        <w:tabs>
          <w:tab w:val="left" w:pos="900"/>
        </w:tabs>
        <w:jc w:val="both"/>
        <w:rPr>
          <w:sz w:val="20"/>
        </w:rPr>
      </w:pPr>
    </w:p>
    <w:p w14:paraId="372BB90B" w14:textId="77777777" w:rsidR="00881889" w:rsidRDefault="00881889" w:rsidP="00B903C8">
      <w:pPr>
        <w:tabs>
          <w:tab w:val="left" w:pos="900"/>
        </w:tabs>
        <w:jc w:val="both"/>
        <w:rPr>
          <w:sz w:val="20"/>
        </w:rPr>
      </w:pPr>
    </w:p>
    <w:p w14:paraId="2366BCC8" w14:textId="77777777" w:rsidR="00881889" w:rsidRDefault="00881889" w:rsidP="00B903C8">
      <w:pPr>
        <w:tabs>
          <w:tab w:val="left" w:pos="900"/>
        </w:tabs>
        <w:jc w:val="both"/>
        <w:rPr>
          <w:sz w:val="20"/>
        </w:rPr>
      </w:pPr>
    </w:p>
    <w:p w14:paraId="3764F9B5" w14:textId="77777777" w:rsidR="00881889" w:rsidRDefault="00881889" w:rsidP="00B903C8">
      <w:pPr>
        <w:tabs>
          <w:tab w:val="left" w:pos="900"/>
        </w:tabs>
        <w:jc w:val="both"/>
        <w:rPr>
          <w:sz w:val="20"/>
        </w:rPr>
      </w:pPr>
    </w:p>
    <w:p w14:paraId="3D93BB9E" w14:textId="77777777" w:rsidR="007F0C16" w:rsidRDefault="007F0C16" w:rsidP="00B903C8">
      <w:pPr>
        <w:tabs>
          <w:tab w:val="left" w:pos="900"/>
        </w:tabs>
        <w:jc w:val="both"/>
        <w:rPr>
          <w:sz w:val="20"/>
        </w:rPr>
      </w:pPr>
    </w:p>
    <w:p w14:paraId="65824AF5" w14:textId="24B22277" w:rsidR="00C1445A" w:rsidRDefault="00C1445A" w:rsidP="00B903C8">
      <w:pPr>
        <w:tabs>
          <w:tab w:val="left" w:pos="900"/>
        </w:tabs>
        <w:jc w:val="both"/>
        <w:rPr>
          <w:sz w:val="20"/>
        </w:rPr>
      </w:pPr>
    </w:p>
    <w:p w14:paraId="60E0F942" w14:textId="31C74480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449BAF14" w14:textId="23985E2C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27617189" w14:textId="604D6D68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156B2A6A" w14:textId="4B46F31B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7BE94166" w14:textId="3E7EEA27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25E9BD00" w14:textId="130472E2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2CB7FF53" w14:textId="29CAE7F9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6832069C" w14:textId="62346FA1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10AB4EFB" w14:textId="17019E58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3424616C" w14:textId="72BA42B3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6E9DBE64" w14:textId="77777777" w:rsidR="00A41CC8" w:rsidRDefault="00A41CC8" w:rsidP="00B903C8">
      <w:pPr>
        <w:tabs>
          <w:tab w:val="left" w:pos="900"/>
        </w:tabs>
        <w:jc w:val="both"/>
        <w:rPr>
          <w:sz w:val="20"/>
        </w:rPr>
      </w:pPr>
    </w:p>
    <w:p w14:paraId="02F9FE8E" w14:textId="6839EB67" w:rsidR="00C1445A" w:rsidRDefault="00C1445A" w:rsidP="00B903C8">
      <w:pPr>
        <w:tabs>
          <w:tab w:val="left" w:pos="900"/>
        </w:tabs>
        <w:jc w:val="both"/>
        <w:rPr>
          <w:sz w:val="20"/>
        </w:rPr>
      </w:pPr>
    </w:p>
    <w:p w14:paraId="1108BD9E" w14:textId="175F0FCC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34EDBDD5" w14:textId="1F985B1D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32EC2CFF" w14:textId="2986F4BA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39673EFD" w14:textId="48E84B53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129E79B6" w14:textId="64AFE453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4AD7409C" w14:textId="3ED66F32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4374B8CA" w14:textId="6FE1FF3D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4C09A98A" w14:textId="77777777" w:rsidR="00B40267" w:rsidRDefault="00B40267" w:rsidP="00B903C8">
      <w:pPr>
        <w:tabs>
          <w:tab w:val="left" w:pos="900"/>
        </w:tabs>
        <w:jc w:val="both"/>
        <w:rPr>
          <w:sz w:val="20"/>
        </w:rPr>
      </w:pPr>
    </w:p>
    <w:p w14:paraId="337081C3" w14:textId="77777777" w:rsidR="004C2177" w:rsidRPr="00C52E4D" w:rsidRDefault="000F1A98" w:rsidP="00B903C8">
      <w:pPr>
        <w:tabs>
          <w:tab w:val="left" w:pos="900"/>
        </w:tabs>
        <w:jc w:val="both"/>
        <w:rPr>
          <w:sz w:val="22"/>
        </w:rPr>
      </w:pPr>
      <w:r w:rsidRPr="00C52E4D">
        <w:rPr>
          <w:sz w:val="22"/>
        </w:rPr>
        <w:t xml:space="preserve">Gema Petronytė, tel. (8 5) 219 7047, faks. (8 5) 213 6213, el. p. </w:t>
      </w:r>
      <w:r w:rsidRPr="00C52E4D">
        <w:rPr>
          <w:rStyle w:val="Hyperlink"/>
          <w:sz w:val="22"/>
        </w:rPr>
        <w:t>Gema.Petronyte@vpt.lt</w:t>
      </w:r>
    </w:p>
    <w:sectPr w:rsidR="004C2177" w:rsidRPr="00C52E4D" w:rsidSect="00D710EE">
      <w:headerReference w:type="default" r:id="rId10"/>
      <w:headerReference w:type="first" r:id="rId11"/>
      <w:footerReference w:type="first" r:id="rId12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5269" w14:textId="77777777" w:rsidR="00322E7B" w:rsidRDefault="00322E7B" w:rsidP="00B60E72">
      <w:r>
        <w:separator/>
      </w:r>
    </w:p>
  </w:endnote>
  <w:endnote w:type="continuationSeparator" w:id="0">
    <w:p w14:paraId="50679ABF" w14:textId="77777777" w:rsidR="00322E7B" w:rsidRDefault="00322E7B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2C7F3" w14:textId="77777777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 </w:t>
    </w:r>
    <w:r w:rsidRPr="00132FD4">
      <w:rPr>
        <w:sz w:val="20"/>
      </w:rPr>
      <w:t xml:space="preserve">        </w:t>
    </w:r>
    <w:r>
      <w:rPr>
        <w:sz w:val="20"/>
      </w:rPr>
      <w:t xml:space="preserve">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  </w:t>
    </w:r>
    <w:r>
      <w:rPr>
        <w:sz w:val="20"/>
      </w:rPr>
      <w:t xml:space="preserve">          </w:t>
    </w:r>
    <w:r w:rsidRPr="00EF1EBC">
      <w:rPr>
        <w:sz w:val="20"/>
      </w:rPr>
      <w:t>Duomenys kaupiami ir saugomi </w:t>
    </w:r>
  </w:p>
  <w:p w14:paraId="2C7D9077" w14:textId="171A73FE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       </w:t>
    </w:r>
    <w:r>
      <w:rPr>
        <w:sz w:val="20"/>
      </w:rPr>
      <w:t xml:space="preserve">                 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>
      <w:rPr>
        <w:sz w:val="20"/>
      </w:rPr>
      <w:t xml:space="preserve">                </w:t>
    </w:r>
    <w:r w:rsidRPr="00EF1EBC">
      <w:rPr>
        <w:sz w:val="20"/>
      </w:rPr>
      <w:t xml:space="preserve">Juridinių asmenų registre </w:t>
    </w:r>
  </w:p>
  <w:p w14:paraId="681C013E" w14:textId="7777777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           </w:t>
    </w:r>
    <w:r w:rsidRPr="00132FD4">
      <w:rPr>
        <w:sz w:val="20"/>
      </w:rPr>
      <w:t xml:space="preserve">       </w:t>
    </w:r>
    <w:r>
      <w:rPr>
        <w:sz w:val="20"/>
      </w:rPr>
      <w:t xml:space="preserve">              </w:t>
    </w:r>
    <w:r w:rsidRPr="00EF1EBC">
      <w:rPr>
        <w:sz w:val="20"/>
      </w:rPr>
      <w:t xml:space="preserve"> El.p. info@vpt.lt          </w:t>
    </w:r>
    <w:r w:rsidRPr="00132FD4">
      <w:rPr>
        <w:sz w:val="20"/>
      </w:rPr>
      <w:t xml:space="preserve">  </w:t>
    </w:r>
    <w:r>
      <w:rPr>
        <w:sz w:val="20"/>
      </w:rPr>
      <w:t xml:space="preserve">    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BC3D5" w14:textId="77777777" w:rsidR="00322E7B" w:rsidRDefault="00322E7B" w:rsidP="00B60E72">
      <w:r>
        <w:separator/>
      </w:r>
    </w:p>
  </w:footnote>
  <w:footnote w:type="continuationSeparator" w:id="0">
    <w:p w14:paraId="07F0C607" w14:textId="77777777" w:rsidR="00322E7B" w:rsidRDefault="00322E7B" w:rsidP="00B60E72">
      <w:r>
        <w:continuationSeparator/>
      </w:r>
    </w:p>
  </w:footnote>
  <w:footnote w:id="1">
    <w:p w14:paraId="35B61959" w14:textId="77777777" w:rsidR="009C7C91" w:rsidRPr="008E6938" w:rsidRDefault="009C7C91" w:rsidP="008E693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E6938">
        <w:t>Perkančioji organizacija užtikrina, kad vykdant pirkimą būtų laikomasi lygiateisiškumo, nediskriminavimo, abipusio pripažinimo, proporcingumo, skaidrumo principų“.</w:t>
      </w:r>
    </w:p>
  </w:footnote>
  <w:footnote w:id="2">
    <w:p w14:paraId="7234BECC" w14:textId="7925E5BB" w:rsidR="00BF2348" w:rsidRPr="008E6938" w:rsidRDefault="00BF2348" w:rsidP="008E6938">
      <w:pPr>
        <w:pStyle w:val="FootnoteText"/>
        <w:jc w:val="both"/>
      </w:pPr>
      <w:r w:rsidRPr="008E6938">
        <w:rPr>
          <w:rStyle w:val="FootnoteReference"/>
        </w:rPr>
        <w:footnoteRef/>
      </w:r>
      <w:r w:rsidRPr="008E6938">
        <w:t xml:space="preserve"> „Pasirinkti pasiūlymų vertinimo kriterijai neturi perkančiajai organizacijai suteikti neribotos pasirinkimo laisvės ir turi užtikrinti </w:t>
      </w:r>
      <w:r w:rsidR="00762B8C">
        <w:t>veiksmingą tiekėjų konkurenciją &lt;...&gt;</w:t>
      </w:r>
      <w:r w:rsidRPr="008E6938">
        <w:t>.“</w:t>
      </w:r>
    </w:p>
  </w:footnote>
  <w:footnote w:id="3">
    <w:p w14:paraId="582AB843" w14:textId="5734A720" w:rsidR="00D37A17" w:rsidRPr="00F94D34" w:rsidRDefault="00CD600C" w:rsidP="00D37A17">
      <w:pPr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F94D34" w:rsidRPr="00F94D34">
        <w:rPr>
          <w:sz w:val="20"/>
        </w:rPr>
        <w:t>Perkančiosios organizacijos</w:t>
      </w:r>
      <w:r w:rsidR="00D37A17" w:rsidRPr="00F94D34">
        <w:rPr>
          <w:sz w:val="20"/>
        </w:rPr>
        <w:t xml:space="preserve"> 2019-06-20</w:t>
      </w:r>
      <w:r w:rsidR="00F94D34" w:rsidRPr="00F94D34">
        <w:rPr>
          <w:sz w:val="20"/>
        </w:rPr>
        <w:t xml:space="preserve"> raštas </w:t>
      </w:r>
      <w:r w:rsidR="00D37A17" w:rsidRPr="00F94D34">
        <w:rPr>
          <w:sz w:val="20"/>
        </w:rPr>
        <w:t>Nr. s12-1976-5.36</w:t>
      </w:r>
      <w:r w:rsidR="00F94D34">
        <w:rPr>
          <w:sz w:val="20"/>
        </w:rPr>
        <w:t>.</w:t>
      </w:r>
    </w:p>
    <w:p w14:paraId="4F5ECE37" w14:textId="79EBC4B8" w:rsidR="00CD600C" w:rsidRPr="00F94D34" w:rsidRDefault="00CD600C">
      <w:pPr>
        <w:pStyle w:val="FootnoteText"/>
      </w:pPr>
    </w:p>
  </w:footnote>
  <w:footnote w:id="4">
    <w:p w14:paraId="31DF4E5E" w14:textId="77777777" w:rsidR="0037169E" w:rsidRDefault="0037169E" w:rsidP="0037169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Aukščiausiojo Teismo Civilinių bylų skyriaus 2018 m. gegužės 3 d. nutartis civilinėje byloje Nr. e3K-3-178-378/2018.</w:t>
      </w:r>
    </w:p>
  </w:footnote>
  <w:footnote w:id="5">
    <w:p w14:paraId="2EF5FF7A" w14:textId="11B9D698" w:rsidR="007B15CB" w:rsidRPr="007B15CB" w:rsidRDefault="007B15CB" w:rsidP="007B15CB">
      <w:pPr>
        <w:snapToGrid w:val="0"/>
        <w:jc w:val="both"/>
        <w:rPr>
          <w:sz w:val="20"/>
        </w:rPr>
      </w:pPr>
      <w:r>
        <w:rPr>
          <w:rStyle w:val="FootnoteReference"/>
        </w:rPr>
        <w:footnoteRef/>
      </w:r>
      <w:r>
        <w:t xml:space="preserve"> „</w:t>
      </w:r>
      <w:r w:rsidRPr="007B15CB">
        <w:rPr>
          <w:sz w:val="20"/>
        </w:rPr>
        <w:t>Tiekėjas turi pasiūlyti kvalifikuotus specialistus, turinčius būtinas žinias bei patirtį, reikalingą paslaugų tinkamam teikimui t. y. specialistai turi tenkinti šiuos žemiau nurodytus reikalavimus:</w:t>
      </w:r>
    </w:p>
    <w:p w14:paraId="2E56A8FD" w14:textId="77777777" w:rsidR="007B15CB" w:rsidRPr="007B15CB" w:rsidRDefault="007B15CB" w:rsidP="007B15CB">
      <w:pPr>
        <w:snapToGrid w:val="0"/>
        <w:jc w:val="both"/>
        <w:rPr>
          <w:sz w:val="20"/>
        </w:rPr>
      </w:pPr>
      <w:r w:rsidRPr="007B15CB">
        <w:rPr>
          <w:sz w:val="20"/>
        </w:rPr>
        <w:t>1) Komunikacijos grupės vadovas – ekspertas turi:</w:t>
      </w:r>
    </w:p>
    <w:p w14:paraId="4D9DB831" w14:textId="77777777" w:rsidR="007B15CB" w:rsidRPr="007B15CB" w:rsidRDefault="007B15CB" w:rsidP="007B15CB">
      <w:pPr>
        <w:tabs>
          <w:tab w:val="left" w:pos="1980"/>
        </w:tabs>
        <w:jc w:val="both"/>
        <w:rPr>
          <w:sz w:val="20"/>
        </w:rPr>
      </w:pPr>
      <w:r w:rsidRPr="007B15CB">
        <w:rPr>
          <w:sz w:val="20"/>
        </w:rPr>
        <w:t>- turėti aukštąjį ar jam prilygintą išsilavinimą;</w:t>
      </w:r>
    </w:p>
    <w:p w14:paraId="36B0182D" w14:textId="77777777" w:rsidR="007B15CB" w:rsidRPr="007B15CB" w:rsidRDefault="007B15CB" w:rsidP="007B15CB">
      <w:pPr>
        <w:tabs>
          <w:tab w:val="left" w:pos="1980"/>
        </w:tabs>
        <w:jc w:val="both"/>
        <w:rPr>
          <w:sz w:val="20"/>
        </w:rPr>
      </w:pPr>
      <w:r w:rsidRPr="007B15CB">
        <w:rPr>
          <w:sz w:val="20"/>
        </w:rPr>
        <w:t xml:space="preserve">- turėti ne trumpesnę kaip 3 metų profesinę patirtį viešinimo srityje; </w:t>
      </w:r>
    </w:p>
    <w:p w14:paraId="1C9C512A" w14:textId="77777777" w:rsidR="007B15CB" w:rsidRPr="007B15CB" w:rsidRDefault="007B15CB" w:rsidP="007B15CB">
      <w:pPr>
        <w:tabs>
          <w:tab w:val="left" w:pos="1980"/>
        </w:tabs>
        <w:jc w:val="both"/>
        <w:rPr>
          <w:sz w:val="20"/>
        </w:rPr>
      </w:pPr>
      <w:r w:rsidRPr="007B15CB">
        <w:rPr>
          <w:sz w:val="20"/>
        </w:rPr>
        <w:t>- turėti patirties viešinimo ir/arba ryšių su visuomene projektų įgyvendinime, iš kurių bent vieno projekto vertė – ne mažesnė kaip 50 000 Eur su PVM;</w:t>
      </w:r>
    </w:p>
    <w:p w14:paraId="33E2716E" w14:textId="77777777" w:rsidR="007B15CB" w:rsidRPr="007B15CB" w:rsidRDefault="007B15CB" w:rsidP="007B15CB">
      <w:pPr>
        <w:tabs>
          <w:tab w:val="left" w:pos="1980"/>
        </w:tabs>
        <w:jc w:val="both"/>
        <w:rPr>
          <w:sz w:val="20"/>
        </w:rPr>
      </w:pPr>
      <w:r w:rsidRPr="007B15CB">
        <w:rPr>
          <w:sz w:val="20"/>
        </w:rPr>
        <w:t>- turėti vadovavimo E-rinkodaros projektams patirties, iš kurių bent vienas būtų sėkmingai įgyvendintas.</w:t>
      </w:r>
    </w:p>
    <w:p w14:paraId="11265325" w14:textId="77777777" w:rsidR="007B15CB" w:rsidRPr="007B15CB" w:rsidRDefault="007B15CB" w:rsidP="007B15CB">
      <w:pPr>
        <w:tabs>
          <w:tab w:val="left" w:pos="1980"/>
        </w:tabs>
        <w:jc w:val="both"/>
        <w:rPr>
          <w:sz w:val="20"/>
        </w:rPr>
      </w:pPr>
      <w:r w:rsidRPr="007B15CB">
        <w:rPr>
          <w:sz w:val="20"/>
        </w:rPr>
        <w:t>2) komunikacijos grupės specialistas-ekspertas turi:</w:t>
      </w:r>
    </w:p>
    <w:p w14:paraId="06505F2D" w14:textId="77777777" w:rsidR="007B15CB" w:rsidRPr="007B15CB" w:rsidRDefault="007B15CB" w:rsidP="007B15CB">
      <w:pPr>
        <w:jc w:val="both"/>
        <w:rPr>
          <w:sz w:val="20"/>
        </w:rPr>
      </w:pPr>
      <w:r w:rsidRPr="007B15CB">
        <w:rPr>
          <w:sz w:val="20"/>
        </w:rPr>
        <w:t>- turėti aukštąjį ar jam prilygintą išsilavinimą žurnalistikos,  ryšių su visuomene arba komunikacijos srityse;</w:t>
      </w:r>
    </w:p>
    <w:p w14:paraId="546005AE" w14:textId="77777777" w:rsidR="007B15CB" w:rsidRPr="007B15CB" w:rsidRDefault="007B15CB" w:rsidP="007B15CB">
      <w:pPr>
        <w:jc w:val="both"/>
        <w:rPr>
          <w:sz w:val="20"/>
        </w:rPr>
      </w:pPr>
      <w:r w:rsidRPr="007B15CB">
        <w:rPr>
          <w:sz w:val="20"/>
        </w:rPr>
        <w:t>- turėti ne trumpesnę kaip 2 metų profesinę patirtį komunikacijos srityje;</w:t>
      </w:r>
    </w:p>
    <w:p w14:paraId="02C6D73B" w14:textId="77777777" w:rsidR="007B15CB" w:rsidRPr="007B15CB" w:rsidRDefault="007B15CB" w:rsidP="004C6B77">
      <w:pPr>
        <w:jc w:val="both"/>
        <w:rPr>
          <w:sz w:val="20"/>
        </w:rPr>
      </w:pPr>
      <w:r w:rsidRPr="007B15CB">
        <w:rPr>
          <w:sz w:val="20"/>
        </w:rPr>
        <w:t>- turėti ne mažiau kaip 1 E- rinkodaros projekto įgyvendinimo patirties;.</w:t>
      </w:r>
    </w:p>
    <w:p w14:paraId="0FBC341D" w14:textId="7BD903EA" w:rsidR="007B15CB" w:rsidRDefault="007B15CB" w:rsidP="004C6B77">
      <w:pPr>
        <w:pStyle w:val="FootnoteText"/>
        <w:jc w:val="both"/>
      </w:pPr>
      <w:r w:rsidRPr="007B15CB">
        <w:rPr>
          <w:shd w:val="clear" w:color="auto" w:fill="FFFFFF"/>
        </w:rPr>
        <w:t>Patirties trukmė bus skaičiuojama sumuojant laikotarpius, kurių metu specialistas atliko funkcijas nurodytose srityse.</w:t>
      </w:r>
      <w:r>
        <w:rPr>
          <w:shd w:val="clear" w:color="auto" w:fill="FFFFFF"/>
        </w:rPr>
        <w:t>“</w:t>
      </w:r>
    </w:p>
  </w:footnote>
  <w:footnote w:id="6">
    <w:p w14:paraId="4B21ADB1" w14:textId="4C9E940F" w:rsidR="000E67D6" w:rsidRPr="00CF2EDB" w:rsidRDefault="000E67D6" w:rsidP="004C6B77">
      <w:pPr>
        <w:pStyle w:val="FootnoteText"/>
        <w:jc w:val="both"/>
      </w:pPr>
      <w:r w:rsidRPr="00CF2EDB">
        <w:rPr>
          <w:rStyle w:val="FootnoteReference"/>
        </w:rPr>
        <w:footnoteRef/>
      </w:r>
      <w:r w:rsidRPr="00CF2EDB">
        <w:t xml:space="preserve"> Pateiktas</w:t>
      </w:r>
      <w:r>
        <w:t xml:space="preserve"> LVPA</w:t>
      </w:r>
      <w:r w:rsidRPr="00CF2EDB">
        <w:t xml:space="preserve"> per DMS 2020 m. liepos 24 d. 12:47:05 val. </w:t>
      </w:r>
    </w:p>
  </w:footnote>
  <w:footnote w:id="7">
    <w:p w14:paraId="5125FC85" w14:textId="3DF16902" w:rsidR="004C6B77" w:rsidRDefault="004C6B77" w:rsidP="004C6B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50B3A">
        <w:rPr>
          <w:szCs w:val="24"/>
        </w:rPr>
        <w:t>Tiekėjų kvalifikacijos nustatymo metodik</w:t>
      </w:r>
      <w:r>
        <w:rPr>
          <w:szCs w:val="24"/>
        </w:rPr>
        <w:t>a</w:t>
      </w:r>
      <w:r w:rsidRPr="00850B3A">
        <w:rPr>
          <w:szCs w:val="24"/>
        </w:rPr>
        <w:t>, patvirtint</w:t>
      </w:r>
      <w:r>
        <w:rPr>
          <w:szCs w:val="24"/>
        </w:rPr>
        <w:t>a</w:t>
      </w:r>
      <w:r w:rsidRPr="00850B3A">
        <w:rPr>
          <w:szCs w:val="24"/>
        </w:rPr>
        <w:t xml:space="preserve"> Tarnybos direktoriaus 2017-07-29 įsakymu Nr. 1S-105 „Dėl tiekėjo kvalifikacijos reikalavimų nustatymo metodikos patvirtinimo“ (toliau – Metodika</w:t>
      </w:r>
      <w:r>
        <w:rPr>
          <w:szCs w:val="24"/>
        </w:rPr>
        <w:t>).</w:t>
      </w:r>
    </w:p>
  </w:footnote>
  <w:footnote w:id="8">
    <w:p w14:paraId="0881B7F9" w14:textId="019127F3" w:rsidR="006D1EE9" w:rsidRDefault="006D1EE9" w:rsidP="004C6B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2EDB">
        <w:t>Viešųjų pirkimų organizavimo ir vykdymo tvarkos apraš</w:t>
      </w:r>
      <w:r>
        <w:t>as, p</w:t>
      </w:r>
      <w:r w:rsidRPr="00CF2EDB">
        <w:t>atvirtintas P</w:t>
      </w:r>
      <w:r>
        <w:t>erkančiosios organizacijos</w:t>
      </w:r>
      <w:r w:rsidRPr="00CF2EDB">
        <w:t xml:space="preserve"> direktoriaus 2018 m. spalio 12 d. įsakymu Nr. V35-956 „Dėl Druskininkų savivaldybės administracijos direktoriaus 2017 m. liepos 20 d. įsakymo Nr. V35-689 „Dėl viešųjų pirkimų organizavimo ir vykdymo tvarkos aprašo tvirtinimo pakeitimo“. </w:t>
      </w:r>
    </w:p>
  </w:footnote>
  <w:footnote w:id="9">
    <w:p w14:paraId="3D5910FA" w14:textId="77777777" w:rsidR="006D1EE9" w:rsidRDefault="006D1EE9" w:rsidP="004C6B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 w:rsidRPr="00052D62">
        <w:rPr>
          <w:bCs/>
          <w:iCs/>
        </w:rPr>
        <w:t>e-rinkodaros pirkimo dokumentų parengimo ir konsultavimo viešųjų pirkimų procedūrų vykdymo klausimais</w:t>
      </w:r>
      <w:r>
        <w:rPr>
          <w:bCs/>
          <w:i/>
        </w:rPr>
        <w:t>“.</w:t>
      </w:r>
    </w:p>
  </w:footnote>
  <w:footnote w:id="10">
    <w:p w14:paraId="1BD30C0B" w14:textId="4491406F" w:rsidR="0085239E" w:rsidRDefault="0085239E" w:rsidP="000349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2EDB">
        <w:t>Komisijos 2019</w:t>
      </w:r>
      <w:r>
        <w:t>-07-22</w:t>
      </w:r>
      <w:r w:rsidRPr="00CF2EDB">
        <w:t xml:space="preserve"> protokolo Nr. 11 dalyje „Nutarta“ fiksuotas sprendimas vadovaujantis </w:t>
      </w:r>
      <w:r w:rsidRPr="004068A2">
        <w:rPr>
          <w:u w:val="single"/>
        </w:rPr>
        <w:t>Įstatymo 45 straipsnio 3 dalies</w:t>
      </w:r>
      <w:r w:rsidRPr="00CF2EDB">
        <w:t xml:space="preserve"> nuostatomis prašyti vėliau Pirkimo laimėtoju paskelbtą tiekėją pateikti trūkstamą dokumentą – </w:t>
      </w:r>
      <w:r w:rsidRPr="00561E7A">
        <w:rPr>
          <w:u w:val="single"/>
        </w:rPr>
        <w:t>pasiūlymo galiojimą užtikrinantį dokumentą</w:t>
      </w:r>
      <w:r w:rsidRPr="00CF2EDB">
        <w:t>, kuris nebuvo pateiktas. Komisijos 2019</w:t>
      </w:r>
      <w:r>
        <w:t>-09-25</w:t>
      </w:r>
      <w:r w:rsidRPr="00CF2EDB">
        <w:t xml:space="preserve"> protokolo Nr. 16 dalyje „Nutarta“ fiksuotas sprendimas vadovaujantis </w:t>
      </w:r>
      <w:r w:rsidRPr="004068A2">
        <w:rPr>
          <w:u w:val="single"/>
        </w:rPr>
        <w:t>Įstatymo 55 straipsnio 9 dalies nuostatomis</w:t>
      </w:r>
      <w:r w:rsidRPr="00CF2EDB">
        <w:t xml:space="preserve"> prašyti kitą Pirkimo dalyvį, kurio pasiūlymas nebuvo atmestas ir vėliau vertintas toliau, </w:t>
      </w:r>
      <w:r w:rsidRPr="00561E7A">
        <w:rPr>
          <w:u w:val="single"/>
        </w:rPr>
        <w:t>ištaisyti aritmetines klaidas</w:t>
      </w:r>
      <w:r w:rsidRPr="00CF2EDB">
        <w:t xml:space="preserve"> pasiūlymo finansinėje dalyje.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08E1" w14:textId="6C5E1313" w:rsidR="00CC1530" w:rsidRPr="00B859EE" w:rsidRDefault="007C42F1" w:rsidP="00657F31">
    <w:pPr>
      <w:pStyle w:val="Header"/>
      <w:jc w:val="center"/>
      <w:rPr>
        <w:b/>
      </w:rPr>
    </w:pPr>
    <w:r>
      <w:tab/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5E7F"/>
    <w:multiLevelType w:val="hybridMultilevel"/>
    <w:tmpl w:val="0C4E69BC"/>
    <w:lvl w:ilvl="0" w:tplc="DFD82154">
      <w:start w:val="1"/>
      <w:numFmt w:val="decimal"/>
      <w:lvlText w:val="(%1)"/>
      <w:lvlJc w:val="left"/>
      <w:pPr>
        <w:ind w:left="7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3" w:hanging="360"/>
      </w:pPr>
    </w:lvl>
    <w:lvl w:ilvl="2" w:tplc="0427001B" w:tentative="1">
      <w:start w:val="1"/>
      <w:numFmt w:val="lowerRoman"/>
      <w:lvlText w:val="%3."/>
      <w:lvlJc w:val="right"/>
      <w:pPr>
        <w:ind w:left="2223" w:hanging="180"/>
      </w:pPr>
    </w:lvl>
    <w:lvl w:ilvl="3" w:tplc="0427000F" w:tentative="1">
      <w:start w:val="1"/>
      <w:numFmt w:val="decimal"/>
      <w:lvlText w:val="%4."/>
      <w:lvlJc w:val="left"/>
      <w:pPr>
        <w:ind w:left="2943" w:hanging="360"/>
      </w:pPr>
    </w:lvl>
    <w:lvl w:ilvl="4" w:tplc="04270019" w:tentative="1">
      <w:start w:val="1"/>
      <w:numFmt w:val="lowerLetter"/>
      <w:lvlText w:val="%5."/>
      <w:lvlJc w:val="left"/>
      <w:pPr>
        <w:ind w:left="3663" w:hanging="360"/>
      </w:pPr>
    </w:lvl>
    <w:lvl w:ilvl="5" w:tplc="0427001B" w:tentative="1">
      <w:start w:val="1"/>
      <w:numFmt w:val="lowerRoman"/>
      <w:lvlText w:val="%6."/>
      <w:lvlJc w:val="right"/>
      <w:pPr>
        <w:ind w:left="4383" w:hanging="180"/>
      </w:pPr>
    </w:lvl>
    <w:lvl w:ilvl="6" w:tplc="0427000F" w:tentative="1">
      <w:start w:val="1"/>
      <w:numFmt w:val="decimal"/>
      <w:lvlText w:val="%7."/>
      <w:lvlJc w:val="left"/>
      <w:pPr>
        <w:ind w:left="5103" w:hanging="360"/>
      </w:pPr>
    </w:lvl>
    <w:lvl w:ilvl="7" w:tplc="04270019" w:tentative="1">
      <w:start w:val="1"/>
      <w:numFmt w:val="lowerLetter"/>
      <w:lvlText w:val="%8."/>
      <w:lvlJc w:val="left"/>
      <w:pPr>
        <w:ind w:left="5823" w:hanging="360"/>
      </w:pPr>
    </w:lvl>
    <w:lvl w:ilvl="8" w:tplc="042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0A09389A"/>
    <w:multiLevelType w:val="multilevel"/>
    <w:tmpl w:val="6CE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696F"/>
    <w:multiLevelType w:val="hybridMultilevel"/>
    <w:tmpl w:val="AE928A74"/>
    <w:lvl w:ilvl="0" w:tplc="53E00D82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120919CE"/>
    <w:multiLevelType w:val="hybridMultilevel"/>
    <w:tmpl w:val="618803C2"/>
    <w:lvl w:ilvl="0" w:tplc="F8E2AD0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12236954"/>
    <w:multiLevelType w:val="multilevel"/>
    <w:tmpl w:val="BC8E0BDE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7" w15:restartNumberingAfterBreak="0">
    <w:nsid w:val="16D47B64"/>
    <w:multiLevelType w:val="hybridMultilevel"/>
    <w:tmpl w:val="D3923D08"/>
    <w:lvl w:ilvl="0" w:tplc="08748888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16E21370"/>
    <w:multiLevelType w:val="hybridMultilevel"/>
    <w:tmpl w:val="8610B886"/>
    <w:lvl w:ilvl="0" w:tplc="F6DAAFC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A74210"/>
    <w:multiLevelType w:val="hybridMultilevel"/>
    <w:tmpl w:val="C3982314"/>
    <w:lvl w:ilvl="0" w:tplc="EEB89B62">
      <w:start w:val="1"/>
      <w:numFmt w:val="decimal"/>
      <w:lvlText w:val="(%1)"/>
      <w:lvlJc w:val="left"/>
      <w:pPr>
        <w:ind w:left="124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1356BD"/>
    <w:multiLevelType w:val="hybridMultilevel"/>
    <w:tmpl w:val="0F4407A0"/>
    <w:lvl w:ilvl="0" w:tplc="04A6B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3A8E"/>
    <w:multiLevelType w:val="hybridMultilevel"/>
    <w:tmpl w:val="33B2B226"/>
    <w:lvl w:ilvl="0" w:tplc="509828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71D55"/>
    <w:multiLevelType w:val="hybridMultilevel"/>
    <w:tmpl w:val="9F446FCA"/>
    <w:lvl w:ilvl="0" w:tplc="F2E841E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24410F33"/>
    <w:multiLevelType w:val="hybridMultilevel"/>
    <w:tmpl w:val="F38E23A2"/>
    <w:lvl w:ilvl="0" w:tplc="2B26BB24">
      <w:start w:val="1"/>
      <w:numFmt w:val="lowerRoman"/>
      <w:lvlText w:val="(%1)"/>
      <w:lvlJc w:val="left"/>
      <w:pPr>
        <w:ind w:left="163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4" w15:restartNumberingAfterBreak="0">
    <w:nsid w:val="255271FC"/>
    <w:multiLevelType w:val="hybridMultilevel"/>
    <w:tmpl w:val="1C60102E"/>
    <w:lvl w:ilvl="0" w:tplc="14C06188">
      <w:start w:val="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25892FEA"/>
    <w:multiLevelType w:val="hybridMultilevel"/>
    <w:tmpl w:val="088E76EC"/>
    <w:lvl w:ilvl="0" w:tplc="17F6A67A">
      <w:start w:val="1"/>
      <w:numFmt w:val="lowerRoman"/>
      <w:lvlText w:val="%1)"/>
      <w:lvlJc w:val="left"/>
      <w:pPr>
        <w:ind w:left="16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261D54ED"/>
    <w:multiLevelType w:val="hybridMultilevel"/>
    <w:tmpl w:val="EE5A72F8"/>
    <w:lvl w:ilvl="0" w:tplc="9D1CA95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 w15:restartNumberingAfterBreak="0">
    <w:nsid w:val="268908B0"/>
    <w:multiLevelType w:val="hybridMultilevel"/>
    <w:tmpl w:val="8A5EA834"/>
    <w:lvl w:ilvl="0" w:tplc="CFD234D8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28F3296B"/>
    <w:multiLevelType w:val="hybridMultilevel"/>
    <w:tmpl w:val="F6EEA140"/>
    <w:lvl w:ilvl="0" w:tplc="73C0F78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2E08242C"/>
    <w:multiLevelType w:val="hybridMultilevel"/>
    <w:tmpl w:val="5F0244A4"/>
    <w:lvl w:ilvl="0" w:tplc="7CA0789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2F3E17EC"/>
    <w:multiLevelType w:val="hybridMultilevel"/>
    <w:tmpl w:val="697C3D7A"/>
    <w:lvl w:ilvl="0" w:tplc="EE8874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F78534E"/>
    <w:multiLevelType w:val="hybridMultilevel"/>
    <w:tmpl w:val="79C88208"/>
    <w:lvl w:ilvl="0" w:tplc="4802D84C">
      <w:start w:val="1"/>
      <w:numFmt w:val="lowerRoman"/>
      <w:lvlText w:val="(%1)"/>
      <w:lvlJc w:val="left"/>
      <w:pPr>
        <w:ind w:left="1963" w:hanging="72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23" w:hanging="360"/>
      </w:pPr>
    </w:lvl>
    <w:lvl w:ilvl="2" w:tplc="0427001B" w:tentative="1">
      <w:start w:val="1"/>
      <w:numFmt w:val="lowerRoman"/>
      <w:lvlText w:val="%3."/>
      <w:lvlJc w:val="right"/>
      <w:pPr>
        <w:ind w:left="3043" w:hanging="180"/>
      </w:pPr>
    </w:lvl>
    <w:lvl w:ilvl="3" w:tplc="0427000F" w:tentative="1">
      <w:start w:val="1"/>
      <w:numFmt w:val="decimal"/>
      <w:lvlText w:val="%4."/>
      <w:lvlJc w:val="left"/>
      <w:pPr>
        <w:ind w:left="3763" w:hanging="360"/>
      </w:pPr>
    </w:lvl>
    <w:lvl w:ilvl="4" w:tplc="04270019" w:tentative="1">
      <w:start w:val="1"/>
      <w:numFmt w:val="lowerLetter"/>
      <w:lvlText w:val="%5."/>
      <w:lvlJc w:val="left"/>
      <w:pPr>
        <w:ind w:left="4483" w:hanging="360"/>
      </w:pPr>
    </w:lvl>
    <w:lvl w:ilvl="5" w:tplc="0427001B" w:tentative="1">
      <w:start w:val="1"/>
      <w:numFmt w:val="lowerRoman"/>
      <w:lvlText w:val="%6."/>
      <w:lvlJc w:val="right"/>
      <w:pPr>
        <w:ind w:left="5203" w:hanging="180"/>
      </w:pPr>
    </w:lvl>
    <w:lvl w:ilvl="6" w:tplc="0427000F" w:tentative="1">
      <w:start w:val="1"/>
      <w:numFmt w:val="decimal"/>
      <w:lvlText w:val="%7."/>
      <w:lvlJc w:val="left"/>
      <w:pPr>
        <w:ind w:left="5923" w:hanging="360"/>
      </w:pPr>
    </w:lvl>
    <w:lvl w:ilvl="7" w:tplc="04270019" w:tentative="1">
      <w:start w:val="1"/>
      <w:numFmt w:val="lowerLetter"/>
      <w:lvlText w:val="%8."/>
      <w:lvlJc w:val="left"/>
      <w:pPr>
        <w:ind w:left="6643" w:hanging="360"/>
      </w:pPr>
    </w:lvl>
    <w:lvl w:ilvl="8" w:tplc="0427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2" w15:restartNumberingAfterBreak="0">
    <w:nsid w:val="34444F04"/>
    <w:multiLevelType w:val="hybridMultilevel"/>
    <w:tmpl w:val="F38E23A2"/>
    <w:lvl w:ilvl="0" w:tplc="2B26BB24">
      <w:start w:val="1"/>
      <w:numFmt w:val="lowerRoman"/>
      <w:lvlText w:val="(%1)"/>
      <w:lvlJc w:val="left"/>
      <w:pPr>
        <w:ind w:left="163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3" w15:restartNumberingAfterBreak="0">
    <w:nsid w:val="38F25B85"/>
    <w:multiLevelType w:val="hybridMultilevel"/>
    <w:tmpl w:val="3FFE7E04"/>
    <w:lvl w:ilvl="0" w:tplc="095A1620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39E25DB8"/>
    <w:multiLevelType w:val="hybridMultilevel"/>
    <w:tmpl w:val="F44233EC"/>
    <w:lvl w:ilvl="0" w:tplc="E564BC72">
      <w:start w:val="1"/>
      <w:numFmt w:val="lowerRoman"/>
      <w:lvlText w:val="(%1)"/>
      <w:lvlJc w:val="left"/>
      <w:pPr>
        <w:ind w:left="127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3A1A3AE3"/>
    <w:multiLevelType w:val="hybridMultilevel"/>
    <w:tmpl w:val="6E24E862"/>
    <w:lvl w:ilvl="0" w:tplc="64CC3EE0">
      <w:start w:val="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6" w15:restartNumberingAfterBreak="0">
    <w:nsid w:val="40605199"/>
    <w:multiLevelType w:val="hybridMultilevel"/>
    <w:tmpl w:val="A3740136"/>
    <w:lvl w:ilvl="0" w:tplc="65E2E4E4">
      <w:start w:val="4"/>
      <w:numFmt w:val="decimal"/>
      <w:lvlText w:val="(%1)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7" w15:restartNumberingAfterBreak="0">
    <w:nsid w:val="42933AB6"/>
    <w:multiLevelType w:val="hybridMultilevel"/>
    <w:tmpl w:val="01DA73D6"/>
    <w:lvl w:ilvl="0" w:tplc="1370F01C">
      <w:start w:val="4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8" w15:restartNumberingAfterBreak="0">
    <w:nsid w:val="43B11CD8"/>
    <w:multiLevelType w:val="hybridMultilevel"/>
    <w:tmpl w:val="EC4CADBC"/>
    <w:lvl w:ilvl="0" w:tplc="148C8D4C">
      <w:start w:val="1"/>
      <w:numFmt w:val="decimal"/>
      <w:lvlText w:val="(%1)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9" w15:restartNumberingAfterBreak="0">
    <w:nsid w:val="496B5984"/>
    <w:multiLevelType w:val="multilevel"/>
    <w:tmpl w:val="CF84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30" w15:restartNumberingAfterBreak="0">
    <w:nsid w:val="4D3C4835"/>
    <w:multiLevelType w:val="hybridMultilevel"/>
    <w:tmpl w:val="239CA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87636"/>
    <w:multiLevelType w:val="hybridMultilevel"/>
    <w:tmpl w:val="E1B6C192"/>
    <w:lvl w:ilvl="0" w:tplc="0D327E46">
      <w:start w:val="1"/>
      <w:numFmt w:val="decimal"/>
      <w:lvlText w:val="%1-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2" w15:restartNumberingAfterBreak="0">
    <w:nsid w:val="54CF4786"/>
    <w:multiLevelType w:val="hybridMultilevel"/>
    <w:tmpl w:val="C4C665A6"/>
    <w:lvl w:ilvl="0" w:tplc="B1BC2500">
      <w:start w:val="1"/>
      <w:numFmt w:val="decimal"/>
      <w:lvlText w:val="%1."/>
      <w:lvlJc w:val="left"/>
      <w:pPr>
        <w:ind w:left="12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3" w15:restartNumberingAfterBreak="0">
    <w:nsid w:val="56CD3ED1"/>
    <w:multiLevelType w:val="multilevel"/>
    <w:tmpl w:val="3DA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34" w15:restartNumberingAfterBreak="0">
    <w:nsid w:val="58725C42"/>
    <w:multiLevelType w:val="hybridMultilevel"/>
    <w:tmpl w:val="6EE82764"/>
    <w:lvl w:ilvl="0" w:tplc="09323E32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5" w15:restartNumberingAfterBreak="0">
    <w:nsid w:val="5F1F7299"/>
    <w:multiLevelType w:val="hybridMultilevel"/>
    <w:tmpl w:val="85E887B2"/>
    <w:lvl w:ilvl="0" w:tplc="6EC85BA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6" w15:restartNumberingAfterBreak="0">
    <w:nsid w:val="5FE634B0"/>
    <w:multiLevelType w:val="hybridMultilevel"/>
    <w:tmpl w:val="5756E4AE"/>
    <w:lvl w:ilvl="0" w:tplc="93DCDDD2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7" w15:restartNumberingAfterBreak="0">
    <w:nsid w:val="62E12DC6"/>
    <w:multiLevelType w:val="hybridMultilevel"/>
    <w:tmpl w:val="A8BA93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004E"/>
    <w:multiLevelType w:val="hybridMultilevel"/>
    <w:tmpl w:val="6BBC9966"/>
    <w:lvl w:ilvl="0" w:tplc="08748888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9" w15:restartNumberingAfterBreak="0">
    <w:nsid w:val="64636335"/>
    <w:multiLevelType w:val="multilevel"/>
    <w:tmpl w:val="1D883CD4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40" w15:restartNumberingAfterBreak="0">
    <w:nsid w:val="65164DB4"/>
    <w:multiLevelType w:val="hybridMultilevel"/>
    <w:tmpl w:val="7EEE04E8"/>
    <w:lvl w:ilvl="0" w:tplc="405A1AC6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5245052"/>
    <w:multiLevelType w:val="hybridMultilevel"/>
    <w:tmpl w:val="B5086466"/>
    <w:lvl w:ilvl="0" w:tplc="B8FAD1F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2" w15:restartNumberingAfterBreak="0">
    <w:nsid w:val="652A5724"/>
    <w:multiLevelType w:val="hybridMultilevel"/>
    <w:tmpl w:val="BAEA1364"/>
    <w:lvl w:ilvl="0" w:tplc="0427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3" w15:restartNumberingAfterBreak="0">
    <w:nsid w:val="67377D8D"/>
    <w:multiLevelType w:val="hybridMultilevel"/>
    <w:tmpl w:val="C1A43586"/>
    <w:lvl w:ilvl="0" w:tplc="A04059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C6B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C6B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8AF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3D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20B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041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46E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CEC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16266"/>
    <w:multiLevelType w:val="multilevel"/>
    <w:tmpl w:val="6DC2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  <w:color w:val="FF0000"/>
      </w:rPr>
    </w:lvl>
  </w:abstractNum>
  <w:abstractNum w:abstractNumId="45" w15:restartNumberingAfterBreak="0">
    <w:nsid w:val="6DC855B2"/>
    <w:multiLevelType w:val="hybridMultilevel"/>
    <w:tmpl w:val="977A9B76"/>
    <w:lvl w:ilvl="0" w:tplc="F0A6B776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6" w15:restartNumberingAfterBreak="0">
    <w:nsid w:val="6E2E2537"/>
    <w:multiLevelType w:val="multilevel"/>
    <w:tmpl w:val="EDE40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47" w15:restartNumberingAfterBreak="0">
    <w:nsid w:val="71A16FCA"/>
    <w:multiLevelType w:val="hybridMultilevel"/>
    <w:tmpl w:val="8F2C2F7C"/>
    <w:lvl w:ilvl="0" w:tplc="7A487BD8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8" w15:restartNumberingAfterBreak="0">
    <w:nsid w:val="77AB39B3"/>
    <w:multiLevelType w:val="hybridMultilevel"/>
    <w:tmpl w:val="3CDAE1AA"/>
    <w:lvl w:ilvl="0" w:tplc="4650B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1268C2"/>
    <w:multiLevelType w:val="multilevel"/>
    <w:tmpl w:val="DCEE52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9"/>
  </w:num>
  <w:num w:numId="4">
    <w:abstractNumId w:val="28"/>
  </w:num>
  <w:num w:numId="5">
    <w:abstractNumId w:val="46"/>
  </w:num>
  <w:num w:numId="6">
    <w:abstractNumId w:val="5"/>
  </w:num>
  <w:num w:numId="7">
    <w:abstractNumId w:val="34"/>
  </w:num>
  <w:num w:numId="8">
    <w:abstractNumId w:val="31"/>
  </w:num>
  <w:num w:numId="9">
    <w:abstractNumId w:val="45"/>
  </w:num>
  <w:num w:numId="10">
    <w:abstractNumId w:val="32"/>
  </w:num>
  <w:num w:numId="11">
    <w:abstractNumId w:val="3"/>
  </w:num>
  <w:num w:numId="12">
    <w:abstractNumId w:val="36"/>
  </w:num>
  <w:num w:numId="13">
    <w:abstractNumId w:val="19"/>
  </w:num>
  <w:num w:numId="14">
    <w:abstractNumId w:val="0"/>
  </w:num>
  <w:num w:numId="15">
    <w:abstractNumId w:val="14"/>
  </w:num>
  <w:num w:numId="16">
    <w:abstractNumId w:val="9"/>
  </w:num>
  <w:num w:numId="17">
    <w:abstractNumId w:val="33"/>
  </w:num>
  <w:num w:numId="18">
    <w:abstractNumId w:val="23"/>
  </w:num>
  <w:num w:numId="19">
    <w:abstractNumId w:val="47"/>
  </w:num>
  <w:num w:numId="20">
    <w:abstractNumId w:val="4"/>
  </w:num>
  <w:num w:numId="21">
    <w:abstractNumId w:val="42"/>
  </w:num>
  <w:num w:numId="22">
    <w:abstractNumId w:val="15"/>
  </w:num>
  <w:num w:numId="23">
    <w:abstractNumId w:val="37"/>
  </w:num>
  <w:num w:numId="24">
    <w:abstractNumId w:val="16"/>
  </w:num>
  <w:num w:numId="25">
    <w:abstractNumId w:val="12"/>
  </w:num>
  <w:num w:numId="26">
    <w:abstractNumId w:val="18"/>
  </w:num>
  <w:num w:numId="27">
    <w:abstractNumId w:val="43"/>
  </w:num>
  <w:num w:numId="28">
    <w:abstractNumId w:val="44"/>
  </w:num>
  <w:num w:numId="29">
    <w:abstractNumId w:val="25"/>
  </w:num>
  <w:num w:numId="30">
    <w:abstractNumId w:val="49"/>
  </w:num>
  <w:num w:numId="31">
    <w:abstractNumId w:val="29"/>
  </w:num>
  <w:num w:numId="32">
    <w:abstractNumId w:val="40"/>
  </w:num>
  <w:num w:numId="33">
    <w:abstractNumId w:val="6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1"/>
  </w:num>
  <w:num w:numId="36">
    <w:abstractNumId w:val="7"/>
  </w:num>
  <w:num w:numId="37">
    <w:abstractNumId w:val="22"/>
  </w:num>
  <w:num w:numId="38">
    <w:abstractNumId w:val="30"/>
  </w:num>
  <w:num w:numId="39">
    <w:abstractNumId w:val="1"/>
  </w:num>
  <w:num w:numId="40">
    <w:abstractNumId w:val="48"/>
  </w:num>
  <w:num w:numId="41">
    <w:abstractNumId w:val="20"/>
  </w:num>
  <w:num w:numId="42">
    <w:abstractNumId w:val="35"/>
  </w:num>
  <w:num w:numId="43">
    <w:abstractNumId w:val="38"/>
  </w:num>
  <w:num w:numId="44">
    <w:abstractNumId w:val="24"/>
  </w:num>
  <w:num w:numId="45">
    <w:abstractNumId w:val="21"/>
  </w:num>
  <w:num w:numId="46">
    <w:abstractNumId w:val="13"/>
  </w:num>
  <w:num w:numId="47">
    <w:abstractNumId w:val="27"/>
  </w:num>
  <w:num w:numId="48">
    <w:abstractNumId w:val="26"/>
  </w:num>
  <w:num w:numId="49">
    <w:abstractNumId w:val="1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2C5B"/>
    <w:rsid w:val="0000375F"/>
    <w:rsid w:val="000054C0"/>
    <w:rsid w:val="0000592D"/>
    <w:rsid w:val="00006320"/>
    <w:rsid w:val="00010F78"/>
    <w:rsid w:val="0001104A"/>
    <w:rsid w:val="00011494"/>
    <w:rsid w:val="00012B6C"/>
    <w:rsid w:val="00012ECA"/>
    <w:rsid w:val="00012FA6"/>
    <w:rsid w:val="00013728"/>
    <w:rsid w:val="00017EC1"/>
    <w:rsid w:val="00020116"/>
    <w:rsid w:val="00020F00"/>
    <w:rsid w:val="00023284"/>
    <w:rsid w:val="00026023"/>
    <w:rsid w:val="00026219"/>
    <w:rsid w:val="00026830"/>
    <w:rsid w:val="00031B0D"/>
    <w:rsid w:val="00031CEB"/>
    <w:rsid w:val="00033350"/>
    <w:rsid w:val="00034956"/>
    <w:rsid w:val="000361FD"/>
    <w:rsid w:val="00042B81"/>
    <w:rsid w:val="00042EF4"/>
    <w:rsid w:val="00043859"/>
    <w:rsid w:val="00047316"/>
    <w:rsid w:val="00047BFD"/>
    <w:rsid w:val="00052B06"/>
    <w:rsid w:val="00052D62"/>
    <w:rsid w:val="000538CE"/>
    <w:rsid w:val="000545F1"/>
    <w:rsid w:val="0005505C"/>
    <w:rsid w:val="00056EEC"/>
    <w:rsid w:val="00065205"/>
    <w:rsid w:val="00066179"/>
    <w:rsid w:val="00066EEE"/>
    <w:rsid w:val="00067132"/>
    <w:rsid w:val="00076843"/>
    <w:rsid w:val="00077557"/>
    <w:rsid w:val="0007757E"/>
    <w:rsid w:val="000776AC"/>
    <w:rsid w:val="000803A3"/>
    <w:rsid w:val="00082E44"/>
    <w:rsid w:val="0008323A"/>
    <w:rsid w:val="0008725E"/>
    <w:rsid w:val="00087775"/>
    <w:rsid w:val="00087B20"/>
    <w:rsid w:val="00087F21"/>
    <w:rsid w:val="000918E2"/>
    <w:rsid w:val="00091C45"/>
    <w:rsid w:val="000924AE"/>
    <w:rsid w:val="00092EA3"/>
    <w:rsid w:val="0009531E"/>
    <w:rsid w:val="00095E2D"/>
    <w:rsid w:val="00096AC6"/>
    <w:rsid w:val="000A17FE"/>
    <w:rsid w:val="000A4CE7"/>
    <w:rsid w:val="000B11AB"/>
    <w:rsid w:val="000B13B9"/>
    <w:rsid w:val="000B41EB"/>
    <w:rsid w:val="000B587D"/>
    <w:rsid w:val="000B6799"/>
    <w:rsid w:val="000B7B46"/>
    <w:rsid w:val="000C387E"/>
    <w:rsid w:val="000C3BD7"/>
    <w:rsid w:val="000C4B42"/>
    <w:rsid w:val="000C7E15"/>
    <w:rsid w:val="000D3A5E"/>
    <w:rsid w:val="000D57B6"/>
    <w:rsid w:val="000D645F"/>
    <w:rsid w:val="000D6E31"/>
    <w:rsid w:val="000D792E"/>
    <w:rsid w:val="000D7E98"/>
    <w:rsid w:val="000E008F"/>
    <w:rsid w:val="000E11B4"/>
    <w:rsid w:val="000E1354"/>
    <w:rsid w:val="000E13DA"/>
    <w:rsid w:val="000E37D7"/>
    <w:rsid w:val="000E67D6"/>
    <w:rsid w:val="000F0A4C"/>
    <w:rsid w:val="000F0D11"/>
    <w:rsid w:val="000F0DC2"/>
    <w:rsid w:val="000F1A98"/>
    <w:rsid w:val="000F1BA4"/>
    <w:rsid w:val="000F29FF"/>
    <w:rsid w:val="000F2F06"/>
    <w:rsid w:val="000F412C"/>
    <w:rsid w:val="000F5336"/>
    <w:rsid w:val="000F653B"/>
    <w:rsid w:val="000F6B4A"/>
    <w:rsid w:val="001000BD"/>
    <w:rsid w:val="00103CB1"/>
    <w:rsid w:val="00105A12"/>
    <w:rsid w:val="00106705"/>
    <w:rsid w:val="00106E17"/>
    <w:rsid w:val="0011395D"/>
    <w:rsid w:val="00115950"/>
    <w:rsid w:val="00120FD2"/>
    <w:rsid w:val="00122A2B"/>
    <w:rsid w:val="00124369"/>
    <w:rsid w:val="0012705F"/>
    <w:rsid w:val="0013114F"/>
    <w:rsid w:val="00131B42"/>
    <w:rsid w:val="00131B8A"/>
    <w:rsid w:val="00132A2C"/>
    <w:rsid w:val="00132FD4"/>
    <w:rsid w:val="001343C8"/>
    <w:rsid w:val="00141373"/>
    <w:rsid w:val="001419D9"/>
    <w:rsid w:val="00141EE6"/>
    <w:rsid w:val="00142F7D"/>
    <w:rsid w:val="0014345B"/>
    <w:rsid w:val="00146995"/>
    <w:rsid w:val="00146A60"/>
    <w:rsid w:val="001475C5"/>
    <w:rsid w:val="001556FB"/>
    <w:rsid w:val="00156945"/>
    <w:rsid w:val="00157DC7"/>
    <w:rsid w:val="0016028F"/>
    <w:rsid w:val="001647E0"/>
    <w:rsid w:val="00164CA6"/>
    <w:rsid w:val="001654B7"/>
    <w:rsid w:val="0016764C"/>
    <w:rsid w:val="00167D58"/>
    <w:rsid w:val="00170308"/>
    <w:rsid w:val="0017228E"/>
    <w:rsid w:val="001726BB"/>
    <w:rsid w:val="00172F43"/>
    <w:rsid w:val="00174D9A"/>
    <w:rsid w:val="0017501A"/>
    <w:rsid w:val="00175431"/>
    <w:rsid w:val="0017545C"/>
    <w:rsid w:val="001836A5"/>
    <w:rsid w:val="001837E3"/>
    <w:rsid w:val="0018559C"/>
    <w:rsid w:val="00186293"/>
    <w:rsid w:val="00186BD6"/>
    <w:rsid w:val="00191D8D"/>
    <w:rsid w:val="00192A89"/>
    <w:rsid w:val="00192CD2"/>
    <w:rsid w:val="00192E42"/>
    <w:rsid w:val="0019391C"/>
    <w:rsid w:val="0019736E"/>
    <w:rsid w:val="001A0300"/>
    <w:rsid w:val="001A189E"/>
    <w:rsid w:val="001A204A"/>
    <w:rsid w:val="001A4941"/>
    <w:rsid w:val="001A706B"/>
    <w:rsid w:val="001A7A08"/>
    <w:rsid w:val="001A7EB4"/>
    <w:rsid w:val="001B1E35"/>
    <w:rsid w:val="001B1F27"/>
    <w:rsid w:val="001B4DB0"/>
    <w:rsid w:val="001B7E45"/>
    <w:rsid w:val="001C022B"/>
    <w:rsid w:val="001C1ED8"/>
    <w:rsid w:val="001C217E"/>
    <w:rsid w:val="001C46E2"/>
    <w:rsid w:val="001C47D8"/>
    <w:rsid w:val="001C5F99"/>
    <w:rsid w:val="001D019D"/>
    <w:rsid w:val="001D3917"/>
    <w:rsid w:val="001D6D9C"/>
    <w:rsid w:val="001D7589"/>
    <w:rsid w:val="001E0862"/>
    <w:rsid w:val="001E2D81"/>
    <w:rsid w:val="001E4541"/>
    <w:rsid w:val="001E5F65"/>
    <w:rsid w:val="001F43A0"/>
    <w:rsid w:val="001F563C"/>
    <w:rsid w:val="00200CF5"/>
    <w:rsid w:val="00202712"/>
    <w:rsid w:val="002038BD"/>
    <w:rsid w:val="00204515"/>
    <w:rsid w:val="00204C36"/>
    <w:rsid w:val="00206844"/>
    <w:rsid w:val="00207EB5"/>
    <w:rsid w:val="002137A5"/>
    <w:rsid w:val="0021427A"/>
    <w:rsid w:val="0021451F"/>
    <w:rsid w:val="00214BFD"/>
    <w:rsid w:val="00217FA2"/>
    <w:rsid w:val="002214A4"/>
    <w:rsid w:val="0022241D"/>
    <w:rsid w:val="0022436C"/>
    <w:rsid w:val="00230BD5"/>
    <w:rsid w:val="0024039D"/>
    <w:rsid w:val="0024320D"/>
    <w:rsid w:val="00243372"/>
    <w:rsid w:val="002453FC"/>
    <w:rsid w:val="00245BA6"/>
    <w:rsid w:val="00245F1C"/>
    <w:rsid w:val="0025094E"/>
    <w:rsid w:val="00251147"/>
    <w:rsid w:val="00253DB8"/>
    <w:rsid w:val="00253F0B"/>
    <w:rsid w:val="00254585"/>
    <w:rsid w:val="0025570A"/>
    <w:rsid w:val="00256A80"/>
    <w:rsid w:val="00260B4A"/>
    <w:rsid w:val="00261BF8"/>
    <w:rsid w:val="00263AFF"/>
    <w:rsid w:val="00264C69"/>
    <w:rsid w:val="00266093"/>
    <w:rsid w:val="00266287"/>
    <w:rsid w:val="0026771D"/>
    <w:rsid w:val="00270889"/>
    <w:rsid w:val="0027186C"/>
    <w:rsid w:val="002724CA"/>
    <w:rsid w:val="00274357"/>
    <w:rsid w:val="0027496A"/>
    <w:rsid w:val="002755BA"/>
    <w:rsid w:val="00275CC9"/>
    <w:rsid w:val="00276A5A"/>
    <w:rsid w:val="002848CD"/>
    <w:rsid w:val="002866A6"/>
    <w:rsid w:val="00296787"/>
    <w:rsid w:val="002A07F4"/>
    <w:rsid w:val="002A53F3"/>
    <w:rsid w:val="002A7987"/>
    <w:rsid w:val="002B604B"/>
    <w:rsid w:val="002B7D72"/>
    <w:rsid w:val="002B7E5B"/>
    <w:rsid w:val="002C0529"/>
    <w:rsid w:val="002C0E0D"/>
    <w:rsid w:val="002C27E4"/>
    <w:rsid w:val="002C288F"/>
    <w:rsid w:val="002C7E7C"/>
    <w:rsid w:val="002D12DD"/>
    <w:rsid w:val="002D16C1"/>
    <w:rsid w:val="002D32D8"/>
    <w:rsid w:val="002D45FA"/>
    <w:rsid w:val="002D50DD"/>
    <w:rsid w:val="002E08E4"/>
    <w:rsid w:val="002E1FBE"/>
    <w:rsid w:val="002E6980"/>
    <w:rsid w:val="002F054F"/>
    <w:rsid w:val="002F1193"/>
    <w:rsid w:val="002F14E1"/>
    <w:rsid w:val="002F3233"/>
    <w:rsid w:val="002F6D25"/>
    <w:rsid w:val="00303C51"/>
    <w:rsid w:val="003042B1"/>
    <w:rsid w:val="0030644F"/>
    <w:rsid w:val="003064F2"/>
    <w:rsid w:val="0030730D"/>
    <w:rsid w:val="003101C0"/>
    <w:rsid w:val="00310B20"/>
    <w:rsid w:val="003112C9"/>
    <w:rsid w:val="00313F62"/>
    <w:rsid w:val="003144BF"/>
    <w:rsid w:val="0031553B"/>
    <w:rsid w:val="0031765A"/>
    <w:rsid w:val="00322E7B"/>
    <w:rsid w:val="00323101"/>
    <w:rsid w:val="003249F6"/>
    <w:rsid w:val="00325A3B"/>
    <w:rsid w:val="003328C2"/>
    <w:rsid w:val="00335F5D"/>
    <w:rsid w:val="00337AD0"/>
    <w:rsid w:val="0034180F"/>
    <w:rsid w:val="003424EF"/>
    <w:rsid w:val="003426F9"/>
    <w:rsid w:val="00342F5B"/>
    <w:rsid w:val="00343024"/>
    <w:rsid w:val="003454A0"/>
    <w:rsid w:val="003455A9"/>
    <w:rsid w:val="003462CA"/>
    <w:rsid w:val="00350F87"/>
    <w:rsid w:val="00353E5C"/>
    <w:rsid w:val="00354234"/>
    <w:rsid w:val="00357039"/>
    <w:rsid w:val="00360C76"/>
    <w:rsid w:val="003625BC"/>
    <w:rsid w:val="00362C59"/>
    <w:rsid w:val="00365696"/>
    <w:rsid w:val="00365AA8"/>
    <w:rsid w:val="0037018D"/>
    <w:rsid w:val="00370348"/>
    <w:rsid w:val="00370428"/>
    <w:rsid w:val="00370608"/>
    <w:rsid w:val="0037169E"/>
    <w:rsid w:val="003722FF"/>
    <w:rsid w:val="0037339F"/>
    <w:rsid w:val="00373D9B"/>
    <w:rsid w:val="0037739F"/>
    <w:rsid w:val="0038087D"/>
    <w:rsid w:val="003819F4"/>
    <w:rsid w:val="00383004"/>
    <w:rsid w:val="00385D6B"/>
    <w:rsid w:val="00386708"/>
    <w:rsid w:val="00390F32"/>
    <w:rsid w:val="003951A3"/>
    <w:rsid w:val="0039770C"/>
    <w:rsid w:val="00397A2B"/>
    <w:rsid w:val="00397F1E"/>
    <w:rsid w:val="003A0209"/>
    <w:rsid w:val="003A52B5"/>
    <w:rsid w:val="003A6DE2"/>
    <w:rsid w:val="003A72B6"/>
    <w:rsid w:val="003A74C7"/>
    <w:rsid w:val="003B02EB"/>
    <w:rsid w:val="003B1011"/>
    <w:rsid w:val="003B1D0F"/>
    <w:rsid w:val="003B42DC"/>
    <w:rsid w:val="003B4D24"/>
    <w:rsid w:val="003B5670"/>
    <w:rsid w:val="003C20C0"/>
    <w:rsid w:val="003C3A36"/>
    <w:rsid w:val="003C43BD"/>
    <w:rsid w:val="003C4844"/>
    <w:rsid w:val="003C5166"/>
    <w:rsid w:val="003C6685"/>
    <w:rsid w:val="003D1AEF"/>
    <w:rsid w:val="003D3ED5"/>
    <w:rsid w:val="003D4CC6"/>
    <w:rsid w:val="003E0232"/>
    <w:rsid w:val="003E024B"/>
    <w:rsid w:val="003E0574"/>
    <w:rsid w:val="003E35CD"/>
    <w:rsid w:val="003E5321"/>
    <w:rsid w:val="003E6258"/>
    <w:rsid w:val="003F1D11"/>
    <w:rsid w:val="003F2389"/>
    <w:rsid w:val="003F6133"/>
    <w:rsid w:val="003F6D75"/>
    <w:rsid w:val="003F6EDB"/>
    <w:rsid w:val="00400D59"/>
    <w:rsid w:val="00402A4B"/>
    <w:rsid w:val="004049FC"/>
    <w:rsid w:val="004068A2"/>
    <w:rsid w:val="00411672"/>
    <w:rsid w:val="00416565"/>
    <w:rsid w:val="00417795"/>
    <w:rsid w:val="00417C03"/>
    <w:rsid w:val="004216C7"/>
    <w:rsid w:val="00423B8F"/>
    <w:rsid w:val="00424C31"/>
    <w:rsid w:val="004259A0"/>
    <w:rsid w:val="004265D7"/>
    <w:rsid w:val="00427654"/>
    <w:rsid w:val="00427941"/>
    <w:rsid w:val="0043044F"/>
    <w:rsid w:val="00430646"/>
    <w:rsid w:val="00431317"/>
    <w:rsid w:val="004333E2"/>
    <w:rsid w:val="00433415"/>
    <w:rsid w:val="00436D41"/>
    <w:rsid w:val="00437843"/>
    <w:rsid w:val="00440673"/>
    <w:rsid w:val="00445498"/>
    <w:rsid w:val="004467D1"/>
    <w:rsid w:val="0044747D"/>
    <w:rsid w:val="0045504E"/>
    <w:rsid w:val="00455DD8"/>
    <w:rsid w:val="004564A8"/>
    <w:rsid w:val="004567B1"/>
    <w:rsid w:val="00456AA7"/>
    <w:rsid w:val="00457411"/>
    <w:rsid w:val="004601DF"/>
    <w:rsid w:val="0046060D"/>
    <w:rsid w:val="00461C7F"/>
    <w:rsid w:val="00461D77"/>
    <w:rsid w:val="004666A2"/>
    <w:rsid w:val="00470A0E"/>
    <w:rsid w:val="00470B38"/>
    <w:rsid w:val="00471575"/>
    <w:rsid w:val="00473DD8"/>
    <w:rsid w:val="00473F2C"/>
    <w:rsid w:val="0047690A"/>
    <w:rsid w:val="00476E92"/>
    <w:rsid w:val="004771DB"/>
    <w:rsid w:val="00483832"/>
    <w:rsid w:val="004865C5"/>
    <w:rsid w:val="0048710F"/>
    <w:rsid w:val="0049127F"/>
    <w:rsid w:val="00492B0D"/>
    <w:rsid w:val="0049670B"/>
    <w:rsid w:val="00497CCA"/>
    <w:rsid w:val="004A114B"/>
    <w:rsid w:val="004A2BE6"/>
    <w:rsid w:val="004A3DF1"/>
    <w:rsid w:val="004A4221"/>
    <w:rsid w:val="004A4238"/>
    <w:rsid w:val="004A6375"/>
    <w:rsid w:val="004B0790"/>
    <w:rsid w:val="004B1D01"/>
    <w:rsid w:val="004B2199"/>
    <w:rsid w:val="004B33C3"/>
    <w:rsid w:val="004B69F9"/>
    <w:rsid w:val="004B7D0A"/>
    <w:rsid w:val="004C072B"/>
    <w:rsid w:val="004C211E"/>
    <w:rsid w:val="004C2177"/>
    <w:rsid w:val="004C276D"/>
    <w:rsid w:val="004C6B77"/>
    <w:rsid w:val="004C7868"/>
    <w:rsid w:val="004D04C1"/>
    <w:rsid w:val="004D0DEB"/>
    <w:rsid w:val="004D45F2"/>
    <w:rsid w:val="004D5D23"/>
    <w:rsid w:val="004D60B3"/>
    <w:rsid w:val="004D67E6"/>
    <w:rsid w:val="004D7927"/>
    <w:rsid w:val="004E0C13"/>
    <w:rsid w:val="004E2493"/>
    <w:rsid w:val="004E519C"/>
    <w:rsid w:val="004E590F"/>
    <w:rsid w:val="004E5FFE"/>
    <w:rsid w:val="004E6529"/>
    <w:rsid w:val="004F29B0"/>
    <w:rsid w:val="004F7DE0"/>
    <w:rsid w:val="00501DB5"/>
    <w:rsid w:val="00501FFF"/>
    <w:rsid w:val="00502110"/>
    <w:rsid w:val="005022D7"/>
    <w:rsid w:val="005106F5"/>
    <w:rsid w:val="00511373"/>
    <w:rsid w:val="00514F2C"/>
    <w:rsid w:val="0051531D"/>
    <w:rsid w:val="00516D17"/>
    <w:rsid w:val="0051717F"/>
    <w:rsid w:val="00517FD0"/>
    <w:rsid w:val="00520ECE"/>
    <w:rsid w:val="005211D3"/>
    <w:rsid w:val="005228AE"/>
    <w:rsid w:val="00523FC5"/>
    <w:rsid w:val="005245DA"/>
    <w:rsid w:val="00524CAA"/>
    <w:rsid w:val="00526B7B"/>
    <w:rsid w:val="0053273F"/>
    <w:rsid w:val="005348B1"/>
    <w:rsid w:val="00535306"/>
    <w:rsid w:val="0053554C"/>
    <w:rsid w:val="0054354A"/>
    <w:rsid w:val="00543A03"/>
    <w:rsid w:val="00544934"/>
    <w:rsid w:val="00545AB0"/>
    <w:rsid w:val="005474D2"/>
    <w:rsid w:val="00547DE3"/>
    <w:rsid w:val="00547E0B"/>
    <w:rsid w:val="00547FD2"/>
    <w:rsid w:val="00550872"/>
    <w:rsid w:val="00554F21"/>
    <w:rsid w:val="005603BC"/>
    <w:rsid w:val="00560A4F"/>
    <w:rsid w:val="00561E7A"/>
    <w:rsid w:val="00562938"/>
    <w:rsid w:val="00562D2E"/>
    <w:rsid w:val="00563511"/>
    <w:rsid w:val="00564972"/>
    <w:rsid w:val="005675BE"/>
    <w:rsid w:val="005677A9"/>
    <w:rsid w:val="005730EF"/>
    <w:rsid w:val="005764E0"/>
    <w:rsid w:val="00577E17"/>
    <w:rsid w:val="00577FBE"/>
    <w:rsid w:val="005807A8"/>
    <w:rsid w:val="00580BD2"/>
    <w:rsid w:val="00581126"/>
    <w:rsid w:val="00581EC8"/>
    <w:rsid w:val="00582D45"/>
    <w:rsid w:val="00584DFB"/>
    <w:rsid w:val="005866A2"/>
    <w:rsid w:val="00590913"/>
    <w:rsid w:val="00591651"/>
    <w:rsid w:val="0059194E"/>
    <w:rsid w:val="0059209E"/>
    <w:rsid w:val="00595791"/>
    <w:rsid w:val="00597800"/>
    <w:rsid w:val="00597D4E"/>
    <w:rsid w:val="00597F8E"/>
    <w:rsid w:val="005A0044"/>
    <w:rsid w:val="005A1190"/>
    <w:rsid w:val="005A32A7"/>
    <w:rsid w:val="005A34DD"/>
    <w:rsid w:val="005A55E3"/>
    <w:rsid w:val="005A6518"/>
    <w:rsid w:val="005B1FB3"/>
    <w:rsid w:val="005B42E6"/>
    <w:rsid w:val="005B53A4"/>
    <w:rsid w:val="005B7683"/>
    <w:rsid w:val="005B777C"/>
    <w:rsid w:val="005B7BF1"/>
    <w:rsid w:val="005C09DD"/>
    <w:rsid w:val="005C0A15"/>
    <w:rsid w:val="005C366F"/>
    <w:rsid w:val="005C4948"/>
    <w:rsid w:val="005C5908"/>
    <w:rsid w:val="005C6C3B"/>
    <w:rsid w:val="005D17BD"/>
    <w:rsid w:val="005D2733"/>
    <w:rsid w:val="005D542A"/>
    <w:rsid w:val="005E3D38"/>
    <w:rsid w:val="005E5B36"/>
    <w:rsid w:val="005F362B"/>
    <w:rsid w:val="005F5140"/>
    <w:rsid w:val="005F5481"/>
    <w:rsid w:val="005F7C7D"/>
    <w:rsid w:val="00600402"/>
    <w:rsid w:val="00601595"/>
    <w:rsid w:val="00602BE0"/>
    <w:rsid w:val="00603EDA"/>
    <w:rsid w:val="006051D1"/>
    <w:rsid w:val="0060568E"/>
    <w:rsid w:val="00606603"/>
    <w:rsid w:val="00606763"/>
    <w:rsid w:val="00606FB0"/>
    <w:rsid w:val="00607032"/>
    <w:rsid w:val="00607FF3"/>
    <w:rsid w:val="006109A4"/>
    <w:rsid w:val="006113E0"/>
    <w:rsid w:val="006154D5"/>
    <w:rsid w:val="0061609B"/>
    <w:rsid w:val="006205F2"/>
    <w:rsid w:val="00620763"/>
    <w:rsid w:val="006255D1"/>
    <w:rsid w:val="006264FB"/>
    <w:rsid w:val="00630088"/>
    <w:rsid w:val="00631072"/>
    <w:rsid w:val="00632698"/>
    <w:rsid w:val="006334FC"/>
    <w:rsid w:val="00633D25"/>
    <w:rsid w:val="006340A9"/>
    <w:rsid w:val="00637237"/>
    <w:rsid w:val="00637A07"/>
    <w:rsid w:val="006419F1"/>
    <w:rsid w:val="00641F52"/>
    <w:rsid w:val="006453B6"/>
    <w:rsid w:val="00645B28"/>
    <w:rsid w:val="0064672C"/>
    <w:rsid w:val="00650CA0"/>
    <w:rsid w:val="006544B7"/>
    <w:rsid w:val="00654CC2"/>
    <w:rsid w:val="00657F31"/>
    <w:rsid w:val="0066162F"/>
    <w:rsid w:val="00661ADB"/>
    <w:rsid w:val="006644C3"/>
    <w:rsid w:val="00664934"/>
    <w:rsid w:val="006667F9"/>
    <w:rsid w:val="00667511"/>
    <w:rsid w:val="00667C50"/>
    <w:rsid w:val="00670D5B"/>
    <w:rsid w:val="00674390"/>
    <w:rsid w:val="00675CA9"/>
    <w:rsid w:val="006763B0"/>
    <w:rsid w:val="00680208"/>
    <w:rsid w:val="00685AB4"/>
    <w:rsid w:val="00686115"/>
    <w:rsid w:val="00690AF2"/>
    <w:rsid w:val="006940D3"/>
    <w:rsid w:val="00695D67"/>
    <w:rsid w:val="00696265"/>
    <w:rsid w:val="006A039B"/>
    <w:rsid w:val="006A27D7"/>
    <w:rsid w:val="006A3C82"/>
    <w:rsid w:val="006A4DDE"/>
    <w:rsid w:val="006A7B20"/>
    <w:rsid w:val="006B0059"/>
    <w:rsid w:val="006B02E9"/>
    <w:rsid w:val="006B2881"/>
    <w:rsid w:val="006B2AED"/>
    <w:rsid w:val="006B42B9"/>
    <w:rsid w:val="006B4DD7"/>
    <w:rsid w:val="006B5536"/>
    <w:rsid w:val="006C1FA2"/>
    <w:rsid w:val="006C516E"/>
    <w:rsid w:val="006C70C6"/>
    <w:rsid w:val="006C743A"/>
    <w:rsid w:val="006D14D2"/>
    <w:rsid w:val="006D1EE9"/>
    <w:rsid w:val="006D2539"/>
    <w:rsid w:val="006D281F"/>
    <w:rsid w:val="006D5064"/>
    <w:rsid w:val="006D63ED"/>
    <w:rsid w:val="006E0212"/>
    <w:rsid w:val="006E0A61"/>
    <w:rsid w:val="006E1126"/>
    <w:rsid w:val="006E33CD"/>
    <w:rsid w:val="006E4E89"/>
    <w:rsid w:val="006E5EBD"/>
    <w:rsid w:val="006F039D"/>
    <w:rsid w:val="006F03B2"/>
    <w:rsid w:val="006F1B97"/>
    <w:rsid w:val="006F2333"/>
    <w:rsid w:val="006F24F5"/>
    <w:rsid w:val="006F26D9"/>
    <w:rsid w:val="006F2DED"/>
    <w:rsid w:val="006F3125"/>
    <w:rsid w:val="006F3843"/>
    <w:rsid w:val="006F40BB"/>
    <w:rsid w:val="00700054"/>
    <w:rsid w:val="007010E2"/>
    <w:rsid w:val="007025FE"/>
    <w:rsid w:val="0070302E"/>
    <w:rsid w:val="00704B10"/>
    <w:rsid w:val="00704B17"/>
    <w:rsid w:val="0070527A"/>
    <w:rsid w:val="00706DCC"/>
    <w:rsid w:val="00707387"/>
    <w:rsid w:val="00711B60"/>
    <w:rsid w:val="00714EA2"/>
    <w:rsid w:val="007167C5"/>
    <w:rsid w:val="00720D01"/>
    <w:rsid w:val="007218A5"/>
    <w:rsid w:val="00721E1D"/>
    <w:rsid w:val="00722E91"/>
    <w:rsid w:val="00724135"/>
    <w:rsid w:val="00726558"/>
    <w:rsid w:val="00727BF7"/>
    <w:rsid w:val="00730150"/>
    <w:rsid w:val="00732144"/>
    <w:rsid w:val="0073691F"/>
    <w:rsid w:val="00737E28"/>
    <w:rsid w:val="007413DA"/>
    <w:rsid w:val="007437F3"/>
    <w:rsid w:val="007440FB"/>
    <w:rsid w:val="00744F15"/>
    <w:rsid w:val="00746480"/>
    <w:rsid w:val="00746921"/>
    <w:rsid w:val="00750329"/>
    <w:rsid w:val="00750F91"/>
    <w:rsid w:val="00753A32"/>
    <w:rsid w:val="00757590"/>
    <w:rsid w:val="00760712"/>
    <w:rsid w:val="007612AC"/>
    <w:rsid w:val="00761461"/>
    <w:rsid w:val="00761CF4"/>
    <w:rsid w:val="00762B8C"/>
    <w:rsid w:val="00763B7F"/>
    <w:rsid w:val="00764E2E"/>
    <w:rsid w:val="00765001"/>
    <w:rsid w:val="007659DF"/>
    <w:rsid w:val="00770623"/>
    <w:rsid w:val="007715C2"/>
    <w:rsid w:val="007732B0"/>
    <w:rsid w:val="007763DA"/>
    <w:rsid w:val="00781B4E"/>
    <w:rsid w:val="007821C5"/>
    <w:rsid w:val="00784092"/>
    <w:rsid w:val="00786364"/>
    <w:rsid w:val="0078683D"/>
    <w:rsid w:val="00786BAF"/>
    <w:rsid w:val="00786E56"/>
    <w:rsid w:val="00787846"/>
    <w:rsid w:val="00790437"/>
    <w:rsid w:val="00792402"/>
    <w:rsid w:val="007924B3"/>
    <w:rsid w:val="007A79CD"/>
    <w:rsid w:val="007A7A06"/>
    <w:rsid w:val="007B15CB"/>
    <w:rsid w:val="007B17AF"/>
    <w:rsid w:val="007B206C"/>
    <w:rsid w:val="007B4522"/>
    <w:rsid w:val="007B5165"/>
    <w:rsid w:val="007B5343"/>
    <w:rsid w:val="007B607F"/>
    <w:rsid w:val="007B77F7"/>
    <w:rsid w:val="007B7C80"/>
    <w:rsid w:val="007C017C"/>
    <w:rsid w:val="007C0AC7"/>
    <w:rsid w:val="007C2AFE"/>
    <w:rsid w:val="007C42F1"/>
    <w:rsid w:val="007C437E"/>
    <w:rsid w:val="007C651E"/>
    <w:rsid w:val="007D220A"/>
    <w:rsid w:val="007D277E"/>
    <w:rsid w:val="007D38B9"/>
    <w:rsid w:val="007D4921"/>
    <w:rsid w:val="007D5B6F"/>
    <w:rsid w:val="007E61C7"/>
    <w:rsid w:val="007E6934"/>
    <w:rsid w:val="007E6D35"/>
    <w:rsid w:val="007F0C16"/>
    <w:rsid w:val="007F1C95"/>
    <w:rsid w:val="007F2011"/>
    <w:rsid w:val="007F2103"/>
    <w:rsid w:val="007F2D0A"/>
    <w:rsid w:val="007F329C"/>
    <w:rsid w:val="007F3ED0"/>
    <w:rsid w:val="007F496A"/>
    <w:rsid w:val="007F4A70"/>
    <w:rsid w:val="007F578C"/>
    <w:rsid w:val="007F5D3E"/>
    <w:rsid w:val="007F65A7"/>
    <w:rsid w:val="00800497"/>
    <w:rsid w:val="008006B5"/>
    <w:rsid w:val="00801D00"/>
    <w:rsid w:val="00805BD6"/>
    <w:rsid w:val="00807C9C"/>
    <w:rsid w:val="00810306"/>
    <w:rsid w:val="0081030C"/>
    <w:rsid w:val="00811EB7"/>
    <w:rsid w:val="0081312B"/>
    <w:rsid w:val="00814DD4"/>
    <w:rsid w:val="00815E25"/>
    <w:rsid w:val="00816E7F"/>
    <w:rsid w:val="008173BB"/>
    <w:rsid w:val="0082038D"/>
    <w:rsid w:val="00821A9D"/>
    <w:rsid w:val="00821BC2"/>
    <w:rsid w:val="0082477D"/>
    <w:rsid w:val="008247A2"/>
    <w:rsid w:val="008276D1"/>
    <w:rsid w:val="00830963"/>
    <w:rsid w:val="008338C9"/>
    <w:rsid w:val="008355E0"/>
    <w:rsid w:val="008355EE"/>
    <w:rsid w:val="00835F53"/>
    <w:rsid w:val="00840ECB"/>
    <w:rsid w:val="008464C3"/>
    <w:rsid w:val="00846643"/>
    <w:rsid w:val="0085239E"/>
    <w:rsid w:val="00852979"/>
    <w:rsid w:val="008549C0"/>
    <w:rsid w:val="008634FD"/>
    <w:rsid w:val="00864EE7"/>
    <w:rsid w:val="00865B3A"/>
    <w:rsid w:val="00866E5E"/>
    <w:rsid w:val="008703EB"/>
    <w:rsid w:val="008725BC"/>
    <w:rsid w:val="008726D2"/>
    <w:rsid w:val="00875F0F"/>
    <w:rsid w:val="00880952"/>
    <w:rsid w:val="00881889"/>
    <w:rsid w:val="00882492"/>
    <w:rsid w:val="00882BF8"/>
    <w:rsid w:val="00883014"/>
    <w:rsid w:val="00883AF8"/>
    <w:rsid w:val="00884729"/>
    <w:rsid w:val="00886486"/>
    <w:rsid w:val="00886B81"/>
    <w:rsid w:val="00887576"/>
    <w:rsid w:val="0089077B"/>
    <w:rsid w:val="008908C6"/>
    <w:rsid w:val="00890EC1"/>
    <w:rsid w:val="00891410"/>
    <w:rsid w:val="008916A9"/>
    <w:rsid w:val="0089173D"/>
    <w:rsid w:val="0089361D"/>
    <w:rsid w:val="008943AD"/>
    <w:rsid w:val="0089534E"/>
    <w:rsid w:val="00896544"/>
    <w:rsid w:val="00896BFA"/>
    <w:rsid w:val="0089716C"/>
    <w:rsid w:val="008A387C"/>
    <w:rsid w:val="008A4E32"/>
    <w:rsid w:val="008A6FA4"/>
    <w:rsid w:val="008A7ED5"/>
    <w:rsid w:val="008B358A"/>
    <w:rsid w:val="008B3A75"/>
    <w:rsid w:val="008B62CB"/>
    <w:rsid w:val="008C3801"/>
    <w:rsid w:val="008C3B87"/>
    <w:rsid w:val="008C48E1"/>
    <w:rsid w:val="008C67FB"/>
    <w:rsid w:val="008C6BC8"/>
    <w:rsid w:val="008D05FA"/>
    <w:rsid w:val="008D1198"/>
    <w:rsid w:val="008D15E0"/>
    <w:rsid w:val="008D1B53"/>
    <w:rsid w:val="008D1F48"/>
    <w:rsid w:val="008E307C"/>
    <w:rsid w:val="008E36E2"/>
    <w:rsid w:val="008E6938"/>
    <w:rsid w:val="008E6B73"/>
    <w:rsid w:val="008E7171"/>
    <w:rsid w:val="008F0DD1"/>
    <w:rsid w:val="008F1601"/>
    <w:rsid w:val="008F44E5"/>
    <w:rsid w:val="008F7482"/>
    <w:rsid w:val="00903272"/>
    <w:rsid w:val="00906B82"/>
    <w:rsid w:val="00910B0D"/>
    <w:rsid w:val="00912430"/>
    <w:rsid w:val="00916F66"/>
    <w:rsid w:val="00917AEE"/>
    <w:rsid w:val="009204C3"/>
    <w:rsid w:val="009205F7"/>
    <w:rsid w:val="00920D30"/>
    <w:rsid w:val="009214BF"/>
    <w:rsid w:val="00921679"/>
    <w:rsid w:val="0092289F"/>
    <w:rsid w:val="00923665"/>
    <w:rsid w:val="00923A49"/>
    <w:rsid w:val="00923EEA"/>
    <w:rsid w:val="0092417B"/>
    <w:rsid w:val="009244F8"/>
    <w:rsid w:val="00925135"/>
    <w:rsid w:val="00930304"/>
    <w:rsid w:val="00931301"/>
    <w:rsid w:val="0093280C"/>
    <w:rsid w:val="00935AA7"/>
    <w:rsid w:val="00935C92"/>
    <w:rsid w:val="009400F2"/>
    <w:rsid w:val="00940A57"/>
    <w:rsid w:val="00941B4B"/>
    <w:rsid w:val="00942C69"/>
    <w:rsid w:val="0094316C"/>
    <w:rsid w:val="009456E2"/>
    <w:rsid w:val="009456F5"/>
    <w:rsid w:val="0094592F"/>
    <w:rsid w:val="009508B9"/>
    <w:rsid w:val="0095177F"/>
    <w:rsid w:val="00951F7A"/>
    <w:rsid w:val="00955309"/>
    <w:rsid w:val="0095541C"/>
    <w:rsid w:val="00955748"/>
    <w:rsid w:val="00957F65"/>
    <w:rsid w:val="00961093"/>
    <w:rsid w:val="0096263E"/>
    <w:rsid w:val="00962D41"/>
    <w:rsid w:val="00964DE4"/>
    <w:rsid w:val="009658AD"/>
    <w:rsid w:val="00966273"/>
    <w:rsid w:val="00966B74"/>
    <w:rsid w:val="009679D1"/>
    <w:rsid w:val="00971589"/>
    <w:rsid w:val="009771DE"/>
    <w:rsid w:val="00977D56"/>
    <w:rsid w:val="00980792"/>
    <w:rsid w:val="00980884"/>
    <w:rsid w:val="00980F3F"/>
    <w:rsid w:val="00981FC1"/>
    <w:rsid w:val="00982686"/>
    <w:rsid w:val="00983E1A"/>
    <w:rsid w:val="0099094E"/>
    <w:rsid w:val="00990C66"/>
    <w:rsid w:val="00990E42"/>
    <w:rsid w:val="009914BB"/>
    <w:rsid w:val="00991FE0"/>
    <w:rsid w:val="00992E21"/>
    <w:rsid w:val="009955C5"/>
    <w:rsid w:val="00996DFF"/>
    <w:rsid w:val="009A08AE"/>
    <w:rsid w:val="009A2150"/>
    <w:rsid w:val="009A34A8"/>
    <w:rsid w:val="009A4DBE"/>
    <w:rsid w:val="009A5570"/>
    <w:rsid w:val="009A569B"/>
    <w:rsid w:val="009B419C"/>
    <w:rsid w:val="009B4823"/>
    <w:rsid w:val="009B49D0"/>
    <w:rsid w:val="009B4CDD"/>
    <w:rsid w:val="009B57D7"/>
    <w:rsid w:val="009B5BCD"/>
    <w:rsid w:val="009B666E"/>
    <w:rsid w:val="009B6963"/>
    <w:rsid w:val="009B749E"/>
    <w:rsid w:val="009C1AC7"/>
    <w:rsid w:val="009C2971"/>
    <w:rsid w:val="009C6025"/>
    <w:rsid w:val="009C6A45"/>
    <w:rsid w:val="009C7C91"/>
    <w:rsid w:val="009D0606"/>
    <w:rsid w:val="009D0FFA"/>
    <w:rsid w:val="009D20A5"/>
    <w:rsid w:val="009D2294"/>
    <w:rsid w:val="009D370E"/>
    <w:rsid w:val="009D5CD1"/>
    <w:rsid w:val="009D6688"/>
    <w:rsid w:val="009E0EEA"/>
    <w:rsid w:val="009E107E"/>
    <w:rsid w:val="009E133D"/>
    <w:rsid w:val="009E2FD5"/>
    <w:rsid w:val="009E47D5"/>
    <w:rsid w:val="009E77BF"/>
    <w:rsid w:val="009F01E3"/>
    <w:rsid w:val="009F2F6B"/>
    <w:rsid w:val="009F6DBB"/>
    <w:rsid w:val="00A005F6"/>
    <w:rsid w:val="00A01F1D"/>
    <w:rsid w:val="00A02F8F"/>
    <w:rsid w:val="00A031F2"/>
    <w:rsid w:val="00A065BB"/>
    <w:rsid w:val="00A07806"/>
    <w:rsid w:val="00A10380"/>
    <w:rsid w:val="00A10F5D"/>
    <w:rsid w:val="00A13521"/>
    <w:rsid w:val="00A15D26"/>
    <w:rsid w:val="00A20662"/>
    <w:rsid w:val="00A224FC"/>
    <w:rsid w:val="00A22CAF"/>
    <w:rsid w:val="00A27119"/>
    <w:rsid w:val="00A331A8"/>
    <w:rsid w:val="00A333EE"/>
    <w:rsid w:val="00A34B5F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D1C"/>
    <w:rsid w:val="00A44D2A"/>
    <w:rsid w:val="00A4608E"/>
    <w:rsid w:val="00A461A8"/>
    <w:rsid w:val="00A472FA"/>
    <w:rsid w:val="00A52C17"/>
    <w:rsid w:val="00A52C47"/>
    <w:rsid w:val="00A5407E"/>
    <w:rsid w:val="00A54DD2"/>
    <w:rsid w:val="00A56C30"/>
    <w:rsid w:val="00A57D51"/>
    <w:rsid w:val="00A60C51"/>
    <w:rsid w:val="00A6623F"/>
    <w:rsid w:val="00A67835"/>
    <w:rsid w:val="00A70F76"/>
    <w:rsid w:val="00A714E3"/>
    <w:rsid w:val="00A72CED"/>
    <w:rsid w:val="00A74137"/>
    <w:rsid w:val="00A7644C"/>
    <w:rsid w:val="00A772FB"/>
    <w:rsid w:val="00A77651"/>
    <w:rsid w:val="00A80508"/>
    <w:rsid w:val="00A805B9"/>
    <w:rsid w:val="00A82621"/>
    <w:rsid w:val="00A82994"/>
    <w:rsid w:val="00A82A49"/>
    <w:rsid w:val="00A83677"/>
    <w:rsid w:val="00A85C28"/>
    <w:rsid w:val="00A85D17"/>
    <w:rsid w:val="00A86034"/>
    <w:rsid w:val="00A862D0"/>
    <w:rsid w:val="00A86683"/>
    <w:rsid w:val="00A86B3F"/>
    <w:rsid w:val="00A87622"/>
    <w:rsid w:val="00A90367"/>
    <w:rsid w:val="00A91652"/>
    <w:rsid w:val="00A9239E"/>
    <w:rsid w:val="00A92747"/>
    <w:rsid w:val="00A93E6E"/>
    <w:rsid w:val="00A9668B"/>
    <w:rsid w:val="00A966F4"/>
    <w:rsid w:val="00AA1C3F"/>
    <w:rsid w:val="00AA2D33"/>
    <w:rsid w:val="00AA327D"/>
    <w:rsid w:val="00AA3475"/>
    <w:rsid w:val="00AA6AE3"/>
    <w:rsid w:val="00AA7C5C"/>
    <w:rsid w:val="00AB2066"/>
    <w:rsid w:val="00AB306E"/>
    <w:rsid w:val="00AB363F"/>
    <w:rsid w:val="00AB3AD0"/>
    <w:rsid w:val="00AB3BB0"/>
    <w:rsid w:val="00AB50DA"/>
    <w:rsid w:val="00AC0584"/>
    <w:rsid w:val="00AC135F"/>
    <w:rsid w:val="00AC36CB"/>
    <w:rsid w:val="00AC466D"/>
    <w:rsid w:val="00AC47AE"/>
    <w:rsid w:val="00AC6D7A"/>
    <w:rsid w:val="00AD14AF"/>
    <w:rsid w:val="00AD44EE"/>
    <w:rsid w:val="00AD64A3"/>
    <w:rsid w:val="00AE3D8A"/>
    <w:rsid w:val="00AE5080"/>
    <w:rsid w:val="00AE531C"/>
    <w:rsid w:val="00AE57A9"/>
    <w:rsid w:val="00AE5FAA"/>
    <w:rsid w:val="00AE6D3D"/>
    <w:rsid w:val="00AF3E7F"/>
    <w:rsid w:val="00AF4193"/>
    <w:rsid w:val="00AF44A6"/>
    <w:rsid w:val="00AF652F"/>
    <w:rsid w:val="00B02340"/>
    <w:rsid w:val="00B0539F"/>
    <w:rsid w:val="00B05BF6"/>
    <w:rsid w:val="00B06302"/>
    <w:rsid w:val="00B064D6"/>
    <w:rsid w:val="00B07EF0"/>
    <w:rsid w:val="00B1130C"/>
    <w:rsid w:val="00B13DB3"/>
    <w:rsid w:val="00B1500D"/>
    <w:rsid w:val="00B15AE8"/>
    <w:rsid w:val="00B20C0E"/>
    <w:rsid w:val="00B2134A"/>
    <w:rsid w:val="00B21BA7"/>
    <w:rsid w:val="00B220D5"/>
    <w:rsid w:val="00B222B0"/>
    <w:rsid w:val="00B24911"/>
    <w:rsid w:val="00B24B43"/>
    <w:rsid w:val="00B2583D"/>
    <w:rsid w:val="00B31434"/>
    <w:rsid w:val="00B33653"/>
    <w:rsid w:val="00B34374"/>
    <w:rsid w:val="00B34467"/>
    <w:rsid w:val="00B375E7"/>
    <w:rsid w:val="00B40267"/>
    <w:rsid w:val="00B41B31"/>
    <w:rsid w:val="00B42298"/>
    <w:rsid w:val="00B4388D"/>
    <w:rsid w:val="00B46CC5"/>
    <w:rsid w:val="00B47514"/>
    <w:rsid w:val="00B477AE"/>
    <w:rsid w:val="00B50273"/>
    <w:rsid w:val="00B53246"/>
    <w:rsid w:val="00B60E72"/>
    <w:rsid w:val="00B6609C"/>
    <w:rsid w:val="00B66D1F"/>
    <w:rsid w:val="00B67AEB"/>
    <w:rsid w:val="00B70CC0"/>
    <w:rsid w:val="00B71442"/>
    <w:rsid w:val="00B722E2"/>
    <w:rsid w:val="00B72F7D"/>
    <w:rsid w:val="00B7562F"/>
    <w:rsid w:val="00B757CC"/>
    <w:rsid w:val="00B7759E"/>
    <w:rsid w:val="00B80B99"/>
    <w:rsid w:val="00B81CA9"/>
    <w:rsid w:val="00B85700"/>
    <w:rsid w:val="00B859EE"/>
    <w:rsid w:val="00B8769B"/>
    <w:rsid w:val="00B903C8"/>
    <w:rsid w:val="00B90D40"/>
    <w:rsid w:val="00B91216"/>
    <w:rsid w:val="00B92A37"/>
    <w:rsid w:val="00B92EE2"/>
    <w:rsid w:val="00B942CE"/>
    <w:rsid w:val="00B944FC"/>
    <w:rsid w:val="00B96008"/>
    <w:rsid w:val="00B97A10"/>
    <w:rsid w:val="00BA0FA2"/>
    <w:rsid w:val="00BA18A1"/>
    <w:rsid w:val="00BA32F1"/>
    <w:rsid w:val="00BA35E4"/>
    <w:rsid w:val="00BA36A3"/>
    <w:rsid w:val="00BA73B7"/>
    <w:rsid w:val="00BA7A59"/>
    <w:rsid w:val="00BB2D12"/>
    <w:rsid w:val="00BB2F31"/>
    <w:rsid w:val="00BB387C"/>
    <w:rsid w:val="00BB3C63"/>
    <w:rsid w:val="00BB474D"/>
    <w:rsid w:val="00BB68AB"/>
    <w:rsid w:val="00BB7BFE"/>
    <w:rsid w:val="00BC0D3C"/>
    <w:rsid w:val="00BC13D2"/>
    <w:rsid w:val="00BC2332"/>
    <w:rsid w:val="00BC4C87"/>
    <w:rsid w:val="00BC715C"/>
    <w:rsid w:val="00BC726B"/>
    <w:rsid w:val="00BC7925"/>
    <w:rsid w:val="00BC7943"/>
    <w:rsid w:val="00BD0C5F"/>
    <w:rsid w:val="00BD73C5"/>
    <w:rsid w:val="00BE072D"/>
    <w:rsid w:val="00BE5E58"/>
    <w:rsid w:val="00BF1F51"/>
    <w:rsid w:val="00BF2348"/>
    <w:rsid w:val="00BF3B20"/>
    <w:rsid w:val="00BF4053"/>
    <w:rsid w:val="00BF489F"/>
    <w:rsid w:val="00C0112C"/>
    <w:rsid w:val="00C02C19"/>
    <w:rsid w:val="00C03122"/>
    <w:rsid w:val="00C033CC"/>
    <w:rsid w:val="00C04D2B"/>
    <w:rsid w:val="00C050CC"/>
    <w:rsid w:val="00C06A94"/>
    <w:rsid w:val="00C1085A"/>
    <w:rsid w:val="00C126D2"/>
    <w:rsid w:val="00C12AA8"/>
    <w:rsid w:val="00C13368"/>
    <w:rsid w:val="00C1445A"/>
    <w:rsid w:val="00C16C9B"/>
    <w:rsid w:val="00C22385"/>
    <w:rsid w:val="00C24B07"/>
    <w:rsid w:val="00C260C8"/>
    <w:rsid w:val="00C27163"/>
    <w:rsid w:val="00C30C5C"/>
    <w:rsid w:val="00C30E2B"/>
    <w:rsid w:val="00C312A5"/>
    <w:rsid w:val="00C333A1"/>
    <w:rsid w:val="00C33C76"/>
    <w:rsid w:val="00C34266"/>
    <w:rsid w:val="00C3575A"/>
    <w:rsid w:val="00C37035"/>
    <w:rsid w:val="00C40060"/>
    <w:rsid w:val="00C413E7"/>
    <w:rsid w:val="00C43B77"/>
    <w:rsid w:val="00C44217"/>
    <w:rsid w:val="00C44B90"/>
    <w:rsid w:val="00C4550E"/>
    <w:rsid w:val="00C45CC1"/>
    <w:rsid w:val="00C46B4F"/>
    <w:rsid w:val="00C47032"/>
    <w:rsid w:val="00C50702"/>
    <w:rsid w:val="00C525BE"/>
    <w:rsid w:val="00C52E4D"/>
    <w:rsid w:val="00C53AC2"/>
    <w:rsid w:val="00C54F4E"/>
    <w:rsid w:val="00C562BC"/>
    <w:rsid w:val="00C5702F"/>
    <w:rsid w:val="00C57F9E"/>
    <w:rsid w:val="00C609CF"/>
    <w:rsid w:val="00C61A6F"/>
    <w:rsid w:val="00C623CE"/>
    <w:rsid w:val="00C632EA"/>
    <w:rsid w:val="00C666E4"/>
    <w:rsid w:val="00C66A5E"/>
    <w:rsid w:val="00C66CB0"/>
    <w:rsid w:val="00C67077"/>
    <w:rsid w:val="00C71931"/>
    <w:rsid w:val="00C728AA"/>
    <w:rsid w:val="00C72C09"/>
    <w:rsid w:val="00C74753"/>
    <w:rsid w:val="00C76433"/>
    <w:rsid w:val="00C76961"/>
    <w:rsid w:val="00C80213"/>
    <w:rsid w:val="00C8101A"/>
    <w:rsid w:val="00C810C7"/>
    <w:rsid w:val="00C8137F"/>
    <w:rsid w:val="00C81E3C"/>
    <w:rsid w:val="00C831AB"/>
    <w:rsid w:val="00C84501"/>
    <w:rsid w:val="00C84815"/>
    <w:rsid w:val="00C86239"/>
    <w:rsid w:val="00C86FB7"/>
    <w:rsid w:val="00C92CD1"/>
    <w:rsid w:val="00C92E3D"/>
    <w:rsid w:val="00C93534"/>
    <w:rsid w:val="00C93C5A"/>
    <w:rsid w:val="00C945A8"/>
    <w:rsid w:val="00C94880"/>
    <w:rsid w:val="00C94C92"/>
    <w:rsid w:val="00C94E26"/>
    <w:rsid w:val="00C958D8"/>
    <w:rsid w:val="00C965A5"/>
    <w:rsid w:val="00C96B67"/>
    <w:rsid w:val="00C97835"/>
    <w:rsid w:val="00CA071C"/>
    <w:rsid w:val="00CA1439"/>
    <w:rsid w:val="00CA5061"/>
    <w:rsid w:val="00CA5192"/>
    <w:rsid w:val="00CA55A5"/>
    <w:rsid w:val="00CA6419"/>
    <w:rsid w:val="00CA6B05"/>
    <w:rsid w:val="00CB0905"/>
    <w:rsid w:val="00CB1A6E"/>
    <w:rsid w:val="00CB1CEC"/>
    <w:rsid w:val="00CB39E5"/>
    <w:rsid w:val="00CB66A1"/>
    <w:rsid w:val="00CC0DA6"/>
    <w:rsid w:val="00CC1530"/>
    <w:rsid w:val="00CC1C8B"/>
    <w:rsid w:val="00CC424D"/>
    <w:rsid w:val="00CC4E54"/>
    <w:rsid w:val="00CC52C7"/>
    <w:rsid w:val="00CC5F76"/>
    <w:rsid w:val="00CD0B4B"/>
    <w:rsid w:val="00CD0E2A"/>
    <w:rsid w:val="00CD2F98"/>
    <w:rsid w:val="00CD600C"/>
    <w:rsid w:val="00CE0117"/>
    <w:rsid w:val="00CE0F83"/>
    <w:rsid w:val="00CE1157"/>
    <w:rsid w:val="00CE18D7"/>
    <w:rsid w:val="00CE4DFC"/>
    <w:rsid w:val="00CE76B7"/>
    <w:rsid w:val="00CF1FCD"/>
    <w:rsid w:val="00CF2425"/>
    <w:rsid w:val="00CF3D1E"/>
    <w:rsid w:val="00CF440D"/>
    <w:rsid w:val="00CF54D5"/>
    <w:rsid w:val="00D003C8"/>
    <w:rsid w:val="00D02AD0"/>
    <w:rsid w:val="00D0350A"/>
    <w:rsid w:val="00D0374B"/>
    <w:rsid w:val="00D03B71"/>
    <w:rsid w:val="00D05DB6"/>
    <w:rsid w:val="00D06F6F"/>
    <w:rsid w:val="00D07D10"/>
    <w:rsid w:val="00D10E3F"/>
    <w:rsid w:val="00D1154F"/>
    <w:rsid w:val="00D123DA"/>
    <w:rsid w:val="00D12866"/>
    <w:rsid w:val="00D140FF"/>
    <w:rsid w:val="00D1618B"/>
    <w:rsid w:val="00D17C6D"/>
    <w:rsid w:val="00D20F01"/>
    <w:rsid w:val="00D2199E"/>
    <w:rsid w:val="00D22AB2"/>
    <w:rsid w:val="00D23625"/>
    <w:rsid w:val="00D24E4F"/>
    <w:rsid w:val="00D24F1F"/>
    <w:rsid w:val="00D25CAA"/>
    <w:rsid w:val="00D25D2A"/>
    <w:rsid w:val="00D26698"/>
    <w:rsid w:val="00D31D3C"/>
    <w:rsid w:val="00D33096"/>
    <w:rsid w:val="00D34934"/>
    <w:rsid w:val="00D36E5F"/>
    <w:rsid w:val="00D37A17"/>
    <w:rsid w:val="00D41372"/>
    <w:rsid w:val="00D41AE3"/>
    <w:rsid w:val="00D42165"/>
    <w:rsid w:val="00D446A4"/>
    <w:rsid w:val="00D45DBA"/>
    <w:rsid w:val="00D46F11"/>
    <w:rsid w:val="00D46FBC"/>
    <w:rsid w:val="00D506F4"/>
    <w:rsid w:val="00D50A64"/>
    <w:rsid w:val="00D52673"/>
    <w:rsid w:val="00D538B1"/>
    <w:rsid w:val="00D5577B"/>
    <w:rsid w:val="00D56EFA"/>
    <w:rsid w:val="00D62663"/>
    <w:rsid w:val="00D63ED5"/>
    <w:rsid w:val="00D64ED0"/>
    <w:rsid w:val="00D6506F"/>
    <w:rsid w:val="00D65F20"/>
    <w:rsid w:val="00D66769"/>
    <w:rsid w:val="00D66820"/>
    <w:rsid w:val="00D70F34"/>
    <w:rsid w:val="00D710EE"/>
    <w:rsid w:val="00D73EED"/>
    <w:rsid w:val="00D750B2"/>
    <w:rsid w:val="00D758E8"/>
    <w:rsid w:val="00D771F4"/>
    <w:rsid w:val="00D771FA"/>
    <w:rsid w:val="00D802D2"/>
    <w:rsid w:val="00D812C3"/>
    <w:rsid w:val="00D81487"/>
    <w:rsid w:val="00D8174E"/>
    <w:rsid w:val="00D85159"/>
    <w:rsid w:val="00D85255"/>
    <w:rsid w:val="00D87150"/>
    <w:rsid w:val="00D92B70"/>
    <w:rsid w:val="00D93F3E"/>
    <w:rsid w:val="00D96CED"/>
    <w:rsid w:val="00DA0D64"/>
    <w:rsid w:val="00DA3118"/>
    <w:rsid w:val="00DB1DAF"/>
    <w:rsid w:val="00DB2CE4"/>
    <w:rsid w:val="00DB32B8"/>
    <w:rsid w:val="00DB4A8D"/>
    <w:rsid w:val="00DB65FB"/>
    <w:rsid w:val="00DC14D2"/>
    <w:rsid w:val="00DC168C"/>
    <w:rsid w:val="00DC201F"/>
    <w:rsid w:val="00DC238F"/>
    <w:rsid w:val="00DC5967"/>
    <w:rsid w:val="00DC5FD8"/>
    <w:rsid w:val="00DC745C"/>
    <w:rsid w:val="00DD3C24"/>
    <w:rsid w:val="00DD67A4"/>
    <w:rsid w:val="00DD6BB3"/>
    <w:rsid w:val="00DD72BB"/>
    <w:rsid w:val="00DD75D9"/>
    <w:rsid w:val="00DE36AD"/>
    <w:rsid w:val="00DE5815"/>
    <w:rsid w:val="00DF1238"/>
    <w:rsid w:val="00DF148C"/>
    <w:rsid w:val="00DF3E6F"/>
    <w:rsid w:val="00DF45B1"/>
    <w:rsid w:val="00DF4E36"/>
    <w:rsid w:val="00DF6D18"/>
    <w:rsid w:val="00E01ECB"/>
    <w:rsid w:val="00E06528"/>
    <w:rsid w:val="00E0747F"/>
    <w:rsid w:val="00E11682"/>
    <w:rsid w:val="00E13C42"/>
    <w:rsid w:val="00E15907"/>
    <w:rsid w:val="00E20B2F"/>
    <w:rsid w:val="00E21D83"/>
    <w:rsid w:val="00E2276D"/>
    <w:rsid w:val="00E24658"/>
    <w:rsid w:val="00E26759"/>
    <w:rsid w:val="00E26BC5"/>
    <w:rsid w:val="00E32FF8"/>
    <w:rsid w:val="00E33530"/>
    <w:rsid w:val="00E347E5"/>
    <w:rsid w:val="00E35725"/>
    <w:rsid w:val="00E35859"/>
    <w:rsid w:val="00E3586D"/>
    <w:rsid w:val="00E36566"/>
    <w:rsid w:val="00E37826"/>
    <w:rsid w:val="00E42410"/>
    <w:rsid w:val="00E4376D"/>
    <w:rsid w:val="00E4418C"/>
    <w:rsid w:val="00E45527"/>
    <w:rsid w:val="00E46595"/>
    <w:rsid w:val="00E46A33"/>
    <w:rsid w:val="00E46AE4"/>
    <w:rsid w:val="00E47178"/>
    <w:rsid w:val="00E5577D"/>
    <w:rsid w:val="00E6473A"/>
    <w:rsid w:val="00E708E7"/>
    <w:rsid w:val="00E753E8"/>
    <w:rsid w:val="00E76FB1"/>
    <w:rsid w:val="00E81B59"/>
    <w:rsid w:val="00E82DF2"/>
    <w:rsid w:val="00E83F37"/>
    <w:rsid w:val="00E85BAC"/>
    <w:rsid w:val="00E901FF"/>
    <w:rsid w:val="00E90235"/>
    <w:rsid w:val="00E91C87"/>
    <w:rsid w:val="00E967EA"/>
    <w:rsid w:val="00E97A54"/>
    <w:rsid w:val="00EA0924"/>
    <w:rsid w:val="00EA0F27"/>
    <w:rsid w:val="00EA2915"/>
    <w:rsid w:val="00EA4E48"/>
    <w:rsid w:val="00EA515B"/>
    <w:rsid w:val="00EA575C"/>
    <w:rsid w:val="00EB06A6"/>
    <w:rsid w:val="00EB3AD7"/>
    <w:rsid w:val="00EB6588"/>
    <w:rsid w:val="00EB6D1F"/>
    <w:rsid w:val="00EC132C"/>
    <w:rsid w:val="00EC1D3F"/>
    <w:rsid w:val="00EC3122"/>
    <w:rsid w:val="00EC341A"/>
    <w:rsid w:val="00EC4288"/>
    <w:rsid w:val="00EC6C87"/>
    <w:rsid w:val="00EC72B5"/>
    <w:rsid w:val="00ED05B4"/>
    <w:rsid w:val="00ED1D78"/>
    <w:rsid w:val="00ED2E51"/>
    <w:rsid w:val="00ED425F"/>
    <w:rsid w:val="00ED49A2"/>
    <w:rsid w:val="00EE4E35"/>
    <w:rsid w:val="00EE549F"/>
    <w:rsid w:val="00EE6033"/>
    <w:rsid w:val="00EE6984"/>
    <w:rsid w:val="00EE7335"/>
    <w:rsid w:val="00EF10CC"/>
    <w:rsid w:val="00EF1AF2"/>
    <w:rsid w:val="00EF1EBC"/>
    <w:rsid w:val="00EF2887"/>
    <w:rsid w:val="00EF3C21"/>
    <w:rsid w:val="00EF6BED"/>
    <w:rsid w:val="00EF78E1"/>
    <w:rsid w:val="00F06BFC"/>
    <w:rsid w:val="00F104F2"/>
    <w:rsid w:val="00F202D1"/>
    <w:rsid w:val="00F21C9A"/>
    <w:rsid w:val="00F223D2"/>
    <w:rsid w:val="00F22CBB"/>
    <w:rsid w:val="00F2404E"/>
    <w:rsid w:val="00F27605"/>
    <w:rsid w:val="00F315D4"/>
    <w:rsid w:val="00F33A01"/>
    <w:rsid w:val="00F33BFC"/>
    <w:rsid w:val="00F35DE7"/>
    <w:rsid w:val="00F36803"/>
    <w:rsid w:val="00F369BD"/>
    <w:rsid w:val="00F36C44"/>
    <w:rsid w:val="00F37151"/>
    <w:rsid w:val="00F45147"/>
    <w:rsid w:val="00F45C0F"/>
    <w:rsid w:val="00F50218"/>
    <w:rsid w:val="00F503D6"/>
    <w:rsid w:val="00F51227"/>
    <w:rsid w:val="00F516F2"/>
    <w:rsid w:val="00F5227F"/>
    <w:rsid w:val="00F53DFC"/>
    <w:rsid w:val="00F543E8"/>
    <w:rsid w:val="00F55BD8"/>
    <w:rsid w:val="00F56A7E"/>
    <w:rsid w:val="00F56A9B"/>
    <w:rsid w:val="00F61F10"/>
    <w:rsid w:val="00F646D0"/>
    <w:rsid w:val="00F650AA"/>
    <w:rsid w:val="00F65DDF"/>
    <w:rsid w:val="00F665DA"/>
    <w:rsid w:val="00F7098C"/>
    <w:rsid w:val="00F72A20"/>
    <w:rsid w:val="00F72B7F"/>
    <w:rsid w:val="00F752C5"/>
    <w:rsid w:val="00F76996"/>
    <w:rsid w:val="00F774EB"/>
    <w:rsid w:val="00F847DE"/>
    <w:rsid w:val="00F84F0D"/>
    <w:rsid w:val="00F86705"/>
    <w:rsid w:val="00F876B2"/>
    <w:rsid w:val="00F91F0F"/>
    <w:rsid w:val="00F91F54"/>
    <w:rsid w:val="00F934C2"/>
    <w:rsid w:val="00F93CEF"/>
    <w:rsid w:val="00F93FDC"/>
    <w:rsid w:val="00F945A6"/>
    <w:rsid w:val="00F94D34"/>
    <w:rsid w:val="00F96A99"/>
    <w:rsid w:val="00F96F09"/>
    <w:rsid w:val="00F97E2E"/>
    <w:rsid w:val="00F97FF0"/>
    <w:rsid w:val="00FA01A7"/>
    <w:rsid w:val="00FA02CD"/>
    <w:rsid w:val="00FA370D"/>
    <w:rsid w:val="00FB0730"/>
    <w:rsid w:val="00FB0F10"/>
    <w:rsid w:val="00FB13E1"/>
    <w:rsid w:val="00FB1506"/>
    <w:rsid w:val="00FB283B"/>
    <w:rsid w:val="00FB29F8"/>
    <w:rsid w:val="00FB2B1A"/>
    <w:rsid w:val="00FB4414"/>
    <w:rsid w:val="00FB58E0"/>
    <w:rsid w:val="00FC334E"/>
    <w:rsid w:val="00FC761D"/>
    <w:rsid w:val="00FD3040"/>
    <w:rsid w:val="00FD5BCF"/>
    <w:rsid w:val="00FE0041"/>
    <w:rsid w:val="00FE6439"/>
    <w:rsid w:val="00FE78D9"/>
    <w:rsid w:val="00FE7A31"/>
    <w:rsid w:val="00FF1B79"/>
    <w:rsid w:val="00FF2B03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60E7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semiHidden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33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39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39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39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vp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9701</Words>
  <Characters>5531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18</cp:revision>
  <cp:lastPrinted>2020-01-29T07:54:00Z</cp:lastPrinted>
  <dcterms:created xsi:type="dcterms:W3CDTF">2020-12-02T13:14:00Z</dcterms:created>
  <dcterms:modified xsi:type="dcterms:W3CDTF">2020-12-07T08:26:00Z</dcterms:modified>
</cp:coreProperties>
</file>