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6A87" w14:textId="77777777" w:rsidR="00DC5119" w:rsidRPr="00007472" w:rsidRDefault="00DC5119" w:rsidP="002A07F4">
      <w:pPr>
        <w:spacing w:line="254" w:lineRule="auto"/>
        <w:ind w:right="49"/>
        <w:jc w:val="center"/>
        <w:rPr>
          <w:b/>
          <w:szCs w:val="24"/>
        </w:rPr>
      </w:pPr>
    </w:p>
    <w:p w14:paraId="7856E9C2" w14:textId="723A8439" w:rsidR="002A07F4" w:rsidRPr="00007472" w:rsidRDefault="002A07F4" w:rsidP="002A07F4">
      <w:pPr>
        <w:spacing w:line="254" w:lineRule="auto"/>
        <w:ind w:right="49"/>
        <w:jc w:val="center"/>
        <w:rPr>
          <w:b/>
          <w:szCs w:val="24"/>
        </w:rPr>
      </w:pPr>
      <w:r w:rsidRPr="00007472">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4281A14" w14:textId="77777777" w:rsidR="00A86609" w:rsidRPr="00007472" w:rsidRDefault="00A86609" w:rsidP="002A07F4">
      <w:pPr>
        <w:spacing w:line="254" w:lineRule="auto"/>
        <w:ind w:right="49"/>
        <w:jc w:val="center"/>
        <w:rPr>
          <w:b/>
          <w:sz w:val="16"/>
          <w:szCs w:val="16"/>
        </w:rPr>
      </w:pPr>
    </w:p>
    <w:p w14:paraId="3690F232" w14:textId="317D3DD8" w:rsidR="00002C5B" w:rsidRPr="00007472" w:rsidRDefault="00002C5B" w:rsidP="00002C5B">
      <w:pPr>
        <w:tabs>
          <w:tab w:val="left" w:pos="709"/>
        </w:tabs>
        <w:spacing w:line="259" w:lineRule="auto"/>
        <w:ind w:right="3" w:firstLine="426"/>
        <w:jc w:val="center"/>
        <w:rPr>
          <w:b/>
          <w:szCs w:val="24"/>
        </w:rPr>
      </w:pPr>
      <w:r w:rsidRPr="00007472">
        <w:rPr>
          <w:b/>
          <w:szCs w:val="24"/>
        </w:rPr>
        <w:t>VIEŠŲJŲ PIRKIMŲ TARNYBA</w:t>
      </w:r>
    </w:p>
    <w:p w14:paraId="2CBA535F" w14:textId="77777777" w:rsidR="00A86609" w:rsidRPr="00007472" w:rsidRDefault="00A86609" w:rsidP="00002C5B">
      <w:pPr>
        <w:tabs>
          <w:tab w:val="left" w:pos="709"/>
        </w:tabs>
        <w:spacing w:line="259" w:lineRule="auto"/>
        <w:ind w:right="3" w:firstLine="426"/>
        <w:jc w:val="center"/>
        <w:rPr>
          <w:szCs w:val="24"/>
          <w:vertAlign w:val="superscript"/>
        </w:rPr>
      </w:pPr>
    </w:p>
    <w:tbl>
      <w:tblPr>
        <w:tblW w:w="11867" w:type="dxa"/>
        <w:tblLayout w:type="fixed"/>
        <w:tblLook w:val="0000" w:firstRow="0" w:lastRow="0" w:firstColumn="0" w:lastColumn="0" w:noHBand="0" w:noVBand="0"/>
      </w:tblPr>
      <w:tblGrid>
        <w:gridCol w:w="5387"/>
        <w:gridCol w:w="1843"/>
        <w:gridCol w:w="3154"/>
        <w:gridCol w:w="1483"/>
      </w:tblGrid>
      <w:tr w:rsidR="00D84F53" w:rsidRPr="00007472" w14:paraId="19A772B0" w14:textId="77777777" w:rsidTr="008B3314">
        <w:trPr>
          <w:cantSplit/>
          <w:trHeight w:val="1989"/>
        </w:trPr>
        <w:tc>
          <w:tcPr>
            <w:tcW w:w="5387" w:type="dxa"/>
          </w:tcPr>
          <w:p w14:paraId="6E0BCB29" w14:textId="6D89B7AC" w:rsidR="00C26361" w:rsidRPr="00C26361" w:rsidRDefault="00C26361" w:rsidP="00C26361">
            <w:pPr>
              <w:ind w:hanging="110"/>
              <w:rPr>
                <w:szCs w:val="24"/>
              </w:rPr>
            </w:pPr>
            <w:r w:rsidRPr="00C26361">
              <w:rPr>
                <w:szCs w:val="24"/>
              </w:rPr>
              <w:t>Šilalės rajono savivaldybės administracija</w:t>
            </w:r>
            <w:r w:rsidR="00866031">
              <w:rPr>
                <w:szCs w:val="24"/>
              </w:rPr>
              <w:t>i</w:t>
            </w:r>
          </w:p>
          <w:p w14:paraId="557DD230" w14:textId="77777777" w:rsidR="00C26361" w:rsidRPr="00C26361" w:rsidRDefault="00C26361" w:rsidP="00C26361">
            <w:pPr>
              <w:ind w:hanging="110"/>
              <w:rPr>
                <w:szCs w:val="24"/>
              </w:rPr>
            </w:pPr>
            <w:r w:rsidRPr="00C26361">
              <w:rPr>
                <w:szCs w:val="24"/>
              </w:rPr>
              <w:t>J. Basanavičiaus g. 2</w:t>
            </w:r>
          </w:p>
          <w:p w14:paraId="56F563A9" w14:textId="77777777" w:rsidR="00C26361" w:rsidRPr="00C26361" w:rsidRDefault="00C26361" w:rsidP="00C26361">
            <w:pPr>
              <w:ind w:hanging="110"/>
              <w:rPr>
                <w:szCs w:val="24"/>
              </w:rPr>
            </w:pPr>
            <w:r w:rsidRPr="00C26361">
              <w:rPr>
                <w:szCs w:val="24"/>
              </w:rPr>
              <w:t>75138 Šilalė</w:t>
            </w:r>
          </w:p>
          <w:p w14:paraId="1EFD3DA3" w14:textId="51D5994F" w:rsidR="00C26361" w:rsidRDefault="00C26361" w:rsidP="00C26361">
            <w:pPr>
              <w:ind w:hanging="110"/>
              <w:rPr>
                <w:szCs w:val="24"/>
              </w:rPr>
            </w:pPr>
            <w:r w:rsidRPr="00C26361">
              <w:rPr>
                <w:szCs w:val="24"/>
              </w:rPr>
              <w:t xml:space="preserve">El. p.: </w:t>
            </w:r>
            <w:hyperlink r:id="rId9" w:history="1">
              <w:r w:rsidRPr="000F3084">
                <w:rPr>
                  <w:rStyle w:val="Hyperlink"/>
                  <w:szCs w:val="24"/>
                </w:rPr>
                <w:t>info@silale.lt</w:t>
              </w:r>
            </w:hyperlink>
          </w:p>
          <w:p w14:paraId="743257A0" w14:textId="1DDC9D22" w:rsidR="00C26361" w:rsidRDefault="00C26361" w:rsidP="00C26361">
            <w:pPr>
              <w:ind w:hanging="110"/>
              <w:rPr>
                <w:szCs w:val="24"/>
              </w:rPr>
            </w:pPr>
            <w:r w:rsidRPr="00C26361">
              <w:rPr>
                <w:szCs w:val="24"/>
              </w:rPr>
              <w:t xml:space="preserve">           </w:t>
            </w:r>
            <w:hyperlink r:id="rId10" w:history="1">
              <w:r w:rsidRPr="000F3084">
                <w:rPr>
                  <w:rStyle w:val="Hyperlink"/>
                  <w:szCs w:val="24"/>
                </w:rPr>
                <w:t>raimonda.bruziene@silale.lt</w:t>
              </w:r>
            </w:hyperlink>
          </w:p>
          <w:p w14:paraId="38703EF5" w14:textId="77777777" w:rsidR="00C26361" w:rsidRPr="00C26361" w:rsidRDefault="00C26361" w:rsidP="00C26361">
            <w:pPr>
              <w:ind w:hanging="110"/>
              <w:rPr>
                <w:szCs w:val="24"/>
              </w:rPr>
            </w:pPr>
          </w:p>
          <w:p w14:paraId="6AD52F33" w14:textId="6E861176" w:rsidR="009B5390" w:rsidRDefault="009B5390" w:rsidP="00A4248B">
            <w:pPr>
              <w:ind w:hanging="110"/>
              <w:rPr>
                <w:szCs w:val="24"/>
              </w:rPr>
            </w:pPr>
          </w:p>
          <w:p w14:paraId="76D06A54" w14:textId="77777777" w:rsidR="00C26361" w:rsidRPr="00C26361" w:rsidRDefault="00C26361" w:rsidP="00C26361">
            <w:pPr>
              <w:ind w:hanging="110"/>
              <w:rPr>
                <w:szCs w:val="24"/>
              </w:rPr>
            </w:pPr>
            <w:r w:rsidRPr="00C26361">
              <w:rPr>
                <w:szCs w:val="24"/>
              </w:rPr>
              <w:t>Centrinei projektų valdymo agentūrai</w:t>
            </w:r>
          </w:p>
          <w:p w14:paraId="348C20D0" w14:textId="66D370B6" w:rsidR="00C26361" w:rsidRPr="00C26361" w:rsidRDefault="00C26361" w:rsidP="00C26361">
            <w:pPr>
              <w:ind w:hanging="110"/>
              <w:rPr>
                <w:szCs w:val="24"/>
              </w:rPr>
            </w:pPr>
            <w:r w:rsidRPr="00C26361">
              <w:rPr>
                <w:szCs w:val="24"/>
              </w:rPr>
              <w:t>S. Konarskio g. 13</w:t>
            </w:r>
          </w:p>
          <w:p w14:paraId="7ED38E9F" w14:textId="54EEE635" w:rsidR="00C26361" w:rsidRPr="00C26361" w:rsidRDefault="00C26361" w:rsidP="00C26361">
            <w:pPr>
              <w:ind w:hanging="110"/>
              <w:rPr>
                <w:szCs w:val="24"/>
              </w:rPr>
            </w:pPr>
            <w:r w:rsidRPr="00C26361">
              <w:rPr>
                <w:szCs w:val="24"/>
              </w:rPr>
              <w:t xml:space="preserve">03109 Vilnius </w:t>
            </w:r>
          </w:p>
          <w:p w14:paraId="5E7A8908" w14:textId="2064542B" w:rsidR="00C26361" w:rsidRDefault="00C26361" w:rsidP="00C26361">
            <w:pPr>
              <w:ind w:hanging="110"/>
              <w:rPr>
                <w:szCs w:val="24"/>
              </w:rPr>
            </w:pPr>
            <w:r w:rsidRPr="00C26361">
              <w:rPr>
                <w:szCs w:val="24"/>
              </w:rPr>
              <w:t xml:space="preserve">El. p. </w:t>
            </w:r>
            <w:hyperlink r:id="rId11" w:history="1">
              <w:r w:rsidRPr="000F3084">
                <w:rPr>
                  <w:rStyle w:val="Hyperlink"/>
                  <w:szCs w:val="24"/>
                </w:rPr>
                <w:t>info@cpva.lt</w:t>
              </w:r>
            </w:hyperlink>
          </w:p>
          <w:p w14:paraId="7CA53F22" w14:textId="41C3C5D1" w:rsidR="001E14CF" w:rsidRPr="00007472" w:rsidRDefault="001E14CF" w:rsidP="00A4248B">
            <w:pPr>
              <w:ind w:hanging="110"/>
              <w:rPr>
                <w:szCs w:val="24"/>
              </w:rPr>
            </w:pPr>
          </w:p>
        </w:tc>
        <w:tc>
          <w:tcPr>
            <w:tcW w:w="1843" w:type="dxa"/>
          </w:tcPr>
          <w:p w14:paraId="6A73F063" w14:textId="1FCCB8E7" w:rsidR="00D84F53" w:rsidRPr="00007472" w:rsidRDefault="00D84F53" w:rsidP="00D84F53">
            <w:pPr>
              <w:tabs>
                <w:tab w:val="left" w:pos="900"/>
              </w:tabs>
              <w:rPr>
                <w:szCs w:val="24"/>
              </w:rPr>
            </w:pPr>
            <w:r w:rsidRPr="00007472">
              <w:rPr>
                <w:szCs w:val="24"/>
              </w:rPr>
              <w:t>20</w:t>
            </w:r>
            <w:r w:rsidR="008925A8" w:rsidRPr="00007472">
              <w:rPr>
                <w:szCs w:val="24"/>
              </w:rPr>
              <w:t>2</w:t>
            </w:r>
            <w:r w:rsidR="00A4248B">
              <w:rPr>
                <w:szCs w:val="24"/>
              </w:rPr>
              <w:t>2</w:t>
            </w:r>
            <w:r w:rsidRPr="00007472">
              <w:rPr>
                <w:szCs w:val="24"/>
              </w:rPr>
              <w:t>-</w:t>
            </w:r>
            <w:r w:rsidR="00A4248B">
              <w:rPr>
                <w:szCs w:val="24"/>
              </w:rPr>
              <w:t>01</w:t>
            </w:r>
            <w:r w:rsidRPr="00007472">
              <w:rPr>
                <w:szCs w:val="24"/>
              </w:rPr>
              <w:t xml:space="preserve">-     </w:t>
            </w:r>
          </w:p>
          <w:p w14:paraId="6645B113" w14:textId="7347E335" w:rsidR="00231B7D" w:rsidRPr="00231B7D" w:rsidRDefault="00D84F53" w:rsidP="00993872">
            <w:pPr>
              <w:tabs>
                <w:tab w:val="left" w:pos="900"/>
              </w:tabs>
              <w:ind w:right="-513"/>
              <w:rPr>
                <w:szCs w:val="24"/>
              </w:rPr>
            </w:pPr>
            <w:r w:rsidRPr="00007472">
              <w:rPr>
                <w:szCs w:val="24"/>
              </w:rPr>
              <w:t>Į 20</w:t>
            </w:r>
            <w:r w:rsidR="00847365" w:rsidRPr="00007472">
              <w:rPr>
                <w:szCs w:val="24"/>
              </w:rPr>
              <w:t>2</w:t>
            </w:r>
            <w:r w:rsidR="00C26361">
              <w:rPr>
                <w:szCs w:val="24"/>
              </w:rPr>
              <w:t>2</w:t>
            </w:r>
            <w:r w:rsidRPr="00007472">
              <w:rPr>
                <w:szCs w:val="24"/>
              </w:rPr>
              <w:t>-</w:t>
            </w:r>
            <w:r w:rsidR="00C26361">
              <w:rPr>
                <w:szCs w:val="24"/>
              </w:rPr>
              <w:t>01</w:t>
            </w:r>
            <w:r w:rsidRPr="00007472">
              <w:rPr>
                <w:szCs w:val="24"/>
              </w:rPr>
              <w:t>-</w:t>
            </w:r>
            <w:r w:rsidR="00C26361">
              <w:rPr>
                <w:szCs w:val="24"/>
              </w:rPr>
              <w:t>04</w:t>
            </w:r>
          </w:p>
        </w:tc>
        <w:tc>
          <w:tcPr>
            <w:tcW w:w="3154" w:type="dxa"/>
          </w:tcPr>
          <w:p w14:paraId="1AA70810" w14:textId="6BF4C4DD" w:rsidR="00D84F53" w:rsidRPr="00007472" w:rsidRDefault="00D84F53" w:rsidP="00231B7D">
            <w:pPr>
              <w:tabs>
                <w:tab w:val="left" w:pos="900"/>
              </w:tabs>
              <w:ind w:hanging="104"/>
              <w:rPr>
                <w:szCs w:val="24"/>
              </w:rPr>
            </w:pPr>
            <w:r w:rsidRPr="00007472">
              <w:rPr>
                <w:szCs w:val="24"/>
              </w:rPr>
              <w:t>Nr.</w:t>
            </w:r>
            <w:r w:rsidR="00237968" w:rsidRPr="00007472">
              <w:rPr>
                <w:szCs w:val="24"/>
              </w:rPr>
              <w:t xml:space="preserve"> 4S-     </w:t>
            </w:r>
            <w:r w:rsidR="006556C2" w:rsidRPr="00007472">
              <w:rPr>
                <w:szCs w:val="24"/>
              </w:rPr>
              <w:t xml:space="preserve">    </w:t>
            </w:r>
            <w:r w:rsidR="00237968" w:rsidRPr="00007472">
              <w:rPr>
                <w:szCs w:val="24"/>
              </w:rPr>
              <w:t xml:space="preserve">   (7.</w:t>
            </w:r>
            <w:r w:rsidR="008925A8" w:rsidRPr="00007472">
              <w:rPr>
                <w:szCs w:val="24"/>
              </w:rPr>
              <w:t>4</w:t>
            </w:r>
            <w:r w:rsidR="007F4983" w:rsidRPr="00007472">
              <w:rPr>
                <w:szCs w:val="24"/>
              </w:rPr>
              <w:t>Mr</w:t>
            </w:r>
            <w:r w:rsidR="00237968" w:rsidRPr="00007472">
              <w:rPr>
                <w:szCs w:val="24"/>
              </w:rPr>
              <w:t>)</w:t>
            </w:r>
          </w:p>
          <w:p w14:paraId="1A0DECC7" w14:textId="50DBE818" w:rsidR="00231B7D" w:rsidRPr="00007472" w:rsidRDefault="00993872" w:rsidP="00993872">
            <w:pPr>
              <w:tabs>
                <w:tab w:val="left" w:pos="900"/>
              </w:tabs>
              <w:ind w:hanging="104"/>
              <w:rPr>
                <w:szCs w:val="24"/>
              </w:rPr>
            </w:pPr>
            <w:r>
              <w:rPr>
                <w:szCs w:val="24"/>
              </w:rPr>
              <w:t xml:space="preserve">Nr. </w:t>
            </w:r>
            <w:r w:rsidR="00C26361">
              <w:rPr>
                <w:szCs w:val="24"/>
              </w:rPr>
              <w:t>B3-30 (11.5 E)</w:t>
            </w:r>
            <w:r w:rsidR="00231B7D" w:rsidRPr="006C6833">
              <w:rPr>
                <w:szCs w:val="24"/>
              </w:rPr>
              <w:t xml:space="preserve"> </w:t>
            </w:r>
          </w:p>
        </w:tc>
        <w:tc>
          <w:tcPr>
            <w:tcW w:w="1483" w:type="dxa"/>
          </w:tcPr>
          <w:p w14:paraId="234142AC" w14:textId="77777777" w:rsidR="00D84F53" w:rsidRPr="00007472" w:rsidRDefault="00D84F53" w:rsidP="00D84F53">
            <w:pPr>
              <w:tabs>
                <w:tab w:val="left" w:pos="1422"/>
              </w:tabs>
              <w:ind w:left="-108"/>
              <w:rPr>
                <w:szCs w:val="24"/>
              </w:rPr>
            </w:pPr>
          </w:p>
        </w:tc>
      </w:tr>
    </w:tbl>
    <w:p w14:paraId="1AC82EE2" w14:textId="3E02A4A2" w:rsidR="0074767A" w:rsidRDefault="0074767A" w:rsidP="0074767A">
      <w:pPr>
        <w:jc w:val="center"/>
        <w:rPr>
          <w:b/>
          <w:bCs/>
          <w:szCs w:val="24"/>
        </w:rPr>
      </w:pPr>
      <w:r w:rsidRPr="00007472">
        <w:rPr>
          <w:b/>
          <w:bCs/>
          <w:szCs w:val="24"/>
        </w:rPr>
        <w:t>VERTINIMO IŠVADA</w:t>
      </w:r>
    </w:p>
    <w:p w14:paraId="0CBB5BF6" w14:textId="77777777" w:rsidR="0074767A" w:rsidRPr="00007472" w:rsidRDefault="0074767A" w:rsidP="0074767A">
      <w:pPr>
        <w:rPr>
          <w:szCs w:val="24"/>
        </w:rPr>
      </w:pPr>
    </w:p>
    <w:p w14:paraId="0AC3A744" w14:textId="562EB107" w:rsidR="003D5064" w:rsidRPr="00007472" w:rsidRDefault="00942B4F" w:rsidP="005A694B">
      <w:pPr>
        <w:ind w:firstLine="426"/>
        <w:jc w:val="both"/>
        <w:rPr>
          <w:szCs w:val="24"/>
        </w:rPr>
      </w:pPr>
      <w:r w:rsidRPr="00007472">
        <w:rPr>
          <w:bCs/>
          <w:szCs w:val="24"/>
        </w:rPr>
        <w:t xml:space="preserve">Viešųjų pirkimų tarnyba (toliau – Tarnyba), </w:t>
      </w:r>
      <w:r w:rsidR="00C26361" w:rsidRPr="00C26361">
        <w:rPr>
          <w:bCs/>
          <w:szCs w:val="24"/>
        </w:rPr>
        <w:t>vadovaudamasi Lietuvos Respublikos viešųjų pirkimų įstatymo (toliau – Įstatymas) 95 straipsnio 1 dalies 2 punktu</w:t>
      </w:r>
      <w:r w:rsidRPr="00007472">
        <w:rPr>
          <w:bCs/>
          <w:szCs w:val="24"/>
        </w:rPr>
        <w:t xml:space="preserve">, atliko </w:t>
      </w:r>
      <w:r w:rsidR="00C26361">
        <w:rPr>
          <w:bCs/>
          <w:szCs w:val="24"/>
        </w:rPr>
        <w:t xml:space="preserve">Šilalės rajono savivaldybės administracijos </w:t>
      </w:r>
      <w:r w:rsidR="00D47142" w:rsidRPr="00D47142">
        <w:rPr>
          <w:bCs/>
          <w:szCs w:val="24"/>
        </w:rPr>
        <w:t xml:space="preserve">(toliau – </w:t>
      </w:r>
      <w:r w:rsidR="00362B54">
        <w:rPr>
          <w:bCs/>
          <w:szCs w:val="24"/>
        </w:rPr>
        <w:t>Perkančioji organizacija</w:t>
      </w:r>
      <w:r w:rsidR="00D47142" w:rsidRPr="00D47142">
        <w:rPr>
          <w:bCs/>
          <w:szCs w:val="24"/>
        </w:rPr>
        <w:t>)</w:t>
      </w:r>
      <w:r w:rsidR="00D47142">
        <w:rPr>
          <w:bCs/>
          <w:szCs w:val="24"/>
        </w:rPr>
        <w:t xml:space="preserve"> </w:t>
      </w:r>
      <w:r w:rsidR="00ED44E4" w:rsidRPr="00ED44E4">
        <w:rPr>
          <w:bCs/>
          <w:szCs w:val="24"/>
        </w:rPr>
        <w:t>vyk</w:t>
      </w:r>
      <w:r w:rsidR="00A4248B">
        <w:rPr>
          <w:bCs/>
          <w:szCs w:val="24"/>
        </w:rPr>
        <w:t>dyto</w:t>
      </w:r>
      <w:r w:rsidR="00ED44E4" w:rsidRPr="00ED44E4">
        <w:rPr>
          <w:bCs/>
          <w:szCs w:val="24"/>
        </w:rPr>
        <w:t xml:space="preserve"> vieš</w:t>
      </w:r>
      <w:r w:rsidR="00A4248B">
        <w:rPr>
          <w:bCs/>
          <w:szCs w:val="24"/>
        </w:rPr>
        <w:t>ojo</w:t>
      </w:r>
      <w:r w:rsidR="00ED44E4" w:rsidRPr="00ED44E4">
        <w:rPr>
          <w:bCs/>
          <w:szCs w:val="24"/>
        </w:rPr>
        <w:t xml:space="preserve"> pirkim</w:t>
      </w:r>
      <w:r w:rsidR="00A4248B">
        <w:rPr>
          <w:bCs/>
          <w:szCs w:val="24"/>
        </w:rPr>
        <w:t>o ir</w:t>
      </w:r>
      <w:r w:rsidR="00ED44E4" w:rsidRPr="00ED44E4">
        <w:rPr>
          <w:bCs/>
          <w:szCs w:val="24"/>
        </w:rPr>
        <w:t xml:space="preserve"> </w:t>
      </w:r>
      <w:r w:rsidR="00094E27">
        <w:rPr>
          <w:bCs/>
          <w:szCs w:val="24"/>
        </w:rPr>
        <w:t>jo pagrindu sudaryt</w:t>
      </w:r>
      <w:r w:rsidR="00B5385D">
        <w:rPr>
          <w:bCs/>
          <w:szCs w:val="24"/>
        </w:rPr>
        <w:t>ų</w:t>
      </w:r>
      <w:r w:rsidR="00094E27">
        <w:rPr>
          <w:bCs/>
          <w:szCs w:val="24"/>
        </w:rPr>
        <w:t xml:space="preserve"> sutar</w:t>
      </w:r>
      <w:r w:rsidR="00B5385D">
        <w:rPr>
          <w:bCs/>
          <w:szCs w:val="24"/>
        </w:rPr>
        <w:t>čių</w:t>
      </w:r>
      <w:r w:rsidR="00094E27">
        <w:rPr>
          <w:bCs/>
          <w:szCs w:val="24"/>
        </w:rPr>
        <w:t xml:space="preserve"> </w:t>
      </w:r>
      <w:r w:rsidR="00ED44E4" w:rsidRPr="00ED44E4">
        <w:rPr>
          <w:bCs/>
          <w:szCs w:val="24"/>
        </w:rPr>
        <w:t>vertinim</w:t>
      </w:r>
      <w:r w:rsidR="001F3B60">
        <w:rPr>
          <w:bCs/>
          <w:szCs w:val="24"/>
        </w:rPr>
        <w:t>ą</w:t>
      </w:r>
      <w:r w:rsidR="00ED44E4" w:rsidRPr="00ED44E4">
        <w:rPr>
          <w:bCs/>
          <w:szCs w:val="24"/>
        </w:rPr>
        <w:t>.</w:t>
      </w:r>
      <w:r w:rsidR="00ED44E4">
        <w:rPr>
          <w:bCs/>
          <w:szCs w:val="24"/>
        </w:rPr>
        <w:t xml:space="preserve"> </w:t>
      </w:r>
    </w:p>
    <w:p w14:paraId="0EF48657" w14:textId="4DEADD80" w:rsidR="002A07F4" w:rsidRDefault="002A07F4" w:rsidP="005A694B">
      <w:pPr>
        <w:ind w:firstLine="426"/>
        <w:rPr>
          <w:b/>
          <w:szCs w:val="14"/>
        </w:rPr>
      </w:pPr>
    </w:p>
    <w:p w14:paraId="4D496097" w14:textId="77777777" w:rsidR="00F57D6A" w:rsidRPr="00007472" w:rsidRDefault="00F57D6A" w:rsidP="00F57D6A">
      <w:pPr>
        <w:spacing w:line="254" w:lineRule="auto"/>
        <w:ind w:right="49"/>
        <w:jc w:val="center"/>
        <w:rPr>
          <w:szCs w:val="24"/>
        </w:rPr>
      </w:pPr>
      <w:r w:rsidRPr="00007472">
        <w:rPr>
          <w:b/>
          <w:szCs w:val="24"/>
        </w:rPr>
        <w:t>I dalis. Bendra informacija</w:t>
      </w:r>
    </w:p>
    <w:p w14:paraId="130B6710" w14:textId="77777777" w:rsidR="00F57D6A" w:rsidRPr="00007472" w:rsidRDefault="00F57D6A" w:rsidP="00F57D6A">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F57D6A" w:rsidRPr="00007472" w14:paraId="6301C7E7"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377D7AFF" w14:textId="77777777" w:rsidR="00F57D6A" w:rsidRPr="00094E27" w:rsidRDefault="00F57D6A" w:rsidP="003A3DDE">
            <w:pPr>
              <w:jc w:val="both"/>
              <w:rPr>
                <w:szCs w:val="24"/>
              </w:rPr>
            </w:pPr>
            <w:r w:rsidRPr="00094E27">
              <w:rPr>
                <w:rFonts w:eastAsia="Calibri"/>
                <w:szCs w:val="24"/>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55876BB" w14:textId="204CC350" w:rsidR="00E77A73" w:rsidRDefault="00094E27" w:rsidP="00094E27">
            <w:pPr>
              <w:spacing w:line="254" w:lineRule="auto"/>
              <w:jc w:val="both"/>
              <w:rPr>
                <w:szCs w:val="24"/>
              </w:rPr>
            </w:pPr>
            <w:r w:rsidRPr="00094E27">
              <w:rPr>
                <w:i/>
                <w:iCs/>
                <w:szCs w:val="24"/>
              </w:rPr>
              <w:t>„</w:t>
            </w:r>
            <w:r w:rsidR="009F21B6" w:rsidRPr="009F21B6">
              <w:rPr>
                <w:i/>
                <w:iCs/>
                <w:szCs w:val="24"/>
              </w:rPr>
              <w:t>Elektrinių autobusų pirkimas</w:t>
            </w:r>
            <w:r w:rsidRPr="00094E27">
              <w:rPr>
                <w:i/>
                <w:iCs/>
                <w:color w:val="333333"/>
                <w:szCs w:val="24"/>
                <w:lang w:eastAsia="lt-LT"/>
              </w:rPr>
              <w:t>“</w:t>
            </w:r>
            <w:r w:rsidRPr="00094E27">
              <w:rPr>
                <w:bCs/>
                <w:szCs w:val="24"/>
              </w:rPr>
              <w:t xml:space="preserve"> </w:t>
            </w:r>
            <w:r w:rsidRPr="00094E27">
              <w:rPr>
                <w:szCs w:val="24"/>
              </w:rPr>
              <w:t>(</w:t>
            </w:r>
            <w:r w:rsidR="00DE0BFB" w:rsidRPr="00DE0BFB">
              <w:rPr>
                <w:szCs w:val="24"/>
              </w:rPr>
              <w:t>2021 m. rugpjūčio 15 d. skelbtas Centrinėje viešųjų pirkimų informacinėje sistemoje (toliau – CVP IS), pirkimo Nr. 560150</w:t>
            </w:r>
            <w:r w:rsidR="00DE0BFB">
              <w:rPr>
                <w:szCs w:val="24"/>
              </w:rPr>
              <w:t xml:space="preserve"> (toliau – Pirkimas)</w:t>
            </w:r>
            <w:r w:rsidR="00E77A73">
              <w:rPr>
                <w:szCs w:val="24"/>
              </w:rPr>
              <w:t>:</w:t>
            </w:r>
          </w:p>
          <w:p w14:paraId="5CB34794" w14:textId="47CB969F" w:rsidR="00E77A73" w:rsidRDefault="00E77A73" w:rsidP="00094E27">
            <w:pPr>
              <w:spacing w:line="254" w:lineRule="auto"/>
              <w:jc w:val="both"/>
              <w:rPr>
                <w:szCs w:val="24"/>
              </w:rPr>
            </w:pPr>
            <w:r>
              <w:rPr>
                <w:szCs w:val="24"/>
              </w:rPr>
              <w:t xml:space="preserve">I Pirkimo objekto dalis – </w:t>
            </w:r>
            <w:proofErr w:type="spellStart"/>
            <w:r>
              <w:rPr>
                <w:szCs w:val="24"/>
              </w:rPr>
              <w:t>žemagrindis</w:t>
            </w:r>
            <w:proofErr w:type="spellEnd"/>
            <w:r>
              <w:rPr>
                <w:szCs w:val="24"/>
              </w:rPr>
              <w:t xml:space="preserve"> autobusas;</w:t>
            </w:r>
          </w:p>
          <w:p w14:paraId="04800E75" w14:textId="00C19F56" w:rsidR="00E77A73" w:rsidRDefault="00E77A73" w:rsidP="00094E27">
            <w:pPr>
              <w:spacing w:line="254" w:lineRule="auto"/>
              <w:jc w:val="both"/>
              <w:rPr>
                <w:szCs w:val="24"/>
              </w:rPr>
            </w:pPr>
            <w:r>
              <w:rPr>
                <w:szCs w:val="24"/>
              </w:rPr>
              <w:t xml:space="preserve">II Pirkimo objekto dalis – </w:t>
            </w:r>
            <w:proofErr w:type="spellStart"/>
            <w:r>
              <w:rPr>
                <w:szCs w:val="24"/>
              </w:rPr>
              <w:t>žemagrindis</w:t>
            </w:r>
            <w:proofErr w:type="spellEnd"/>
            <w:r>
              <w:rPr>
                <w:szCs w:val="24"/>
              </w:rPr>
              <w:t xml:space="preserve"> autobusas /</w:t>
            </w:r>
          </w:p>
          <w:p w14:paraId="4D26C288" w14:textId="687B58D9" w:rsidR="00F57D6A" w:rsidRPr="00094E27" w:rsidRDefault="00094E27" w:rsidP="00094E27">
            <w:pPr>
              <w:spacing w:line="254" w:lineRule="auto"/>
              <w:jc w:val="both"/>
              <w:rPr>
                <w:szCs w:val="24"/>
              </w:rPr>
            </w:pPr>
            <w:r w:rsidRPr="00094E27">
              <w:rPr>
                <w:szCs w:val="24"/>
              </w:rPr>
              <w:t xml:space="preserve">2021 m. lapkričio </w:t>
            </w:r>
            <w:r w:rsidR="00DE0BFB">
              <w:rPr>
                <w:szCs w:val="24"/>
              </w:rPr>
              <w:t>10</w:t>
            </w:r>
            <w:r w:rsidRPr="00094E27">
              <w:rPr>
                <w:szCs w:val="24"/>
              </w:rPr>
              <w:t xml:space="preserve"> d. Pirkimo sutart</w:t>
            </w:r>
            <w:r w:rsidR="00DE0BFB">
              <w:rPr>
                <w:szCs w:val="24"/>
              </w:rPr>
              <w:t>ys</w:t>
            </w:r>
            <w:r w:rsidRPr="00094E27">
              <w:rPr>
                <w:szCs w:val="24"/>
              </w:rPr>
              <w:t xml:space="preserve"> Nr. </w:t>
            </w:r>
            <w:r w:rsidR="00DE0BFB">
              <w:rPr>
                <w:szCs w:val="24"/>
              </w:rPr>
              <w:t>B6-190(b) (I Pirkimo objekto dali</w:t>
            </w:r>
            <w:r w:rsidR="004E6C75">
              <w:rPr>
                <w:szCs w:val="24"/>
              </w:rPr>
              <w:t>s</w:t>
            </w:r>
            <w:r w:rsidR="00DE0BFB">
              <w:rPr>
                <w:szCs w:val="24"/>
              </w:rPr>
              <w:t>) ir Nr. B6-191(b) (II Pirkimo objekto dali</w:t>
            </w:r>
            <w:r w:rsidR="004E6C75">
              <w:rPr>
                <w:szCs w:val="24"/>
              </w:rPr>
              <w:t>s</w:t>
            </w:r>
            <w:r w:rsidR="00DE0BFB">
              <w:rPr>
                <w:szCs w:val="24"/>
              </w:rPr>
              <w:t xml:space="preserve">) </w:t>
            </w:r>
            <w:r w:rsidRPr="00094E27">
              <w:rPr>
                <w:szCs w:val="24"/>
              </w:rPr>
              <w:t>(toliau – Sutart</w:t>
            </w:r>
            <w:r w:rsidR="00DE0BFB">
              <w:rPr>
                <w:szCs w:val="24"/>
              </w:rPr>
              <w:t>y</w:t>
            </w:r>
            <w:r w:rsidRPr="00094E27">
              <w:rPr>
                <w:szCs w:val="24"/>
              </w:rPr>
              <w:t>s)</w:t>
            </w:r>
          </w:p>
        </w:tc>
      </w:tr>
      <w:tr w:rsidR="00F57D6A" w:rsidRPr="00007472" w14:paraId="26F60052"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565EC35B" w14:textId="77777777" w:rsidR="00F57D6A" w:rsidRPr="00094E27" w:rsidRDefault="00F57D6A" w:rsidP="003A3DDE">
            <w:pPr>
              <w:jc w:val="both"/>
              <w:rPr>
                <w:szCs w:val="24"/>
              </w:rPr>
            </w:pPr>
            <w:r w:rsidRPr="00094E27">
              <w:rPr>
                <w:rFonts w:eastAsia="Calibri"/>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0C795D1E" w14:textId="7726B839" w:rsidR="00F57D6A" w:rsidRPr="00094E27" w:rsidRDefault="00BE1051" w:rsidP="003A3DDE">
            <w:pPr>
              <w:spacing w:line="254" w:lineRule="auto"/>
              <w:jc w:val="both"/>
              <w:rPr>
                <w:szCs w:val="24"/>
              </w:rPr>
            </w:pPr>
            <w:r>
              <w:rPr>
                <w:bCs/>
                <w:szCs w:val="24"/>
              </w:rPr>
              <w:t>Į</w:t>
            </w:r>
            <w:r w:rsidR="00F57D6A" w:rsidRPr="00094E27">
              <w:rPr>
                <w:bCs/>
                <w:szCs w:val="24"/>
              </w:rPr>
              <w:t xml:space="preserve">statymas (redakcija nuo 2020 m. rugpjūčio 1 d. iki 2021 m. lapkričio 30 d.) </w:t>
            </w:r>
          </w:p>
        </w:tc>
      </w:tr>
      <w:tr w:rsidR="00F57D6A" w:rsidRPr="00007472" w14:paraId="4F2AD1DB"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46771B03" w14:textId="77777777" w:rsidR="00F57D6A" w:rsidRPr="00094E27" w:rsidRDefault="00F57D6A" w:rsidP="003A3DDE">
            <w:pPr>
              <w:jc w:val="both"/>
              <w:rPr>
                <w:rFonts w:eastAsia="Calibri"/>
                <w:szCs w:val="24"/>
              </w:rPr>
            </w:pPr>
            <w:r w:rsidRPr="00094E27">
              <w:rPr>
                <w:rFonts w:eastAsia="Calibri"/>
                <w:szCs w:val="24"/>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2541808" w14:textId="6EB25F5C" w:rsidR="00F57D6A" w:rsidRPr="00094E27" w:rsidRDefault="00F57D6A" w:rsidP="003A3DDE">
            <w:pPr>
              <w:rPr>
                <w:szCs w:val="24"/>
              </w:rPr>
            </w:pPr>
            <w:r w:rsidRPr="00094E27">
              <w:rPr>
                <w:bCs/>
                <w:szCs w:val="24"/>
              </w:rPr>
              <w:t>Atvir</w:t>
            </w:r>
            <w:r w:rsidR="00094E27" w:rsidRPr="00094E27">
              <w:rPr>
                <w:bCs/>
                <w:szCs w:val="24"/>
              </w:rPr>
              <w:t xml:space="preserve">as </w:t>
            </w:r>
            <w:r w:rsidRPr="00094E27">
              <w:rPr>
                <w:bCs/>
                <w:szCs w:val="24"/>
              </w:rPr>
              <w:t>konkursa</w:t>
            </w:r>
            <w:r w:rsidR="00094E27" w:rsidRPr="00094E27">
              <w:rPr>
                <w:bCs/>
                <w:szCs w:val="24"/>
              </w:rPr>
              <w:t>s</w:t>
            </w:r>
          </w:p>
        </w:tc>
      </w:tr>
      <w:tr w:rsidR="00F57D6A" w:rsidRPr="00007472" w14:paraId="5EBB0147"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38C1AE6D" w14:textId="77777777" w:rsidR="00F57D6A" w:rsidRPr="00094E27" w:rsidRDefault="00F57D6A" w:rsidP="003A3DDE">
            <w:pPr>
              <w:jc w:val="both"/>
              <w:rPr>
                <w:rFonts w:eastAsia="Calibri"/>
                <w:szCs w:val="24"/>
              </w:rPr>
            </w:pPr>
            <w:r w:rsidRPr="00094E27">
              <w:rPr>
                <w:rFonts w:eastAsia="Calibri"/>
                <w:szCs w:val="24"/>
              </w:rPr>
              <w:t>Planuota (nenurodoma, jeigu pirkimas vertinamas iki vokų su pasiūlymais atplėšimo procedūros), faktinė pirkimo / sutarties vertė Eur be PVM</w:t>
            </w:r>
          </w:p>
        </w:tc>
        <w:tc>
          <w:tcPr>
            <w:tcW w:w="5104" w:type="dxa"/>
            <w:tcBorders>
              <w:top w:val="single" w:sz="4" w:space="0" w:color="auto"/>
              <w:left w:val="single" w:sz="4" w:space="0" w:color="auto"/>
              <w:bottom w:val="single" w:sz="4" w:space="0" w:color="auto"/>
              <w:right w:val="single" w:sz="4" w:space="0" w:color="auto"/>
            </w:tcBorders>
          </w:tcPr>
          <w:p w14:paraId="2BEA4F8B" w14:textId="5DFC9AA9" w:rsidR="00E77A73" w:rsidRDefault="00E77A73" w:rsidP="003A3DDE">
            <w:pPr>
              <w:jc w:val="both"/>
              <w:rPr>
                <w:szCs w:val="24"/>
              </w:rPr>
            </w:pPr>
            <w:r>
              <w:rPr>
                <w:szCs w:val="24"/>
              </w:rPr>
              <w:t xml:space="preserve">I Pirkimo objekto dalies </w:t>
            </w:r>
            <w:r w:rsidR="00E9253B">
              <w:rPr>
                <w:szCs w:val="24"/>
              </w:rPr>
              <w:t xml:space="preserve">sutarties </w:t>
            </w:r>
            <w:r>
              <w:rPr>
                <w:szCs w:val="24"/>
              </w:rPr>
              <w:t xml:space="preserve">vertė – </w:t>
            </w:r>
            <w:r w:rsidR="00DE0BFB">
              <w:rPr>
                <w:szCs w:val="24"/>
              </w:rPr>
              <w:t>285 600</w:t>
            </w:r>
            <w:r w:rsidR="003F4996">
              <w:rPr>
                <w:szCs w:val="24"/>
              </w:rPr>
              <w:t>,00 Eur be PVM;</w:t>
            </w:r>
          </w:p>
          <w:p w14:paraId="2A501ED1" w14:textId="779980C1" w:rsidR="00E77A73" w:rsidRPr="003062DB" w:rsidRDefault="00E77A73" w:rsidP="003A3DDE">
            <w:pPr>
              <w:jc w:val="both"/>
              <w:rPr>
                <w:szCs w:val="24"/>
              </w:rPr>
            </w:pPr>
            <w:r>
              <w:rPr>
                <w:szCs w:val="24"/>
              </w:rPr>
              <w:t xml:space="preserve">II Pirkimo objekto dalies </w:t>
            </w:r>
            <w:r w:rsidR="00E9253B">
              <w:rPr>
                <w:szCs w:val="24"/>
              </w:rPr>
              <w:t xml:space="preserve">sutarties </w:t>
            </w:r>
            <w:r>
              <w:rPr>
                <w:szCs w:val="24"/>
              </w:rPr>
              <w:t xml:space="preserve">vertė </w:t>
            </w:r>
            <w:r w:rsidR="003F4996">
              <w:rPr>
                <w:szCs w:val="24"/>
              </w:rPr>
              <w:t>–</w:t>
            </w:r>
            <w:r>
              <w:rPr>
                <w:szCs w:val="24"/>
              </w:rPr>
              <w:t xml:space="preserve"> </w:t>
            </w:r>
            <w:r w:rsidR="00DE0BFB">
              <w:rPr>
                <w:szCs w:val="24"/>
              </w:rPr>
              <w:t>287 310</w:t>
            </w:r>
            <w:r w:rsidR="003F4996">
              <w:rPr>
                <w:szCs w:val="24"/>
              </w:rPr>
              <w:t xml:space="preserve">,00 Eur </w:t>
            </w:r>
            <w:r w:rsidR="00FB2529">
              <w:rPr>
                <w:szCs w:val="24"/>
              </w:rPr>
              <w:t>b</w:t>
            </w:r>
            <w:r w:rsidR="003F4996">
              <w:rPr>
                <w:szCs w:val="24"/>
              </w:rPr>
              <w:t>e PVM</w:t>
            </w:r>
          </w:p>
        </w:tc>
      </w:tr>
      <w:tr w:rsidR="00F57D6A" w:rsidRPr="00007472" w14:paraId="54ACC7D2"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472CFA54" w14:textId="77777777" w:rsidR="00F57D6A" w:rsidRPr="00094E27" w:rsidRDefault="00F57D6A" w:rsidP="003A3DDE">
            <w:pPr>
              <w:jc w:val="both"/>
              <w:rPr>
                <w:szCs w:val="24"/>
              </w:rPr>
            </w:pPr>
            <w:r w:rsidRPr="00094E27">
              <w:rPr>
                <w:rFonts w:eastAsia="Calibri"/>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238C33D2" w14:textId="6D5AC0F2" w:rsidR="00F57D6A" w:rsidRPr="003062DB" w:rsidRDefault="00094E27" w:rsidP="003A3DDE">
            <w:pPr>
              <w:jc w:val="both"/>
              <w:rPr>
                <w:szCs w:val="24"/>
              </w:rPr>
            </w:pPr>
            <w:r w:rsidRPr="003062DB">
              <w:rPr>
                <w:szCs w:val="24"/>
              </w:rPr>
              <w:t>UAB „Saločiai ir partneriai“</w:t>
            </w:r>
            <w:r w:rsidR="00A211A9" w:rsidRPr="003062DB">
              <w:rPr>
                <w:szCs w:val="24"/>
              </w:rPr>
              <w:t xml:space="preserve">, </w:t>
            </w:r>
            <w:r w:rsidR="00BE1051">
              <w:rPr>
                <w:szCs w:val="24"/>
              </w:rPr>
              <w:t>juridinio asmens kodas -</w:t>
            </w:r>
            <w:r w:rsidR="00F1007A">
              <w:rPr>
                <w:szCs w:val="24"/>
              </w:rPr>
              <w:t xml:space="preserve">– </w:t>
            </w:r>
            <w:r w:rsidR="00A211A9" w:rsidRPr="003062DB">
              <w:rPr>
                <w:szCs w:val="24"/>
              </w:rPr>
              <w:t>125523244</w:t>
            </w:r>
          </w:p>
        </w:tc>
      </w:tr>
      <w:tr w:rsidR="00F57D6A" w:rsidRPr="00007472" w14:paraId="0F85E269"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037A968A" w14:textId="77777777" w:rsidR="00F57D6A" w:rsidRPr="00094E27" w:rsidRDefault="00F57D6A" w:rsidP="003A3DDE">
            <w:pPr>
              <w:jc w:val="both"/>
              <w:rPr>
                <w:rFonts w:eastAsia="Calibri"/>
                <w:szCs w:val="24"/>
              </w:rPr>
            </w:pPr>
            <w:r w:rsidRPr="00094E27">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10EDD80B" w14:textId="584A375A" w:rsidR="00F57D6A" w:rsidRPr="00094E27" w:rsidRDefault="00F57D6A" w:rsidP="00B12F75">
            <w:pPr>
              <w:spacing w:line="254" w:lineRule="auto"/>
              <w:jc w:val="both"/>
              <w:rPr>
                <w:szCs w:val="24"/>
              </w:rPr>
            </w:pPr>
            <w:r w:rsidRPr="00094E27">
              <w:rPr>
                <w:szCs w:val="24"/>
              </w:rPr>
              <w:t>Dalini</w:t>
            </w:r>
            <w:r w:rsidR="0093128B" w:rsidRPr="00094E27">
              <w:rPr>
                <w:szCs w:val="24"/>
              </w:rPr>
              <w:t xml:space="preserve">s vertinimas – </w:t>
            </w:r>
            <w:r w:rsidR="00BE1051">
              <w:rPr>
                <w:szCs w:val="24"/>
              </w:rPr>
              <w:t>d</w:t>
            </w:r>
            <w:r w:rsidR="00094E27" w:rsidRPr="00094E27">
              <w:rPr>
                <w:color w:val="000000"/>
                <w:szCs w:val="24"/>
                <w:shd w:val="clear" w:color="auto" w:fill="FFFFFF"/>
              </w:rPr>
              <w:t>ėl laimėtojo pasiūlymo atitikties Pirkimo dokumentų reikalavimams</w:t>
            </w:r>
            <w:r w:rsidRPr="00094E27">
              <w:rPr>
                <w:szCs w:val="24"/>
              </w:rPr>
              <w:t>/</w:t>
            </w:r>
            <w:r w:rsidR="00B12F75">
              <w:rPr>
                <w:szCs w:val="24"/>
              </w:rPr>
              <w:t xml:space="preserve"> </w:t>
            </w:r>
            <w:r w:rsidRPr="00094E27">
              <w:rPr>
                <w:szCs w:val="24"/>
              </w:rPr>
              <w:t>Pirkim</w:t>
            </w:r>
            <w:r w:rsidR="00094E27" w:rsidRPr="00094E27">
              <w:rPr>
                <w:szCs w:val="24"/>
              </w:rPr>
              <w:t>o</w:t>
            </w:r>
            <w:r w:rsidRPr="00094E27">
              <w:rPr>
                <w:szCs w:val="24"/>
              </w:rPr>
              <w:t xml:space="preserve"> vertinima</w:t>
            </w:r>
            <w:r w:rsidR="0093128B" w:rsidRPr="00094E27">
              <w:rPr>
                <w:szCs w:val="24"/>
              </w:rPr>
              <w:t>s</w:t>
            </w:r>
            <w:r w:rsidRPr="00094E27">
              <w:rPr>
                <w:szCs w:val="24"/>
              </w:rPr>
              <w:t xml:space="preserve"> </w:t>
            </w:r>
            <w:r w:rsidR="00094E27" w:rsidRPr="00094E27">
              <w:rPr>
                <w:szCs w:val="24"/>
              </w:rPr>
              <w:t>po</w:t>
            </w:r>
            <w:r w:rsidRPr="00094E27">
              <w:rPr>
                <w:szCs w:val="24"/>
              </w:rPr>
              <w:t xml:space="preserve"> sutar</w:t>
            </w:r>
            <w:r w:rsidR="00094E27" w:rsidRPr="00094E27">
              <w:rPr>
                <w:szCs w:val="24"/>
              </w:rPr>
              <w:t>ties</w:t>
            </w:r>
            <w:r w:rsidRPr="00094E27">
              <w:rPr>
                <w:szCs w:val="24"/>
              </w:rPr>
              <w:t xml:space="preserve"> sudarymo.</w:t>
            </w:r>
          </w:p>
        </w:tc>
      </w:tr>
      <w:tr w:rsidR="00F57D6A" w:rsidRPr="00007472" w14:paraId="6B8AA8C9"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1E4B8367" w14:textId="77777777" w:rsidR="00F57D6A" w:rsidRPr="00094E27" w:rsidRDefault="00F57D6A" w:rsidP="003A3DDE">
            <w:pPr>
              <w:jc w:val="both"/>
              <w:rPr>
                <w:b/>
                <w:szCs w:val="24"/>
              </w:rPr>
            </w:pPr>
            <w:r w:rsidRPr="00094E27">
              <w:rPr>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51FCD52B" w14:textId="7296F431" w:rsidR="00F57D6A" w:rsidRPr="00B12F75" w:rsidRDefault="00C973BF" w:rsidP="00B12F75">
            <w:pPr>
              <w:jc w:val="both"/>
              <w:rPr>
                <w:szCs w:val="24"/>
                <w:highlight w:val="yellow"/>
              </w:rPr>
            </w:pPr>
            <w:r w:rsidRPr="00C973BF">
              <w:rPr>
                <w:szCs w:val="24"/>
              </w:rPr>
              <w:t xml:space="preserve">Pirkimas </w:t>
            </w:r>
            <w:r>
              <w:rPr>
                <w:szCs w:val="24"/>
              </w:rPr>
              <w:t xml:space="preserve">dalinai </w:t>
            </w:r>
            <w:r w:rsidRPr="00C973BF">
              <w:rPr>
                <w:szCs w:val="24"/>
              </w:rPr>
              <w:t>finansuojamas Europos Sąjungos lėšomis įgyvendinat projektą „Funkcinės zonos Tauragė+ plėtros strategijos pirmaeilių veiksmų įgyvendinimas“ Nr. J08-CPVA-V-02-0001</w:t>
            </w:r>
            <w:r>
              <w:rPr>
                <w:szCs w:val="24"/>
              </w:rPr>
              <w:t>. Įgyvendinančioji institucija – Centrinė projektų valdymo agentūra</w:t>
            </w:r>
          </w:p>
        </w:tc>
      </w:tr>
      <w:tr w:rsidR="00F57D6A" w:rsidRPr="00007472" w14:paraId="3B2BC5D8" w14:textId="77777777" w:rsidTr="003A3DDE">
        <w:tc>
          <w:tcPr>
            <w:tcW w:w="4677" w:type="dxa"/>
            <w:shd w:val="clear" w:color="auto" w:fill="auto"/>
            <w:vAlign w:val="center"/>
          </w:tcPr>
          <w:p w14:paraId="417A22E0" w14:textId="77777777" w:rsidR="00F57D6A" w:rsidRPr="00094E27" w:rsidRDefault="00F57D6A" w:rsidP="003A3DDE">
            <w:pPr>
              <w:jc w:val="both"/>
              <w:rPr>
                <w:szCs w:val="24"/>
              </w:rPr>
            </w:pPr>
            <w:r w:rsidRPr="00094E27">
              <w:rPr>
                <w:szCs w:val="24"/>
              </w:rPr>
              <w:t xml:space="preserve">Jei dėl pirkimo/sutarties vyksta teismo procesas, nurodyti ieškinio (skundo) dalykus, bylos šalių pavadinimus, ar taikomos laikinosios apsaugos priemonės, teisminio nagrinėjimo stadija, pvz., apygardos, apeliacinis teismas. </w:t>
            </w:r>
          </w:p>
          <w:p w14:paraId="0598CEF5" w14:textId="77777777" w:rsidR="00F57D6A" w:rsidRPr="00094E27" w:rsidRDefault="00F57D6A" w:rsidP="003A3DDE">
            <w:pPr>
              <w:jc w:val="both"/>
              <w:rPr>
                <w:szCs w:val="24"/>
              </w:rPr>
            </w:pPr>
            <w:r w:rsidRPr="00094E27">
              <w:rPr>
                <w:szCs w:val="24"/>
              </w:rPr>
              <w:t>Teismo procesas nevyksta.</w:t>
            </w:r>
          </w:p>
        </w:tc>
        <w:tc>
          <w:tcPr>
            <w:tcW w:w="5104" w:type="dxa"/>
            <w:shd w:val="clear" w:color="auto" w:fill="auto"/>
            <w:vAlign w:val="center"/>
          </w:tcPr>
          <w:p w14:paraId="52484FD7" w14:textId="5A9520D4" w:rsidR="00F57D6A" w:rsidRPr="00094E27" w:rsidRDefault="00B12F75" w:rsidP="003A3DDE">
            <w:pPr>
              <w:jc w:val="both"/>
              <w:rPr>
                <w:szCs w:val="24"/>
              </w:rPr>
            </w:pPr>
            <w:r w:rsidRPr="00B12F75">
              <w:rPr>
                <w:rFonts w:eastAsia="Calibri"/>
                <w:szCs w:val="24"/>
              </w:rPr>
              <w:t>Teismo procesai nevyksta</w:t>
            </w:r>
          </w:p>
        </w:tc>
      </w:tr>
    </w:tbl>
    <w:p w14:paraId="0F3479DA" w14:textId="77777777" w:rsidR="003F255A" w:rsidRPr="00007472" w:rsidRDefault="003F255A" w:rsidP="002A07F4">
      <w:pPr>
        <w:jc w:val="center"/>
        <w:rPr>
          <w:b/>
          <w:szCs w:val="24"/>
        </w:rPr>
      </w:pPr>
    </w:p>
    <w:p w14:paraId="6B3352C5" w14:textId="71534F10" w:rsidR="002A07F4" w:rsidRDefault="002A07F4" w:rsidP="002A07F4">
      <w:pPr>
        <w:jc w:val="center"/>
        <w:rPr>
          <w:b/>
          <w:szCs w:val="24"/>
        </w:rPr>
      </w:pPr>
      <w:r w:rsidRPr="00007472">
        <w:rPr>
          <w:b/>
          <w:szCs w:val="24"/>
        </w:rPr>
        <w:t>II dalis. Vertinimo apimtyje nustatyti pažeidimai</w:t>
      </w:r>
    </w:p>
    <w:p w14:paraId="2AFB40B6"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332A3F" w:rsidRPr="00007472" w14:paraId="33070C64" w14:textId="77777777" w:rsidTr="00332A3F">
        <w:tc>
          <w:tcPr>
            <w:tcW w:w="567" w:type="dxa"/>
            <w:shd w:val="clear" w:color="auto" w:fill="auto"/>
            <w:vAlign w:val="center"/>
          </w:tcPr>
          <w:p w14:paraId="779BC763" w14:textId="0944A08E" w:rsidR="00332A3F" w:rsidRPr="00CE23A5" w:rsidRDefault="00DE2C32" w:rsidP="00332A3F">
            <w:pPr>
              <w:jc w:val="both"/>
              <w:rPr>
                <w:bCs/>
                <w:szCs w:val="24"/>
              </w:rPr>
            </w:pPr>
            <w:r>
              <w:rPr>
                <w:bCs/>
                <w:szCs w:val="24"/>
              </w:rPr>
              <w:t>1</w:t>
            </w:r>
            <w:r w:rsidR="00332A3F">
              <w:rPr>
                <w:bCs/>
                <w:szCs w:val="24"/>
              </w:rPr>
              <w:t>.</w:t>
            </w:r>
          </w:p>
        </w:tc>
        <w:tc>
          <w:tcPr>
            <w:tcW w:w="9214" w:type="dxa"/>
            <w:shd w:val="clear" w:color="auto" w:fill="auto"/>
            <w:vAlign w:val="center"/>
          </w:tcPr>
          <w:p w14:paraId="2E23EB4F" w14:textId="2873883B" w:rsidR="00332A3F" w:rsidRPr="00CE23A5" w:rsidRDefault="007C4CEC" w:rsidP="00332A3F">
            <w:pPr>
              <w:ind w:left="37" w:hanging="8"/>
              <w:jc w:val="both"/>
              <w:rPr>
                <w:bCs/>
                <w:szCs w:val="24"/>
              </w:rPr>
            </w:pPr>
            <w:r>
              <w:rPr>
                <w:bCs/>
                <w:szCs w:val="24"/>
              </w:rPr>
              <w:t>Įstatymo</w:t>
            </w:r>
            <w:r w:rsidR="0074395A">
              <w:rPr>
                <w:bCs/>
                <w:szCs w:val="24"/>
              </w:rPr>
              <w:t xml:space="preserve"> 17</w:t>
            </w:r>
            <w:r>
              <w:rPr>
                <w:bCs/>
                <w:szCs w:val="24"/>
              </w:rPr>
              <w:t xml:space="preserve"> straipsnio 1</w:t>
            </w:r>
            <w:r w:rsidR="00B5385D">
              <w:rPr>
                <w:bCs/>
                <w:szCs w:val="24"/>
              </w:rPr>
              <w:t xml:space="preserve"> </w:t>
            </w:r>
            <w:r>
              <w:rPr>
                <w:bCs/>
                <w:szCs w:val="24"/>
              </w:rPr>
              <w:t>dalis</w:t>
            </w:r>
            <w:r>
              <w:rPr>
                <w:rStyle w:val="FootnoteReference"/>
                <w:bCs/>
                <w:szCs w:val="24"/>
              </w:rPr>
              <w:footnoteReference w:id="1"/>
            </w:r>
            <w:r w:rsidR="00BE1051">
              <w:rPr>
                <w:bCs/>
                <w:szCs w:val="24"/>
              </w:rPr>
              <w:t>, Įstatymo 45 straipsnio 1 dalies 1 punktas</w:t>
            </w:r>
            <w:r w:rsidR="00BE1051">
              <w:rPr>
                <w:rStyle w:val="FootnoteReference"/>
                <w:bCs/>
                <w:szCs w:val="24"/>
              </w:rPr>
              <w:footnoteReference w:id="2"/>
            </w:r>
            <w:r w:rsidR="00F1007A">
              <w:rPr>
                <w:bCs/>
                <w:szCs w:val="24"/>
              </w:rPr>
              <w:t>.</w:t>
            </w:r>
          </w:p>
        </w:tc>
      </w:tr>
      <w:tr w:rsidR="00332A3F" w:rsidRPr="00007472" w14:paraId="15AD30C8" w14:textId="77777777" w:rsidTr="00041FAE">
        <w:tc>
          <w:tcPr>
            <w:tcW w:w="9781" w:type="dxa"/>
            <w:gridSpan w:val="2"/>
            <w:shd w:val="clear" w:color="auto" w:fill="auto"/>
            <w:vAlign w:val="center"/>
          </w:tcPr>
          <w:p w14:paraId="25BF8F92" w14:textId="42ED1D32" w:rsidR="009579F8" w:rsidRDefault="000A5F06" w:rsidP="00CE23A5">
            <w:pPr>
              <w:ind w:left="37" w:firstLine="426"/>
              <w:jc w:val="both"/>
              <w:rPr>
                <w:bCs/>
                <w:szCs w:val="24"/>
              </w:rPr>
            </w:pPr>
            <w:r w:rsidRPr="003062DB">
              <w:rPr>
                <w:bCs/>
                <w:szCs w:val="24"/>
              </w:rPr>
              <w:t>Pirkim</w:t>
            </w:r>
            <w:r w:rsidR="00A211A9" w:rsidRPr="003062DB">
              <w:rPr>
                <w:bCs/>
                <w:szCs w:val="24"/>
              </w:rPr>
              <w:t>ą</w:t>
            </w:r>
            <w:r w:rsidRPr="003062DB">
              <w:rPr>
                <w:bCs/>
                <w:szCs w:val="24"/>
              </w:rPr>
              <w:t xml:space="preserve"> vykdo </w:t>
            </w:r>
            <w:r w:rsidR="00C618DF">
              <w:rPr>
                <w:bCs/>
                <w:szCs w:val="24"/>
              </w:rPr>
              <w:t>Perkančiosios organizacijos</w:t>
            </w:r>
            <w:r w:rsidRPr="003062DB">
              <w:rPr>
                <w:bCs/>
                <w:szCs w:val="24"/>
              </w:rPr>
              <w:t xml:space="preserve"> </w:t>
            </w:r>
            <w:r w:rsidRPr="00C618DF">
              <w:rPr>
                <w:bCs/>
                <w:szCs w:val="24"/>
              </w:rPr>
              <w:t>direktoriaus</w:t>
            </w:r>
            <w:r w:rsidR="00C618DF" w:rsidRPr="00C618DF">
              <w:rPr>
                <w:bCs/>
                <w:szCs w:val="24"/>
              </w:rPr>
              <w:t xml:space="preserve"> įsakym</w:t>
            </w:r>
            <w:r w:rsidR="00C618DF">
              <w:rPr>
                <w:bCs/>
                <w:szCs w:val="24"/>
              </w:rPr>
              <w:t>ais</w:t>
            </w:r>
            <w:r w:rsidR="00C618DF">
              <w:rPr>
                <w:rStyle w:val="FootnoteReference"/>
                <w:bCs/>
                <w:szCs w:val="24"/>
              </w:rPr>
              <w:footnoteReference w:id="3"/>
            </w:r>
            <w:r w:rsidR="00C618DF">
              <w:rPr>
                <w:bCs/>
                <w:szCs w:val="24"/>
              </w:rPr>
              <w:t xml:space="preserve"> </w:t>
            </w:r>
            <w:r w:rsidRPr="00C618DF">
              <w:rPr>
                <w:bCs/>
                <w:szCs w:val="24"/>
              </w:rPr>
              <w:t>sudaryta viešojo pirkimo komisija</w:t>
            </w:r>
            <w:r w:rsidR="00E9253B">
              <w:rPr>
                <w:bCs/>
                <w:szCs w:val="24"/>
              </w:rPr>
              <w:t xml:space="preserve"> (toliau – Komisija)</w:t>
            </w:r>
            <w:r w:rsidRPr="00C618DF">
              <w:rPr>
                <w:bCs/>
                <w:szCs w:val="24"/>
              </w:rPr>
              <w:t xml:space="preserve">. Pirkimo sąlygos patvirtintos 2021 m. </w:t>
            </w:r>
            <w:r w:rsidR="00C618DF">
              <w:rPr>
                <w:bCs/>
                <w:szCs w:val="24"/>
              </w:rPr>
              <w:t>rugpjūčio 8</w:t>
            </w:r>
            <w:r w:rsidRPr="00C618DF">
              <w:rPr>
                <w:bCs/>
                <w:szCs w:val="24"/>
              </w:rPr>
              <w:t xml:space="preserve"> d</w:t>
            </w:r>
            <w:r w:rsidR="00E9253B">
              <w:rPr>
                <w:bCs/>
                <w:szCs w:val="24"/>
              </w:rPr>
              <w:t>. Komisijos</w:t>
            </w:r>
            <w:r w:rsidRPr="00C618DF">
              <w:rPr>
                <w:bCs/>
                <w:szCs w:val="24"/>
              </w:rPr>
              <w:t>.</w:t>
            </w:r>
            <w:r w:rsidR="009E5233" w:rsidRPr="00C618DF">
              <w:rPr>
                <w:bCs/>
                <w:szCs w:val="24"/>
              </w:rPr>
              <w:t xml:space="preserve"> </w:t>
            </w:r>
            <w:r w:rsidR="00F06BD3" w:rsidRPr="00C618DF">
              <w:rPr>
                <w:bCs/>
                <w:szCs w:val="24"/>
              </w:rPr>
              <w:t>Pirkimo k</w:t>
            </w:r>
            <w:r w:rsidRPr="00C618DF">
              <w:rPr>
                <w:bCs/>
                <w:szCs w:val="24"/>
              </w:rPr>
              <w:t>omisijos posėdyje</w:t>
            </w:r>
            <w:r w:rsidR="009E5233" w:rsidRPr="00C618DF">
              <w:rPr>
                <w:bCs/>
                <w:szCs w:val="24"/>
              </w:rPr>
              <w:t xml:space="preserve"> protokolu Nr</w:t>
            </w:r>
            <w:r w:rsidRPr="00C618DF">
              <w:rPr>
                <w:bCs/>
                <w:szCs w:val="24"/>
              </w:rPr>
              <w:t>.</w:t>
            </w:r>
            <w:r w:rsidR="00C47DF1" w:rsidRPr="00C618DF">
              <w:rPr>
                <w:bCs/>
                <w:szCs w:val="24"/>
              </w:rPr>
              <w:t xml:space="preserve"> </w:t>
            </w:r>
            <w:r w:rsidR="00C618DF">
              <w:rPr>
                <w:bCs/>
                <w:szCs w:val="24"/>
              </w:rPr>
              <w:t>PKP-178 (7.65)</w:t>
            </w:r>
            <w:r w:rsidR="009E5233" w:rsidRPr="00C618DF">
              <w:rPr>
                <w:bCs/>
                <w:szCs w:val="24"/>
              </w:rPr>
              <w:t>.</w:t>
            </w:r>
            <w:r w:rsidR="00725AB8">
              <w:rPr>
                <w:bCs/>
                <w:szCs w:val="24"/>
              </w:rPr>
              <w:t xml:space="preserve"> </w:t>
            </w:r>
          </w:p>
          <w:p w14:paraId="1F5C5DA2" w14:textId="323A616C" w:rsidR="001B3F77" w:rsidRPr="001B3F77" w:rsidRDefault="001B3F77" w:rsidP="00CE23A5">
            <w:pPr>
              <w:ind w:left="37" w:firstLine="426"/>
              <w:jc w:val="both"/>
              <w:rPr>
                <w:bCs/>
                <w:szCs w:val="24"/>
              </w:rPr>
            </w:pPr>
            <w:r w:rsidRPr="001B3F77">
              <w:rPr>
                <w:bCs/>
                <w:szCs w:val="24"/>
              </w:rPr>
              <w:t xml:space="preserve">Pirkimo sąlygų </w:t>
            </w:r>
            <w:r w:rsidR="00BC5033">
              <w:rPr>
                <w:bCs/>
                <w:szCs w:val="24"/>
              </w:rPr>
              <w:t>11</w:t>
            </w:r>
            <w:r w:rsidRPr="001B3F77">
              <w:rPr>
                <w:bCs/>
                <w:szCs w:val="24"/>
              </w:rPr>
              <w:t xml:space="preserve"> punkte nustatyta, kad „</w:t>
            </w:r>
            <w:r w:rsidRPr="00190230">
              <w:rPr>
                <w:i/>
                <w:iCs/>
                <w:szCs w:val="24"/>
              </w:rPr>
              <w:t xml:space="preserve">Prekėms taikomi techniniai reikalavimai bei kitos sąlygos yra nurodytos Techninėje specifikacijoje (šių konkurso sąlygų </w:t>
            </w:r>
            <w:r w:rsidR="00BC5033">
              <w:rPr>
                <w:i/>
                <w:iCs/>
                <w:szCs w:val="24"/>
              </w:rPr>
              <w:t>2</w:t>
            </w:r>
            <w:r w:rsidRPr="00190230">
              <w:rPr>
                <w:i/>
                <w:iCs/>
                <w:szCs w:val="24"/>
              </w:rPr>
              <w:t xml:space="preserve"> priede) ir Pirkimo sutarties projekte (šių konkurso sąlygų </w:t>
            </w:r>
            <w:r w:rsidR="00BC5033">
              <w:rPr>
                <w:i/>
                <w:iCs/>
                <w:szCs w:val="24"/>
              </w:rPr>
              <w:t>4</w:t>
            </w:r>
            <w:r w:rsidRPr="00190230">
              <w:rPr>
                <w:i/>
                <w:iCs/>
                <w:szCs w:val="24"/>
              </w:rPr>
              <w:t xml:space="preserve"> priede</w:t>
            </w:r>
            <w:r w:rsidR="00B5385D">
              <w:rPr>
                <w:i/>
                <w:iCs/>
                <w:szCs w:val="24"/>
              </w:rPr>
              <w:t>)</w:t>
            </w:r>
            <w:r w:rsidRPr="001B3F77">
              <w:rPr>
                <w:bCs/>
                <w:szCs w:val="24"/>
              </w:rPr>
              <w:t>“</w:t>
            </w:r>
            <w:r w:rsidR="00190230">
              <w:rPr>
                <w:bCs/>
                <w:szCs w:val="24"/>
              </w:rPr>
              <w:t>.</w:t>
            </w:r>
          </w:p>
          <w:p w14:paraId="768A524A" w14:textId="3EE1346B" w:rsidR="00B5385D" w:rsidRPr="00B5385D" w:rsidRDefault="00B52CF9" w:rsidP="00B5385D">
            <w:pPr>
              <w:tabs>
                <w:tab w:val="left" w:pos="1021"/>
              </w:tabs>
              <w:ind w:left="29"/>
              <w:jc w:val="both"/>
              <w:rPr>
                <w:rFonts w:eastAsiaTheme="minorHAnsi"/>
                <w:bCs/>
                <w:iCs/>
                <w:szCs w:val="24"/>
              </w:rPr>
            </w:pPr>
            <w:r w:rsidRPr="001B3F77">
              <w:rPr>
                <w:rFonts w:eastAsiaTheme="minorHAnsi"/>
                <w:bCs/>
                <w:iCs/>
                <w:szCs w:val="24"/>
              </w:rPr>
              <w:t xml:space="preserve">      </w:t>
            </w:r>
            <w:r w:rsidR="00B5385D" w:rsidRPr="00B5385D">
              <w:rPr>
                <w:rFonts w:eastAsiaTheme="minorHAnsi"/>
                <w:bCs/>
                <w:iCs/>
                <w:szCs w:val="24"/>
              </w:rPr>
              <w:t>Pirkimo komisija tiekėjo UAB „Saločiai ir partneriai“ (toliau – Tiekėjas) pasiūlymus I ir II Pirkimo objekto dalims pripažino</w:t>
            </w:r>
            <w:r w:rsidR="00B5385D">
              <w:rPr>
                <w:rStyle w:val="FootnoteReference"/>
                <w:rFonts w:eastAsiaTheme="minorHAnsi"/>
                <w:bCs/>
                <w:iCs/>
                <w:szCs w:val="24"/>
              </w:rPr>
              <w:footnoteReference w:id="4"/>
            </w:r>
            <w:r w:rsidR="00B5385D">
              <w:rPr>
                <w:rFonts w:eastAsiaTheme="minorHAnsi"/>
                <w:bCs/>
                <w:iCs/>
                <w:szCs w:val="24"/>
              </w:rPr>
              <w:t xml:space="preserve"> </w:t>
            </w:r>
            <w:r w:rsidR="00B5385D" w:rsidRPr="00B5385D">
              <w:rPr>
                <w:rFonts w:eastAsiaTheme="minorHAnsi"/>
                <w:bCs/>
                <w:iCs/>
                <w:szCs w:val="24"/>
              </w:rPr>
              <w:t>laimėjusiais. Tarnyba, susipažinusi su šiais pasiūlymais, nustatė, kad:</w:t>
            </w:r>
          </w:p>
          <w:p w14:paraId="3383D553" w14:textId="2CE78C57" w:rsidR="00B5385D" w:rsidRPr="00B5385D" w:rsidRDefault="00B5385D" w:rsidP="00B5385D">
            <w:pPr>
              <w:tabs>
                <w:tab w:val="left" w:pos="1021"/>
              </w:tabs>
              <w:ind w:left="29"/>
              <w:jc w:val="both"/>
              <w:rPr>
                <w:rFonts w:eastAsiaTheme="minorHAnsi"/>
                <w:bCs/>
                <w:iCs/>
                <w:szCs w:val="24"/>
              </w:rPr>
            </w:pPr>
            <w:r w:rsidRPr="00B5385D">
              <w:rPr>
                <w:rFonts w:eastAsiaTheme="minorHAnsi"/>
                <w:bCs/>
                <w:iCs/>
                <w:szCs w:val="24"/>
              </w:rPr>
              <w:t xml:space="preserve">-  Pirkimo sąlygų </w:t>
            </w:r>
            <w:r>
              <w:rPr>
                <w:rFonts w:eastAsiaTheme="minorHAnsi"/>
                <w:bCs/>
                <w:iCs/>
                <w:szCs w:val="24"/>
              </w:rPr>
              <w:t>2</w:t>
            </w:r>
            <w:r w:rsidRPr="00B5385D">
              <w:rPr>
                <w:rFonts w:eastAsiaTheme="minorHAnsi"/>
                <w:bCs/>
                <w:iCs/>
                <w:szCs w:val="24"/>
              </w:rPr>
              <w:t xml:space="preserve"> pried</w:t>
            </w:r>
            <w:r w:rsidR="009957D0">
              <w:rPr>
                <w:rFonts w:eastAsiaTheme="minorHAnsi"/>
                <w:bCs/>
                <w:iCs/>
                <w:szCs w:val="24"/>
              </w:rPr>
              <w:t>o</w:t>
            </w:r>
            <w:r w:rsidRPr="00B5385D">
              <w:rPr>
                <w:rFonts w:eastAsiaTheme="minorHAnsi"/>
                <w:bCs/>
                <w:iCs/>
                <w:szCs w:val="24"/>
              </w:rPr>
              <w:t xml:space="preserve"> „Techninė specifikacija“ (I ir II Pirkimo objekto dalims) (toliau – Techninės specifikacijos) 19.1 punktuose nustatyta, kad: </w:t>
            </w:r>
            <w:r w:rsidRPr="00B5385D">
              <w:rPr>
                <w:rFonts w:eastAsiaTheme="minorHAnsi"/>
                <w:bCs/>
                <w:i/>
                <w:szCs w:val="24"/>
              </w:rPr>
              <w:t>„Bendra minimali transporto priemonių agregatų ir detalių garantija – ne mažiau 36 mėnesiai arba ne mažiau 200 000 km priklausomai nuo to, kas įvyks anksčiau“</w:t>
            </w:r>
            <w:r w:rsidRPr="00B5385D">
              <w:rPr>
                <w:rFonts w:eastAsiaTheme="minorHAnsi"/>
                <w:bCs/>
                <w:iCs/>
                <w:szCs w:val="24"/>
              </w:rPr>
              <w:t xml:space="preserve">. Tiekėjas pasiūlymuose Pirkimo objekto I ir II dalims nurodė, kad </w:t>
            </w:r>
            <w:r w:rsidRPr="00B5385D">
              <w:rPr>
                <w:rFonts w:eastAsiaTheme="minorHAnsi"/>
                <w:bCs/>
                <w:i/>
                <w:szCs w:val="24"/>
              </w:rPr>
              <w:t>„19.1. Atitinka reikalavimui. &lt;..&gt; Nustatytos bendros garantijos sąlygos priedas Nr. 6“</w:t>
            </w:r>
            <w:r w:rsidRPr="00B5385D">
              <w:rPr>
                <w:rFonts w:eastAsiaTheme="minorHAnsi"/>
                <w:bCs/>
                <w:iCs/>
                <w:szCs w:val="24"/>
              </w:rPr>
              <w:t>, o šiuose prieduose nurodyta, kad garantija netaikoma pvz. padangoms, filtrams, tarpinėms.</w:t>
            </w:r>
          </w:p>
          <w:p w14:paraId="639B8F1E" w14:textId="77777777" w:rsidR="00B5385D" w:rsidRPr="00B5385D" w:rsidRDefault="00B5385D" w:rsidP="00B5385D">
            <w:pPr>
              <w:tabs>
                <w:tab w:val="left" w:pos="1021"/>
              </w:tabs>
              <w:ind w:left="29"/>
              <w:jc w:val="both"/>
              <w:rPr>
                <w:rFonts w:eastAsiaTheme="minorHAnsi"/>
                <w:bCs/>
                <w:iCs/>
                <w:szCs w:val="24"/>
              </w:rPr>
            </w:pPr>
            <w:r w:rsidRPr="00B5385D">
              <w:rPr>
                <w:rFonts w:eastAsiaTheme="minorHAnsi"/>
                <w:bCs/>
                <w:iCs/>
                <w:szCs w:val="24"/>
              </w:rPr>
              <w:t xml:space="preserve">      - Techninių specifikacijų 19.2 punktuose nustatyta, kad </w:t>
            </w:r>
            <w:r w:rsidRPr="00B5385D">
              <w:rPr>
                <w:rFonts w:eastAsiaTheme="minorHAnsi"/>
                <w:bCs/>
                <w:i/>
                <w:szCs w:val="24"/>
              </w:rPr>
              <w:t>„Garantija traukos baterijoms ne mažiau kaip 60 mėnesių &lt;..&gt;“</w:t>
            </w:r>
            <w:r w:rsidRPr="00B5385D">
              <w:rPr>
                <w:rFonts w:eastAsiaTheme="minorHAnsi"/>
                <w:bCs/>
                <w:iCs/>
                <w:szCs w:val="24"/>
              </w:rPr>
              <w:t xml:space="preserve">. Tiekėjas pasiūlymuose Pirkimo objekto I ir II dalims nurodė, kad </w:t>
            </w:r>
            <w:r w:rsidRPr="00B5385D">
              <w:rPr>
                <w:rFonts w:eastAsiaTheme="minorHAnsi"/>
                <w:bCs/>
                <w:i/>
                <w:szCs w:val="24"/>
              </w:rPr>
              <w:t>„19.2. Atitinka reikalavimui. &lt;..&gt; Nustatytos traukos baterijos garantijos sąlygos priedas Nr. 7“</w:t>
            </w:r>
            <w:r w:rsidRPr="00B5385D">
              <w:rPr>
                <w:rFonts w:eastAsiaTheme="minorHAnsi"/>
                <w:bCs/>
                <w:iCs/>
                <w:szCs w:val="24"/>
              </w:rPr>
              <w:t>, o šiuose prieduose nurodyta, kad garantija netaikoma baterijos dalims, kurios natūraliai nusidėvi.</w:t>
            </w:r>
          </w:p>
          <w:p w14:paraId="61CE540E" w14:textId="77777777" w:rsidR="00B5385D" w:rsidRPr="00B5385D" w:rsidRDefault="00B5385D" w:rsidP="00B5385D">
            <w:pPr>
              <w:tabs>
                <w:tab w:val="left" w:pos="1021"/>
              </w:tabs>
              <w:ind w:left="29"/>
              <w:jc w:val="both"/>
              <w:rPr>
                <w:rFonts w:eastAsiaTheme="minorHAnsi"/>
                <w:bCs/>
                <w:iCs/>
                <w:szCs w:val="24"/>
              </w:rPr>
            </w:pPr>
            <w:r w:rsidRPr="00B5385D">
              <w:rPr>
                <w:rFonts w:eastAsiaTheme="minorHAnsi"/>
                <w:bCs/>
                <w:iCs/>
                <w:szCs w:val="24"/>
              </w:rPr>
              <w:t xml:space="preserve">     - Techninių specifikacijų 19.3 punktuose nustatyta, kad </w:t>
            </w:r>
            <w:r w:rsidRPr="00B5385D">
              <w:rPr>
                <w:rFonts w:eastAsiaTheme="minorHAnsi"/>
                <w:bCs/>
                <w:i/>
                <w:szCs w:val="24"/>
              </w:rPr>
              <w:t>„Garantija kėbulo karkasui dėl korozijos poveikio, deformacijos ir įtrūkių  ne mažiau 120 mėn.“</w:t>
            </w:r>
            <w:r w:rsidRPr="00B5385D">
              <w:rPr>
                <w:rFonts w:eastAsiaTheme="minorHAnsi"/>
                <w:bCs/>
                <w:iCs/>
                <w:szCs w:val="24"/>
              </w:rPr>
              <w:t xml:space="preserve">. Tiekėjas pasiūlymuose Pirkimo objekto I ir II dalims nurodė, kad </w:t>
            </w:r>
            <w:r w:rsidRPr="00B5385D">
              <w:rPr>
                <w:rFonts w:eastAsiaTheme="minorHAnsi"/>
                <w:bCs/>
                <w:i/>
                <w:szCs w:val="24"/>
              </w:rPr>
              <w:t>„19.3. Atitinka reikalavimui. &lt;..&gt; Nustatytos kėbulo karkaso garantijos sąlygos priedas Nr. 8“</w:t>
            </w:r>
            <w:r w:rsidRPr="00B5385D">
              <w:rPr>
                <w:rFonts w:eastAsiaTheme="minorHAnsi"/>
                <w:bCs/>
                <w:iCs/>
                <w:szCs w:val="24"/>
              </w:rPr>
              <w:t xml:space="preserve">, o šiuose prieduose nurodyta, kad garantija netaikoma, pvz. normaliam nusidėvėjimui/senėjimui, nedideliam tarpų tarp kėbulo dalių </w:t>
            </w:r>
            <w:proofErr w:type="spellStart"/>
            <w:r w:rsidRPr="00B5385D">
              <w:rPr>
                <w:rFonts w:eastAsiaTheme="minorHAnsi"/>
                <w:bCs/>
                <w:iCs/>
                <w:szCs w:val="24"/>
              </w:rPr>
              <w:t>neproporcingumui</w:t>
            </w:r>
            <w:proofErr w:type="spellEnd"/>
            <w:r w:rsidRPr="00B5385D">
              <w:rPr>
                <w:rFonts w:eastAsiaTheme="minorHAnsi"/>
                <w:bCs/>
                <w:iCs/>
                <w:szCs w:val="24"/>
              </w:rPr>
              <w:t xml:space="preserve">. </w:t>
            </w:r>
          </w:p>
          <w:p w14:paraId="437B74FA" w14:textId="2491652C" w:rsidR="00B5385D" w:rsidRPr="00B5385D" w:rsidRDefault="00B5385D" w:rsidP="00B5385D">
            <w:pPr>
              <w:tabs>
                <w:tab w:val="left" w:pos="1021"/>
              </w:tabs>
              <w:ind w:left="29"/>
              <w:jc w:val="both"/>
              <w:rPr>
                <w:rFonts w:eastAsiaTheme="minorHAnsi"/>
                <w:bCs/>
                <w:iCs/>
                <w:szCs w:val="24"/>
              </w:rPr>
            </w:pPr>
            <w:r w:rsidRPr="00B5385D">
              <w:rPr>
                <w:rFonts w:eastAsiaTheme="minorHAnsi"/>
                <w:bCs/>
                <w:iCs/>
                <w:szCs w:val="24"/>
              </w:rPr>
              <w:t xml:space="preserve">       Taip pat, visuose pirmiau išvardintuose pasiūlymų prieduose yra nurodyta, jog </w:t>
            </w:r>
            <w:r w:rsidRPr="00B5385D">
              <w:rPr>
                <w:rFonts w:eastAsiaTheme="minorHAnsi"/>
                <w:bCs/>
                <w:i/>
                <w:szCs w:val="24"/>
              </w:rPr>
              <w:t>„Techninį aptarnavimą ir techninę apžiūrą apmoka Transporto priemonės Savininkas“</w:t>
            </w:r>
            <w:r w:rsidRPr="00B5385D">
              <w:rPr>
                <w:rFonts w:eastAsiaTheme="minorHAnsi"/>
                <w:bCs/>
                <w:iCs/>
                <w:szCs w:val="24"/>
              </w:rPr>
              <w:t xml:space="preserve">, o Pirkimo sąlygų </w:t>
            </w:r>
            <w:r w:rsidR="007C406B">
              <w:rPr>
                <w:rFonts w:eastAsiaTheme="minorHAnsi"/>
                <w:bCs/>
                <w:iCs/>
                <w:szCs w:val="24"/>
              </w:rPr>
              <w:t>15</w:t>
            </w:r>
            <w:r w:rsidRPr="00B5385D">
              <w:rPr>
                <w:rFonts w:eastAsiaTheme="minorHAnsi"/>
                <w:bCs/>
                <w:iCs/>
                <w:szCs w:val="24"/>
              </w:rPr>
              <w:t xml:space="preserve"> punkte nustatyta, kad </w:t>
            </w:r>
            <w:r w:rsidRPr="00B5385D">
              <w:rPr>
                <w:rFonts w:eastAsiaTheme="minorHAnsi"/>
                <w:bCs/>
                <w:i/>
                <w:szCs w:val="24"/>
              </w:rPr>
              <w:t>„&lt;..&gt; tiekėjas turi užtikrinti siūlomų autobusų garantinį aptarnavimą, techninę priežiūrą ir remontą autoservise“</w:t>
            </w:r>
            <w:r w:rsidRPr="00B5385D">
              <w:rPr>
                <w:rFonts w:eastAsiaTheme="minorHAnsi"/>
                <w:bCs/>
                <w:iCs/>
                <w:szCs w:val="24"/>
              </w:rPr>
              <w:t>.</w:t>
            </w:r>
          </w:p>
          <w:p w14:paraId="72437721" w14:textId="2FEA54DF" w:rsidR="00B5385D" w:rsidRPr="00B5385D" w:rsidRDefault="00B5385D" w:rsidP="00B5385D">
            <w:pPr>
              <w:tabs>
                <w:tab w:val="left" w:pos="1021"/>
              </w:tabs>
              <w:ind w:left="29"/>
              <w:jc w:val="both"/>
              <w:rPr>
                <w:rFonts w:eastAsiaTheme="minorHAnsi"/>
                <w:bCs/>
                <w:iCs/>
                <w:szCs w:val="24"/>
              </w:rPr>
            </w:pPr>
            <w:r w:rsidRPr="00B5385D">
              <w:rPr>
                <w:rFonts w:eastAsiaTheme="minorHAnsi"/>
                <w:bCs/>
                <w:iCs/>
                <w:szCs w:val="24"/>
              </w:rPr>
              <w:lastRenderedPageBreak/>
              <w:t xml:space="preserve">     Tarnyba kreipėsi</w:t>
            </w:r>
            <w:r>
              <w:rPr>
                <w:rStyle w:val="FootnoteReference"/>
                <w:rFonts w:eastAsiaTheme="minorHAnsi"/>
                <w:bCs/>
                <w:iCs/>
                <w:szCs w:val="24"/>
              </w:rPr>
              <w:footnoteReference w:id="5"/>
            </w:r>
            <w:r>
              <w:rPr>
                <w:rFonts w:eastAsiaTheme="minorHAnsi"/>
                <w:bCs/>
                <w:iCs/>
                <w:szCs w:val="24"/>
              </w:rPr>
              <w:t xml:space="preserve"> </w:t>
            </w:r>
            <w:r w:rsidRPr="00B5385D">
              <w:rPr>
                <w:rFonts w:eastAsiaTheme="minorHAnsi"/>
                <w:bCs/>
                <w:iCs/>
                <w:szCs w:val="24"/>
              </w:rPr>
              <w:t xml:space="preserve">į </w:t>
            </w:r>
            <w:r w:rsidR="007C406B">
              <w:rPr>
                <w:rFonts w:eastAsiaTheme="minorHAnsi"/>
                <w:bCs/>
                <w:iCs/>
                <w:szCs w:val="24"/>
              </w:rPr>
              <w:t>Perkančiąją organizaciją</w:t>
            </w:r>
            <w:r w:rsidRPr="00B5385D">
              <w:rPr>
                <w:rFonts w:eastAsiaTheme="minorHAnsi"/>
                <w:bCs/>
                <w:iCs/>
                <w:szCs w:val="24"/>
              </w:rPr>
              <w:t xml:space="preserve"> pagrįsti sprendimą abiejų Pirkimo dalių laimėtoju nustatyti Tiekėją, atsižvelgiant į tai, kad Tiekėjo pasiūlymuose I ir II Pirkimo objekto dalims atitiktys Techninių specifikacijų 19.1, 19.2 ir 19.3 punktų reikalavimams  nurodytos su išlygomis. </w:t>
            </w:r>
          </w:p>
          <w:p w14:paraId="213E24CD" w14:textId="6588E670" w:rsidR="00B5385D" w:rsidRPr="00B5385D" w:rsidRDefault="00B5385D" w:rsidP="007C406B">
            <w:pPr>
              <w:tabs>
                <w:tab w:val="left" w:pos="1021"/>
              </w:tabs>
              <w:ind w:left="29"/>
              <w:jc w:val="both"/>
              <w:rPr>
                <w:rFonts w:eastAsiaTheme="minorHAnsi"/>
                <w:bCs/>
                <w:iCs/>
                <w:szCs w:val="24"/>
              </w:rPr>
            </w:pPr>
            <w:r w:rsidRPr="00B5385D">
              <w:rPr>
                <w:rFonts w:eastAsiaTheme="minorHAnsi"/>
                <w:bCs/>
                <w:iCs/>
                <w:szCs w:val="24"/>
              </w:rPr>
              <w:t xml:space="preserve">     </w:t>
            </w:r>
            <w:r w:rsidR="007C406B">
              <w:rPr>
                <w:rFonts w:eastAsiaTheme="minorHAnsi"/>
                <w:bCs/>
                <w:iCs/>
                <w:szCs w:val="24"/>
              </w:rPr>
              <w:t>Perkančioji organizacija</w:t>
            </w:r>
            <w:r w:rsidRPr="00B5385D">
              <w:rPr>
                <w:rFonts w:eastAsiaTheme="minorHAnsi"/>
                <w:bCs/>
                <w:iCs/>
                <w:szCs w:val="24"/>
              </w:rPr>
              <w:t xml:space="preserve"> paaiškino</w:t>
            </w:r>
            <w:r w:rsidR="007C406B">
              <w:rPr>
                <w:rStyle w:val="FootnoteReference"/>
                <w:rFonts w:eastAsiaTheme="minorHAnsi"/>
                <w:bCs/>
                <w:iCs/>
                <w:szCs w:val="24"/>
              </w:rPr>
              <w:footnoteReference w:id="6"/>
            </w:r>
            <w:r w:rsidRPr="00B5385D">
              <w:rPr>
                <w:rFonts w:eastAsiaTheme="minorHAnsi"/>
                <w:bCs/>
                <w:iCs/>
                <w:szCs w:val="24"/>
              </w:rPr>
              <w:t>, kad</w:t>
            </w:r>
            <w:r w:rsidR="00B60FBF">
              <w:rPr>
                <w:rFonts w:eastAsiaTheme="minorHAnsi"/>
                <w:bCs/>
                <w:iCs/>
                <w:szCs w:val="24"/>
              </w:rPr>
              <w:t>:</w:t>
            </w:r>
            <w:r w:rsidRPr="00B5385D">
              <w:rPr>
                <w:rFonts w:eastAsiaTheme="minorHAnsi"/>
                <w:bCs/>
                <w:iCs/>
                <w:szCs w:val="24"/>
              </w:rPr>
              <w:t xml:space="preserve"> </w:t>
            </w:r>
            <w:r w:rsidR="007C406B" w:rsidRPr="007C406B">
              <w:rPr>
                <w:rFonts w:eastAsiaTheme="minorHAnsi"/>
                <w:bCs/>
                <w:i/>
                <w:szCs w:val="24"/>
              </w:rPr>
              <w:t>„&lt;..&gt;Šiuo atveju laimėtojas teikdamas ir pasirašydamas pasiūlymą, techninėje specifikacijoje papunkčiuose 19.1. 19.2. 19.3. grafoje „Tiekėjo siūlomų autobusų techniniai rodikliai ir jų reikšmės [Tiekėjas nurodo konkrečius techninius rodiklius ir jų reikšmes arba pažymi apie atitiktį reikalavimui]“ pažymėjo apie atitiktį reikalavimui „Atitinka reikalavimui“, tai reiškia, kad tiekėjas užpildė techninę specifikaciją taip, kaip to reikalavo konkurso sąlygos. Konkurso sąlygose nebuvo prašoma tiekėjų pagrįsti atitikimą konkurso sąlygų techninės specifikacijos lentelės 19.1. 19.2. 19.3 eilutėse nustatytiems reikalavimams, bei buvo prašoma į pateiktą tuščią laukelį tik įrašyti (deklaruoti) ar tiekėjų siūlomos prekės atitinka Pirkimo techninėje specifikacijoje nurodytus reikalavimus. Dėl nurodytų priežasčių Perkančioji organizacija vertino tik pirkimo sąlygose reikalaujamus pateikti dokumentus, o papildomai tiekėjų pateikti neprivalomi dokumentai nebuvo vertinami ir nagrinėjami“</w:t>
            </w:r>
            <w:r w:rsidR="007C406B" w:rsidRPr="007C406B">
              <w:rPr>
                <w:rFonts w:eastAsiaTheme="minorHAnsi"/>
                <w:bCs/>
                <w:iCs/>
                <w:szCs w:val="24"/>
              </w:rPr>
              <w:t>.</w:t>
            </w:r>
          </w:p>
          <w:p w14:paraId="68169108" w14:textId="1FF79A95" w:rsidR="00B5385D" w:rsidRPr="00B5385D" w:rsidRDefault="00B5385D" w:rsidP="00B5385D">
            <w:pPr>
              <w:tabs>
                <w:tab w:val="left" w:pos="1021"/>
              </w:tabs>
              <w:ind w:left="29"/>
              <w:jc w:val="both"/>
              <w:rPr>
                <w:rFonts w:eastAsiaTheme="minorHAnsi"/>
                <w:bCs/>
                <w:iCs/>
                <w:szCs w:val="24"/>
              </w:rPr>
            </w:pPr>
            <w:r w:rsidRPr="00B5385D">
              <w:rPr>
                <w:rFonts w:eastAsiaTheme="minorHAnsi"/>
                <w:bCs/>
                <w:iCs/>
                <w:szCs w:val="24"/>
              </w:rPr>
              <w:t xml:space="preserve">       Išanalizavus CVP IS duomenis matyti, kad </w:t>
            </w:r>
            <w:r w:rsidR="007C406B">
              <w:rPr>
                <w:rFonts w:eastAsiaTheme="minorHAnsi"/>
                <w:bCs/>
                <w:iCs/>
                <w:szCs w:val="24"/>
              </w:rPr>
              <w:t>12</w:t>
            </w:r>
            <w:r w:rsidRPr="00B5385D">
              <w:rPr>
                <w:rFonts w:eastAsiaTheme="minorHAnsi"/>
                <w:bCs/>
                <w:iCs/>
                <w:szCs w:val="24"/>
              </w:rPr>
              <w:t xml:space="preserve"> potencial</w:t>
            </w:r>
            <w:r w:rsidR="007C406B">
              <w:rPr>
                <w:rFonts w:eastAsiaTheme="minorHAnsi"/>
                <w:bCs/>
                <w:iCs/>
                <w:szCs w:val="24"/>
              </w:rPr>
              <w:t>ių</w:t>
            </w:r>
            <w:r w:rsidRPr="00B5385D">
              <w:rPr>
                <w:rFonts w:eastAsiaTheme="minorHAnsi"/>
                <w:bCs/>
                <w:iCs/>
                <w:szCs w:val="24"/>
              </w:rPr>
              <w:t xml:space="preserve"> tiekėj</w:t>
            </w:r>
            <w:r w:rsidR="007C406B">
              <w:rPr>
                <w:rFonts w:eastAsiaTheme="minorHAnsi"/>
                <w:bCs/>
                <w:iCs/>
                <w:szCs w:val="24"/>
              </w:rPr>
              <w:t>ų</w:t>
            </w:r>
            <w:r w:rsidRPr="00B5385D">
              <w:rPr>
                <w:rFonts w:eastAsiaTheme="minorHAnsi"/>
                <w:bCs/>
                <w:iCs/>
                <w:szCs w:val="24"/>
              </w:rPr>
              <w:t xml:space="preserve"> susidomėjo Pirkimu ir </w:t>
            </w:r>
            <w:r w:rsidR="00DC425F">
              <w:rPr>
                <w:rFonts w:eastAsiaTheme="minorHAnsi"/>
                <w:bCs/>
                <w:iCs/>
                <w:szCs w:val="24"/>
              </w:rPr>
              <w:t>4</w:t>
            </w:r>
            <w:r w:rsidRPr="00B5385D">
              <w:rPr>
                <w:rFonts w:eastAsiaTheme="minorHAnsi"/>
                <w:bCs/>
                <w:iCs/>
                <w:szCs w:val="24"/>
              </w:rPr>
              <w:t xml:space="preserve"> tiekėjai pateikė pasiūlymus. Tiekėjai neprašė </w:t>
            </w:r>
            <w:r w:rsidR="00DC425F">
              <w:rPr>
                <w:rFonts w:eastAsiaTheme="minorHAnsi"/>
                <w:bCs/>
                <w:iCs/>
                <w:szCs w:val="24"/>
              </w:rPr>
              <w:t>Perkančiosios organizacijos</w:t>
            </w:r>
            <w:r w:rsidRPr="00B5385D">
              <w:rPr>
                <w:rFonts w:eastAsiaTheme="minorHAnsi"/>
                <w:bCs/>
                <w:iCs/>
                <w:szCs w:val="24"/>
              </w:rPr>
              <w:t xml:space="preserve"> paaiškinti Techninėse specifikacijose nustatytų garantinių įsipareigojimų sąlygų. </w:t>
            </w:r>
          </w:p>
          <w:p w14:paraId="44C6C177" w14:textId="6EAEC024" w:rsidR="00B5385D" w:rsidRPr="00B5385D" w:rsidRDefault="00B5385D" w:rsidP="00B5385D">
            <w:pPr>
              <w:tabs>
                <w:tab w:val="left" w:pos="1021"/>
              </w:tabs>
              <w:ind w:left="29"/>
              <w:jc w:val="both"/>
              <w:rPr>
                <w:rFonts w:eastAsiaTheme="minorHAnsi"/>
                <w:bCs/>
                <w:iCs/>
                <w:szCs w:val="24"/>
              </w:rPr>
            </w:pPr>
            <w:r w:rsidRPr="00B5385D">
              <w:rPr>
                <w:rFonts w:eastAsiaTheme="minorHAnsi"/>
                <w:bCs/>
                <w:iCs/>
                <w:szCs w:val="24"/>
              </w:rPr>
              <w:t xml:space="preserve">       Pažymėtina, kad </w:t>
            </w:r>
            <w:r w:rsidR="008D4524">
              <w:rPr>
                <w:rFonts w:eastAsiaTheme="minorHAnsi"/>
                <w:bCs/>
                <w:iCs/>
                <w:szCs w:val="24"/>
              </w:rPr>
              <w:t>tiekėjai</w:t>
            </w:r>
            <w:r w:rsidRPr="00B5385D">
              <w:rPr>
                <w:rFonts w:eastAsiaTheme="minorHAnsi"/>
                <w:bCs/>
                <w:iCs/>
                <w:szCs w:val="24"/>
              </w:rPr>
              <w:t xml:space="preserve"> turi būti aktyvūs ir, esant poreikiui, teikti </w:t>
            </w:r>
            <w:r w:rsidR="00DC425F">
              <w:rPr>
                <w:rFonts w:eastAsiaTheme="minorHAnsi"/>
                <w:bCs/>
                <w:iCs/>
                <w:szCs w:val="24"/>
              </w:rPr>
              <w:t>Perkančiajai organizacijai</w:t>
            </w:r>
            <w:r w:rsidRPr="00B5385D">
              <w:rPr>
                <w:rFonts w:eastAsiaTheme="minorHAnsi"/>
                <w:bCs/>
                <w:iCs/>
                <w:szCs w:val="24"/>
              </w:rPr>
              <w:t xml:space="preserve"> paklausimus dėl Pirkimo sąlygų paaiškinimo, o tiekėjų pateikti pasiūlymai privalo atitikti Pirkimo sąlygų reikalavimus.</w:t>
            </w:r>
          </w:p>
          <w:p w14:paraId="17F8B8BE" w14:textId="77777777" w:rsidR="00B5385D" w:rsidRPr="00B5385D" w:rsidRDefault="00B5385D" w:rsidP="00B5385D">
            <w:pPr>
              <w:tabs>
                <w:tab w:val="left" w:pos="1021"/>
              </w:tabs>
              <w:ind w:left="29"/>
              <w:jc w:val="both"/>
              <w:rPr>
                <w:rFonts w:eastAsiaTheme="minorHAnsi"/>
                <w:bCs/>
                <w:iCs/>
                <w:szCs w:val="24"/>
              </w:rPr>
            </w:pPr>
            <w:r w:rsidRPr="00B5385D">
              <w:rPr>
                <w:rFonts w:eastAsiaTheme="minorHAnsi"/>
                <w:bCs/>
                <w:iCs/>
                <w:szCs w:val="24"/>
              </w:rPr>
              <w:t xml:space="preserve">      Techninių specifikacijų 19.1, 19.2 ir 19.3 punktuose nenumatytos išlygos garantijos taikymui, kas reiškia, jog garantija reikalaujama visam Pirkimo objektui ir visoms jo detalėms, įskaitant ir greitai nusidėvinčias dalis (pvz. padangos).</w:t>
            </w:r>
          </w:p>
          <w:p w14:paraId="3BD40194" w14:textId="77777777" w:rsidR="00B5385D" w:rsidRPr="00B5385D" w:rsidRDefault="00B5385D" w:rsidP="00B5385D">
            <w:pPr>
              <w:tabs>
                <w:tab w:val="left" w:pos="1021"/>
              </w:tabs>
              <w:ind w:left="29"/>
              <w:jc w:val="both"/>
              <w:rPr>
                <w:rFonts w:eastAsiaTheme="minorHAnsi"/>
                <w:bCs/>
                <w:iCs/>
                <w:szCs w:val="24"/>
              </w:rPr>
            </w:pPr>
            <w:r w:rsidRPr="00B5385D">
              <w:rPr>
                <w:rFonts w:eastAsiaTheme="minorHAnsi"/>
                <w:bCs/>
                <w:iCs/>
                <w:szCs w:val="24"/>
              </w:rPr>
              <w:t xml:space="preserve">      I ir II Pirkimo objekto dalių laimėtojas UAB „Saločiai ir partneriai“  kartu su pasiūlymais I ir II Pirkimo objekto dalims pateikė papildomus dokumentus </w:t>
            </w:r>
            <w:r w:rsidRPr="00DC425F">
              <w:rPr>
                <w:rFonts w:eastAsiaTheme="minorHAnsi"/>
                <w:bCs/>
                <w:i/>
                <w:szCs w:val="24"/>
              </w:rPr>
              <w:t>(nustatytos bendros garantijos sąlygos priede Nr. 6, nustatytos traukos baterijos garantijos sąlygos priede Nr. 7, nustatytos kėbulo karkaso garantijos sąlygos priede Nr. 8)</w:t>
            </w:r>
            <w:r w:rsidRPr="00B5385D">
              <w:rPr>
                <w:rFonts w:eastAsiaTheme="minorHAnsi"/>
                <w:bCs/>
                <w:iCs/>
                <w:szCs w:val="24"/>
              </w:rPr>
              <w:t xml:space="preserve">, kurie susiaurina Pirkimo Techninių specifikacijų 19.1, 19.2 ir 19.3 punktuose nustatytas garantijų apimtis ir taip sutarties vykdymo metu yra sudaromos sąlygos išvengti tam tikrų garantinių įsipareigojimų vykdymo. </w:t>
            </w:r>
          </w:p>
          <w:p w14:paraId="4F4142D1" w14:textId="5007040A" w:rsidR="002F622D" w:rsidRPr="00CE23A5" w:rsidRDefault="00B5385D" w:rsidP="00DC425F">
            <w:pPr>
              <w:tabs>
                <w:tab w:val="left" w:pos="1021"/>
              </w:tabs>
              <w:ind w:left="29"/>
              <w:jc w:val="both"/>
              <w:rPr>
                <w:bCs/>
                <w:szCs w:val="24"/>
              </w:rPr>
            </w:pPr>
            <w:r w:rsidRPr="00B5385D">
              <w:rPr>
                <w:rFonts w:eastAsiaTheme="minorHAnsi"/>
                <w:bCs/>
                <w:iCs/>
                <w:szCs w:val="24"/>
              </w:rPr>
              <w:t xml:space="preserve">      Atsižvelgdama į išdėstytą, Tarnyba konstatuoja, kad Pirkimo komisija Tiekėją nepagrįstai pripažino I ir II Pirkimo objekto dalių laimėtoju, nes Tiekėjo pasiūlymai I ir II Pirkimo objekto dalims neatitinka Pirkimo dokumentų reikalavimų, ir tuo pažeidė Įstatymo </w:t>
            </w:r>
            <w:r w:rsidR="00DC425F">
              <w:rPr>
                <w:rFonts w:eastAsiaTheme="minorHAnsi"/>
                <w:bCs/>
                <w:iCs/>
                <w:szCs w:val="24"/>
              </w:rPr>
              <w:t>45</w:t>
            </w:r>
            <w:r w:rsidRPr="00B5385D">
              <w:rPr>
                <w:rFonts w:eastAsiaTheme="minorHAnsi"/>
                <w:bCs/>
                <w:iCs/>
                <w:szCs w:val="24"/>
              </w:rPr>
              <w:t xml:space="preserve"> straipsnio 1 dalies 1 punkto reikalavimus bei Įstatymo </w:t>
            </w:r>
            <w:r w:rsidR="00DC425F">
              <w:rPr>
                <w:rFonts w:eastAsiaTheme="minorHAnsi"/>
                <w:bCs/>
                <w:iCs/>
                <w:szCs w:val="24"/>
              </w:rPr>
              <w:t>17</w:t>
            </w:r>
            <w:r w:rsidRPr="00B5385D">
              <w:rPr>
                <w:rFonts w:eastAsiaTheme="minorHAnsi"/>
                <w:bCs/>
                <w:iCs/>
                <w:szCs w:val="24"/>
              </w:rPr>
              <w:t xml:space="preserve"> straipsnio 1 dalyje įtvirtintą skaidrumo principą.</w:t>
            </w:r>
          </w:p>
        </w:tc>
      </w:tr>
    </w:tbl>
    <w:p w14:paraId="7B6DDF52" w14:textId="77777777" w:rsidR="002A07F4" w:rsidRPr="00007472" w:rsidRDefault="002A07F4" w:rsidP="002A07F4">
      <w:pPr>
        <w:ind w:left="-113"/>
        <w:jc w:val="center"/>
        <w:rPr>
          <w:b/>
          <w:szCs w:val="24"/>
        </w:rPr>
      </w:pPr>
    </w:p>
    <w:p w14:paraId="411D34F1" w14:textId="77777777" w:rsidR="002A07F4" w:rsidRPr="00007472" w:rsidRDefault="002A07F4" w:rsidP="002A07F4">
      <w:pPr>
        <w:ind w:left="-113"/>
        <w:jc w:val="center"/>
        <w:rPr>
          <w:b/>
          <w:color w:val="000000"/>
          <w:szCs w:val="24"/>
          <w:lang w:eastAsia="lt-LT"/>
        </w:rPr>
      </w:pPr>
      <w:r w:rsidRPr="00007472">
        <w:rPr>
          <w:b/>
          <w:szCs w:val="24"/>
        </w:rPr>
        <w:t xml:space="preserve">III dalis. </w:t>
      </w:r>
      <w:r w:rsidRPr="00007472">
        <w:rPr>
          <w:b/>
          <w:color w:val="000000"/>
          <w:szCs w:val="24"/>
          <w:lang w:eastAsia="lt-LT"/>
        </w:rPr>
        <w:t>Kiti nustatyti pažeidimai</w:t>
      </w:r>
    </w:p>
    <w:p w14:paraId="1884C79D" w14:textId="77777777" w:rsidR="002A07F4" w:rsidRPr="00007472"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F51076" w:rsidRPr="00007472" w14:paraId="30FB6151" w14:textId="77777777" w:rsidTr="00332A3F">
        <w:trPr>
          <w:trHeight w:val="160"/>
        </w:trPr>
        <w:tc>
          <w:tcPr>
            <w:tcW w:w="567" w:type="dxa"/>
            <w:shd w:val="clear" w:color="auto" w:fill="auto"/>
          </w:tcPr>
          <w:p w14:paraId="17639C33" w14:textId="2F6B0EA4" w:rsidR="00F51076" w:rsidRPr="00007472" w:rsidRDefault="002201CA" w:rsidP="002201CA">
            <w:pPr>
              <w:jc w:val="both"/>
              <w:rPr>
                <w:szCs w:val="24"/>
              </w:rPr>
            </w:pPr>
            <w:r>
              <w:rPr>
                <w:szCs w:val="24"/>
              </w:rPr>
              <w:t>1.</w:t>
            </w:r>
          </w:p>
        </w:tc>
        <w:tc>
          <w:tcPr>
            <w:tcW w:w="9214" w:type="dxa"/>
            <w:shd w:val="clear" w:color="auto" w:fill="auto"/>
          </w:tcPr>
          <w:p w14:paraId="1267BE47" w14:textId="5E11378C" w:rsidR="00F51076" w:rsidRPr="00007472" w:rsidRDefault="001E26D4" w:rsidP="002201CA">
            <w:pPr>
              <w:ind w:firstLine="63"/>
              <w:jc w:val="both"/>
              <w:rPr>
                <w:szCs w:val="24"/>
              </w:rPr>
            </w:pPr>
            <w:r>
              <w:rPr>
                <w:szCs w:val="24"/>
              </w:rPr>
              <w:t xml:space="preserve">Įstatymo </w:t>
            </w:r>
            <w:r w:rsidR="0074395A">
              <w:rPr>
                <w:szCs w:val="24"/>
              </w:rPr>
              <w:t>17</w:t>
            </w:r>
            <w:r>
              <w:rPr>
                <w:szCs w:val="24"/>
              </w:rPr>
              <w:t xml:space="preserve"> straipsnio 1 dalis</w:t>
            </w:r>
            <w:r>
              <w:rPr>
                <w:rStyle w:val="FootnoteReference"/>
                <w:szCs w:val="24"/>
              </w:rPr>
              <w:footnoteReference w:id="7"/>
            </w:r>
          </w:p>
        </w:tc>
      </w:tr>
      <w:tr w:rsidR="00670BD0" w:rsidRPr="00007472" w14:paraId="79FB8147" w14:textId="77777777" w:rsidTr="000B107D">
        <w:tc>
          <w:tcPr>
            <w:tcW w:w="9781" w:type="dxa"/>
            <w:gridSpan w:val="2"/>
            <w:shd w:val="clear" w:color="auto" w:fill="auto"/>
          </w:tcPr>
          <w:p w14:paraId="39E45E5D" w14:textId="77777777" w:rsidR="00DC425F" w:rsidRPr="00DC425F" w:rsidRDefault="00DC425F" w:rsidP="00DC425F">
            <w:pPr>
              <w:ind w:firstLine="426"/>
              <w:jc w:val="both"/>
              <w:rPr>
                <w:szCs w:val="24"/>
              </w:rPr>
            </w:pPr>
            <w:r w:rsidRPr="00DC425F">
              <w:rPr>
                <w:szCs w:val="24"/>
              </w:rPr>
              <w:t xml:space="preserve">Techninių specifikacijų lentelių antrame stulpelyje nustatyti Pirkimo objekto techniniai reikalavimai, o trečiasis stulpelis pavadintas „Tiekėjo siūlomų autobusų techniniai rodikliai ir jų reikšmės“ ir nurodyta, kad </w:t>
            </w:r>
            <w:r w:rsidRPr="00DC425F">
              <w:rPr>
                <w:i/>
                <w:iCs/>
                <w:szCs w:val="24"/>
              </w:rPr>
              <w:t>„Tiekėjas nurodo konkrečius techninius rodiklius ir jų reikšmes arba pažymi apie atitiktį reikalavimui“</w:t>
            </w:r>
            <w:r w:rsidRPr="00DC425F">
              <w:rPr>
                <w:szCs w:val="24"/>
              </w:rPr>
              <w:t>.</w:t>
            </w:r>
          </w:p>
          <w:p w14:paraId="0904F087" w14:textId="749AD67F" w:rsidR="00DC425F" w:rsidRPr="00DC425F" w:rsidRDefault="00DC425F" w:rsidP="00DC425F">
            <w:pPr>
              <w:ind w:firstLine="426"/>
              <w:jc w:val="both"/>
              <w:rPr>
                <w:szCs w:val="24"/>
              </w:rPr>
            </w:pPr>
            <w:r w:rsidRPr="00DC425F">
              <w:rPr>
                <w:szCs w:val="24"/>
              </w:rPr>
              <w:t xml:space="preserve">Pažymėtina, kad tiekėjų pasiūlymų atitikties vertinimo procedūra privalo būti vykdoma nešališkai, objektyviai. Su objektyvia pasiūlymų vertinimo procedūra nesuderinama tokia Pirkimo sąlygose įtvirtinta tvarka, kai tiekėjo pasiūlymo atitiktis įrodinėjama nepatikimais, paties tiekėjo, kuris suinteresuotas Pirkimo procedūrų baigtimi, deklaruojamais duomenimis. </w:t>
            </w:r>
            <w:r>
              <w:rPr>
                <w:szCs w:val="24"/>
              </w:rPr>
              <w:t>Perkančioji organizacija</w:t>
            </w:r>
            <w:r w:rsidRPr="00DC425F">
              <w:rPr>
                <w:szCs w:val="24"/>
              </w:rPr>
              <w:t xml:space="preserve"> Techninėse specifikacijose įsigyjamiems </w:t>
            </w:r>
            <w:proofErr w:type="spellStart"/>
            <w:r w:rsidRPr="00DC425F">
              <w:rPr>
                <w:szCs w:val="24"/>
              </w:rPr>
              <w:t>žemagrindžiams</w:t>
            </w:r>
            <w:proofErr w:type="spellEnd"/>
            <w:r w:rsidRPr="00DC425F">
              <w:rPr>
                <w:szCs w:val="24"/>
              </w:rPr>
              <w:t xml:space="preserve"> autobusams nustatė detalius reikalavimus, tačiau Pirkimo dokumentuose nenustatė reikalavimo, kad tiekėjai turėtų pateikti patvirtinančius dokumentus, įrodančius, kad siūlomos prekės juos atitinka. </w:t>
            </w:r>
          </w:p>
          <w:p w14:paraId="1D8C1D3F" w14:textId="77777777" w:rsidR="00DC425F" w:rsidRPr="00DC425F" w:rsidRDefault="00DC425F" w:rsidP="00DC425F">
            <w:pPr>
              <w:ind w:firstLine="426"/>
              <w:jc w:val="both"/>
              <w:rPr>
                <w:szCs w:val="24"/>
              </w:rPr>
            </w:pPr>
            <w:r w:rsidRPr="00DC425F">
              <w:rPr>
                <w:szCs w:val="24"/>
              </w:rPr>
              <w:t xml:space="preserve">Pagal Lietuvos Aukščiausiojo Teismo (toliau – LAT) praktiką, tiekėjo pateikiama dokumentacija turi atitikti šiuos patikimumo kriterijus: 1) pateiktuose dokumentuose turi būti </w:t>
            </w:r>
            <w:r w:rsidRPr="00DC425F">
              <w:rPr>
                <w:szCs w:val="24"/>
              </w:rPr>
              <w:lastRenderedPageBreak/>
              <w:t xml:space="preserve">užsakovo reikalaujami duomenys apie siūlomų įrenginių ir medžiagų technines savybes; 2) tiekėjas turi nurodyti gamintoją, kaip šios informacijos šaltinį; 3) turi būti vieša galimybė patikrinti pateiktą informaciją (LAT 2012 m. balandžio 12 d. nutartis civ. byloje Nr. 3K-3-43/2012). </w:t>
            </w:r>
          </w:p>
          <w:p w14:paraId="234AC830" w14:textId="5681A6D9" w:rsidR="00DC425F" w:rsidRPr="00DC425F" w:rsidRDefault="00DC425F" w:rsidP="00DC425F">
            <w:pPr>
              <w:ind w:firstLine="426"/>
              <w:jc w:val="both"/>
              <w:rPr>
                <w:szCs w:val="24"/>
              </w:rPr>
            </w:pPr>
            <w:r w:rsidRPr="00DC425F">
              <w:rPr>
                <w:szCs w:val="24"/>
              </w:rPr>
              <w:t xml:space="preserve">Tiekėjų pasiūlymų atitiktis techniniams reikalavimams privalo būti pagrįsta gamintojų techniniais dokumentais ar kitais lygiaverčiais duomenimis. Viena vertus, tokiu būdu užtikrinamas gautos informacijos patikimumas ir </w:t>
            </w:r>
            <w:proofErr w:type="spellStart"/>
            <w:r w:rsidRPr="00DC425F">
              <w:rPr>
                <w:szCs w:val="24"/>
              </w:rPr>
              <w:t>patikrinamumas</w:t>
            </w:r>
            <w:proofErr w:type="spellEnd"/>
            <w:r w:rsidRPr="00DC425F">
              <w:rPr>
                <w:szCs w:val="24"/>
              </w:rPr>
              <w:t xml:space="preserve">, nes </w:t>
            </w:r>
            <w:r w:rsidR="00B207BB">
              <w:rPr>
                <w:szCs w:val="24"/>
              </w:rPr>
              <w:t>perkančioji organizacija</w:t>
            </w:r>
            <w:r w:rsidRPr="00DC425F">
              <w:rPr>
                <w:szCs w:val="24"/>
              </w:rPr>
              <w:t xml:space="preserve"> gauna informaciją iš objektyvaus ir nešališko šaltinio, paprastai nesuinteresuoto konkretaus viešojo pirkimo baigtimi. Kita vertus, užtikrinamas skaidrumo imperatyvas, įpareigojantis </w:t>
            </w:r>
            <w:r w:rsidR="00B207BB">
              <w:rPr>
                <w:szCs w:val="24"/>
              </w:rPr>
              <w:t>perkančiąją organizaciją</w:t>
            </w:r>
            <w:r w:rsidRPr="00DC425F">
              <w:rPr>
                <w:szCs w:val="24"/>
              </w:rPr>
              <w:t>, reikalavus</w:t>
            </w:r>
            <w:r w:rsidR="00B207BB">
              <w:rPr>
                <w:szCs w:val="24"/>
              </w:rPr>
              <w:t>ią</w:t>
            </w:r>
            <w:r w:rsidRPr="00DC425F">
              <w:rPr>
                <w:szCs w:val="24"/>
              </w:rPr>
              <w:t xml:space="preserve"> kartu su pasiūlymu pateikti, pavyzdžiui, gamintojo parengtus katalogus, laikytis savo pa</w:t>
            </w:r>
            <w:r w:rsidR="00B207BB">
              <w:rPr>
                <w:szCs w:val="24"/>
              </w:rPr>
              <w:t>čios</w:t>
            </w:r>
            <w:r w:rsidRPr="00DC425F">
              <w:rPr>
                <w:szCs w:val="24"/>
              </w:rPr>
              <w:t xml:space="preserve"> nustatytų sąlygų ir tiekėjų pasiūlymus vertinti išimtinai pagal viešojo pirkimo dokumentus (LAT 2018 m. spalio 4 d. nutartis civilinėje byloje Nr. e3K-3-343-690/2018).  </w:t>
            </w:r>
          </w:p>
          <w:p w14:paraId="41B28DEC" w14:textId="693685B0" w:rsidR="00AE44F1" w:rsidRPr="00007472" w:rsidRDefault="00DC425F" w:rsidP="00DC425F">
            <w:pPr>
              <w:ind w:firstLine="426"/>
              <w:jc w:val="both"/>
              <w:rPr>
                <w:szCs w:val="24"/>
              </w:rPr>
            </w:pPr>
            <w:r w:rsidRPr="00DC425F">
              <w:rPr>
                <w:szCs w:val="24"/>
              </w:rPr>
              <w:t>Atsižvelgiant į tai, kas išdėstyta, Tarnyba konstatuoja, kad nenusta</w:t>
            </w:r>
            <w:r w:rsidR="00B207BB">
              <w:rPr>
                <w:szCs w:val="24"/>
              </w:rPr>
              <w:t>čiusi</w:t>
            </w:r>
            <w:r w:rsidRPr="00DC425F">
              <w:rPr>
                <w:szCs w:val="24"/>
              </w:rPr>
              <w:t xml:space="preserve"> reikalavimo tiekėjams pateikti dokumentus ar nuorodas į siūlomų prekių gamintojų oficialias internetines svetaines, įrodančius, kad siūlomos prekės atitinka Techninių specifikacijų reikalavimus, </w:t>
            </w:r>
            <w:r w:rsidR="00B207BB">
              <w:rPr>
                <w:szCs w:val="24"/>
              </w:rPr>
              <w:t>Perkančioji organizacija</w:t>
            </w:r>
            <w:r w:rsidRPr="00DC425F">
              <w:rPr>
                <w:szCs w:val="24"/>
              </w:rPr>
              <w:t xml:space="preserve"> pažeidė Įstatymo </w:t>
            </w:r>
            <w:r w:rsidR="00B207BB">
              <w:rPr>
                <w:szCs w:val="24"/>
              </w:rPr>
              <w:t>17</w:t>
            </w:r>
            <w:r w:rsidRPr="00DC425F">
              <w:rPr>
                <w:szCs w:val="24"/>
              </w:rPr>
              <w:t xml:space="preserve"> straipsnio 1 dalyje įtvirtintą skaidrumo principą.</w:t>
            </w:r>
          </w:p>
        </w:tc>
      </w:tr>
    </w:tbl>
    <w:p w14:paraId="409B8C3C" w14:textId="77777777" w:rsidR="003A2C45" w:rsidRPr="00007472" w:rsidRDefault="003A2C45" w:rsidP="002A07F4">
      <w:pPr>
        <w:jc w:val="center"/>
        <w:rPr>
          <w:b/>
          <w:szCs w:val="24"/>
        </w:rPr>
      </w:pPr>
    </w:p>
    <w:p w14:paraId="2A5FB4FC" w14:textId="53247E92" w:rsidR="002A07F4" w:rsidRDefault="002A07F4" w:rsidP="002A07F4">
      <w:pPr>
        <w:jc w:val="center"/>
        <w:rPr>
          <w:b/>
          <w:szCs w:val="24"/>
        </w:rPr>
      </w:pPr>
      <w:r w:rsidRPr="00007472">
        <w:rPr>
          <w:b/>
          <w:szCs w:val="24"/>
        </w:rPr>
        <w:t>IV dalis. Sprendimas</w:t>
      </w:r>
    </w:p>
    <w:p w14:paraId="3A187E1B" w14:textId="58AAAE32" w:rsidR="00007E85" w:rsidRDefault="00007E85" w:rsidP="002A07F4">
      <w:pPr>
        <w:jc w:val="center"/>
        <w:rPr>
          <w:b/>
          <w:szCs w:val="24"/>
        </w:rPr>
      </w:pPr>
    </w:p>
    <w:tbl>
      <w:tblPr>
        <w:tblStyle w:val="TableGrid"/>
        <w:tblW w:w="0" w:type="auto"/>
        <w:tblLook w:val="04A0" w:firstRow="1" w:lastRow="0" w:firstColumn="1" w:lastColumn="0" w:noHBand="0" w:noVBand="1"/>
      </w:tblPr>
      <w:tblGrid>
        <w:gridCol w:w="9770"/>
      </w:tblGrid>
      <w:tr w:rsidR="00007E85" w14:paraId="35414CF3" w14:textId="77777777" w:rsidTr="00007E85">
        <w:tc>
          <w:tcPr>
            <w:tcW w:w="9770" w:type="dxa"/>
          </w:tcPr>
          <w:p w14:paraId="47199E0C" w14:textId="14B9F090" w:rsidR="00BE1051" w:rsidRDefault="00BE1051" w:rsidP="00BE1051">
            <w:pPr>
              <w:ind w:firstLine="567"/>
              <w:jc w:val="both"/>
              <w:rPr>
                <w:rFonts w:eastAsia="Calibri"/>
                <w:bCs/>
                <w:szCs w:val="24"/>
              </w:rPr>
            </w:pPr>
            <w:r w:rsidRPr="00007E85">
              <w:rPr>
                <w:szCs w:val="24"/>
              </w:rPr>
              <w:t xml:space="preserve">Atsižvelgdama į šioje vertinimo išvadoje nurodytus </w:t>
            </w:r>
            <w:r>
              <w:rPr>
                <w:rFonts w:eastAsia="Calibri"/>
                <w:szCs w:val="24"/>
              </w:rPr>
              <w:t>Įstatymo</w:t>
            </w:r>
            <w:r w:rsidRPr="00007E85">
              <w:rPr>
                <w:rFonts w:eastAsia="Calibri"/>
                <w:szCs w:val="24"/>
              </w:rPr>
              <w:t xml:space="preserve"> </w:t>
            </w:r>
            <w:r w:rsidRPr="00007E85">
              <w:rPr>
                <w:rFonts w:eastAsia="Calibri"/>
                <w:spacing w:val="2"/>
                <w:szCs w:val="24"/>
                <w:shd w:val="clear" w:color="auto" w:fill="FFFFFF"/>
              </w:rPr>
              <w:t>pažeidimus</w:t>
            </w:r>
            <w:r>
              <w:rPr>
                <w:szCs w:val="24"/>
              </w:rPr>
              <w:t xml:space="preserve"> bei </w:t>
            </w:r>
            <w:r w:rsidRPr="00D04855">
              <w:rPr>
                <w:szCs w:val="24"/>
              </w:rPr>
              <w:t>į Perkančio</w:t>
            </w:r>
            <w:r>
              <w:rPr>
                <w:szCs w:val="24"/>
              </w:rPr>
              <w:t>sios</w:t>
            </w:r>
            <w:r w:rsidRPr="00D04855">
              <w:rPr>
                <w:szCs w:val="24"/>
              </w:rPr>
              <w:t xml:space="preserve"> </w:t>
            </w:r>
            <w:r>
              <w:rPr>
                <w:szCs w:val="24"/>
              </w:rPr>
              <w:t>organizacijos</w:t>
            </w:r>
            <w:r w:rsidRPr="00D04855">
              <w:rPr>
                <w:szCs w:val="24"/>
              </w:rPr>
              <w:t xml:space="preserve"> paaiškinimą, kad Pirkimo objektu apibrėžtos prekės dar nėra pristatytos</w:t>
            </w:r>
            <w:r>
              <w:rPr>
                <w:szCs w:val="24"/>
              </w:rPr>
              <w:t>, ir vadovaudamasi teisingumo ir protingumo kriterijais,</w:t>
            </w:r>
            <w:r w:rsidRPr="00007E85">
              <w:rPr>
                <w:szCs w:val="24"/>
              </w:rPr>
              <w:t xml:space="preserve"> Tarnyba </w:t>
            </w:r>
            <w:r>
              <w:rPr>
                <w:szCs w:val="24"/>
              </w:rPr>
              <w:t xml:space="preserve">rekomenduoja Perkančiajai organizacijai </w:t>
            </w:r>
            <w:r w:rsidRPr="00007E85">
              <w:rPr>
                <w:rFonts w:eastAsia="Calibri"/>
                <w:bCs/>
                <w:szCs w:val="24"/>
              </w:rPr>
              <w:t xml:space="preserve">nutraukti </w:t>
            </w:r>
            <w:r>
              <w:rPr>
                <w:rFonts w:eastAsia="Calibri"/>
                <w:bCs/>
                <w:szCs w:val="24"/>
              </w:rPr>
              <w:t>Sutart</w:t>
            </w:r>
            <w:r w:rsidR="00B207BB">
              <w:rPr>
                <w:rFonts w:eastAsia="Calibri"/>
                <w:bCs/>
                <w:szCs w:val="24"/>
              </w:rPr>
              <w:t>is</w:t>
            </w:r>
            <w:r>
              <w:rPr>
                <w:rFonts w:eastAsia="Calibri"/>
                <w:bCs/>
                <w:szCs w:val="24"/>
              </w:rPr>
              <w:t xml:space="preserve"> ir, esant Pirkimo objekto poreikiui, organizuoti naują pirkimą.</w:t>
            </w:r>
          </w:p>
          <w:p w14:paraId="3CD101DC" w14:textId="77777777" w:rsidR="00BE1051" w:rsidRPr="00007E85" w:rsidRDefault="00BE1051" w:rsidP="00BE1051">
            <w:pPr>
              <w:ind w:firstLine="567"/>
              <w:jc w:val="both"/>
              <w:rPr>
                <w:rFonts w:eastAsia="Calibri"/>
                <w:bCs/>
                <w:szCs w:val="24"/>
              </w:rPr>
            </w:pPr>
            <w:r w:rsidRPr="00814ADB">
              <w:rPr>
                <w:rFonts w:eastAsia="Calibri"/>
                <w:bCs/>
                <w:szCs w:val="24"/>
              </w:rPr>
              <w:t xml:space="preserve">Prašome nedelsiant, ne vėliau kaip per 10 darbo dienų, raštu informuoti apie priimtus sprendimus dėl </w:t>
            </w:r>
            <w:r>
              <w:rPr>
                <w:rFonts w:eastAsia="Calibri"/>
                <w:bCs/>
                <w:szCs w:val="24"/>
              </w:rPr>
              <w:t>Tarnybos</w:t>
            </w:r>
            <w:r w:rsidRPr="00814ADB">
              <w:rPr>
                <w:rFonts w:eastAsia="Calibri"/>
                <w:bCs/>
                <w:szCs w:val="24"/>
              </w:rPr>
              <w:t xml:space="preserve"> rekomendacijos vykdymo.</w:t>
            </w:r>
          </w:p>
          <w:p w14:paraId="2BFD7369" w14:textId="2D143AF7" w:rsidR="00007E85" w:rsidRDefault="00007E85" w:rsidP="0048584E">
            <w:pPr>
              <w:jc w:val="both"/>
              <w:rPr>
                <w:b/>
                <w:szCs w:val="24"/>
              </w:rPr>
            </w:pPr>
          </w:p>
        </w:tc>
      </w:tr>
    </w:tbl>
    <w:p w14:paraId="34AF038F" w14:textId="3B88E242" w:rsidR="002A07F4" w:rsidRPr="00007472" w:rsidRDefault="00076203" w:rsidP="002A07F4">
      <w:pPr>
        <w:jc w:val="center"/>
        <w:rPr>
          <w:b/>
          <w:szCs w:val="24"/>
        </w:rPr>
      </w:pPr>
      <w:r>
        <w:rPr>
          <w:b/>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007472"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72DBAB38" w14:textId="69A32088" w:rsidR="002A07F4" w:rsidRPr="00007472" w:rsidRDefault="002A07F4" w:rsidP="00933D7B">
            <w:pPr>
              <w:ind w:firstLine="567"/>
              <w:jc w:val="both"/>
              <w:rPr>
                <w:szCs w:val="24"/>
              </w:rPr>
            </w:pPr>
          </w:p>
        </w:tc>
      </w:tr>
    </w:tbl>
    <w:p w14:paraId="3F34AE90" w14:textId="77777777" w:rsidR="009E7BDA" w:rsidRDefault="009E7BDA" w:rsidP="002A07F4">
      <w:pPr>
        <w:jc w:val="center"/>
        <w:rPr>
          <w:b/>
          <w:szCs w:val="24"/>
        </w:rPr>
      </w:pPr>
    </w:p>
    <w:p w14:paraId="3B024E3E" w14:textId="0D5CE11C" w:rsidR="002A07F4" w:rsidRPr="00007472" w:rsidRDefault="002A07F4" w:rsidP="002A07F4">
      <w:pPr>
        <w:jc w:val="center"/>
        <w:rPr>
          <w:b/>
          <w:szCs w:val="24"/>
        </w:rPr>
      </w:pPr>
      <w:r w:rsidRPr="00007472">
        <w:rPr>
          <w:b/>
          <w:szCs w:val="24"/>
        </w:rPr>
        <w:t>Pastabos</w:t>
      </w:r>
    </w:p>
    <w:p w14:paraId="62807D95"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212EE" w:rsidRPr="002212EE" w14:paraId="35112C64" w14:textId="77777777" w:rsidTr="00722762">
        <w:tc>
          <w:tcPr>
            <w:tcW w:w="9781" w:type="dxa"/>
            <w:shd w:val="clear" w:color="auto" w:fill="auto"/>
            <w:vAlign w:val="center"/>
          </w:tcPr>
          <w:p w14:paraId="307EC103" w14:textId="6CBBCDC7" w:rsidR="00B207BB" w:rsidRPr="00B207BB" w:rsidRDefault="00B207BB" w:rsidP="00B207BB">
            <w:pPr>
              <w:shd w:val="clear" w:color="auto" w:fill="FFFFFF"/>
              <w:jc w:val="both"/>
              <w:rPr>
                <w:iCs/>
                <w:szCs w:val="24"/>
              </w:rPr>
            </w:pPr>
            <w:r>
              <w:rPr>
                <w:iCs/>
                <w:szCs w:val="24"/>
              </w:rPr>
              <w:t xml:space="preserve">    </w:t>
            </w:r>
            <w:r w:rsidRPr="00B207BB">
              <w:rPr>
                <w:iCs/>
                <w:szCs w:val="24"/>
              </w:rPr>
              <w:t xml:space="preserve">1. Dėl Pirkimo sąlygų </w:t>
            </w:r>
            <w:r>
              <w:rPr>
                <w:iCs/>
                <w:szCs w:val="24"/>
              </w:rPr>
              <w:t>63.1</w:t>
            </w:r>
            <w:r w:rsidRPr="00B207BB">
              <w:rPr>
                <w:iCs/>
                <w:szCs w:val="24"/>
              </w:rPr>
              <w:t xml:space="preserve"> punkte  nustatytos santykinės pasiūlymų vertinimo balų apskaičiavimo formulės</w:t>
            </w:r>
            <w:r>
              <w:rPr>
                <w:rStyle w:val="FootnoteReference"/>
                <w:iCs/>
                <w:szCs w:val="24"/>
              </w:rPr>
              <w:footnoteReference w:id="8"/>
            </w:r>
            <w:r w:rsidRPr="00B207BB">
              <w:rPr>
                <w:iCs/>
                <w:szCs w:val="24"/>
              </w:rPr>
              <w:t>: Tarnyba nerekomenduoja vertinant pasiūlymų ekonominį naudingumą taikyti formulių, kuriose tiekėjų pasiūlymų reikšmės vertinamos tarpusavyje</w:t>
            </w:r>
            <w:r w:rsidR="00603369">
              <w:rPr>
                <w:iCs/>
                <w:szCs w:val="24"/>
              </w:rPr>
              <w:t>,</w:t>
            </w:r>
            <w:r w:rsidRPr="00B207BB">
              <w:rPr>
                <w:iCs/>
                <w:szCs w:val="24"/>
              </w:rPr>
              <w:t xml:space="preserve"> ir vietoje jų rekomenduoja rinktis absoliutines formules</w:t>
            </w:r>
            <w:r>
              <w:rPr>
                <w:rStyle w:val="FootnoteReference"/>
                <w:iCs/>
                <w:szCs w:val="24"/>
              </w:rPr>
              <w:footnoteReference w:id="9"/>
            </w:r>
            <w:r w:rsidRPr="00B207BB">
              <w:rPr>
                <w:iCs/>
                <w:szCs w:val="24"/>
              </w:rPr>
              <w:t>.</w:t>
            </w:r>
          </w:p>
          <w:p w14:paraId="2E315185" w14:textId="09BF6BBB" w:rsidR="00EF0235" w:rsidRPr="002212EE" w:rsidRDefault="00B207BB" w:rsidP="00B207BB">
            <w:pPr>
              <w:shd w:val="clear" w:color="auto" w:fill="FFFFFF"/>
              <w:jc w:val="both"/>
              <w:rPr>
                <w:iCs/>
                <w:szCs w:val="24"/>
              </w:rPr>
            </w:pPr>
            <w:r w:rsidRPr="00B207BB">
              <w:rPr>
                <w:iCs/>
                <w:szCs w:val="24"/>
              </w:rPr>
              <w:t xml:space="preserve">     2. Techninių specifikacijų 19.1, 19.2 ir 19.3 punktuose nustatyta, jog garantija suteikiama visam Pirkimo objektui ir visoms jo detalėms, kas reiškia, kad garantija privalo būti suteikiama visam Pirkimo objektui, įskaitant ir pvz. padangas, filtrus, tarpines, kurioms praktikoje garantija dažniausiai nėra suteikiama. Rekomenduojame, nustatant reikalavimus autobusų garantijai, papildomai nurodyti, kad pvz. garantija netaikoma greitai nusidėvinčioms dalims ir t.t.     </w:t>
            </w:r>
          </w:p>
        </w:tc>
      </w:tr>
    </w:tbl>
    <w:p w14:paraId="5DDBD6F2" w14:textId="32DFFECF" w:rsidR="00B65046" w:rsidRDefault="00B65046" w:rsidP="00263F16">
      <w:pPr>
        <w:tabs>
          <w:tab w:val="left" w:pos="7750"/>
        </w:tabs>
        <w:rPr>
          <w:szCs w:val="24"/>
        </w:rPr>
      </w:pPr>
    </w:p>
    <w:p w14:paraId="563F2304" w14:textId="77777777" w:rsidR="009E7BDA" w:rsidRPr="00930A62" w:rsidRDefault="009E7BDA" w:rsidP="00263F16">
      <w:pPr>
        <w:tabs>
          <w:tab w:val="left" w:pos="7750"/>
        </w:tabs>
        <w:rPr>
          <w:szCs w:val="24"/>
        </w:rPr>
      </w:pPr>
    </w:p>
    <w:p w14:paraId="0D092AE6" w14:textId="08B661EE" w:rsidR="000C6E28" w:rsidRPr="00930A62" w:rsidRDefault="000F282A" w:rsidP="00263F16">
      <w:pPr>
        <w:tabs>
          <w:tab w:val="left" w:pos="7750"/>
        </w:tabs>
        <w:rPr>
          <w:szCs w:val="24"/>
        </w:rPr>
      </w:pPr>
      <w:r w:rsidRPr="00930A62">
        <w:rPr>
          <w:szCs w:val="24"/>
        </w:rPr>
        <w:t>Direktorius</w:t>
      </w:r>
      <w:r w:rsidR="005C1774" w:rsidRPr="00930A62">
        <w:rPr>
          <w:szCs w:val="24"/>
        </w:rPr>
        <w:t xml:space="preserve">                                                                                                                  Darius </w:t>
      </w:r>
      <w:r w:rsidR="00B65046">
        <w:rPr>
          <w:szCs w:val="24"/>
        </w:rPr>
        <w:t>Vedrickas</w:t>
      </w:r>
    </w:p>
    <w:p w14:paraId="4B59C0F9" w14:textId="6ABDF4EA" w:rsidR="00390E6A" w:rsidRDefault="00390E6A" w:rsidP="00263F16">
      <w:pPr>
        <w:tabs>
          <w:tab w:val="left" w:pos="7750"/>
        </w:tabs>
        <w:rPr>
          <w:szCs w:val="24"/>
        </w:rPr>
      </w:pPr>
    </w:p>
    <w:p w14:paraId="146999CA" w14:textId="323D99A0" w:rsidR="009E7BDA" w:rsidRDefault="009E7BDA" w:rsidP="00263F16">
      <w:pPr>
        <w:tabs>
          <w:tab w:val="left" w:pos="7750"/>
        </w:tabs>
        <w:rPr>
          <w:szCs w:val="24"/>
        </w:rPr>
      </w:pPr>
    </w:p>
    <w:p w14:paraId="003B4E4B" w14:textId="4FFD30D3" w:rsidR="009E7BDA" w:rsidRDefault="009E7BDA" w:rsidP="00263F16">
      <w:pPr>
        <w:tabs>
          <w:tab w:val="left" w:pos="7750"/>
        </w:tabs>
        <w:rPr>
          <w:szCs w:val="24"/>
        </w:rPr>
      </w:pPr>
    </w:p>
    <w:p w14:paraId="3F46FC33" w14:textId="1A6D852D" w:rsidR="00E9253B" w:rsidRDefault="00E9253B" w:rsidP="00263F16">
      <w:pPr>
        <w:tabs>
          <w:tab w:val="left" w:pos="7750"/>
        </w:tabs>
        <w:rPr>
          <w:szCs w:val="24"/>
        </w:rPr>
      </w:pPr>
    </w:p>
    <w:p w14:paraId="769AC884" w14:textId="6EC03A62" w:rsidR="00E9253B" w:rsidRDefault="00E9253B" w:rsidP="00263F16">
      <w:pPr>
        <w:tabs>
          <w:tab w:val="left" w:pos="7750"/>
        </w:tabs>
        <w:rPr>
          <w:szCs w:val="24"/>
        </w:rPr>
      </w:pPr>
    </w:p>
    <w:p w14:paraId="5F8CB73D" w14:textId="46A93F68" w:rsidR="00E9253B" w:rsidRDefault="00E9253B" w:rsidP="00263F16">
      <w:pPr>
        <w:tabs>
          <w:tab w:val="left" w:pos="7750"/>
        </w:tabs>
        <w:rPr>
          <w:szCs w:val="24"/>
        </w:rPr>
      </w:pPr>
    </w:p>
    <w:p w14:paraId="65F252B1" w14:textId="31489BFE" w:rsidR="00E9253B" w:rsidRDefault="00E9253B" w:rsidP="00263F16">
      <w:pPr>
        <w:tabs>
          <w:tab w:val="left" w:pos="7750"/>
        </w:tabs>
        <w:rPr>
          <w:szCs w:val="24"/>
        </w:rPr>
      </w:pPr>
    </w:p>
    <w:p w14:paraId="499530A5" w14:textId="77777777" w:rsidR="00E9253B" w:rsidRPr="00930A62" w:rsidRDefault="00E9253B" w:rsidP="00263F16">
      <w:pPr>
        <w:tabs>
          <w:tab w:val="left" w:pos="7750"/>
        </w:tabs>
        <w:rPr>
          <w:szCs w:val="24"/>
        </w:rPr>
      </w:pPr>
    </w:p>
    <w:p w14:paraId="71B34042" w14:textId="2457E7E4" w:rsidR="00D60726" w:rsidRPr="00D72D54" w:rsidRDefault="00D72D54" w:rsidP="00263F16">
      <w:pPr>
        <w:tabs>
          <w:tab w:val="left" w:pos="7750"/>
        </w:tabs>
        <w:rPr>
          <w:sz w:val="20"/>
        </w:rPr>
      </w:pPr>
      <w:r w:rsidRPr="00D72D54">
        <w:rPr>
          <w:sz w:val="20"/>
        </w:rPr>
        <w:t>Giedrė Almonaitytė, tel. (8 5) 219 7033, mob. 8 (690) 24128, faks. (8 5) 213 6213, el. p. Giedre.Almonaityte@vpt.lt</w:t>
      </w:r>
    </w:p>
    <w:sectPr w:rsidR="00D60726" w:rsidRPr="00D72D54" w:rsidSect="009E7BDA">
      <w:headerReference w:type="default" r:id="rId12"/>
      <w:headerReference w:type="first" r:id="rId13"/>
      <w:footerReference w:type="first" r:id="rId14"/>
      <w:pgSz w:w="11906" w:h="16838" w:code="9"/>
      <w:pgMar w:top="425" w:right="425"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D3FE" w14:textId="77777777" w:rsidR="00594F87" w:rsidRDefault="00594F87" w:rsidP="00B60E72">
      <w:r>
        <w:separator/>
      </w:r>
    </w:p>
  </w:endnote>
  <w:endnote w:type="continuationSeparator" w:id="0">
    <w:p w14:paraId="58D142DD" w14:textId="77777777" w:rsidR="00594F87" w:rsidRDefault="00594F87"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53DC" w14:textId="77777777" w:rsidR="00310236" w:rsidRPr="00BB2F72" w:rsidRDefault="00310236" w:rsidP="00277A2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340559" w14:textId="0131E25D" w:rsidR="00310236" w:rsidRPr="00BB2F72" w:rsidRDefault="00310236" w:rsidP="00277A2B">
    <w:pPr>
      <w:pBdr>
        <w:top w:val="single" w:sz="4" w:space="1" w:color="auto"/>
      </w:pBdr>
      <w:jc w:val="both"/>
      <w:rPr>
        <w:sz w:val="18"/>
      </w:rPr>
    </w:pPr>
    <w:r>
      <w:rPr>
        <w:sz w:val="18"/>
      </w:rPr>
      <w:t>Kareivių g. 1, LT-08351 Vilnius                              Faks. (8 5) 213 621</w:t>
    </w:r>
    <w:r w:rsidR="00D72D54">
      <w:rPr>
        <w:sz w:val="18"/>
      </w:rPr>
      <w:t>3</w:t>
    </w:r>
    <w:r>
      <w:rPr>
        <w:sz w:val="18"/>
      </w:rPr>
      <w:t xml:space="preserve">                            </w:t>
    </w:r>
    <w:r w:rsidRPr="00BB2F72">
      <w:rPr>
        <w:sz w:val="18"/>
      </w:rPr>
      <w:t xml:space="preserve">Juridinių asmenų registre </w:t>
    </w:r>
  </w:p>
  <w:p w14:paraId="17BE0CDD" w14:textId="77777777" w:rsidR="00310236" w:rsidRPr="00BB2F72" w:rsidRDefault="00310236" w:rsidP="00277A2B">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A6ED" w14:textId="77777777" w:rsidR="00594F87" w:rsidRDefault="00594F87" w:rsidP="00B60E72">
      <w:r>
        <w:separator/>
      </w:r>
    </w:p>
  </w:footnote>
  <w:footnote w:type="continuationSeparator" w:id="0">
    <w:p w14:paraId="68DBA894" w14:textId="77777777" w:rsidR="00594F87" w:rsidRDefault="00594F87" w:rsidP="00B60E72">
      <w:r>
        <w:continuationSeparator/>
      </w:r>
    </w:p>
  </w:footnote>
  <w:footnote w:id="1">
    <w:p w14:paraId="7C3CD58A" w14:textId="6B36FEE1" w:rsidR="007C4CEC" w:rsidRDefault="007C4CEC" w:rsidP="00461D6F">
      <w:pPr>
        <w:pStyle w:val="FootnoteText"/>
        <w:jc w:val="both"/>
      </w:pPr>
      <w:r>
        <w:rPr>
          <w:rStyle w:val="FootnoteReference"/>
        </w:rPr>
        <w:footnoteRef/>
      </w:r>
      <w:r>
        <w:t xml:space="preserve"> „</w:t>
      </w:r>
      <w:r w:rsidR="0074395A">
        <w:t>Perkančioji organizacija</w:t>
      </w:r>
      <w:r w:rsidRPr="007C4CEC">
        <w:t xml:space="preserve"> užtikrina, kad vykdant pirkimą būtų laikomasi </w:t>
      </w:r>
      <w:r>
        <w:t>&lt;..&gt;</w:t>
      </w:r>
      <w:r w:rsidRPr="007C4CEC">
        <w:t xml:space="preserve"> skaidrumo principų</w:t>
      </w:r>
      <w:r>
        <w:t>“.</w:t>
      </w:r>
    </w:p>
  </w:footnote>
  <w:footnote w:id="2">
    <w:p w14:paraId="786D7A3B" w14:textId="77777777" w:rsidR="00BE1051" w:rsidRDefault="00BE1051" w:rsidP="00BE1051">
      <w:pPr>
        <w:pStyle w:val="FootnoteText"/>
        <w:jc w:val="both"/>
      </w:pPr>
      <w:r>
        <w:rPr>
          <w:rStyle w:val="FootnoteReference"/>
        </w:rPr>
        <w:footnoteRef/>
      </w:r>
      <w:r>
        <w:t xml:space="preserve"> „Perkančioji organizacija &lt;..&gt;</w:t>
      </w:r>
      <w:r w:rsidRPr="007C4CEC">
        <w:t xml:space="preserve"> laimėjusį nustato ekonomiškai naudingiausią pasiūlymą, jeigu</w:t>
      </w:r>
      <w:r>
        <w:t xml:space="preserve"> </w:t>
      </w:r>
      <w:r w:rsidRPr="007C4CEC">
        <w:t xml:space="preserve">pasiūlymas atitinka </w:t>
      </w:r>
      <w:r>
        <w:t xml:space="preserve">&lt;..&gt; </w:t>
      </w:r>
      <w:r w:rsidRPr="007C4CEC">
        <w:t>pirkimo dokumentuose nustatytus reikalavimus</w:t>
      </w:r>
      <w:r>
        <w:t>“.</w:t>
      </w:r>
    </w:p>
  </w:footnote>
  <w:footnote w:id="3">
    <w:p w14:paraId="6FD8FE4D" w14:textId="32DB4485" w:rsidR="00C618DF" w:rsidRDefault="00C618DF" w:rsidP="00C618DF">
      <w:pPr>
        <w:pStyle w:val="FootnoteText"/>
        <w:jc w:val="both"/>
      </w:pPr>
      <w:r>
        <w:rPr>
          <w:rStyle w:val="FootnoteReference"/>
        </w:rPr>
        <w:footnoteRef/>
      </w:r>
      <w:r>
        <w:t xml:space="preserve"> </w:t>
      </w:r>
      <w:r w:rsidRPr="00C618DF">
        <w:t>2021 m. sausio 21 d</w:t>
      </w:r>
      <w:bookmarkStart w:id="0" w:name="_Hlk94264896"/>
      <w:r w:rsidRPr="00C618DF">
        <w:t>. Perkančiosios organizacijos direktoriaus įsakymas Nr. DĮT-4 (5.19 E);</w:t>
      </w:r>
      <w:r>
        <w:t xml:space="preserve"> </w:t>
      </w:r>
      <w:bookmarkEnd w:id="0"/>
      <w:r>
        <w:t xml:space="preserve">2021 m. gegužės 27 d. </w:t>
      </w:r>
      <w:r w:rsidRPr="00C618DF">
        <w:t>Perkančiosios organizacijos direktoriaus įsakymas Nr. DĮT-</w:t>
      </w:r>
      <w:r>
        <w:t>16</w:t>
      </w:r>
      <w:r w:rsidRPr="00C618DF">
        <w:t xml:space="preserve"> (5.19 E); 2021 m. liepos 15 d. Perkančiosios organizacijos direktoriaus įsakymas Nr. DĮT-27 (5.19 E)</w:t>
      </w:r>
      <w:r>
        <w:t>.</w:t>
      </w:r>
    </w:p>
  </w:footnote>
  <w:footnote w:id="4">
    <w:p w14:paraId="60A4C2E3" w14:textId="45394F88" w:rsidR="00B5385D" w:rsidRDefault="00B5385D">
      <w:pPr>
        <w:pStyle w:val="FootnoteText"/>
      </w:pPr>
      <w:r>
        <w:rPr>
          <w:rStyle w:val="FootnoteReference"/>
        </w:rPr>
        <w:footnoteRef/>
      </w:r>
      <w:r>
        <w:t xml:space="preserve"> 2021 m. spalio 29 d. Pirkimo komisijos posėdžio protokolas Nr. PKP-236 (7.65).</w:t>
      </w:r>
    </w:p>
  </w:footnote>
  <w:footnote w:id="5">
    <w:p w14:paraId="258F9F24" w14:textId="3490A49A" w:rsidR="00B5385D" w:rsidRDefault="00B5385D">
      <w:pPr>
        <w:pStyle w:val="FootnoteText"/>
      </w:pPr>
      <w:r>
        <w:rPr>
          <w:rStyle w:val="FootnoteReference"/>
        </w:rPr>
        <w:footnoteRef/>
      </w:r>
      <w:r>
        <w:t xml:space="preserve"> 2021 m. gruodžio </w:t>
      </w:r>
      <w:r w:rsidR="00C52EFC">
        <w:t>28 d. Tarnybos raštas Nr. 4S-1401.</w:t>
      </w:r>
    </w:p>
  </w:footnote>
  <w:footnote w:id="6">
    <w:p w14:paraId="2A6A3035" w14:textId="4D643539" w:rsidR="007C406B" w:rsidRDefault="007C406B">
      <w:pPr>
        <w:pStyle w:val="FootnoteText"/>
      </w:pPr>
      <w:r>
        <w:rPr>
          <w:rStyle w:val="FootnoteReference"/>
        </w:rPr>
        <w:footnoteRef/>
      </w:r>
      <w:r>
        <w:t xml:space="preserve"> 2022 m. sausio 4</w:t>
      </w:r>
      <w:r w:rsidR="00DC425F">
        <w:t xml:space="preserve"> </w:t>
      </w:r>
      <w:r>
        <w:t xml:space="preserve">d. Perkančiosios organizacijos raštas Nr. </w:t>
      </w:r>
      <w:r w:rsidRPr="007C406B">
        <w:t>B3-30 (11.5 E)</w:t>
      </w:r>
      <w:r>
        <w:t>.</w:t>
      </w:r>
    </w:p>
  </w:footnote>
  <w:footnote w:id="7">
    <w:p w14:paraId="6C83FD71" w14:textId="3152178B" w:rsidR="001E26D4" w:rsidRDefault="001E26D4" w:rsidP="00461D6F">
      <w:pPr>
        <w:pStyle w:val="FootnoteText"/>
        <w:jc w:val="both"/>
      </w:pPr>
      <w:r>
        <w:rPr>
          <w:rStyle w:val="FootnoteReference"/>
        </w:rPr>
        <w:footnoteRef/>
      </w:r>
      <w:r>
        <w:t xml:space="preserve"> Žr. nuorodą </w:t>
      </w:r>
      <w:r w:rsidRPr="00930FA0">
        <w:t xml:space="preserve">Nr. </w:t>
      </w:r>
      <w:r w:rsidR="00DC425F">
        <w:t>1</w:t>
      </w:r>
      <w:r w:rsidR="00930FA0">
        <w:t>.</w:t>
      </w:r>
    </w:p>
  </w:footnote>
  <w:footnote w:id="8">
    <w:p w14:paraId="194670CA" w14:textId="0146907D" w:rsidR="00B207BB" w:rsidRDefault="00B207BB">
      <w:pPr>
        <w:pStyle w:val="FootnoteText"/>
      </w:pPr>
      <w:r>
        <w:rPr>
          <w:rStyle w:val="FootnoteReference"/>
        </w:rPr>
        <w:footnoteRef/>
      </w:r>
      <w:r>
        <w:t xml:space="preserve"> „</w:t>
      </w:r>
      <w:r w:rsidRPr="00B207BB">
        <w:t>Pasiūlymo kainos (C) balai apskaičiuojami mažiausios iš pateiktų pasiūlymų pasiūlymo kainos be PVM (</w:t>
      </w:r>
      <w:proofErr w:type="spellStart"/>
      <w:r w:rsidRPr="00B207BB">
        <w:t>Cmin</w:t>
      </w:r>
      <w:proofErr w:type="spellEnd"/>
      <w:r w:rsidRPr="00B207BB">
        <w:t>) ir vertinamo pasiūlymo kainos be PVM (</w:t>
      </w:r>
      <w:proofErr w:type="spellStart"/>
      <w:r w:rsidRPr="00B207BB">
        <w:t>Cp</w:t>
      </w:r>
      <w:proofErr w:type="spellEnd"/>
      <w:r w:rsidRPr="00B207BB">
        <w:t>) santykį padauginant iš kainos lyginamojo svorio (X1)</w:t>
      </w:r>
      <w:r>
        <w:t>“.</w:t>
      </w:r>
    </w:p>
  </w:footnote>
  <w:footnote w:id="9">
    <w:p w14:paraId="2806DC5D" w14:textId="488FCC82" w:rsidR="00B207BB" w:rsidRDefault="00B207BB">
      <w:pPr>
        <w:pStyle w:val="FootnoteText"/>
      </w:pPr>
      <w:r>
        <w:rPr>
          <w:rStyle w:val="FootnoteReference"/>
        </w:rPr>
        <w:footnoteRef/>
      </w:r>
      <w:r>
        <w:t xml:space="preserve"> </w:t>
      </w:r>
      <w:r w:rsidRPr="00B207BB">
        <w:t>Ekonomiškai naudingiausio pasiūlymo vertinimo gairės.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310236" w:rsidRDefault="00310236">
        <w:pPr>
          <w:pStyle w:val="Header"/>
          <w:jc w:val="center"/>
        </w:pPr>
        <w:r>
          <w:fldChar w:fldCharType="begin"/>
        </w:r>
        <w:r>
          <w:instrText>PAGE   \* MERGEFORMAT</w:instrText>
        </w:r>
        <w:r>
          <w:fldChar w:fldCharType="separate"/>
        </w:r>
        <w:r>
          <w:t>2</w:t>
        </w:r>
        <w:r>
          <w:fldChar w:fldCharType="end"/>
        </w:r>
        <w:r>
          <w:t>.</w:t>
        </w:r>
      </w:p>
    </w:sdtContent>
  </w:sdt>
  <w:p w14:paraId="2B260F1A" w14:textId="77777777" w:rsidR="00310236" w:rsidRDefault="00310236" w:rsidP="008A58F2">
    <w:pPr>
      <w:pStyle w:val="Header"/>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310236" w:rsidRDefault="00310236" w:rsidP="00ED0D41">
    <w:pPr>
      <w:pStyle w:val="Header"/>
      <w:jc w:val="right"/>
      <w:rPr>
        <w:b/>
        <w:szCs w:val="24"/>
      </w:rPr>
    </w:pPr>
  </w:p>
  <w:p w14:paraId="7E603EA7" w14:textId="77777777" w:rsidR="00310236" w:rsidRDefault="0031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4C1"/>
    <w:multiLevelType w:val="hybridMultilevel"/>
    <w:tmpl w:val="43C65DE0"/>
    <w:lvl w:ilvl="0" w:tplc="DE166FE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774B9"/>
    <w:multiLevelType w:val="hybridMultilevel"/>
    <w:tmpl w:val="941E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D31D1"/>
    <w:multiLevelType w:val="hybridMultilevel"/>
    <w:tmpl w:val="DE1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81DB0"/>
    <w:multiLevelType w:val="hybridMultilevel"/>
    <w:tmpl w:val="D4CE71CC"/>
    <w:lvl w:ilvl="0" w:tplc="2CA8B0A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7" w15:restartNumberingAfterBreak="0">
    <w:nsid w:val="3708642E"/>
    <w:multiLevelType w:val="hybridMultilevel"/>
    <w:tmpl w:val="F94C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2075A"/>
    <w:multiLevelType w:val="hybridMultilevel"/>
    <w:tmpl w:val="B5AE6F16"/>
    <w:lvl w:ilvl="0" w:tplc="5724719A">
      <w:start w:val="1"/>
      <w:numFmt w:val="bullet"/>
      <w:lvlText w:val="-"/>
      <w:lvlJc w:val="left"/>
      <w:pPr>
        <w:ind w:left="823" w:hanging="360"/>
      </w:pPr>
      <w:rPr>
        <w:rFonts w:ascii="Times New Roman" w:eastAsia="Times New Roman" w:hAnsi="Times New Roman" w:cs="Times New Roman"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3F8A553D"/>
    <w:multiLevelType w:val="hybridMultilevel"/>
    <w:tmpl w:val="9D58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6D6FD9"/>
    <w:multiLevelType w:val="hybridMultilevel"/>
    <w:tmpl w:val="912E2586"/>
    <w:lvl w:ilvl="0" w:tplc="09A2ECC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2" w15:restartNumberingAfterBreak="0">
    <w:nsid w:val="55E85B7C"/>
    <w:multiLevelType w:val="hybridMultilevel"/>
    <w:tmpl w:val="EE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B861EB"/>
    <w:multiLevelType w:val="hybridMultilevel"/>
    <w:tmpl w:val="066EFC02"/>
    <w:lvl w:ilvl="0" w:tplc="234EE8D6">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5"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EC3BD0"/>
    <w:multiLevelType w:val="multilevel"/>
    <w:tmpl w:val="03ECE0A8"/>
    <w:lvl w:ilvl="0">
      <w:start w:val="1"/>
      <w:numFmt w:val="decimal"/>
      <w:lvlText w:val="%1."/>
      <w:lvlJc w:val="left"/>
      <w:pPr>
        <w:tabs>
          <w:tab w:val="num" w:pos="737"/>
        </w:tabs>
        <w:ind w:left="0" w:firstLine="737"/>
      </w:pPr>
      <w:rPr>
        <w:rFonts w:hint="default"/>
        <w:b w:val="0"/>
        <w:strike w:val="0"/>
        <w:dstrike w:val="0"/>
      </w:rPr>
    </w:lvl>
    <w:lvl w:ilvl="1">
      <w:start w:val="1"/>
      <w:numFmt w:val="decimal"/>
      <w:lvlText w:val="%2."/>
      <w:lvlJc w:val="center"/>
      <w:pPr>
        <w:tabs>
          <w:tab w:val="num" w:pos="737"/>
        </w:tabs>
        <w:ind w:left="0" w:firstLine="737"/>
      </w:pPr>
      <w:rPr>
        <w:rFonts w:ascii="Times New Roman" w:eastAsia="Times New Roman" w:hAnsi="Times New Roman" w:cs="Times New Roman"/>
        <w:b w:val="0"/>
        <w:i w:val="0"/>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18B6ADB"/>
    <w:multiLevelType w:val="hybridMultilevel"/>
    <w:tmpl w:val="728E2864"/>
    <w:lvl w:ilvl="0" w:tplc="75B897FE">
      <w:start w:val="1"/>
      <w:numFmt w:val="bullet"/>
      <w:lvlText w:val="-"/>
      <w:lvlJc w:val="left"/>
      <w:pPr>
        <w:ind w:left="397" w:hanging="360"/>
      </w:pPr>
      <w:rPr>
        <w:rFonts w:ascii="Times New Roman" w:eastAsia="Times New Roman" w:hAnsi="Times New Roman" w:cs="Times New Roman"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18" w15:restartNumberingAfterBreak="0">
    <w:nsid w:val="6C5956B4"/>
    <w:multiLevelType w:val="hybridMultilevel"/>
    <w:tmpl w:val="61624ACC"/>
    <w:lvl w:ilvl="0" w:tplc="86E21C6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79A04149"/>
    <w:multiLevelType w:val="hybridMultilevel"/>
    <w:tmpl w:val="798EBE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D9B7979"/>
    <w:multiLevelType w:val="hybridMultilevel"/>
    <w:tmpl w:val="28E2D13A"/>
    <w:lvl w:ilvl="0" w:tplc="2BC0B8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5542E"/>
    <w:multiLevelType w:val="hybridMultilevel"/>
    <w:tmpl w:val="047C4626"/>
    <w:lvl w:ilvl="0" w:tplc="04090001">
      <w:start w:val="1"/>
      <w:numFmt w:val="bullet"/>
      <w:lvlText w:val=""/>
      <w:lvlJc w:val="left"/>
      <w:pPr>
        <w:ind w:left="964"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num w:numId="1">
    <w:abstractNumId w:val="10"/>
  </w:num>
  <w:num w:numId="2">
    <w:abstractNumId w:val="1"/>
  </w:num>
  <w:num w:numId="3">
    <w:abstractNumId w:val="4"/>
  </w:num>
  <w:num w:numId="4">
    <w:abstractNumId w:val="15"/>
  </w:num>
  <w:num w:numId="5">
    <w:abstractNumId w:val="13"/>
  </w:num>
  <w:num w:numId="6">
    <w:abstractNumId w:val="12"/>
  </w:num>
  <w:num w:numId="7">
    <w:abstractNumId w:val="0"/>
  </w:num>
  <w:num w:numId="8">
    <w:abstractNumId w:val="18"/>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2"/>
  </w:num>
  <w:num w:numId="14">
    <w:abstractNumId w:val="8"/>
  </w:num>
  <w:num w:numId="15">
    <w:abstractNumId w:val="19"/>
  </w:num>
  <w:num w:numId="16">
    <w:abstractNumId w:val="21"/>
  </w:num>
  <w:num w:numId="17">
    <w:abstractNumId w:val="7"/>
  </w:num>
  <w:num w:numId="18">
    <w:abstractNumId w:val="3"/>
  </w:num>
  <w:num w:numId="19">
    <w:abstractNumId w:val="9"/>
  </w:num>
  <w:num w:numId="20">
    <w:abstractNumId w:val="1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oNotTrackFormattin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7A7"/>
    <w:rsid w:val="0000098F"/>
    <w:rsid w:val="00000C7F"/>
    <w:rsid w:val="000011D8"/>
    <w:rsid w:val="00002C5B"/>
    <w:rsid w:val="00004B40"/>
    <w:rsid w:val="00005CFD"/>
    <w:rsid w:val="00006686"/>
    <w:rsid w:val="00007472"/>
    <w:rsid w:val="00007E85"/>
    <w:rsid w:val="00011406"/>
    <w:rsid w:val="00012045"/>
    <w:rsid w:val="00012A85"/>
    <w:rsid w:val="00013A6C"/>
    <w:rsid w:val="00014AF9"/>
    <w:rsid w:val="00015272"/>
    <w:rsid w:val="000220A6"/>
    <w:rsid w:val="00022BAC"/>
    <w:rsid w:val="00024655"/>
    <w:rsid w:val="000250C3"/>
    <w:rsid w:val="00026B06"/>
    <w:rsid w:val="00027DCA"/>
    <w:rsid w:val="000337E0"/>
    <w:rsid w:val="00033B5C"/>
    <w:rsid w:val="00036598"/>
    <w:rsid w:val="00040CD4"/>
    <w:rsid w:val="00041A87"/>
    <w:rsid w:val="00046C0F"/>
    <w:rsid w:val="00047056"/>
    <w:rsid w:val="00047242"/>
    <w:rsid w:val="000513A7"/>
    <w:rsid w:val="00051497"/>
    <w:rsid w:val="000518DB"/>
    <w:rsid w:val="00053652"/>
    <w:rsid w:val="00056EEC"/>
    <w:rsid w:val="00060377"/>
    <w:rsid w:val="00060CE7"/>
    <w:rsid w:val="0006227F"/>
    <w:rsid w:val="000626DC"/>
    <w:rsid w:val="000633F8"/>
    <w:rsid w:val="00064F9A"/>
    <w:rsid w:val="0006510E"/>
    <w:rsid w:val="0006548C"/>
    <w:rsid w:val="000654D0"/>
    <w:rsid w:val="00066111"/>
    <w:rsid w:val="000665AE"/>
    <w:rsid w:val="000669D6"/>
    <w:rsid w:val="00067351"/>
    <w:rsid w:val="000738AE"/>
    <w:rsid w:val="00075598"/>
    <w:rsid w:val="00076203"/>
    <w:rsid w:val="0007690B"/>
    <w:rsid w:val="00076D7F"/>
    <w:rsid w:val="000800F2"/>
    <w:rsid w:val="00080B43"/>
    <w:rsid w:val="000815B9"/>
    <w:rsid w:val="00081606"/>
    <w:rsid w:val="00081B9F"/>
    <w:rsid w:val="00081DDE"/>
    <w:rsid w:val="00082140"/>
    <w:rsid w:val="00082D63"/>
    <w:rsid w:val="00085105"/>
    <w:rsid w:val="00085AB7"/>
    <w:rsid w:val="0008640C"/>
    <w:rsid w:val="000869AC"/>
    <w:rsid w:val="000874DD"/>
    <w:rsid w:val="00087B20"/>
    <w:rsid w:val="00087BCA"/>
    <w:rsid w:val="00090F31"/>
    <w:rsid w:val="00091C11"/>
    <w:rsid w:val="000920AE"/>
    <w:rsid w:val="00093C92"/>
    <w:rsid w:val="00094099"/>
    <w:rsid w:val="00094A73"/>
    <w:rsid w:val="00094E27"/>
    <w:rsid w:val="000970AE"/>
    <w:rsid w:val="000971D8"/>
    <w:rsid w:val="000A0FFF"/>
    <w:rsid w:val="000A146B"/>
    <w:rsid w:val="000A1AD4"/>
    <w:rsid w:val="000A1B39"/>
    <w:rsid w:val="000A221B"/>
    <w:rsid w:val="000A22B7"/>
    <w:rsid w:val="000A22D2"/>
    <w:rsid w:val="000A309E"/>
    <w:rsid w:val="000A4998"/>
    <w:rsid w:val="000A4F2E"/>
    <w:rsid w:val="000A5F06"/>
    <w:rsid w:val="000A65AC"/>
    <w:rsid w:val="000A7FAB"/>
    <w:rsid w:val="000B107D"/>
    <w:rsid w:val="000B15A4"/>
    <w:rsid w:val="000B23BE"/>
    <w:rsid w:val="000B27F3"/>
    <w:rsid w:val="000B3F0F"/>
    <w:rsid w:val="000B5163"/>
    <w:rsid w:val="000C1BDF"/>
    <w:rsid w:val="000C3842"/>
    <w:rsid w:val="000C387E"/>
    <w:rsid w:val="000C42A3"/>
    <w:rsid w:val="000C4442"/>
    <w:rsid w:val="000C599E"/>
    <w:rsid w:val="000C69FC"/>
    <w:rsid w:val="000C6CCC"/>
    <w:rsid w:val="000C6E28"/>
    <w:rsid w:val="000C7196"/>
    <w:rsid w:val="000C71C7"/>
    <w:rsid w:val="000C7BB7"/>
    <w:rsid w:val="000C7DEA"/>
    <w:rsid w:val="000C7FA0"/>
    <w:rsid w:val="000D0005"/>
    <w:rsid w:val="000D4A4D"/>
    <w:rsid w:val="000D60A3"/>
    <w:rsid w:val="000D689C"/>
    <w:rsid w:val="000D6E31"/>
    <w:rsid w:val="000D747E"/>
    <w:rsid w:val="000E126F"/>
    <w:rsid w:val="000E231A"/>
    <w:rsid w:val="000E27E0"/>
    <w:rsid w:val="000E3352"/>
    <w:rsid w:val="000E3E39"/>
    <w:rsid w:val="000E4048"/>
    <w:rsid w:val="000E634C"/>
    <w:rsid w:val="000F1A98"/>
    <w:rsid w:val="000F2488"/>
    <w:rsid w:val="000F282A"/>
    <w:rsid w:val="000F4E1F"/>
    <w:rsid w:val="000F4FD0"/>
    <w:rsid w:val="000F5336"/>
    <w:rsid w:val="000F5938"/>
    <w:rsid w:val="00100174"/>
    <w:rsid w:val="0010094A"/>
    <w:rsid w:val="00101B25"/>
    <w:rsid w:val="00101DF0"/>
    <w:rsid w:val="00102862"/>
    <w:rsid w:val="00102F59"/>
    <w:rsid w:val="00103394"/>
    <w:rsid w:val="00106473"/>
    <w:rsid w:val="0011115F"/>
    <w:rsid w:val="001128F7"/>
    <w:rsid w:val="0011395D"/>
    <w:rsid w:val="00113BEE"/>
    <w:rsid w:val="00113EB7"/>
    <w:rsid w:val="00114144"/>
    <w:rsid w:val="00114AB2"/>
    <w:rsid w:val="00114DFB"/>
    <w:rsid w:val="001163DF"/>
    <w:rsid w:val="00120076"/>
    <w:rsid w:val="00122517"/>
    <w:rsid w:val="00123178"/>
    <w:rsid w:val="0012354C"/>
    <w:rsid w:val="00123712"/>
    <w:rsid w:val="00123FDD"/>
    <w:rsid w:val="00124C28"/>
    <w:rsid w:val="001255EA"/>
    <w:rsid w:val="00126A92"/>
    <w:rsid w:val="0012700D"/>
    <w:rsid w:val="001270E4"/>
    <w:rsid w:val="00130111"/>
    <w:rsid w:val="00130DA5"/>
    <w:rsid w:val="00132FD4"/>
    <w:rsid w:val="00134418"/>
    <w:rsid w:val="00134988"/>
    <w:rsid w:val="0013566D"/>
    <w:rsid w:val="00135956"/>
    <w:rsid w:val="00135EFA"/>
    <w:rsid w:val="001373AB"/>
    <w:rsid w:val="00140FD5"/>
    <w:rsid w:val="001410BC"/>
    <w:rsid w:val="00141E7E"/>
    <w:rsid w:val="00142882"/>
    <w:rsid w:val="00143B70"/>
    <w:rsid w:val="00144DAC"/>
    <w:rsid w:val="00145391"/>
    <w:rsid w:val="00145FEA"/>
    <w:rsid w:val="001460AB"/>
    <w:rsid w:val="00146941"/>
    <w:rsid w:val="001479BB"/>
    <w:rsid w:val="00147A35"/>
    <w:rsid w:val="00151330"/>
    <w:rsid w:val="00151A25"/>
    <w:rsid w:val="00153E4A"/>
    <w:rsid w:val="001542F1"/>
    <w:rsid w:val="00154DC2"/>
    <w:rsid w:val="0015598C"/>
    <w:rsid w:val="00156A02"/>
    <w:rsid w:val="00161424"/>
    <w:rsid w:val="00162146"/>
    <w:rsid w:val="001628FE"/>
    <w:rsid w:val="001634FE"/>
    <w:rsid w:val="00163908"/>
    <w:rsid w:val="00164F85"/>
    <w:rsid w:val="0016599B"/>
    <w:rsid w:val="00166FA4"/>
    <w:rsid w:val="001674A5"/>
    <w:rsid w:val="0017148C"/>
    <w:rsid w:val="00171663"/>
    <w:rsid w:val="001720FE"/>
    <w:rsid w:val="00172525"/>
    <w:rsid w:val="00172CE8"/>
    <w:rsid w:val="0017466C"/>
    <w:rsid w:val="00176645"/>
    <w:rsid w:val="00181236"/>
    <w:rsid w:val="00181836"/>
    <w:rsid w:val="00181CB7"/>
    <w:rsid w:val="00182633"/>
    <w:rsid w:val="0018379B"/>
    <w:rsid w:val="00183FD2"/>
    <w:rsid w:val="00184056"/>
    <w:rsid w:val="001869E3"/>
    <w:rsid w:val="00187A2D"/>
    <w:rsid w:val="00190230"/>
    <w:rsid w:val="00193610"/>
    <w:rsid w:val="001966F0"/>
    <w:rsid w:val="00196B39"/>
    <w:rsid w:val="00197322"/>
    <w:rsid w:val="00197368"/>
    <w:rsid w:val="001A10FE"/>
    <w:rsid w:val="001A18D2"/>
    <w:rsid w:val="001A204A"/>
    <w:rsid w:val="001A2215"/>
    <w:rsid w:val="001A3F23"/>
    <w:rsid w:val="001A54B7"/>
    <w:rsid w:val="001B07DA"/>
    <w:rsid w:val="001B0834"/>
    <w:rsid w:val="001B166F"/>
    <w:rsid w:val="001B1E35"/>
    <w:rsid w:val="001B2141"/>
    <w:rsid w:val="001B355D"/>
    <w:rsid w:val="001B3F77"/>
    <w:rsid w:val="001B4077"/>
    <w:rsid w:val="001B49B7"/>
    <w:rsid w:val="001B6A4E"/>
    <w:rsid w:val="001C0149"/>
    <w:rsid w:val="001C0853"/>
    <w:rsid w:val="001C2BA1"/>
    <w:rsid w:val="001C63DF"/>
    <w:rsid w:val="001C64F5"/>
    <w:rsid w:val="001C660F"/>
    <w:rsid w:val="001D0436"/>
    <w:rsid w:val="001D0B42"/>
    <w:rsid w:val="001D234E"/>
    <w:rsid w:val="001D2AD9"/>
    <w:rsid w:val="001D3269"/>
    <w:rsid w:val="001D3779"/>
    <w:rsid w:val="001D4656"/>
    <w:rsid w:val="001D7E5C"/>
    <w:rsid w:val="001E14CF"/>
    <w:rsid w:val="001E15B4"/>
    <w:rsid w:val="001E17AB"/>
    <w:rsid w:val="001E26D4"/>
    <w:rsid w:val="001E300F"/>
    <w:rsid w:val="001E3CC5"/>
    <w:rsid w:val="001E3E27"/>
    <w:rsid w:val="001E5675"/>
    <w:rsid w:val="001F055F"/>
    <w:rsid w:val="001F08D3"/>
    <w:rsid w:val="001F0EC4"/>
    <w:rsid w:val="001F1676"/>
    <w:rsid w:val="001F1FDC"/>
    <w:rsid w:val="001F2CD2"/>
    <w:rsid w:val="001F3B60"/>
    <w:rsid w:val="001F4890"/>
    <w:rsid w:val="001F4F98"/>
    <w:rsid w:val="001F61B3"/>
    <w:rsid w:val="001F6451"/>
    <w:rsid w:val="00200029"/>
    <w:rsid w:val="00200CF5"/>
    <w:rsid w:val="00202AA7"/>
    <w:rsid w:val="0020564C"/>
    <w:rsid w:val="00207B98"/>
    <w:rsid w:val="00210896"/>
    <w:rsid w:val="00210F0B"/>
    <w:rsid w:val="0021172D"/>
    <w:rsid w:val="0021312A"/>
    <w:rsid w:val="00214474"/>
    <w:rsid w:val="002144C0"/>
    <w:rsid w:val="002175FB"/>
    <w:rsid w:val="002201CA"/>
    <w:rsid w:val="00220EE8"/>
    <w:rsid w:val="002212EE"/>
    <w:rsid w:val="002222EE"/>
    <w:rsid w:val="00222A9B"/>
    <w:rsid w:val="00222DF2"/>
    <w:rsid w:val="0022300F"/>
    <w:rsid w:val="0022436C"/>
    <w:rsid w:val="0022472A"/>
    <w:rsid w:val="00224E42"/>
    <w:rsid w:val="002252E5"/>
    <w:rsid w:val="002261E5"/>
    <w:rsid w:val="0022780E"/>
    <w:rsid w:val="00227B99"/>
    <w:rsid w:val="00230498"/>
    <w:rsid w:val="00231B7D"/>
    <w:rsid w:val="00232178"/>
    <w:rsid w:val="00234613"/>
    <w:rsid w:val="00234843"/>
    <w:rsid w:val="00235117"/>
    <w:rsid w:val="00236249"/>
    <w:rsid w:val="00236CDC"/>
    <w:rsid w:val="00236D46"/>
    <w:rsid w:val="00237968"/>
    <w:rsid w:val="00240C2D"/>
    <w:rsid w:val="002417F6"/>
    <w:rsid w:val="00243677"/>
    <w:rsid w:val="00246E4E"/>
    <w:rsid w:val="00250424"/>
    <w:rsid w:val="00250703"/>
    <w:rsid w:val="00250765"/>
    <w:rsid w:val="00250813"/>
    <w:rsid w:val="0025094E"/>
    <w:rsid w:val="0025144A"/>
    <w:rsid w:val="002514BD"/>
    <w:rsid w:val="00251803"/>
    <w:rsid w:val="002526B5"/>
    <w:rsid w:val="00252C83"/>
    <w:rsid w:val="0025386A"/>
    <w:rsid w:val="00254252"/>
    <w:rsid w:val="00254A52"/>
    <w:rsid w:val="00255672"/>
    <w:rsid w:val="00255F5F"/>
    <w:rsid w:val="002576B2"/>
    <w:rsid w:val="002622D6"/>
    <w:rsid w:val="0026364E"/>
    <w:rsid w:val="002636A3"/>
    <w:rsid w:val="00263F16"/>
    <w:rsid w:val="00264A86"/>
    <w:rsid w:val="00264BF8"/>
    <w:rsid w:val="00266070"/>
    <w:rsid w:val="00266085"/>
    <w:rsid w:val="00266C8F"/>
    <w:rsid w:val="00267FF3"/>
    <w:rsid w:val="0027186C"/>
    <w:rsid w:val="0027346D"/>
    <w:rsid w:val="00274AEE"/>
    <w:rsid w:val="00275D38"/>
    <w:rsid w:val="00277A2B"/>
    <w:rsid w:val="002802D9"/>
    <w:rsid w:val="0028125C"/>
    <w:rsid w:val="00283CA1"/>
    <w:rsid w:val="002840E5"/>
    <w:rsid w:val="002866A6"/>
    <w:rsid w:val="00286FF1"/>
    <w:rsid w:val="002876AF"/>
    <w:rsid w:val="002905C0"/>
    <w:rsid w:val="00290D1A"/>
    <w:rsid w:val="00291F88"/>
    <w:rsid w:val="00292EDA"/>
    <w:rsid w:val="00293513"/>
    <w:rsid w:val="00293A9F"/>
    <w:rsid w:val="00293C96"/>
    <w:rsid w:val="002961BB"/>
    <w:rsid w:val="0029622D"/>
    <w:rsid w:val="002966C6"/>
    <w:rsid w:val="00297131"/>
    <w:rsid w:val="00297461"/>
    <w:rsid w:val="002A07F4"/>
    <w:rsid w:val="002A0F1A"/>
    <w:rsid w:val="002A228D"/>
    <w:rsid w:val="002A410F"/>
    <w:rsid w:val="002A41E9"/>
    <w:rsid w:val="002A4727"/>
    <w:rsid w:val="002A6D67"/>
    <w:rsid w:val="002A7F53"/>
    <w:rsid w:val="002B1A96"/>
    <w:rsid w:val="002B1BC6"/>
    <w:rsid w:val="002B1F64"/>
    <w:rsid w:val="002B2F71"/>
    <w:rsid w:val="002B4696"/>
    <w:rsid w:val="002B7EFB"/>
    <w:rsid w:val="002C4F49"/>
    <w:rsid w:val="002D1232"/>
    <w:rsid w:val="002D125F"/>
    <w:rsid w:val="002D127B"/>
    <w:rsid w:val="002D193C"/>
    <w:rsid w:val="002D1DD7"/>
    <w:rsid w:val="002D21A0"/>
    <w:rsid w:val="002D3940"/>
    <w:rsid w:val="002D4482"/>
    <w:rsid w:val="002D48BB"/>
    <w:rsid w:val="002D4E61"/>
    <w:rsid w:val="002D4F76"/>
    <w:rsid w:val="002D53C1"/>
    <w:rsid w:val="002D5490"/>
    <w:rsid w:val="002D559F"/>
    <w:rsid w:val="002D5761"/>
    <w:rsid w:val="002D6B35"/>
    <w:rsid w:val="002D6BAD"/>
    <w:rsid w:val="002E03A1"/>
    <w:rsid w:val="002E1B94"/>
    <w:rsid w:val="002E4469"/>
    <w:rsid w:val="002E4833"/>
    <w:rsid w:val="002E5706"/>
    <w:rsid w:val="002E61B2"/>
    <w:rsid w:val="002F10DB"/>
    <w:rsid w:val="002F20E5"/>
    <w:rsid w:val="002F32BA"/>
    <w:rsid w:val="002F3A4E"/>
    <w:rsid w:val="002F4E04"/>
    <w:rsid w:val="002F55B7"/>
    <w:rsid w:val="002F5C8A"/>
    <w:rsid w:val="002F622D"/>
    <w:rsid w:val="00301045"/>
    <w:rsid w:val="00301C24"/>
    <w:rsid w:val="00304FA1"/>
    <w:rsid w:val="00305E50"/>
    <w:rsid w:val="003062DB"/>
    <w:rsid w:val="00307926"/>
    <w:rsid w:val="00307D73"/>
    <w:rsid w:val="00310236"/>
    <w:rsid w:val="00310481"/>
    <w:rsid w:val="00311DD6"/>
    <w:rsid w:val="0031209D"/>
    <w:rsid w:val="00312465"/>
    <w:rsid w:val="00315829"/>
    <w:rsid w:val="00316334"/>
    <w:rsid w:val="0031643A"/>
    <w:rsid w:val="00320925"/>
    <w:rsid w:val="00320BBE"/>
    <w:rsid w:val="00320DC6"/>
    <w:rsid w:val="00321333"/>
    <w:rsid w:val="00321C29"/>
    <w:rsid w:val="0032320A"/>
    <w:rsid w:val="003239ED"/>
    <w:rsid w:val="003241D9"/>
    <w:rsid w:val="00324B95"/>
    <w:rsid w:val="00325CFB"/>
    <w:rsid w:val="00330753"/>
    <w:rsid w:val="003326E8"/>
    <w:rsid w:val="003328C2"/>
    <w:rsid w:val="00332A3F"/>
    <w:rsid w:val="00334382"/>
    <w:rsid w:val="00336743"/>
    <w:rsid w:val="00336B3E"/>
    <w:rsid w:val="003379F1"/>
    <w:rsid w:val="00341726"/>
    <w:rsid w:val="00344BA3"/>
    <w:rsid w:val="003454A0"/>
    <w:rsid w:val="003455A8"/>
    <w:rsid w:val="00345B6F"/>
    <w:rsid w:val="00346C61"/>
    <w:rsid w:val="00346E58"/>
    <w:rsid w:val="003517CE"/>
    <w:rsid w:val="0035397C"/>
    <w:rsid w:val="00356075"/>
    <w:rsid w:val="0036140F"/>
    <w:rsid w:val="003617FF"/>
    <w:rsid w:val="003618DD"/>
    <w:rsid w:val="00362B54"/>
    <w:rsid w:val="003648E9"/>
    <w:rsid w:val="00367446"/>
    <w:rsid w:val="00367DD2"/>
    <w:rsid w:val="00371C44"/>
    <w:rsid w:val="003727D5"/>
    <w:rsid w:val="00374442"/>
    <w:rsid w:val="00374452"/>
    <w:rsid w:val="00374581"/>
    <w:rsid w:val="00382F94"/>
    <w:rsid w:val="003831E4"/>
    <w:rsid w:val="003833DE"/>
    <w:rsid w:val="003846B2"/>
    <w:rsid w:val="00385EF0"/>
    <w:rsid w:val="00387196"/>
    <w:rsid w:val="0038767C"/>
    <w:rsid w:val="00390CD1"/>
    <w:rsid w:val="00390E6A"/>
    <w:rsid w:val="00392631"/>
    <w:rsid w:val="0039367F"/>
    <w:rsid w:val="00394890"/>
    <w:rsid w:val="00395068"/>
    <w:rsid w:val="00396D23"/>
    <w:rsid w:val="00397313"/>
    <w:rsid w:val="00397F1E"/>
    <w:rsid w:val="003A2842"/>
    <w:rsid w:val="003A2C45"/>
    <w:rsid w:val="003A6F5D"/>
    <w:rsid w:val="003B129D"/>
    <w:rsid w:val="003B1D29"/>
    <w:rsid w:val="003B283E"/>
    <w:rsid w:val="003B346F"/>
    <w:rsid w:val="003B3F27"/>
    <w:rsid w:val="003B6EA4"/>
    <w:rsid w:val="003B7E73"/>
    <w:rsid w:val="003B7EE9"/>
    <w:rsid w:val="003C2C72"/>
    <w:rsid w:val="003C3429"/>
    <w:rsid w:val="003C3987"/>
    <w:rsid w:val="003C4645"/>
    <w:rsid w:val="003C5390"/>
    <w:rsid w:val="003C561E"/>
    <w:rsid w:val="003C574D"/>
    <w:rsid w:val="003C58AE"/>
    <w:rsid w:val="003C7318"/>
    <w:rsid w:val="003C7A4B"/>
    <w:rsid w:val="003D06E3"/>
    <w:rsid w:val="003D13BB"/>
    <w:rsid w:val="003D1AEF"/>
    <w:rsid w:val="003D1B83"/>
    <w:rsid w:val="003D1F5D"/>
    <w:rsid w:val="003D270C"/>
    <w:rsid w:val="003D2F8A"/>
    <w:rsid w:val="003D5064"/>
    <w:rsid w:val="003D5CA5"/>
    <w:rsid w:val="003D6518"/>
    <w:rsid w:val="003E284B"/>
    <w:rsid w:val="003E358E"/>
    <w:rsid w:val="003E3846"/>
    <w:rsid w:val="003E3E69"/>
    <w:rsid w:val="003E40DE"/>
    <w:rsid w:val="003E4C40"/>
    <w:rsid w:val="003E523A"/>
    <w:rsid w:val="003E67BA"/>
    <w:rsid w:val="003F0A75"/>
    <w:rsid w:val="003F126C"/>
    <w:rsid w:val="003F1B10"/>
    <w:rsid w:val="003F2282"/>
    <w:rsid w:val="003F2389"/>
    <w:rsid w:val="003F255A"/>
    <w:rsid w:val="003F2BC6"/>
    <w:rsid w:val="003F32DE"/>
    <w:rsid w:val="003F3484"/>
    <w:rsid w:val="003F495F"/>
    <w:rsid w:val="003F4996"/>
    <w:rsid w:val="003F6152"/>
    <w:rsid w:val="003F70AC"/>
    <w:rsid w:val="003F7186"/>
    <w:rsid w:val="003F789B"/>
    <w:rsid w:val="0040074A"/>
    <w:rsid w:val="004020D2"/>
    <w:rsid w:val="00403EA4"/>
    <w:rsid w:val="00406D36"/>
    <w:rsid w:val="004106CE"/>
    <w:rsid w:val="00411354"/>
    <w:rsid w:val="0041478E"/>
    <w:rsid w:val="00415EF6"/>
    <w:rsid w:val="00416FD1"/>
    <w:rsid w:val="0042111E"/>
    <w:rsid w:val="0042236E"/>
    <w:rsid w:val="0042592D"/>
    <w:rsid w:val="00426C5A"/>
    <w:rsid w:val="0043043B"/>
    <w:rsid w:val="00430652"/>
    <w:rsid w:val="00440588"/>
    <w:rsid w:val="00443773"/>
    <w:rsid w:val="00445D16"/>
    <w:rsid w:val="00445E2D"/>
    <w:rsid w:val="004468E0"/>
    <w:rsid w:val="0045096D"/>
    <w:rsid w:val="00451DA1"/>
    <w:rsid w:val="00452045"/>
    <w:rsid w:val="00452DA1"/>
    <w:rsid w:val="00455279"/>
    <w:rsid w:val="00455AF5"/>
    <w:rsid w:val="00455BEA"/>
    <w:rsid w:val="0046123A"/>
    <w:rsid w:val="00461D6F"/>
    <w:rsid w:val="00464D36"/>
    <w:rsid w:val="00467300"/>
    <w:rsid w:val="00470906"/>
    <w:rsid w:val="00471CE2"/>
    <w:rsid w:val="004722F4"/>
    <w:rsid w:val="00472611"/>
    <w:rsid w:val="00473F2C"/>
    <w:rsid w:val="004751E8"/>
    <w:rsid w:val="004757F0"/>
    <w:rsid w:val="004770EE"/>
    <w:rsid w:val="004777AD"/>
    <w:rsid w:val="004837EC"/>
    <w:rsid w:val="00483DE5"/>
    <w:rsid w:val="00485137"/>
    <w:rsid w:val="0048584E"/>
    <w:rsid w:val="00485877"/>
    <w:rsid w:val="004864D2"/>
    <w:rsid w:val="00487543"/>
    <w:rsid w:val="00487F35"/>
    <w:rsid w:val="004903E1"/>
    <w:rsid w:val="00491231"/>
    <w:rsid w:val="00491867"/>
    <w:rsid w:val="00491C56"/>
    <w:rsid w:val="00492A83"/>
    <w:rsid w:val="00493F08"/>
    <w:rsid w:val="00495AD5"/>
    <w:rsid w:val="00495D5C"/>
    <w:rsid w:val="00495E36"/>
    <w:rsid w:val="00496648"/>
    <w:rsid w:val="0049676A"/>
    <w:rsid w:val="004A09F4"/>
    <w:rsid w:val="004A1FDB"/>
    <w:rsid w:val="004A24F3"/>
    <w:rsid w:val="004A3F44"/>
    <w:rsid w:val="004A42DD"/>
    <w:rsid w:val="004A6047"/>
    <w:rsid w:val="004A73BB"/>
    <w:rsid w:val="004B0EFE"/>
    <w:rsid w:val="004B1D74"/>
    <w:rsid w:val="004B2EF3"/>
    <w:rsid w:val="004B322F"/>
    <w:rsid w:val="004B3E21"/>
    <w:rsid w:val="004B42AA"/>
    <w:rsid w:val="004B55E8"/>
    <w:rsid w:val="004B6E73"/>
    <w:rsid w:val="004B7FFE"/>
    <w:rsid w:val="004C2177"/>
    <w:rsid w:val="004C39FA"/>
    <w:rsid w:val="004C78EE"/>
    <w:rsid w:val="004D04CF"/>
    <w:rsid w:val="004D060A"/>
    <w:rsid w:val="004D0DEB"/>
    <w:rsid w:val="004D0EEB"/>
    <w:rsid w:val="004D25C2"/>
    <w:rsid w:val="004D29FA"/>
    <w:rsid w:val="004D3C5C"/>
    <w:rsid w:val="004D4278"/>
    <w:rsid w:val="004D7746"/>
    <w:rsid w:val="004D7E87"/>
    <w:rsid w:val="004E1A91"/>
    <w:rsid w:val="004E2AE4"/>
    <w:rsid w:val="004E4B3A"/>
    <w:rsid w:val="004E632F"/>
    <w:rsid w:val="004E6C75"/>
    <w:rsid w:val="004E6E51"/>
    <w:rsid w:val="004E7878"/>
    <w:rsid w:val="004E78C0"/>
    <w:rsid w:val="004F0322"/>
    <w:rsid w:val="004F0685"/>
    <w:rsid w:val="004F25E2"/>
    <w:rsid w:val="004F2600"/>
    <w:rsid w:val="004F2C86"/>
    <w:rsid w:val="004F3DD3"/>
    <w:rsid w:val="004F3E0B"/>
    <w:rsid w:val="004F4B02"/>
    <w:rsid w:val="004F4F2E"/>
    <w:rsid w:val="004F518B"/>
    <w:rsid w:val="004F55DB"/>
    <w:rsid w:val="004F5E8B"/>
    <w:rsid w:val="005019FB"/>
    <w:rsid w:val="005020F0"/>
    <w:rsid w:val="0050210C"/>
    <w:rsid w:val="005024B3"/>
    <w:rsid w:val="0050540D"/>
    <w:rsid w:val="0051249E"/>
    <w:rsid w:val="00512E9A"/>
    <w:rsid w:val="005131CB"/>
    <w:rsid w:val="00513B49"/>
    <w:rsid w:val="0051443E"/>
    <w:rsid w:val="0051494D"/>
    <w:rsid w:val="00514C60"/>
    <w:rsid w:val="00514CC0"/>
    <w:rsid w:val="005168BD"/>
    <w:rsid w:val="00516A05"/>
    <w:rsid w:val="0052144F"/>
    <w:rsid w:val="00523C16"/>
    <w:rsid w:val="00526024"/>
    <w:rsid w:val="00526B7B"/>
    <w:rsid w:val="00527B80"/>
    <w:rsid w:val="005323A7"/>
    <w:rsid w:val="00533B45"/>
    <w:rsid w:val="00534618"/>
    <w:rsid w:val="00536154"/>
    <w:rsid w:val="00537C59"/>
    <w:rsid w:val="0054008C"/>
    <w:rsid w:val="0054137C"/>
    <w:rsid w:val="00541DAA"/>
    <w:rsid w:val="0054272F"/>
    <w:rsid w:val="00544041"/>
    <w:rsid w:val="005457CA"/>
    <w:rsid w:val="0054644D"/>
    <w:rsid w:val="005504AF"/>
    <w:rsid w:val="00550F5B"/>
    <w:rsid w:val="00551070"/>
    <w:rsid w:val="0055121F"/>
    <w:rsid w:val="005530E8"/>
    <w:rsid w:val="005532B7"/>
    <w:rsid w:val="005538A9"/>
    <w:rsid w:val="005556EC"/>
    <w:rsid w:val="00560144"/>
    <w:rsid w:val="005605BB"/>
    <w:rsid w:val="005607B6"/>
    <w:rsid w:val="0056125F"/>
    <w:rsid w:val="00563195"/>
    <w:rsid w:val="00564F77"/>
    <w:rsid w:val="00577501"/>
    <w:rsid w:val="00577A84"/>
    <w:rsid w:val="00577AA5"/>
    <w:rsid w:val="005801C6"/>
    <w:rsid w:val="00581126"/>
    <w:rsid w:val="00581D6D"/>
    <w:rsid w:val="0058236E"/>
    <w:rsid w:val="00583F4C"/>
    <w:rsid w:val="00590249"/>
    <w:rsid w:val="00590913"/>
    <w:rsid w:val="005926A5"/>
    <w:rsid w:val="00592FD4"/>
    <w:rsid w:val="00594B90"/>
    <w:rsid w:val="00594F87"/>
    <w:rsid w:val="00595ED5"/>
    <w:rsid w:val="00597337"/>
    <w:rsid w:val="00597800"/>
    <w:rsid w:val="005A1038"/>
    <w:rsid w:val="005A3D8F"/>
    <w:rsid w:val="005A5E05"/>
    <w:rsid w:val="005A656C"/>
    <w:rsid w:val="005A694B"/>
    <w:rsid w:val="005A70F0"/>
    <w:rsid w:val="005B1C61"/>
    <w:rsid w:val="005B36E8"/>
    <w:rsid w:val="005B4B04"/>
    <w:rsid w:val="005B5DA0"/>
    <w:rsid w:val="005C013B"/>
    <w:rsid w:val="005C0D26"/>
    <w:rsid w:val="005C1774"/>
    <w:rsid w:val="005C33AD"/>
    <w:rsid w:val="005C4197"/>
    <w:rsid w:val="005C46A2"/>
    <w:rsid w:val="005D1288"/>
    <w:rsid w:val="005D1C1A"/>
    <w:rsid w:val="005D2FF5"/>
    <w:rsid w:val="005D32BD"/>
    <w:rsid w:val="005D33A8"/>
    <w:rsid w:val="005D3FC7"/>
    <w:rsid w:val="005D5A21"/>
    <w:rsid w:val="005D6878"/>
    <w:rsid w:val="005D69B2"/>
    <w:rsid w:val="005D6A3C"/>
    <w:rsid w:val="005D7A26"/>
    <w:rsid w:val="005E0687"/>
    <w:rsid w:val="005E251D"/>
    <w:rsid w:val="005E2733"/>
    <w:rsid w:val="005E50CB"/>
    <w:rsid w:val="005F21EF"/>
    <w:rsid w:val="005F2BD3"/>
    <w:rsid w:val="005F33A3"/>
    <w:rsid w:val="005F6E81"/>
    <w:rsid w:val="00601E22"/>
    <w:rsid w:val="00602696"/>
    <w:rsid w:val="0060328E"/>
    <w:rsid w:val="00603369"/>
    <w:rsid w:val="00603A8B"/>
    <w:rsid w:val="00605B4A"/>
    <w:rsid w:val="006069EA"/>
    <w:rsid w:val="00607B69"/>
    <w:rsid w:val="00610285"/>
    <w:rsid w:val="006148AC"/>
    <w:rsid w:val="006153EE"/>
    <w:rsid w:val="006165E1"/>
    <w:rsid w:val="00620BBD"/>
    <w:rsid w:val="00623061"/>
    <w:rsid w:val="0062432D"/>
    <w:rsid w:val="00625DDC"/>
    <w:rsid w:val="00626F41"/>
    <w:rsid w:val="00632115"/>
    <w:rsid w:val="00632263"/>
    <w:rsid w:val="006328D6"/>
    <w:rsid w:val="006345B7"/>
    <w:rsid w:val="006373F8"/>
    <w:rsid w:val="006374C6"/>
    <w:rsid w:val="00640041"/>
    <w:rsid w:val="00640AAB"/>
    <w:rsid w:val="00642007"/>
    <w:rsid w:val="006424B7"/>
    <w:rsid w:val="00642AE0"/>
    <w:rsid w:val="0064449A"/>
    <w:rsid w:val="00644DED"/>
    <w:rsid w:val="0064672C"/>
    <w:rsid w:val="00653C1F"/>
    <w:rsid w:val="006544EC"/>
    <w:rsid w:val="006556C2"/>
    <w:rsid w:val="00655704"/>
    <w:rsid w:val="00656413"/>
    <w:rsid w:val="00656788"/>
    <w:rsid w:val="00657135"/>
    <w:rsid w:val="00657290"/>
    <w:rsid w:val="00657A14"/>
    <w:rsid w:val="006619D0"/>
    <w:rsid w:val="00661AE3"/>
    <w:rsid w:val="00661C4B"/>
    <w:rsid w:val="00662BD0"/>
    <w:rsid w:val="00663B1E"/>
    <w:rsid w:val="00666602"/>
    <w:rsid w:val="006679AE"/>
    <w:rsid w:val="00670043"/>
    <w:rsid w:val="00670BD0"/>
    <w:rsid w:val="006727E0"/>
    <w:rsid w:val="00674230"/>
    <w:rsid w:val="00675263"/>
    <w:rsid w:val="0067531B"/>
    <w:rsid w:val="0067618F"/>
    <w:rsid w:val="006762C1"/>
    <w:rsid w:val="006800F7"/>
    <w:rsid w:val="0068038C"/>
    <w:rsid w:val="00680836"/>
    <w:rsid w:val="00680C8A"/>
    <w:rsid w:val="00681205"/>
    <w:rsid w:val="00683BB4"/>
    <w:rsid w:val="00684762"/>
    <w:rsid w:val="00685630"/>
    <w:rsid w:val="00686AB3"/>
    <w:rsid w:val="00686C04"/>
    <w:rsid w:val="00686CFF"/>
    <w:rsid w:val="00687B0F"/>
    <w:rsid w:val="006910CA"/>
    <w:rsid w:val="00692419"/>
    <w:rsid w:val="00692CB6"/>
    <w:rsid w:val="00692D5E"/>
    <w:rsid w:val="00693763"/>
    <w:rsid w:val="00693B3D"/>
    <w:rsid w:val="0069689B"/>
    <w:rsid w:val="006A08F3"/>
    <w:rsid w:val="006A0994"/>
    <w:rsid w:val="006A3443"/>
    <w:rsid w:val="006A4108"/>
    <w:rsid w:val="006A51AF"/>
    <w:rsid w:val="006A5EEA"/>
    <w:rsid w:val="006A6EFE"/>
    <w:rsid w:val="006B0271"/>
    <w:rsid w:val="006B03BB"/>
    <w:rsid w:val="006B0671"/>
    <w:rsid w:val="006B07BE"/>
    <w:rsid w:val="006B0EB7"/>
    <w:rsid w:val="006B1770"/>
    <w:rsid w:val="006B1AC5"/>
    <w:rsid w:val="006B275D"/>
    <w:rsid w:val="006B3781"/>
    <w:rsid w:val="006B625F"/>
    <w:rsid w:val="006B6941"/>
    <w:rsid w:val="006B787A"/>
    <w:rsid w:val="006C0306"/>
    <w:rsid w:val="006C1BB5"/>
    <w:rsid w:val="006C4EBE"/>
    <w:rsid w:val="006C5630"/>
    <w:rsid w:val="006C5A58"/>
    <w:rsid w:val="006C5E63"/>
    <w:rsid w:val="006C6833"/>
    <w:rsid w:val="006D2F83"/>
    <w:rsid w:val="006D3381"/>
    <w:rsid w:val="006D3BE3"/>
    <w:rsid w:val="006D43B4"/>
    <w:rsid w:val="006D5D2A"/>
    <w:rsid w:val="006D5FC5"/>
    <w:rsid w:val="006D79A7"/>
    <w:rsid w:val="006D7B6C"/>
    <w:rsid w:val="006E1AD6"/>
    <w:rsid w:val="006E3DFA"/>
    <w:rsid w:val="006E4466"/>
    <w:rsid w:val="006E7C1C"/>
    <w:rsid w:val="006F062A"/>
    <w:rsid w:val="006F6DF0"/>
    <w:rsid w:val="006F7238"/>
    <w:rsid w:val="00700C49"/>
    <w:rsid w:val="007010E2"/>
    <w:rsid w:val="0070296D"/>
    <w:rsid w:val="00704599"/>
    <w:rsid w:val="00704CE8"/>
    <w:rsid w:val="00705FBE"/>
    <w:rsid w:val="007067A1"/>
    <w:rsid w:val="00706B0F"/>
    <w:rsid w:val="00706BFA"/>
    <w:rsid w:val="00707387"/>
    <w:rsid w:val="007074C2"/>
    <w:rsid w:val="0071153A"/>
    <w:rsid w:val="0071220B"/>
    <w:rsid w:val="007127A5"/>
    <w:rsid w:val="00712BA4"/>
    <w:rsid w:val="0071324E"/>
    <w:rsid w:val="00713DF6"/>
    <w:rsid w:val="00714967"/>
    <w:rsid w:val="007158BB"/>
    <w:rsid w:val="007167FA"/>
    <w:rsid w:val="00717853"/>
    <w:rsid w:val="007235A4"/>
    <w:rsid w:val="00723CA3"/>
    <w:rsid w:val="00723CD4"/>
    <w:rsid w:val="00724038"/>
    <w:rsid w:val="00725723"/>
    <w:rsid w:val="007259EB"/>
    <w:rsid w:val="00725AB8"/>
    <w:rsid w:val="0072621E"/>
    <w:rsid w:val="00726816"/>
    <w:rsid w:val="007270A2"/>
    <w:rsid w:val="0073054B"/>
    <w:rsid w:val="00731D7C"/>
    <w:rsid w:val="00732165"/>
    <w:rsid w:val="0073636D"/>
    <w:rsid w:val="00736973"/>
    <w:rsid w:val="00737E28"/>
    <w:rsid w:val="007420B9"/>
    <w:rsid w:val="00742757"/>
    <w:rsid w:val="00743830"/>
    <w:rsid w:val="0074395A"/>
    <w:rsid w:val="00744D27"/>
    <w:rsid w:val="007450C2"/>
    <w:rsid w:val="007463EE"/>
    <w:rsid w:val="0074767A"/>
    <w:rsid w:val="00747CCC"/>
    <w:rsid w:val="0075233A"/>
    <w:rsid w:val="00753573"/>
    <w:rsid w:val="0075579F"/>
    <w:rsid w:val="00756AAE"/>
    <w:rsid w:val="0075723B"/>
    <w:rsid w:val="0075799C"/>
    <w:rsid w:val="00760033"/>
    <w:rsid w:val="007602F2"/>
    <w:rsid w:val="0076031A"/>
    <w:rsid w:val="007625FB"/>
    <w:rsid w:val="007631A1"/>
    <w:rsid w:val="0076420A"/>
    <w:rsid w:val="00765499"/>
    <w:rsid w:val="00765AD1"/>
    <w:rsid w:val="00765C1E"/>
    <w:rsid w:val="007702C0"/>
    <w:rsid w:val="0077409F"/>
    <w:rsid w:val="0077433C"/>
    <w:rsid w:val="00774843"/>
    <w:rsid w:val="00775000"/>
    <w:rsid w:val="0077545A"/>
    <w:rsid w:val="0077645C"/>
    <w:rsid w:val="007767EF"/>
    <w:rsid w:val="00777039"/>
    <w:rsid w:val="007807D7"/>
    <w:rsid w:val="00782AEE"/>
    <w:rsid w:val="00782BC3"/>
    <w:rsid w:val="00783A9E"/>
    <w:rsid w:val="0078463B"/>
    <w:rsid w:val="007859C6"/>
    <w:rsid w:val="00786619"/>
    <w:rsid w:val="007866E2"/>
    <w:rsid w:val="00787846"/>
    <w:rsid w:val="00791449"/>
    <w:rsid w:val="00792E9A"/>
    <w:rsid w:val="00793816"/>
    <w:rsid w:val="00794500"/>
    <w:rsid w:val="00795FA3"/>
    <w:rsid w:val="007A08BF"/>
    <w:rsid w:val="007A1A1B"/>
    <w:rsid w:val="007B0C52"/>
    <w:rsid w:val="007B156C"/>
    <w:rsid w:val="007B1929"/>
    <w:rsid w:val="007B2E49"/>
    <w:rsid w:val="007B4818"/>
    <w:rsid w:val="007B5819"/>
    <w:rsid w:val="007B674D"/>
    <w:rsid w:val="007B7A7D"/>
    <w:rsid w:val="007C17E1"/>
    <w:rsid w:val="007C2849"/>
    <w:rsid w:val="007C2E68"/>
    <w:rsid w:val="007C3536"/>
    <w:rsid w:val="007C376C"/>
    <w:rsid w:val="007C3C48"/>
    <w:rsid w:val="007C406B"/>
    <w:rsid w:val="007C423F"/>
    <w:rsid w:val="007C492B"/>
    <w:rsid w:val="007C4BF4"/>
    <w:rsid w:val="007C4CEC"/>
    <w:rsid w:val="007C519C"/>
    <w:rsid w:val="007C7C01"/>
    <w:rsid w:val="007D11FD"/>
    <w:rsid w:val="007D1646"/>
    <w:rsid w:val="007D18C8"/>
    <w:rsid w:val="007D1B43"/>
    <w:rsid w:val="007D22BC"/>
    <w:rsid w:val="007D2C7E"/>
    <w:rsid w:val="007D314B"/>
    <w:rsid w:val="007D33E9"/>
    <w:rsid w:val="007D537D"/>
    <w:rsid w:val="007D54C4"/>
    <w:rsid w:val="007D5C55"/>
    <w:rsid w:val="007D71A1"/>
    <w:rsid w:val="007E02A7"/>
    <w:rsid w:val="007E0973"/>
    <w:rsid w:val="007E09D8"/>
    <w:rsid w:val="007E0B0E"/>
    <w:rsid w:val="007E1D0C"/>
    <w:rsid w:val="007E2F92"/>
    <w:rsid w:val="007E5772"/>
    <w:rsid w:val="007E6CBF"/>
    <w:rsid w:val="007F0219"/>
    <w:rsid w:val="007F0C6E"/>
    <w:rsid w:val="007F18E7"/>
    <w:rsid w:val="007F2011"/>
    <w:rsid w:val="007F3ED0"/>
    <w:rsid w:val="007F4584"/>
    <w:rsid w:val="007F4983"/>
    <w:rsid w:val="007F5F75"/>
    <w:rsid w:val="007F75F1"/>
    <w:rsid w:val="007F7E88"/>
    <w:rsid w:val="008006B5"/>
    <w:rsid w:val="008009FE"/>
    <w:rsid w:val="00801A47"/>
    <w:rsid w:val="008021D5"/>
    <w:rsid w:val="00802902"/>
    <w:rsid w:val="00810B0E"/>
    <w:rsid w:val="0081181C"/>
    <w:rsid w:val="00813C36"/>
    <w:rsid w:val="008140C8"/>
    <w:rsid w:val="00814527"/>
    <w:rsid w:val="00814DA0"/>
    <w:rsid w:val="008158ED"/>
    <w:rsid w:val="008167C5"/>
    <w:rsid w:val="00816CFA"/>
    <w:rsid w:val="00817DE1"/>
    <w:rsid w:val="008200E0"/>
    <w:rsid w:val="00821FF6"/>
    <w:rsid w:val="00824180"/>
    <w:rsid w:val="0082494C"/>
    <w:rsid w:val="008252D2"/>
    <w:rsid w:val="0082552A"/>
    <w:rsid w:val="00826E63"/>
    <w:rsid w:val="00830FD6"/>
    <w:rsid w:val="0083146D"/>
    <w:rsid w:val="00831969"/>
    <w:rsid w:val="00831C09"/>
    <w:rsid w:val="00831F18"/>
    <w:rsid w:val="00832305"/>
    <w:rsid w:val="00836B41"/>
    <w:rsid w:val="00837548"/>
    <w:rsid w:val="00840085"/>
    <w:rsid w:val="00840118"/>
    <w:rsid w:val="00843031"/>
    <w:rsid w:val="0084611B"/>
    <w:rsid w:val="008469A7"/>
    <w:rsid w:val="00847365"/>
    <w:rsid w:val="00847821"/>
    <w:rsid w:val="00850795"/>
    <w:rsid w:val="00850C28"/>
    <w:rsid w:val="008513A7"/>
    <w:rsid w:val="00856EC3"/>
    <w:rsid w:val="00857126"/>
    <w:rsid w:val="00860F12"/>
    <w:rsid w:val="00864A00"/>
    <w:rsid w:val="00866031"/>
    <w:rsid w:val="0087006E"/>
    <w:rsid w:val="00870EA4"/>
    <w:rsid w:val="0087117C"/>
    <w:rsid w:val="008743F2"/>
    <w:rsid w:val="00874447"/>
    <w:rsid w:val="00876065"/>
    <w:rsid w:val="00881E8E"/>
    <w:rsid w:val="00883E61"/>
    <w:rsid w:val="00884729"/>
    <w:rsid w:val="00884F7B"/>
    <w:rsid w:val="00885FD8"/>
    <w:rsid w:val="008861AD"/>
    <w:rsid w:val="0088738C"/>
    <w:rsid w:val="00887714"/>
    <w:rsid w:val="00890FD5"/>
    <w:rsid w:val="008925A8"/>
    <w:rsid w:val="00892DB1"/>
    <w:rsid w:val="00894448"/>
    <w:rsid w:val="00894452"/>
    <w:rsid w:val="00894F56"/>
    <w:rsid w:val="00895162"/>
    <w:rsid w:val="008953C8"/>
    <w:rsid w:val="00895806"/>
    <w:rsid w:val="00895AC2"/>
    <w:rsid w:val="008A1473"/>
    <w:rsid w:val="008A3877"/>
    <w:rsid w:val="008A58F2"/>
    <w:rsid w:val="008A5A51"/>
    <w:rsid w:val="008A5D26"/>
    <w:rsid w:val="008A5F59"/>
    <w:rsid w:val="008A6FB2"/>
    <w:rsid w:val="008B0BBF"/>
    <w:rsid w:val="008B115C"/>
    <w:rsid w:val="008B320E"/>
    <w:rsid w:val="008B3314"/>
    <w:rsid w:val="008B4608"/>
    <w:rsid w:val="008B62CB"/>
    <w:rsid w:val="008B7016"/>
    <w:rsid w:val="008C1DA0"/>
    <w:rsid w:val="008C2D52"/>
    <w:rsid w:val="008C32A2"/>
    <w:rsid w:val="008C3444"/>
    <w:rsid w:val="008C45A9"/>
    <w:rsid w:val="008C65E5"/>
    <w:rsid w:val="008C6B49"/>
    <w:rsid w:val="008C7D30"/>
    <w:rsid w:val="008D15E0"/>
    <w:rsid w:val="008D2F11"/>
    <w:rsid w:val="008D2F99"/>
    <w:rsid w:val="008D3891"/>
    <w:rsid w:val="008D4524"/>
    <w:rsid w:val="008D4606"/>
    <w:rsid w:val="008D5120"/>
    <w:rsid w:val="008D51B0"/>
    <w:rsid w:val="008E0855"/>
    <w:rsid w:val="008E3601"/>
    <w:rsid w:val="008E45F0"/>
    <w:rsid w:val="008E45FA"/>
    <w:rsid w:val="008E494A"/>
    <w:rsid w:val="008E527A"/>
    <w:rsid w:val="008E6C4E"/>
    <w:rsid w:val="008E71CA"/>
    <w:rsid w:val="008F23BD"/>
    <w:rsid w:val="008F3B34"/>
    <w:rsid w:val="008F4FE1"/>
    <w:rsid w:val="008F5707"/>
    <w:rsid w:val="008F5D5E"/>
    <w:rsid w:val="00900292"/>
    <w:rsid w:val="009023CA"/>
    <w:rsid w:val="00902476"/>
    <w:rsid w:val="0090675F"/>
    <w:rsid w:val="009074B5"/>
    <w:rsid w:val="009076D3"/>
    <w:rsid w:val="00907969"/>
    <w:rsid w:val="009115EA"/>
    <w:rsid w:val="0091215D"/>
    <w:rsid w:val="00912BDB"/>
    <w:rsid w:val="00913865"/>
    <w:rsid w:val="00914F9F"/>
    <w:rsid w:val="009168B5"/>
    <w:rsid w:val="00917FD8"/>
    <w:rsid w:val="00921466"/>
    <w:rsid w:val="00921B7C"/>
    <w:rsid w:val="00922A50"/>
    <w:rsid w:val="00922D5C"/>
    <w:rsid w:val="00923B7F"/>
    <w:rsid w:val="00924629"/>
    <w:rsid w:val="00924665"/>
    <w:rsid w:val="00925207"/>
    <w:rsid w:val="009257E2"/>
    <w:rsid w:val="009262A6"/>
    <w:rsid w:val="0093034A"/>
    <w:rsid w:val="00930A62"/>
    <w:rsid w:val="00930FA0"/>
    <w:rsid w:val="00931092"/>
    <w:rsid w:val="0093128B"/>
    <w:rsid w:val="00933D7B"/>
    <w:rsid w:val="0093452F"/>
    <w:rsid w:val="00935E6D"/>
    <w:rsid w:val="00935E7B"/>
    <w:rsid w:val="0093612E"/>
    <w:rsid w:val="0093750F"/>
    <w:rsid w:val="00937E52"/>
    <w:rsid w:val="0094125A"/>
    <w:rsid w:val="00941B58"/>
    <w:rsid w:val="00942332"/>
    <w:rsid w:val="00942B4F"/>
    <w:rsid w:val="00944876"/>
    <w:rsid w:val="009448CF"/>
    <w:rsid w:val="009449A4"/>
    <w:rsid w:val="009466B8"/>
    <w:rsid w:val="0095063C"/>
    <w:rsid w:val="00950DC6"/>
    <w:rsid w:val="009510A2"/>
    <w:rsid w:val="0095182B"/>
    <w:rsid w:val="0095203C"/>
    <w:rsid w:val="00952B85"/>
    <w:rsid w:val="00954126"/>
    <w:rsid w:val="00954D44"/>
    <w:rsid w:val="00955776"/>
    <w:rsid w:val="009579F8"/>
    <w:rsid w:val="00960C14"/>
    <w:rsid w:val="00961926"/>
    <w:rsid w:val="009622EA"/>
    <w:rsid w:val="00962C58"/>
    <w:rsid w:val="0096357F"/>
    <w:rsid w:val="00963E7E"/>
    <w:rsid w:val="00964652"/>
    <w:rsid w:val="00965120"/>
    <w:rsid w:val="009652F8"/>
    <w:rsid w:val="009658AD"/>
    <w:rsid w:val="00970CE3"/>
    <w:rsid w:val="00971518"/>
    <w:rsid w:val="00971918"/>
    <w:rsid w:val="00971A91"/>
    <w:rsid w:val="00971ADC"/>
    <w:rsid w:val="00972245"/>
    <w:rsid w:val="00973531"/>
    <w:rsid w:val="00975B68"/>
    <w:rsid w:val="00980871"/>
    <w:rsid w:val="009820EF"/>
    <w:rsid w:val="0098263E"/>
    <w:rsid w:val="00983D48"/>
    <w:rsid w:val="00985109"/>
    <w:rsid w:val="00985B7B"/>
    <w:rsid w:val="009879F8"/>
    <w:rsid w:val="00992752"/>
    <w:rsid w:val="00992835"/>
    <w:rsid w:val="00993257"/>
    <w:rsid w:val="00993872"/>
    <w:rsid w:val="00994810"/>
    <w:rsid w:val="00994C08"/>
    <w:rsid w:val="0099504D"/>
    <w:rsid w:val="009957D0"/>
    <w:rsid w:val="00995EC2"/>
    <w:rsid w:val="0099681B"/>
    <w:rsid w:val="009A010C"/>
    <w:rsid w:val="009A2316"/>
    <w:rsid w:val="009A2DF4"/>
    <w:rsid w:val="009A2E60"/>
    <w:rsid w:val="009A3076"/>
    <w:rsid w:val="009A4313"/>
    <w:rsid w:val="009A4E15"/>
    <w:rsid w:val="009A5A08"/>
    <w:rsid w:val="009A6134"/>
    <w:rsid w:val="009A6943"/>
    <w:rsid w:val="009A6C0B"/>
    <w:rsid w:val="009A6CBB"/>
    <w:rsid w:val="009A6D14"/>
    <w:rsid w:val="009A7A97"/>
    <w:rsid w:val="009B0583"/>
    <w:rsid w:val="009B0A6E"/>
    <w:rsid w:val="009B0D9A"/>
    <w:rsid w:val="009B0DA5"/>
    <w:rsid w:val="009B1D0A"/>
    <w:rsid w:val="009B23A3"/>
    <w:rsid w:val="009B40B4"/>
    <w:rsid w:val="009B436C"/>
    <w:rsid w:val="009B5390"/>
    <w:rsid w:val="009B55BF"/>
    <w:rsid w:val="009C01F2"/>
    <w:rsid w:val="009C0803"/>
    <w:rsid w:val="009C29A9"/>
    <w:rsid w:val="009C42DC"/>
    <w:rsid w:val="009C5B9D"/>
    <w:rsid w:val="009C72B4"/>
    <w:rsid w:val="009C7CD8"/>
    <w:rsid w:val="009D153D"/>
    <w:rsid w:val="009D248B"/>
    <w:rsid w:val="009D24AB"/>
    <w:rsid w:val="009D4718"/>
    <w:rsid w:val="009D4B65"/>
    <w:rsid w:val="009D4E9D"/>
    <w:rsid w:val="009D52E1"/>
    <w:rsid w:val="009D61FB"/>
    <w:rsid w:val="009D65AA"/>
    <w:rsid w:val="009D7D51"/>
    <w:rsid w:val="009E152C"/>
    <w:rsid w:val="009E283C"/>
    <w:rsid w:val="009E305F"/>
    <w:rsid w:val="009E50C6"/>
    <w:rsid w:val="009E5233"/>
    <w:rsid w:val="009E62B3"/>
    <w:rsid w:val="009E6A7C"/>
    <w:rsid w:val="009E7BDA"/>
    <w:rsid w:val="009F06B7"/>
    <w:rsid w:val="009F21B6"/>
    <w:rsid w:val="009F7B12"/>
    <w:rsid w:val="00A00D4E"/>
    <w:rsid w:val="00A024A9"/>
    <w:rsid w:val="00A02884"/>
    <w:rsid w:val="00A03D8E"/>
    <w:rsid w:val="00A04F8D"/>
    <w:rsid w:val="00A05869"/>
    <w:rsid w:val="00A06C00"/>
    <w:rsid w:val="00A0765F"/>
    <w:rsid w:val="00A11DCE"/>
    <w:rsid w:val="00A154A1"/>
    <w:rsid w:val="00A17480"/>
    <w:rsid w:val="00A20433"/>
    <w:rsid w:val="00A21139"/>
    <w:rsid w:val="00A211A9"/>
    <w:rsid w:val="00A21B9D"/>
    <w:rsid w:val="00A225EB"/>
    <w:rsid w:val="00A227C0"/>
    <w:rsid w:val="00A23756"/>
    <w:rsid w:val="00A23EA2"/>
    <w:rsid w:val="00A24B02"/>
    <w:rsid w:val="00A265CE"/>
    <w:rsid w:val="00A2675A"/>
    <w:rsid w:val="00A26CBD"/>
    <w:rsid w:val="00A27954"/>
    <w:rsid w:val="00A3093D"/>
    <w:rsid w:val="00A32DF7"/>
    <w:rsid w:val="00A33B46"/>
    <w:rsid w:val="00A372EC"/>
    <w:rsid w:val="00A40B74"/>
    <w:rsid w:val="00A4162D"/>
    <w:rsid w:val="00A41753"/>
    <w:rsid w:val="00A421E1"/>
    <w:rsid w:val="00A4248B"/>
    <w:rsid w:val="00A43192"/>
    <w:rsid w:val="00A4439F"/>
    <w:rsid w:val="00A4591B"/>
    <w:rsid w:val="00A45AC4"/>
    <w:rsid w:val="00A46A0C"/>
    <w:rsid w:val="00A46A96"/>
    <w:rsid w:val="00A47F2C"/>
    <w:rsid w:val="00A51974"/>
    <w:rsid w:val="00A53E65"/>
    <w:rsid w:val="00A53FE2"/>
    <w:rsid w:val="00A54A5F"/>
    <w:rsid w:val="00A550B9"/>
    <w:rsid w:val="00A55634"/>
    <w:rsid w:val="00A55BF8"/>
    <w:rsid w:val="00A55DEA"/>
    <w:rsid w:val="00A5705F"/>
    <w:rsid w:val="00A602D5"/>
    <w:rsid w:val="00A61A6F"/>
    <w:rsid w:val="00A626A4"/>
    <w:rsid w:val="00A62A67"/>
    <w:rsid w:val="00A636F8"/>
    <w:rsid w:val="00A63C6A"/>
    <w:rsid w:val="00A65E49"/>
    <w:rsid w:val="00A668D4"/>
    <w:rsid w:val="00A66E6B"/>
    <w:rsid w:val="00A67383"/>
    <w:rsid w:val="00A704A5"/>
    <w:rsid w:val="00A725C8"/>
    <w:rsid w:val="00A72873"/>
    <w:rsid w:val="00A73EB8"/>
    <w:rsid w:val="00A7541D"/>
    <w:rsid w:val="00A758F1"/>
    <w:rsid w:val="00A7616E"/>
    <w:rsid w:val="00A804D1"/>
    <w:rsid w:val="00A811EE"/>
    <w:rsid w:val="00A82704"/>
    <w:rsid w:val="00A8454B"/>
    <w:rsid w:val="00A8553D"/>
    <w:rsid w:val="00A861AE"/>
    <w:rsid w:val="00A86271"/>
    <w:rsid w:val="00A862FD"/>
    <w:rsid w:val="00A86609"/>
    <w:rsid w:val="00A868D8"/>
    <w:rsid w:val="00A86CE7"/>
    <w:rsid w:val="00A91F0B"/>
    <w:rsid w:val="00A924FB"/>
    <w:rsid w:val="00A94158"/>
    <w:rsid w:val="00A94DFB"/>
    <w:rsid w:val="00A96294"/>
    <w:rsid w:val="00A9737E"/>
    <w:rsid w:val="00A9758D"/>
    <w:rsid w:val="00A97DD4"/>
    <w:rsid w:val="00AA1654"/>
    <w:rsid w:val="00AA1673"/>
    <w:rsid w:val="00AA3639"/>
    <w:rsid w:val="00AA3867"/>
    <w:rsid w:val="00AA3AC9"/>
    <w:rsid w:val="00AA51DC"/>
    <w:rsid w:val="00AA58CF"/>
    <w:rsid w:val="00AA63AF"/>
    <w:rsid w:val="00AA6FD6"/>
    <w:rsid w:val="00AB00B1"/>
    <w:rsid w:val="00AB0C71"/>
    <w:rsid w:val="00AB0EBA"/>
    <w:rsid w:val="00AB24D4"/>
    <w:rsid w:val="00AB5D7D"/>
    <w:rsid w:val="00AB6457"/>
    <w:rsid w:val="00AB6CB7"/>
    <w:rsid w:val="00AC0411"/>
    <w:rsid w:val="00AC6243"/>
    <w:rsid w:val="00AD2C31"/>
    <w:rsid w:val="00AD365C"/>
    <w:rsid w:val="00AD466B"/>
    <w:rsid w:val="00AD6313"/>
    <w:rsid w:val="00AD6CB2"/>
    <w:rsid w:val="00AE214A"/>
    <w:rsid w:val="00AE25F2"/>
    <w:rsid w:val="00AE44F1"/>
    <w:rsid w:val="00AE6A61"/>
    <w:rsid w:val="00AE6F06"/>
    <w:rsid w:val="00AF0E58"/>
    <w:rsid w:val="00AF13AA"/>
    <w:rsid w:val="00AF392C"/>
    <w:rsid w:val="00AF6608"/>
    <w:rsid w:val="00B00A70"/>
    <w:rsid w:val="00B01017"/>
    <w:rsid w:val="00B01B24"/>
    <w:rsid w:val="00B033B4"/>
    <w:rsid w:val="00B03609"/>
    <w:rsid w:val="00B04947"/>
    <w:rsid w:val="00B04F42"/>
    <w:rsid w:val="00B05045"/>
    <w:rsid w:val="00B05F03"/>
    <w:rsid w:val="00B10254"/>
    <w:rsid w:val="00B10939"/>
    <w:rsid w:val="00B10C6D"/>
    <w:rsid w:val="00B10F23"/>
    <w:rsid w:val="00B11261"/>
    <w:rsid w:val="00B1231A"/>
    <w:rsid w:val="00B12F75"/>
    <w:rsid w:val="00B1524D"/>
    <w:rsid w:val="00B153FD"/>
    <w:rsid w:val="00B207BB"/>
    <w:rsid w:val="00B21313"/>
    <w:rsid w:val="00B217B3"/>
    <w:rsid w:val="00B228EA"/>
    <w:rsid w:val="00B23016"/>
    <w:rsid w:val="00B2583D"/>
    <w:rsid w:val="00B26EC0"/>
    <w:rsid w:val="00B27DE6"/>
    <w:rsid w:val="00B3017D"/>
    <w:rsid w:val="00B30F7A"/>
    <w:rsid w:val="00B325F8"/>
    <w:rsid w:val="00B333CD"/>
    <w:rsid w:val="00B3406C"/>
    <w:rsid w:val="00B34693"/>
    <w:rsid w:val="00B34A78"/>
    <w:rsid w:val="00B367C0"/>
    <w:rsid w:val="00B36818"/>
    <w:rsid w:val="00B41EFC"/>
    <w:rsid w:val="00B42788"/>
    <w:rsid w:val="00B4341B"/>
    <w:rsid w:val="00B441FF"/>
    <w:rsid w:val="00B44A66"/>
    <w:rsid w:val="00B50B43"/>
    <w:rsid w:val="00B51508"/>
    <w:rsid w:val="00B51E8A"/>
    <w:rsid w:val="00B52CF9"/>
    <w:rsid w:val="00B5385D"/>
    <w:rsid w:val="00B53DAC"/>
    <w:rsid w:val="00B55970"/>
    <w:rsid w:val="00B60E72"/>
    <w:rsid w:val="00B60FBF"/>
    <w:rsid w:val="00B65046"/>
    <w:rsid w:val="00B655AA"/>
    <w:rsid w:val="00B6609C"/>
    <w:rsid w:val="00B67080"/>
    <w:rsid w:val="00B67BF6"/>
    <w:rsid w:val="00B7046E"/>
    <w:rsid w:val="00B70862"/>
    <w:rsid w:val="00B71CBC"/>
    <w:rsid w:val="00B722E2"/>
    <w:rsid w:val="00B72DD8"/>
    <w:rsid w:val="00B7334B"/>
    <w:rsid w:val="00B73618"/>
    <w:rsid w:val="00B73B76"/>
    <w:rsid w:val="00B7510B"/>
    <w:rsid w:val="00B75533"/>
    <w:rsid w:val="00B75711"/>
    <w:rsid w:val="00B75C2E"/>
    <w:rsid w:val="00B7625B"/>
    <w:rsid w:val="00B81A73"/>
    <w:rsid w:val="00B82137"/>
    <w:rsid w:val="00B82BD7"/>
    <w:rsid w:val="00B842AA"/>
    <w:rsid w:val="00B903C8"/>
    <w:rsid w:val="00B91B36"/>
    <w:rsid w:val="00B91D40"/>
    <w:rsid w:val="00B91FA1"/>
    <w:rsid w:val="00B93846"/>
    <w:rsid w:val="00B939F5"/>
    <w:rsid w:val="00B93CEA"/>
    <w:rsid w:val="00B94312"/>
    <w:rsid w:val="00B970A4"/>
    <w:rsid w:val="00B97155"/>
    <w:rsid w:val="00B97CA5"/>
    <w:rsid w:val="00BA0CA2"/>
    <w:rsid w:val="00BA0D4F"/>
    <w:rsid w:val="00BA172A"/>
    <w:rsid w:val="00BA1A9D"/>
    <w:rsid w:val="00BA2A7D"/>
    <w:rsid w:val="00BA54A5"/>
    <w:rsid w:val="00BA59FB"/>
    <w:rsid w:val="00BA5FBA"/>
    <w:rsid w:val="00BA7FB5"/>
    <w:rsid w:val="00BB2CB7"/>
    <w:rsid w:val="00BB394F"/>
    <w:rsid w:val="00BB3D30"/>
    <w:rsid w:val="00BB4FD7"/>
    <w:rsid w:val="00BB6E63"/>
    <w:rsid w:val="00BB7099"/>
    <w:rsid w:val="00BB7650"/>
    <w:rsid w:val="00BC1D8A"/>
    <w:rsid w:val="00BC1FBD"/>
    <w:rsid w:val="00BC2F56"/>
    <w:rsid w:val="00BC3E66"/>
    <w:rsid w:val="00BC5033"/>
    <w:rsid w:val="00BC5CE7"/>
    <w:rsid w:val="00BC7168"/>
    <w:rsid w:val="00BD1AC2"/>
    <w:rsid w:val="00BD1C81"/>
    <w:rsid w:val="00BD501D"/>
    <w:rsid w:val="00BD594B"/>
    <w:rsid w:val="00BD5EE2"/>
    <w:rsid w:val="00BD6F07"/>
    <w:rsid w:val="00BD7056"/>
    <w:rsid w:val="00BD7216"/>
    <w:rsid w:val="00BD7254"/>
    <w:rsid w:val="00BE00B4"/>
    <w:rsid w:val="00BE1051"/>
    <w:rsid w:val="00BE221B"/>
    <w:rsid w:val="00BE2642"/>
    <w:rsid w:val="00BE43B6"/>
    <w:rsid w:val="00BE4A81"/>
    <w:rsid w:val="00BE6D9E"/>
    <w:rsid w:val="00BE71D9"/>
    <w:rsid w:val="00BE7236"/>
    <w:rsid w:val="00BE75A2"/>
    <w:rsid w:val="00BF1CD6"/>
    <w:rsid w:val="00BF22F6"/>
    <w:rsid w:val="00BF2384"/>
    <w:rsid w:val="00BF3ED2"/>
    <w:rsid w:val="00BF3F20"/>
    <w:rsid w:val="00BF712E"/>
    <w:rsid w:val="00C0034B"/>
    <w:rsid w:val="00C006D3"/>
    <w:rsid w:val="00C00E75"/>
    <w:rsid w:val="00C00F91"/>
    <w:rsid w:val="00C01894"/>
    <w:rsid w:val="00C035A4"/>
    <w:rsid w:val="00C0436F"/>
    <w:rsid w:val="00C0470F"/>
    <w:rsid w:val="00C066BE"/>
    <w:rsid w:val="00C06F1F"/>
    <w:rsid w:val="00C07DDB"/>
    <w:rsid w:val="00C100B7"/>
    <w:rsid w:val="00C105D6"/>
    <w:rsid w:val="00C10CC4"/>
    <w:rsid w:val="00C12213"/>
    <w:rsid w:val="00C13BA7"/>
    <w:rsid w:val="00C141F1"/>
    <w:rsid w:val="00C1518F"/>
    <w:rsid w:val="00C1580F"/>
    <w:rsid w:val="00C177CA"/>
    <w:rsid w:val="00C200DE"/>
    <w:rsid w:val="00C20474"/>
    <w:rsid w:val="00C20F9E"/>
    <w:rsid w:val="00C21991"/>
    <w:rsid w:val="00C21C85"/>
    <w:rsid w:val="00C22383"/>
    <w:rsid w:val="00C22A83"/>
    <w:rsid w:val="00C241C8"/>
    <w:rsid w:val="00C26361"/>
    <w:rsid w:val="00C264FA"/>
    <w:rsid w:val="00C26E37"/>
    <w:rsid w:val="00C27BF7"/>
    <w:rsid w:val="00C27DE2"/>
    <w:rsid w:val="00C30553"/>
    <w:rsid w:val="00C32280"/>
    <w:rsid w:val="00C32840"/>
    <w:rsid w:val="00C34095"/>
    <w:rsid w:val="00C3489F"/>
    <w:rsid w:val="00C353DA"/>
    <w:rsid w:val="00C36F56"/>
    <w:rsid w:val="00C37B7A"/>
    <w:rsid w:val="00C4022C"/>
    <w:rsid w:val="00C4072A"/>
    <w:rsid w:val="00C40B5B"/>
    <w:rsid w:val="00C41BEB"/>
    <w:rsid w:val="00C45CC1"/>
    <w:rsid w:val="00C47ABA"/>
    <w:rsid w:val="00C47CDE"/>
    <w:rsid w:val="00C47DF1"/>
    <w:rsid w:val="00C50D37"/>
    <w:rsid w:val="00C51556"/>
    <w:rsid w:val="00C516C8"/>
    <w:rsid w:val="00C52EFC"/>
    <w:rsid w:val="00C53295"/>
    <w:rsid w:val="00C536E7"/>
    <w:rsid w:val="00C55BBD"/>
    <w:rsid w:val="00C56F82"/>
    <w:rsid w:val="00C5718F"/>
    <w:rsid w:val="00C57805"/>
    <w:rsid w:val="00C57813"/>
    <w:rsid w:val="00C60C96"/>
    <w:rsid w:val="00C618DF"/>
    <w:rsid w:val="00C63201"/>
    <w:rsid w:val="00C647AB"/>
    <w:rsid w:val="00C65C6E"/>
    <w:rsid w:val="00C66D86"/>
    <w:rsid w:val="00C7049B"/>
    <w:rsid w:val="00C72F64"/>
    <w:rsid w:val="00C73F97"/>
    <w:rsid w:val="00C77036"/>
    <w:rsid w:val="00C777C5"/>
    <w:rsid w:val="00C836A8"/>
    <w:rsid w:val="00C845D8"/>
    <w:rsid w:val="00C86B18"/>
    <w:rsid w:val="00C87011"/>
    <w:rsid w:val="00C900B0"/>
    <w:rsid w:val="00C90703"/>
    <w:rsid w:val="00C9079F"/>
    <w:rsid w:val="00C907D3"/>
    <w:rsid w:val="00C914A4"/>
    <w:rsid w:val="00C9180B"/>
    <w:rsid w:val="00C91AAB"/>
    <w:rsid w:val="00C91B96"/>
    <w:rsid w:val="00C94DB3"/>
    <w:rsid w:val="00C95080"/>
    <w:rsid w:val="00C95B81"/>
    <w:rsid w:val="00C95F0F"/>
    <w:rsid w:val="00C973BF"/>
    <w:rsid w:val="00CA0BF3"/>
    <w:rsid w:val="00CA2AEF"/>
    <w:rsid w:val="00CA6FB0"/>
    <w:rsid w:val="00CB0721"/>
    <w:rsid w:val="00CB2133"/>
    <w:rsid w:val="00CB21AF"/>
    <w:rsid w:val="00CB23C7"/>
    <w:rsid w:val="00CB24A4"/>
    <w:rsid w:val="00CB2FD0"/>
    <w:rsid w:val="00CB5514"/>
    <w:rsid w:val="00CB5F58"/>
    <w:rsid w:val="00CB6B20"/>
    <w:rsid w:val="00CC0286"/>
    <w:rsid w:val="00CC1A66"/>
    <w:rsid w:val="00CC23E6"/>
    <w:rsid w:val="00CC3AC4"/>
    <w:rsid w:val="00CC40E2"/>
    <w:rsid w:val="00CC4335"/>
    <w:rsid w:val="00CC4428"/>
    <w:rsid w:val="00CC4924"/>
    <w:rsid w:val="00CC54B2"/>
    <w:rsid w:val="00CC5982"/>
    <w:rsid w:val="00CC5E67"/>
    <w:rsid w:val="00CC68C7"/>
    <w:rsid w:val="00CC7F8D"/>
    <w:rsid w:val="00CD0A97"/>
    <w:rsid w:val="00CD0DF2"/>
    <w:rsid w:val="00CD244E"/>
    <w:rsid w:val="00CD3086"/>
    <w:rsid w:val="00CD40D0"/>
    <w:rsid w:val="00CD5486"/>
    <w:rsid w:val="00CD55B7"/>
    <w:rsid w:val="00CD6748"/>
    <w:rsid w:val="00CD7307"/>
    <w:rsid w:val="00CD7934"/>
    <w:rsid w:val="00CD7E8E"/>
    <w:rsid w:val="00CE07A6"/>
    <w:rsid w:val="00CE0CCA"/>
    <w:rsid w:val="00CE1D39"/>
    <w:rsid w:val="00CE1EAA"/>
    <w:rsid w:val="00CE23A5"/>
    <w:rsid w:val="00CE2814"/>
    <w:rsid w:val="00CE345A"/>
    <w:rsid w:val="00CE4B0A"/>
    <w:rsid w:val="00CE510D"/>
    <w:rsid w:val="00CE5F65"/>
    <w:rsid w:val="00CE7BA1"/>
    <w:rsid w:val="00CF11E2"/>
    <w:rsid w:val="00CF2DA8"/>
    <w:rsid w:val="00CF31F9"/>
    <w:rsid w:val="00CF36D9"/>
    <w:rsid w:val="00CF409E"/>
    <w:rsid w:val="00CF520A"/>
    <w:rsid w:val="00D00EE2"/>
    <w:rsid w:val="00D01E84"/>
    <w:rsid w:val="00D024EE"/>
    <w:rsid w:val="00D02D99"/>
    <w:rsid w:val="00D03BD2"/>
    <w:rsid w:val="00D04407"/>
    <w:rsid w:val="00D060BB"/>
    <w:rsid w:val="00D06CB7"/>
    <w:rsid w:val="00D06F41"/>
    <w:rsid w:val="00D072BB"/>
    <w:rsid w:val="00D073A5"/>
    <w:rsid w:val="00D130A8"/>
    <w:rsid w:val="00D14F0B"/>
    <w:rsid w:val="00D152E2"/>
    <w:rsid w:val="00D160A3"/>
    <w:rsid w:val="00D16A90"/>
    <w:rsid w:val="00D17456"/>
    <w:rsid w:val="00D1785E"/>
    <w:rsid w:val="00D20C15"/>
    <w:rsid w:val="00D22334"/>
    <w:rsid w:val="00D228AE"/>
    <w:rsid w:val="00D22992"/>
    <w:rsid w:val="00D24EA5"/>
    <w:rsid w:val="00D24F1F"/>
    <w:rsid w:val="00D2614F"/>
    <w:rsid w:val="00D26DEB"/>
    <w:rsid w:val="00D27DFD"/>
    <w:rsid w:val="00D3214E"/>
    <w:rsid w:val="00D33860"/>
    <w:rsid w:val="00D33C51"/>
    <w:rsid w:val="00D34470"/>
    <w:rsid w:val="00D34E8C"/>
    <w:rsid w:val="00D34FC0"/>
    <w:rsid w:val="00D35693"/>
    <w:rsid w:val="00D35B70"/>
    <w:rsid w:val="00D36B32"/>
    <w:rsid w:val="00D36DDA"/>
    <w:rsid w:val="00D37305"/>
    <w:rsid w:val="00D37942"/>
    <w:rsid w:val="00D404E0"/>
    <w:rsid w:val="00D42756"/>
    <w:rsid w:val="00D44ADB"/>
    <w:rsid w:val="00D45E86"/>
    <w:rsid w:val="00D47142"/>
    <w:rsid w:val="00D47A24"/>
    <w:rsid w:val="00D50C90"/>
    <w:rsid w:val="00D5307F"/>
    <w:rsid w:val="00D53118"/>
    <w:rsid w:val="00D54091"/>
    <w:rsid w:val="00D55663"/>
    <w:rsid w:val="00D55AD6"/>
    <w:rsid w:val="00D5619F"/>
    <w:rsid w:val="00D5749C"/>
    <w:rsid w:val="00D5761C"/>
    <w:rsid w:val="00D57768"/>
    <w:rsid w:val="00D57B77"/>
    <w:rsid w:val="00D57C79"/>
    <w:rsid w:val="00D57F61"/>
    <w:rsid w:val="00D60115"/>
    <w:rsid w:val="00D60726"/>
    <w:rsid w:val="00D63028"/>
    <w:rsid w:val="00D64865"/>
    <w:rsid w:val="00D64A49"/>
    <w:rsid w:val="00D64CAB"/>
    <w:rsid w:val="00D654A6"/>
    <w:rsid w:val="00D66472"/>
    <w:rsid w:val="00D66500"/>
    <w:rsid w:val="00D667DD"/>
    <w:rsid w:val="00D72D54"/>
    <w:rsid w:val="00D739D4"/>
    <w:rsid w:val="00D7594B"/>
    <w:rsid w:val="00D766F8"/>
    <w:rsid w:val="00D76873"/>
    <w:rsid w:val="00D76B16"/>
    <w:rsid w:val="00D80071"/>
    <w:rsid w:val="00D80111"/>
    <w:rsid w:val="00D80F17"/>
    <w:rsid w:val="00D84028"/>
    <w:rsid w:val="00D84F53"/>
    <w:rsid w:val="00D86A9A"/>
    <w:rsid w:val="00D86BB2"/>
    <w:rsid w:val="00D87EDC"/>
    <w:rsid w:val="00D909FF"/>
    <w:rsid w:val="00D92075"/>
    <w:rsid w:val="00D93BE0"/>
    <w:rsid w:val="00D95469"/>
    <w:rsid w:val="00D954AC"/>
    <w:rsid w:val="00D9606B"/>
    <w:rsid w:val="00D9745D"/>
    <w:rsid w:val="00DA044D"/>
    <w:rsid w:val="00DA0900"/>
    <w:rsid w:val="00DA0D46"/>
    <w:rsid w:val="00DA1B13"/>
    <w:rsid w:val="00DA2E17"/>
    <w:rsid w:val="00DA4797"/>
    <w:rsid w:val="00DA706F"/>
    <w:rsid w:val="00DB0616"/>
    <w:rsid w:val="00DB2C2D"/>
    <w:rsid w:val="00DB3A4E"/>
    <w:rsid w:val="00DB3EDE"/>
    <w:rsid w:val="00DB4C9A"/>
    <w:rsid w:val="00DB4CF5"/>
    <w:rsid w:val="00DB58FF"/>
    <w:rsid w:val="00DB5E08"/>
    <w:rsid w:val="00DB70EF"/>
    <w:rsid w:val="00DB773A"/>
    <w:rsid w:val="00DB780C"/>
    <w:rsid w:val="00DB7960"/>
    <w:rsid w:val="00DB7D48"/>
    <w:rsid w:val="00DC0459"/>
    <w:rsid w:val="00DC1908"/>
    <w:rsid w:val="00DC225E"/>
    <w:rsid w:val="00DC425F"/>
    <w:rsid w:val="00DC4BF6"/>
    <w:rsid w:val="00DC4D10"/>
    <w:rsid w:val="00DC5119"/>
    <w:rsid w:val="00DC5FB5"/>
    <w:rsid w:val="00DC659B"/>
    <w:rsid w:val="00DD051D"/>
    <w:rsid w:val="00DD07B4"/>
    <w:rsid w:val="00DD194A"/>
    <w:rsid w:val="00DD1CF3"/>
    <w:rsid w:val="00DD2A61"/>
    <w:rsid w:val="00DD3533"/>
    <w:rsid w:val="00DD4F51"/>
    <w:rsid w:val="00DD52FD"/>
    <w:rsid w:val="00DD5544"/>
    <w:rsid w:val="00DE0542"/>
    <w:rsid w:val="00DE0BFB"/>
    <w:rsid w:val="00DE1335"/>
    <w:rsid w:val="00DE2884"/>
    <w:rsid w:val="00DE2C32"/>
    <w:rsid w:val="00DE325D"/>
    <w:rsid w:val="00DE4A4E"/>
    <w:rsid w:val="00DE56C1"/>
    <w:rsid w:val="00DE68FF"/>
    <w:rsid w:val="00DE6D2B"/>
    <w:rsid w:val="00DE7A73"/>
    <w:rsid w:val="00DF2FF5"/>
    <w:rsid w:val="00DF343A"/>
    <w:rsid w:val="00DF46AC"/>
    <w:rsid w:val="00DF66E5"/>
    <w:rsid w:val="00DF7218"/>
    <w:rsid w:val="00E00048"/>
    <w:rsid w:val="00E003A5"/>
    <w:rsid w:val="00E00A39"/>
    <w:rsid w:val="00E01165"/>
    <w:rsid w:val="00E027DE"/>
    <w:rsid w:val="00E04218"/>
    <w:rsid w:val="00E04849"/>
    <w:rsid w:val="00E04FBE"/>
    <w:rsid w:val="00E07BFE"/>
    <w:rsid w:val="00E07C3D"/>
    <w:rsid w:val="00E10481"/>
    <w:rsid w:val="00E116EA"/>
    <w:rsid w:val="00E130BD"/>
    <w:rsid w:val="00E16DF7"/>
    <w:rsid w:val="00E20363"/>
    <w:rsid w:val="00E22BD9"/>
    <w:rsid w:val="00E22D55"/>
    <w:rsid w:val="00E233C5"/>
    <w:rsid w:val="00E24551"/>
    <w:rsid w:val="00E26F49"/>
    <w:rsid w:val="00E27E02"/>
    <w:rsid w:val="00E30508"/>
    <w:rsid w:val="00E3366B"/>
    <w:rsid w:val="00E350AB"/>
    <w:rsid w:val="00E35B50"/>
    <w:rsid w:val="00E366B0"/>
    <w:rsid w:val="00E377C8"/>
    <w:rsid w:val="00E4262E"/>
    <w:rsid w:val="00E46681"/>
    <w:rsid w:val="00E51C84"/>
    <w:rsid w:val="00E52215"/>
    <w:rsid w:val="00E52FD7"/>
    <w:rsid w:val="00E55C19"/>
    <w:rsid w:val="00E6014D"/>
    <w:rsid w:val="00E610E3"/>
    <w:rsid w:val="00E6177D"/>
    <w:rsid w:val="00E61DFF"/>
    <w:rsid w:val="00E61F78"/>
    <w:rsid w:val="00E62417"/>
    <w:rsid w:val="00E647C5"/>
    <w:rsid w:val="00E64A2C"/>
    <w:rsid w:val="00E70C98"/>
    <w:rsid w:val="00E719CC"/>
    <w:rsid w:val="00E7239B"/>
    <w:rsid w:val="00E727B4"/>
    <w:rsid w:val="00E72E00"/>
    <w:rsid w:val="00E74537"/>
    <w:rsid w:val="00E749E1"/>
    <w:rsid w:val="00E76874"/>
    <w:rsid w:val="00E76B32"/>
    <w:rsid w:val="00E76D81"/>
    <w:rsid w:val="00E77A73"/>
    <w:rsid w:val="00E77B99"/>
    <w:rsid w:val="00E8007A"/>
    <w:rsid w:val="00E82708"/>
    <w:rsid w:val="00E82B4B"/>
    <w:rsid w:val="00E82F96"/>
    <w:rsid w:val="00E836E1"/>
    <w:rsid w:val="00E84D78"/>
    <w:rsid w:val="00E84D91"/>
    <w:rsid w:val="00E85446"/>
    <w:rsid w:val="00E85D72"/>
    <w:rsid w:val="00E86E21"/>
    <w:rsid w:val="00E8784F"/>
    <w:rsid w:val="00E9087B"/>
    <w:rsid w:val="00E90E83"/>
    <w:rsid w:val="00E9253B"/>
    <w:rsid w:val="00E9294C"/>
    <w:rsid w:val="00E92E97"/>
    <w:rsid w:val="00E93B2A"/>
    <w:rsid w:val="00E95869"/>
    <w:rsid w:val="00E96303"/>
    <w:rsid w:val="00E963C5"/>
    <w:rsid w:val="00E973BB"/>
    <w:rsid w:val="00EA081D"/>
    <w:rsid w:val="00EA1A92"/>
    <w:rsid w:val="00EA1DFE"/>
    <w:rsid w:val="00EA3058"/>
    <w:rsid w:val="00EA515B"/>
    <w:rsid w:val="00EA626A"/>
    <w:rsid w:val="00EA6873"/>
    <w:rsid w:val="00EA7A72"/>
    <w:rsid w:val="00EA7DB6"/>
    <w:rsid w:val="00EB140C"/>
    <w:rsid w:val="00EB27FB"/>
    <w:rsid w:val="00EB3ACD"/>
    <w:rsid w:val="00EB3B33"/>
    <w:rsid w:val="00EB4224"/>
    <w:rsid w:val="00EB4E46"/>
    <w:rsid w:val="00EB5469"/>
    <w:rsid w:val="00EB7458"/>
    <w:rsid w:val="00EC0475"/>
    <w:rsid w:val="00EC4CD3"/>
    <w:rsid w:val="00ED0D41"/>
    <w:rsid w:val="00ED21DA"/>
    <w:rsid w:val="00ED29A8"/>
    <w:rsid w:val="00ED3AE2"/>
    <w:rsid w:val="00ED44E4"/>
    <w:rsid w:val="00ED5AA1"/>
    <w:rsid w:val="00ED6E4B"/>
    <w:rsid w:val="00ED77BF"/>
    <w:rsid w:val="00EE03F5"/>
    <w:rsid w:val="00EE0A94"/>
    <w:rsid w:val="00EE0C69"/>
    <w:rsid w:val="00EE1681"/>
    <w:rsid w:val="00EE1C33"/>
    <w:rsid w:val="00EE40CE"/>
    <w:rsid w:val="00EE5E80"/>
    <w:rsid w:val="00EE6033"/>
    <w:rsid w:val="00EE7045"/>
    <w:rsid w:val="00EF0235"/>
    <w:rsid w:val="00EF0DA2"/>
    <w:rsid w:val="00EF0FD7"/>
    <w:rsid w:val="00EF16E4"/>
    <w:rsid w:val="00EF1EBC"/>
    <w:rsid w:val="00EF2191"/>
    <w:rsid w:val="00EF2ED2"/>
    <w:rsid w:val="00EF55AD"/>
    <w:rsid w:val="00EF6F76"/>
    <w:rsid w:val="00F00654"/>
    <w:rsid w:val="00F0098A"/>
    <w:rsid w:val="00F01452"/>
    <w:rsid w:val="00F01AAD"/>
    <w:rsid w:val="00F023E8"/>
    <w:rsid w:val="00F02661"/>
    <w:rsid w:val="00F03534"/>
    <w:rsid w:val="00F058E5"/>
    <w:rsid w:val="00F05B4D"/>
    <w:rsid w:val="00F06316"/>
    <w:rsid w:val="00F06BD3"/>
    <w:rsid w:val="00F1007A"/>
    <w:rsid w:val="00F1153D"/>
    <w:rsid w:val="00F12270"/>
    <w:rsid w:val="00F12CBF"/>
    <w:rsid w:val="00F13D52"/>
    <w:rsid w:val="00F141D9"/>
    <w:rsid w:val="00F14CA7"/>
    <w:rsid w:val="00F15303"/>
    <w:rsid w:val="00F16A86"/>
    <w:rsid w:val="00F17F8C"/>
    <w:rsid w:val="00F20852"/>
    <w:rsid w:val="00F213E4"/>
    <w:rsid w:val="00F21A61"/>
    <w:rsid w:val="00F22083"/>
    <w:rsid w:val="00F23135"/>
    <w:rsid w:val="00F23C5C"/>
    <w:rsid w:val="00F241AA"/>
    <w:rsid w:val="00F2540F"/>
    <w:rsid w:val="00F2620B"/>
    <w:rsid w:val="00F26282"/>
    <w:rsid w:val="00F26319"/>
    <w:rsid w:val="00F26A27"/>
    <w:rsid w:val="00F30015"/>
    <w:rsid w:val="00F3119B"/>
    <w:rsid w:val="00F31E0C"/>
    <w:rsid w:val="00F3533D"/>
    <w:rsid w:val="00F35E3D"/>
    <w:rsid w:val="00F36B8D"/>
    <w:rsid w:val="00F404CB"/>
    <w:rsid w:val="00F40ECE"/>
    <w:rsid w:val="00F40FAB"/>
    <w:rsid w:val="00F4280F"/>
    <w:rsid w:val="00F4290A"/>
    <w:rsid w:val="00F451FE"/>
    <w:rsid w:val="00F46A7D"/>
    <w:rsid w:val="00F47FB8"/>
    <w:rsid w:val="00F51076"/>
    <w:rsid w:val="00F515A0"/>
    <w:rsid w:val="00F5397F"/>
    <w:rsid w:val="00F539CD"/>
    <w:rsid w:val="00F54073"/>
    <w:rsid w:val="00F54972"/>
    <w:rsid w:val="00F549EE"/>
    <w:rsid w:val="00F54DA1"/>
    <w:rsid w:val="00F57BB1"/>
    <w:rsid w:val="00F57D6A"/>
    <w:rsid w:val="00F619CA"/>
    <w:rsid w:val="00F6242B"/>
    <w:rsid w:val="00F625AD"/>
    <w:rsid w:val="00F65129"/>
    <w:rsid w:val="00F65B72"/>
    <w:rsid w:val="00F67ACD"/>
    <w:rsid w:val="00F71484"/>
    <w:rsid w:val="00F725A2"/>
    <w:rsid w:val="00F7280C"/>
    <w:rsid w:val="00F754C7"/>
    <w:rsid w:val="00F76EB6"/>
    <w:rsid w:val="00F8023A"/>
    <w:rsid w:val="00F812CF"/>
    <w:rsid w:val="00F81E5F"/>
    <w:rsid w:val="00F84C74"/>
    <w:rsid w:val="00F84FAC"/>
    <w:rsid w:val="00F87118"/>
    <w:rsid w:val="00F94F18"/>
    <w:rsid w:val="00FA0AC3"/>
    <w:rsid w:val="00FA1913"/>
    <w:rsid w:val="00FA4F54"/>
    <w:rsid w:val="00FA5468"/>
    <w:rsid w:val="00FA585F"/>
    <w:rsid w:val="00FA6EB7"/>
    <w:rsid w:val="00FB14F2"/>
    <w:rsid w:val="00FB2290"/>
    <w:rsid w:val="00FB2529"/>
    <w:rsid w:val="00FB2B16"/>
    <w:rsid w:val="00FB2B8A"/>
    <w:rsid w:val="00FB2BB7"/>
    <w:rsid w:val="00FB37B4"/>
    <w:rsid w:val="00FB3893"/>
    <w:rsid w:val="00FB3CA6"/>
    <w:rsid w:val="00FB4C96"/>
    <w:rsid w:val="00FB5F14"/>
    <w:rsid w:val="00FB61E8"/>
    <w:rsid w:val="00FB63DE"/>
    <w:rsid w:val="00FB6479"/>
    <w:rsid w:val="00FB78CA"/>
    <w:rsid w:val="00FB7ABB"/>
    <w:rsid w:val="00FC0D10"/>
    <w:rsid w:val="00FC0F34"/>
    <w:rsid w:val="00FC109F"/>
    <w:rsid w:val="00FC214F"/>
    <w:rsid w:val="00FC6277"/>
    <w:rsid w:val="00FC62B7"/>
    <w:rsid w:val="00FD2978"/>
    <w:rsid w:val="00FD38F9"/>
    <w:rsid w:val="00FD4EFC"/>
    <w:rsid w:val="00FD4F50"/>
    <w:rsid w:val="00FD5383"/>
    <w:rsid w:val="00FD5E27"/>
    <w:rsid w:val="00FD695C"/>
    <w:rsid w:val="00FD7DBE"/>
    <w:rsid w:val="00FE18CE"/>
    <w:rsid w:val="00FE2DA7"/>
    <w:rsid w:val="00FE3477"/>
    <w:rsid w:val="00FE3845"/>
    <w:rsid w:val="00FE3F63"/>
    <w:rsid w:val="00FE5EE5"/>
    <w:rsid w:val="00FE640F"/>
    <w:rsid w:val="00FE65CE"/>
    <w:rsid w:val="00FE7DDF"/>
    <w:rsid w:val="00FF0896"/>
    <w:rsid w:val="00FF0B17"/>
    <w:rsid w:val="00FF25D9"/>
    <w:rsid w:val="00FF4B1E"/>
    <w:rsid w:val="00FF523A"/>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4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ListParagraph">
    <w:name w:val="List Paragraph"/>
    <w:basedOn w:val="Normal"/>
    <w:uiPriority w:val="34"/>
    <w:qFormat/>
    <w:rsid w:val="00BC7168"/>
    <w:pPr>
      <w:ind w:left="720"/>
      <w:contextualSpacing/>
    </w:pPr>
  </w:style>
  <w:style w:type="character" w:styleId="Emphasis">
    <w:name w:val="Emphasis"/>
    <w:basedOn w:val="DefaultParagraphFont"/>
    <w:uiPriority w:val="20"/>
    <w:qFormat/>
    <w:rsid w:val="0071153A"/>
    <w:rPr>
      <w:i/>
      <w:iCs/>
    </w:rPr>
  </w:style>
  <w:style w:type="character" w:styleId="UnresolvedMention">
    <w:name w:val="Unresolved Mention"/>
    <w:basedOn w:val="DefaultParagraphFont"/>
    <w:uiPriority w:val="99"/>
    <w:semiHidden/>
    <w:unhideWhenUsed/>
    <w:rsid w:val="00A06C00"/>
    <w:rPr>
      <w:color w:val="605E5C"/>
      <w:shd w:val="clear" w:color="auto" w:fill="E1DFDD"/>
    </w:rPr>
  </w:style>
  <w:style w:type="character" w:styleId="FollowedHyperlink">
    <w:name w:val="FollowedHyperlink"/>
    <w:basedOn w:val="DefaultParagraphFont"/>
    <w:uiPriority w:val="99"/>
    <w:semiHidden/>
    <w:unhideWhenUsed/>
    <w:rsid w:val="00EF0FD7"/>
    <w:rPr>
      <w:color w:val="954F72" w:themeColor="followedHyperlink"/>
      <w:u w:val="single"/>
    </w:rPr>
  </w:style>
  <w:style w:type="character" w:styleId="Strong">
    <w:name w:val="Strong"/>
    <w:basedOn w:val="DefaultParagraphFont"/>
    <w:uiPriority w:val="22"/>
    <w:qFormat/>
    <w:rsid w:val="00AB5D7D"/>
    <w:rPr>
      <w:b/>
      <w:bCs/>
    </w:rPr>
  </w:style>
  <w:style w:type="character" w:customStyle="1" w:styleId="plaintext">
    <w:name w:val="plain_text"/>
    <w:basedOn w:val="DefaultParagraphFont"/>
    <w:rsid w:val="00C0034B"/>
  </w:style>
  <w:style w:type="character" w:customStyle="1" w:styleId="st">
    <w:name w:val="st"/>
    <w:basedOn w:val="DefaultParagraphFont"/>
    <w:rsid w:val="00274AEE"/>
  </w:style>
  <w:style w:type="character" w:styleId="CommentReference">
    <w:name w:val="annotation reference"/>
    <w:basedOn w:val="DefaultParagraphFont"/>
    <w:uiPriority w:val="99"/>
    <w:unhideWhenUsed/>
    <w:qFormat/>
    <w:rsid w:val="00307D73"/>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307D73"/>
    <w:rPr>
      <w:sz w:val="20"/>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307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D73"/>
    <w:rPr>
      <w:b/>
      <w:bCs/>
    </w:rPr>
  </w:style>
  <w:style w:type="character" w:customStyle="1" w:styleId="CommentSubjectChar">
    <w:name w:val="Comment Subject Char"/>
    <w:basedOn w:val="CommentTextChar"/>
    <w:link w:val="CommentSubject"/>
    <w:uiPriority w:val="99"/>
    <w:semiHidden/>
    <w:rsid w:val="00307D73"/>
    <w:rPr>
      <w:rFonts w:ascii="Times New Roman" w:eastAsia="Times New Roman" w:hAnsi="Times New Roman" w:cs="Times New Roman"/>
      <w:b/>
      <w:bCs/>
      <w:sz w:val="20"/>
      <w:szCs w:val="20"/>
    </w:rPr>
  </w:style>
  <w:style w:type="table" w:styleId="TableGrid">
    <w:name w:val="Table Grid"/>
    <w:basedOn w:val="TableNorma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DefaultParagraphFont"/>
    <w:rsid w:val="00AA1654"/>
  </w:style>
  <w:style w:type="character" w:customStyle="1" w:styleId="fontstyle01">
    <w:name w:val="fontstyle01"/>
    <w:basedOn w:val="DefaultParagraphFont"/>
    <w:rsid w:val="001F055F"/>
    <w:rPr>
      <w:rFonts w:ascii="TimesNewRomanPSMT" w:hAnsi="TimesNewRomanPSMT" w:hint="default"/>
      <w:b w:val="0"/>
      <w:bCs w:val="0"/>
      <w:i w:val="0"/>
      <w:iCs w:val="0"/>
      <w:color w:val="000000"/>
      <w:sz w:val="24"/>
      <w:szCs w:val="24"/>
    </w:rPr>
  </w:style>
  <w:style w:type="paragraph" w:styleId="z-TopofForm">
    <w:name w:val="HTML Top of Form"/>
    <w:basedOn w:val="Normal"/>
    <w:next w:val="Normal"/>
    <w:link w:val="z-TopofFormChar"/>
    <w:hidden/>
    <w:uiPriority w:val="99"/>
    <w:semiHidden/>
    <w:unhideWhenUsed/>
    <w:rsid w:val="00047056"/>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04705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47056"/>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47056"/>
    <w:rPr>
      <w:rFonts w:ascii="Arial" w:eastAsia="Times New Roman" w:hAnsi="Arial" w:cs="Arial"/>
      <w:vanish/>
      <w:sz w:val="16"/>
      <w:szCs w:val="16"/>
      <w:lang w:val="en-US"/>
    </w:rPr>
  </w:style>
  <w:style w:type="character" w:customStyle="1" w:styleId="wysiwyg-color-black">
    <w:name w:val="wysiwyg-color-black"/>
    <w:basedOn w:val="DefaultParagraphFont"/>
    <w:rsid w:val="00EF0DA2"/>
  </w:style>
  <w:style w:type="paragraph" w:customStyle="1" w:styleId="Stilius3">
    <w:name w:val="Stilius3"/>
    <w:basedOn w:val="Normal"/>
    <w:qFormat/>
    <w:rsid w:val="00093C92"/>
    <w:pPr>
      <w:spacing w:before="200"/>
      <w:jc w:val="both"/>
    </w:pPr>
    <w:rPr>
      <w:sz w:val="22"/>
      <w:szCs w:val="22"/>
    </w:rPr>
  </w:style>
  <w:style w:type="paragraph" w:customStyle="1" w:styleId="Default">
    <w:name w:val="Default"/>
    <w:rsid w:val="00DB4CF5"/>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
    <w:name w:val="Body Text"/>
    <w:aliases w:val="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3F7186"/>
    <w:pPr>
      <w:jc w:val="both"/>
    </w:pPr>
    <w:rPr>
      <w:szCs w:val="24"/>
    </w:rPr>
  </w:style>
  <w:style w:type="character" w:customStyle="1" w:styleId="BodyTextChar">
    <w:name w:val="Body Text Char"/>
    <w:basedOn w:val="DefaultParagraphFont"/>
    <w:uiPriority w:val="99"/>
    <w:semiHidden/>
    <w:rsid w:val="003F7186"/>
    <w:rPr>
      <w:rFonts w:ascii="Times New Roman" w:eastAsia="Times New Roman" w:hAnsi="Times New Roman" w:cs="Times New Roman"/>
      <w:sz w:val="24"/>
      <w:szCs w:val="20"/>
    </w:rPr>
  </w:style>
  <w:style w:type="character" w:customStyle="1" w:styleId="BodyTextChar1">
    <w:name w:val="Body Text Char1"/>
    <w:aliases w:val="Char Char Char Diagrama Diagrama Diagrama Diagrama Diagrama Char,Char Char Char Diagrama Diagrama Diagrama Diagrama Diagrama Diagrama Diagrama Diagrama Diagrama Diagrama Char,body text Char,contents Char,bt Char,b Char, Char Char1"/>
    <w:link w:val="BodyText"/>
    <w:uiPriority w:val="99"/>
    <w:locked/>
    <w:rsid w:val="003F7186"/>
    <w:rPr>
      <w:rFonts w:ascii="Times New Roman" w:eastAsia="Times New Roman" w:hAnsi="Times New Roman" w:cs="Times New Roman"/>
      <w:sz w:val="24"/>
      <w:szCs w:val="24"/>
    </w:rPr>
  </w:style>
  <w:style w:type="paragraph" w:styleId="Revision">
    <w:name w:val="Revision"/>
    <w:hidden/>
    <w:uiPriority w:val="99"/>
    <w:semiHidden/>
    <w:rsid w:val="008D452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938">
      <w:bodyDiv w:val="1"/>
      <w:marLeft w:val="0"/>
      <w:marRight w:val="0"/>
      <w:marTop w:val="0"/>
      <w:marBottom w:val="0"/>
      <w:divBdr>
        <w:top w:val="none" w:sz="0" w:space="0" w:color="auto"/>
        <w:left w:val="none" w:sz="0" w:space="0" w:color="auto"/>
        <w:bottom w:val="none" w:sz="0" w:space="0" w:color="auto"/>
        <w:right w:val="none" w:sz="0" w:space="0" w:color="auto"/>
      </w:divBdr>
    </w:div>
    <w:div w:id="76053920">
      <w:bodyDiv w:val="1"/>
      <w:marLeft w:val="0"/>
      <w:marRight w:val="0"/>
      <w:marTop w:val="0"/>
      <w:marBottom w:val="0"/>
      <w:divBdr>
        <w:top w:val="none" w:sz="0" w:space="0" w:color="auto"/>
        <w:left w:val="none" w:sz="0" w:space="0" w:color="auto"/>
        <w:bottom w:val="none" w:sz="0" w:space="0" w:color="auto"/>
        <w:right w:val="none" w:sz="0" w:space="0" w:color="auto"/>
      </w:divBdr>
    </w:div>
    <w:div w:id="133523445">
      <w:bodyDiv w:val="1"/>
      <w:marLeft w:val="0"/>
      <w:marRight w:val="0"/>
      <w:marTop w:val="0"/>
      <w:marBottom w:val="0"/>
      <w:divBdr>
        <w:top w:val="none" w:sz="0" w:space="0" w:color="auto"/>
        <w:left w:val="none" w:sz="0" w:space="0" w:color="auto"/>
        <w:bottom w:val="none" w:sz="0" w:space="0" w:color="auto"/>
        <w:right w:val="none" w:sz="0" w:space="0" w:color="auto"/>
      </w:divBdr>
    </w:div>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212886016">
      <w:bodyDiv w:val="1"/>
      <w:marLeft w:val="0"/>
      <w:marRight w:val="0"/>
      <w:marTop w:val="0"/>
      <w:marBottom w:val="0"/>
      <w:divBdr>
        <w:top w:val="none" w:sz="0" w:space="0" w:color="auto"/>
        <w:left w:val="none" w:sz="0" w:space="0" w:color="auto"/>
        <w:bottom w:val="none" w:sz="0" w:space="0" w:color="auto"/>
        <w:right w:val="none" w:sz="0" w:space="0" w:color="auto"/>
      </w:divBdr>
    </w:div>
    <w:div w:id="219444781">
      <w:bodyDiv w:val="1"/>
      <w:marLeft w:val="0"/>
      <w:marRight w:val="0"/>
      <w:marTop w:val="0"/>
      <w:marBottom w:val="0"/>
      <w:divBdr>
        <w:top w:val="none" w:sz="0" w:space="0" w:color="auto"/>
        <w:left w:val="none" w:sz="0" w:space="0" w:color="auto"/>
        <w:bottom w:val="none" w:sz="0" w:space="0" w:color="auto"/>
        <w:right w:val="none" w:sz="0" w:space="0" w:color="auto"/>
      </w:divBdr>
    </w:div>
    <w:div w:id="283464197">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287513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490800634">
      <w:bodyDiv w:val="1"/>
      <w:marLeft w:val="0"/>
      <w:marRight w:val="0"/>
      <w:marTop w:val="0"/>
      <w:marBottom w:val="0"/>
      <w:divBdr>
        <w:top w:val="none" w:sz="0" w:space="0" w:color="auto"/>
        <w:left w:val="none" w:sz="0" w:space="0" w:color="auto"/>
        <w:bottom w:val="none" w:sz="0" w:space="0" w:color="auto"/>
        <w:right w:val="none" w:sz="0" w:space="0" w:color="auto"/>
      </w:divBdr>
    </w:div>
    <w:div w:id="496045467">
      <w:bodyDiv w:val="1"/>
      <w:marLeft w:val="0"/>
      <w:marRight w:val="0"/>
      <w:marTop w:val="0"/>
      <w:marBottom w:val="0"/>
      <w:divBdr>
        <w:top w:val="none" w:sz="0" w:space="0" w:color="auto"/>
        <w:left w:val="none" w:sz="0" w:space="0" w:color="auto"/>
        <w:bottom w:val="none" w:sz="0" w:space="0" w:color="auto"/>
        <w:right w:val="none" w:sz="0" w:space="0" w:color="auto"/>
      </w:divBdr>
    </w:div>
    <w:div w:id="524709500">
      <w:bodyDiv w:val="1"/>
      <w:marLeft w:val="0"/>
      <w:marRight w:val="0"/>
      <w:marTop w:val="0"/>
      <w:marBottom w:val="0"/>
      <w:divBdr>
        <w:top w:val="none" w:sz="0" w:space="0" w:color="auto"/>
        <w:left w:val="none" w:sz="0" w:space="0" w:color="auto"/>
        <w:bottom w:val="none" w:sz="0" w:space="0" w:color="auto"/>
        <w:right w:val="none" w:sz="0" w:space="0" w:color="auto"/>
      </w:divBdr>
    </w:div>
    <w:div w:id="573705356">
      <w:bodyDiv w:val="1"/>
      <w:marLeft w:val="0"/>
      <w:marRight w:val="0"/>
      <w:marTop w:val="0"/>
      <w:marBottom w:val="0"/>
      <w:divBdr>
        <w:top w:val="none" w:sz="0" w:space="0" w:color="auto"/>
        <w:left w:val="none" w:sz="0" w:space="0" w:color="auto"/>
        <w:bottom w:val="none" w:sz="0" w:space="0" w:color="auto"/>
        <w:right w:val="none" w:sz="0" w:space="0" w:color="auto"/>
      </w:divBdr>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18950315">
      <w:bodyDiv w:val="1"/>
      <w:marLeft w:val="0"/>
      <w:marRight w:val="0"/>
      <w:marTop w:val="0"/>
      <w:marBottom w:val="0"/>
      <w:divBdr>
        <w:top w:val="none" w:sz="0" w:space="0" w:color="auto"/>
        <w:left w:val="none" w:sz="0" w:space="0" w:color="auto"/>
        <w:bottom w:val="none" w:sz="0" w:space="0" w:color="auto"/>
        <w:right w:val="none" w:sz="0" w:space="0" w:color="auto"/>
      </w:divBdr>
    </w:div>
    <w:div w:id="642587368">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73336007">
      <w:bodyDiv w:val="1"/>
      <w:marLeft w:val="0"/>
      <w:marRight w:val="0"/>
      <w:marTop w:val="0"/>
      <w:marBottom w:val="0"/>
      <w:divBdr>
        <w:top w:val="none" w:sz="0" w:space="0" w:color="auto"/>
        <w:left w:val="none" w:sz="0" w:space="0" w:color="auto"/>
        <w:bottom w:val="none" w:sz="0" w:space="0" w:color="auto"/>
        <w:right w:val="none" w:sz="0" w:space="0" w:color="auto"/>
      </w:divBdr>
    </w:div>
    <w:div w:id="685253058">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794325934">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853685634">
      <w:bodyDiv w:val="1"/>
      <w:marLeft w:val="0"/>
      <w:marRight w:val="0"/>
      <w:marTop w:val="0"/>
      <w:marBottom w:val="0"/>
      <w:divBdr>
        <w:top w:val="none" w:sz="0" w:space="0" w:color="auto"/>
        <w:left w:val="none" w:sz="0" w:space="0" w:color="auto"/>
        <w:bottom w:val="none" w:sz="0" w:space="0" w:color="auto"/>
        <w:right w:val="none" w:sz="0" w:space="0" w:color="auto"/>
      </w:divBdr>
    </w:div>
    <w:div w:id="992297116">
      <w:bodyDiv w:val="1"/>
      <w:marLeft w:val="0"/>
      <w:marRight w:val="0"/>
      <w:marTop w:val="0"/>
      <w:marBottom w:val="0"/>
      <w:divBdr>
        <w:top w:val="none" w:sz="0" w:space="0" w:color="auto"/>
        <w:left w:val="none" w:sz="0" w:space="0" w:color="auto"/>
        <w:bottom w:val="none" w:sz="0" w:space="0" w:color="auto"/>
        <w:right w:val="none" w:sz="0" w:space="0" w:color="auto"/>
      </w:divBdr>
    </w:div>
    <w:div w:id="1049692627">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62672405">
      <w:bodyDiv w:val="1"/>
      <w:marLeft w:val="0"/>
      <w:marRight w:val="0"/>
      <w:marTop w:val="0"/>
      <w:marBottom w:val="0"/>
      <w:divBdr>
        <w:top w:val="none" w:sz="0" w:space="0" w:color="auto"/>
        <w:left w:val="none" w:sz="0" w:space="0" w:color="auto"/>
        <w:bottom w:val="none" w:sz="0" w:space="0" w:color="auto"/>
        <w:right w:val="none" w:sz="0" w:space="0" w:color="auto"/>
      </w:divBdr>
    </w:div>
    <w:div w:id="1617446332">
      <w:bodyDiv w:val="1"/>
      <w:marLeft w:val="0"/>
      <w:marRight w:val="0"/>
      <w:marTop w:val="0"/>
      <w:marBottom w:val="0"/>
      <w:divBdr>
        <w:top w:val="none" w:sz="0" w:space="0" w:color="auto"/>
        <w:left w:val="none" w:sz="0" w:space="0" w:color="auto"/>
        <w:bottom w:val="none" w:sz="0" w:space="0" w:color="auto"/>
        <w:right w:val="none" w:sz="0" w:space="0" w:color="auto"/>
      </w:divBdr>
    </w:div>
    <w:div w:id="1659730061">
      <w:bodyDiv w:val="1"/>
      <w:marLeft w:val="0"/>
      <w:marRight w:val="0"/>
      <w:marTop w:val="0"/>
      <w:marBottom w:val="0"/>
      <w:divBdr>
        <w:top w:val="none" w:sz="0" w:space="0" w:color="auto"/>
        <w:left w:val="none" w:sz="0" w:space="0" w:color="auto"/>
        <w:bottom w:val="none" w:sz="0" w:space="0" w:color="auto"/>
        <w:right w:val="none" w:sz="0" w:space="0" w:color="auto"/>
      </w:divBdr>
    </w:div>
    <w:div w:id="1709718770">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13594467">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61430555">
      <w:bodyDiv w:val="1"/>
      <w:marLeft w:val="0"/>
      <w:marRight w:val="0"/>
      <w:marTop w:val="0"/>
      <w:marBottom w:val="0"/>
      <w:divBdr>
        <w:top w:val="none" w:sz="0" w:space="0" w:color="auto"/>
        <w:left w:val="none" w:sz="0" w:space="0" w:color="auto"/>
        <w:bottom w:val="none" w:sz="0" w:space="0" w:color="auto"/>
        <w:right w:val="none" w:sz="0" w:space="0" w:color="auto"/>
      </w:divBdr>
    </w:div>
    <w:div w:id="1861964215">
      <w:bodyDiv w:val="1"/>
      <w:marLeft w:val="0"/>
      <w:marRight w:val="0"/>
      <w:marTop w:val="0"/>
      <w:marBottom w:val="0"/>
      <w:divBdr>
        <w:top w:val="none" w:sz="0" w:space="0" w:color="auto"/>
        <w:left w:val="none" w:sz="0" w:space="0" w:color="auto"/>
        <w:bottom w:val="none" w:sz="0" w:space="0" w:color="auto"/>
        <w:right w:val="none" w:sz="0" w:space="0" w:color="auto"/>
      </w:divBdr>
    </w:div>
    <w:div w:id="1866599072">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57715266">
      <w:bodyDiv w:val="1"/>
      <w:marLeft w:val="0"/>
      <w:marRight w:val="0"/>
      <w:marTop w:val="0"/>
      <w:marBottom w:val="0"/>
      <w:divBdr>
        <w:top w:val="none" w:sz="0" w:space="0" w:color="auto"/>
        <w:left w:val="none" w:sz="0" w:space="0" w:color="auto"/>
        <w:bottom w:val="none" w:sz="0" w:space="0" w:color="auto"/>
        <w:right w:val="none" w:sz="0" w:space="0" w:color="auto"/>
      </w:divBdr>
      <w:divsChild>
        <w:div w:id="1422293306">
          <w:marLeft w:val="0"/>
          <w:marRight w:val="0"/>
          <w:marTop w:val="0"/>
          <w:marBottom w:val="0"/>
          <w:divBdr>
            <w:top w:val="none" w:sz="0" w:space="0" w:color="auto"/>
            <w:left w:val="none" w:sz="0" w:space="0" w:color="auto"/>
            <w:bottom w:val="none" w:sz="0" w:space="0" w:color="auto"/>
            <w:right w:val="none" w:sz="0" w:space="0" w:color="auto"/>
          </w:divBdr>
          <w:divsChild>
            <w:div w:id="1058670271">
              <w:marLeft w:val="0"/>
              <w:marRight w:val="0"/>
              <w:marTop w:val="0"/>
              <w:marBottom w:val="0"/>
              <w:divBdr>
                <w:top w:val="none" w:sz="0" w:space="0" w:color="auto"/>
                <w:left w:val="none" w:sz="0" w:space="0" w:color="auto"/>
                <w:bottom w:val="none" w:sz="0" w:space="0" w:color="auto"/>
                <w:right w:val="none" w:sz="0" w:space="0" w:color="auto"/>
              </w:divBdr>
              <w:divsChild>
                <w:div w:id="980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146">
          <w:marLeft w:val="0"/>
          <w:marRight w:val="0"/>
          <w:marTop w:val="0"/>
          <w:marBottom w:val="0"/>
          <w:divBdr>
            <w:top w:val="none" w:sz="0" w:space="0" w:color="auto"/>
            <w:left w:val="none" w:sz="0" w:space="0" w:color="auto"/>
            <w:bottom w:val="none" w:sz="0" w:space="0" w:color="auto"/>
            <w:right w:val="none" w:sz="0" w:space="0" w:color="auto"/>
          </w:divBdr>
          <w:divsChild>
            <w:div w:id="1363824696">
              <w:marLeft w:val="0"/>
              <w:marRight w:val="0"/>
              <w:marTop w:val="0"/>
              <w:marBottom w:val="0"/>
              <w:divBdr>
                <w:top w:val="none" w:sz="0" w:space="0" w:color="auto"/>
                <w:left w:val="none" w:sz="0" w:space="0" w:color="auto"/>
                <w:bottom w:val="none" w:sz="0" w:space="0" w:color="auto"/>
                <w:right w:val="none" w:sz="0" w:space="0" w:color="auto"/>
              </w:divBdr>
              <w:divsChild>
                <w:div w:id="1051611634">
                  <w:marLeft w:val="0"/>
                  <w:marRight w:val="0"/>
                  <w:marTop w:val="0"/>
                  <w:marBottom w:val="0"/>
                  <w:divBdr>
                    <w:top w:val="none" w:sz="0" w:space="0" w:color="auto"/>
                    <w:left w:val="none" w:sz="0" w:space="0" w:color="auto"/>
                    <w:bottom w:val="none" w:sz="0" w:space="0" w:color="auto"/>
                    <w:right w:val="none" w:sz="0" w:space="0" w:color="auto"/>
                  </w:divBdr>
                  <w:divsChild>
                    <w:div w:id="1263420556">
                      <w:marLeft w:val="0"/>
                      <w:marRight w:val="0"/>
                      <w:marTop w:val="0"/>
                      <w:marBottom w:val="0"/>
                      <w:divBdr>
                        <w:top w:val="none" w:sz="0" w:space="0" w:color="auto"/>
                        <w:left w:val="none" w:sz="0" w:space="0" w:color="auto"/>
                        <w:bottom w:val="none" w:sz="0" w:space="0" w:color="auto"/>
                        <w:right w:val="none" w:sz="0" w:space="0" w:color="auto"/>
                      </w:divBdr>
                      <w:divsChild>
                        <w:div w:id="1377385897">
                          <w:marLeft w:val="0"/>
                          <w:marRight w:val="0"/>
                          <w:marTop w:val="0"/>
                          <w:marBottom w:val="0"/>
                          <w:divBdr>
                            <w:top w:val="none" w:sz="0" w:space="0" w:color="auto"/>
                            <w:left w:val="none" w:sz="0" w:space="0" w:color="auto"/>
                            <w:bottom w:val="none" w:sz="0" w:space="0" w:color="auto"/>
                            <w:right w:val="none" w:sz="0" w:space="0" w:color="auto"/>
                          </w:divBdr>
                        </w:div>
                        <w:div w:id="579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85430043">
      <w:bodyDiv w:val="1"/>
      <w:marLeft w:val="0"/>
      <w:marRight w:val="0"/>
      <w:marTop w:val="0"/>
      <w:marBottom w:val="0"/>
      <w:divBdr>
        <w:top w:val="none" w:sz="0" w:space="0" w:color="auto"/>
        <w:left w:val="none" w:sz="0" w:space="0" w:color="auto"/>
        <w:bottom w:val="none" w:sz="0" w:space="0" w:color="auto"/>
        <w:right w:val="none" w:sz="0" w:space="0" w:color="auto"/>
      </w:divBdr>
    </w:div>
    <w:div w:id="1990555484">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02584749">
      <w:bodyDiv w:val="1"/>
      <w:marLeft w:val="0"/>
      <w:marRight w:val="0"/>
      <w:marTop w:val="0"/>
      <w:marBottom w:val="0"/>
      <w:divBdr>
        <w:top w:val="none" w:sz="0" w:space="0" w:color="auto"/>
        <w:left w:val="none" w:sz="0" w:space="0" w:color="auto"/>
        <w:bottom w:val="none" w:sz="0" w:space="0" w:color="auto"/>
        <w:right w:val="none" w:sz="0" w:space="0" w:color="auto"/>
      </w:divBdr>
    </w:div>
    <w:div w:id="2019307410">
      <w:bodyDiv w:val="1"/>
      <w:marLeft w:val="0"/>
      <w:marRight w:val="0"/>
      <w:marTop w:val="0"/>
      <w:marBottom w:val="0"/>
      <w:divBdr>
        <w:top w:val="none" w:sz="0" w:space="0" w:color="auto"/>
        <w:left w:val="none" w:sz="0" w:space="0" w:color="auto"/>
        <w:bottom w:val="none" w:sz="0" w:space="0" w:color="auto"/>
        <w:right w:val="none" w:sz="0" w:space="0" w:color="auto"/>
      </w:divBdr>
      <w:divsChild>
        <w:div w:id="1100298080">
          <w:marLeft w:val="0"/>
          <w:marRight w:val="0"/>
          <w:marTop w:val="0"/>
          <w:marBottom w:val="0"/>
          <w:divBdr>
            <w:top w:val="none" w:sz="0" w:space="0" w:color="auto"/>
            <w:left w:val="none" w:sz="0" w:space="0" w:color="auto"/>
            <w:bottom w:val="none" w:sz="0" w:space="0" w:color="auto"/>
            <w:right w:val="none" w:sz="0" w:space="0" w:color="auto"/>
          </w:divBdr>
          <w:divsChild>
            <w:div w:id="702707352">
              <w:marLeft w:val="0"/>
              <w:marRight w:val="0"/>
              <w:marTop w:val="0"/>
              <w:marBottom w:val="0"/>
              <w:divBdr>
                <w:top w:val="none" w:sz="0" w:space="0" w:color="auto"/>
                <w:left w:val="none" w:sz="0" w:space="0" w:color="auto"/>
                <w:bottom w:val="none" w:sz="0" w:space="0" w:color="auto"/>
                <w:right w:val="none" w:sz="0" w:space="0" w:color="auto"/>
              </w:divBdr>
              <w:divsChild>
                <w:div w:id="1532839054">
                  <w:marLeft w:val="0"/>
                  <w:marRight w:val="0"/>
                  <w:marTop w:val="0"/>
                  <w:marBottom w:val="0"/>
                  <w:divBdr>
                    <w:top w:val="none" w:sz="0" w:space="0" w:color="auto"/>
                    <w:left w:val="none" w:sz="0" w:space="0" w:color="auto"/>
                    <w:bottom w:val="none" w:sz="0" w:space="0" w:color="auto"/>
                    <w:right w:val="none" w:sz="0" w:space="0" w:color="auto"/>
                  </w:divBdr>
                  <w:divsChild>
                    <w:div w:id="1510026916">
                      <w:marLeft w:val="0"/>
                      <w:marRight w:val="0"/>
                      <w:marTop w:val="0"/>
                      <w:marBottom w:val="0"/>
                      <w:divBdr>
                        <w:top w:val="none" w:sz="0" w:space="0" w:color="auto"/>
                        <w:left w:val="none" w:sz="0" w:space="0" w:color="auto"/>
                        <w:bottom w:val="none" w:sz="0" w:space="0" w:color="auto"/>
                        <w:right w:val="none" w:sz="0" w:space="0" w:color="auto"/>
                      </w:divBdr>
                      <w:divsChild>
                        <w:div w:id="11320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258477">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 w:id="2138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pv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imonda.bruziene@silale.lt" TargetMode="External"/><Relationship Id="rId4" Type="http://schemas.openxmlformats.org/officeDocument/2006/relationships/settings" Target="settings.xml"/><Relationship Id="rId9" Type="http://schemas.openxmlformats.org/officeDocument/2006/relationships/hyperlink" Target="mailto:info@silal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1868</Words>
  <Characters>10652</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Giedrė Almonaitytė</cp:lastModifiedBy>
  <cp:revision>3</cp:revision>
  <cp:lastPrinted>2021-11-12T08:51:00Z</cp:lastPrinted>
  <dcterms:created xsi:type="dcterms:W3CDTF">2022-02-01T06:18:00Z</dcterms:created>
  <dcterms:modified xsi:type="dcterms:W3CDTF">2022-02-01T06:23:00Z</dcterms:modified>
</cp:coreProperties>
</file>