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D3E71" w14:textId="77777777" w:rsidR="00787846" w:rsidRPr="00AF6608" w:rsidRDefault="00787846" w:rsidP="0011395D">
      <w:pPr>
        <w:suppressAutoHyphens/>
        <w:textAlignment w:val="center"/>
        <w:rPr>
          <w:rFonts w:eastAsia="Calibri"/>
          <w:b/>
          <w:szCs w:val="24"/>
        </w:rPr>
      </w:pPr>
    </w:p>
    <w:p w14:paraId="5B613E41" w14:textId="77777777" w:rsidR="002A07F4" w:rsidRPr="00AF6608" w:rsidRDefault="002A07F4" w:rsidP="002A07F4">
      <w:pPr>
        <w:spacing w:line="254" w:lineRule="auto"/>
        <w:ind w:right="49"/>
        <w:jc w:val="center"/>
        <w:rPr>
          <w:b/>
          <w:szCs w:val="24"/>
        </w:rPr>
      </w:pPr>
      <w:r w:rsidRPr="00AF6608">
        <w:rPr>
          <w:rFonts w:eastAsia="Calibri"/>
          <w:noProof/>
          <w:szCs w:val="24"/>
          <w:lang w:val="ru-RU" w:eastAsia="ru-RU"/>
        </w:rPr>
        <w:drawing>
          <wp:inline distT="0" distB="0" distL="0" distR="0" wp14:anchorId="06445C33" wp14:editId="0791CA60">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C9E2F36" w14:textId="77777777" w:rsidR="00002C5B" w:rsidRPr="00AF6608" w:rsidRDefault="00002C5B" w:rsidP="002A07F4">
      <w:pPr>
        <w:spacing w:line="254" w:lineRule="auto"/>
        <w:ind w:right="49"/>
        <w:jc w:val="center"/>
        <w:rPr>
          <w:b/>
          <w:szCs w:val="24"/>
        </w:rPr>
      </w:pPr>
    </w:p>
    <w:p w14:paraId="1B85FE2A" w14:textId="77777777" w:rsidR="00002C5B" w:rsidRPr="00AF6608" w:rsidRDefault="00002C5B" w:rsidP="00002C5B">
      <w:pPr>
        <w:tabs>
          <w:tab w:val="left" w:pos="709"/>
        </w:tabs>
        <w:spacing w:line="259" w:lineRule="auto"/>
        <w:ind w:right="3" w:firstLine="426"/>
        <w:jc w:val="center"/>
        <w:rPr>
          <w:szCs w:val="24"/>
        </w:rPr>
      </w:pPr>
      <w:r w:rsidRPr="00AF6608">
        <w:rPr>
          <w:b/>
          <w:szCs w:val="24"/>
        </w:rPr>
        <w:t>VIEŠŲJŲ PIRKIMŲ TARNYBA</w:t>
      </w:r>
    </w:p>
    <w:p w14:paraId="7E745909" w14:textId="77777777" w:rsidR="00002C5B" w:rsidRDefault="00002C5B" w:rsidP="002A07F4">
      <w:pPr>
        <w:spacing w:line="254" w:lineRule="auto"/>
        <w:ind w:right="49"/>
        <w:jc w:val="center"/>
        <w:rPr>
          <w:b/>
          <w:szCs w:val="24"/>
        </w:rPr>
      </w:pPr>
    </w:p>
    <w:p w14:paraId="5088AEEC" w14:textId="77777777" w:rsidR="00BD7216" w:rsidRPr="00AF6608" w:rsidRDefault="00BD7216" w:rsidP="002A07F4">
      <w:pPr>
        <w:spacing w:line="254" w:lineRule="auto"/>
        <w:ind w:right="49"/>
        <w:jc w:val="center"/>
        <w:rPr>
          <w:b/>
          <w:szCs w:val="24"/>
        </w:rPr>
      </w:pPr>
    </w:p>
    <w:p w14:paraId="26AB68EE" w14:textId="77777777" w:rsidR="002A07F4" w:rsidRPr="00AF6608" w:rsidRDefault="002A07F4" w:rsidP="002A07F4">
      <w:pPr>
        <w:rPr>
          <w:sz w:val="14"/>
          <w:szCs w:val="14"/>
        </w:rPr>
      </w:pPr>
    </w:p>
    <w:tbl>
      <w:tblPr>
        <w:tblW w:w="11285" w:type="dxa"/>
        <w:tblLayout w:type="fixed"/>
        <w:tblLook w:val="0000" w:firstRow="0" w:lastRow="0" w:firstColumn="0" w:lastColumn="0" w:noHBand="0" w:noVBand="0"/>
      </w:tblPr>
      <w:tblGrid>
        <w:gridCol w:w="5564"/>
        <w:gridCol w:w="1545"/>
        <w:gridCol w:w="2693"/>
        <w:gridCol w:w="1483"/>
      </w:tblGrid>
      <w:tr w:rsidR="00D84F53" w:rsidRPr="00AF6608" w14:paraId="3036936C" w14:textId="77777777" w:rsidTr="00197368">
        <w:trPr>
          <w:cantSplit/>
          <w:trHeight w:val="1170"/>
        </w:trPr>
        <w:tc>
          <w:tcPr>
            <w:tcW w:w="5564" w:type="dxa"/>
          </w:tcPr>
          <w:p w14:paraId="18E53A18" w14:textId="77777777" w:rsidR="0076031A" w:rsidRPr="0076031A" w:rsidRDefault="00686D44" w:rsidP="0076031A">
            <w:pPr>
              <w:rPr>
                <w:szCs w:val="24"/>
              </w:rPr>
            </w:pPr>
            <w:r>
              <w:rPr>
                <w:szCs w:val="24"/>
              </w:rPr>
              <w:t>Nacionalinei teismų administracijai</w:t>
            </w:r>
          </w:p>
          <w:p w14:paraId="2CF27712" w14:textId="77777777" w:rsidR="0076031A" w:rsidRPr="0076031A" w:rsidRDefault="0076031A" w:rsidP="0076031A">
            <w:pPr>
              <w:rPr>
                <w:szCs w:val="24"/>
              </w:rPr>
            </w:pPr>
            <w:r w:rsidRPr="0076031A">
              <w:rPr>
                <w:szCs w:val="24"/>
              </w:rPr>
              <w:t>L</w:t>
            </w:r>
            <w:r w:rsidR="00686D44">
              <w:rPr>
                <w:szCs w:val="24"/>
              </w:rPr>
              <w:t>. Sapiegos g. 15</w:t>
            </w:r>
          </w:p>
          <w:p w14:paraId="6CCECAE6" w14:textId="77777777" w:rsidR="0076031A" w:rsidRDefault="00686D44" w:rsidP="0076031A">
            <w:pPr>
              <w:rPr>
                <w:szCs w:val="24"/>
              </w:rPr>
            </w:pPr>
            <w:r>
              <w:rPr>
                <w:szCs w:val="24"/>
              </w:rPr>
              <w:t>10312 Vilnius</w:t>
            </w:r>
          </w:p>
          <w:p w14:paraId="544ABFD5" w14:textId="77777777" w:rsidR="00686D44" w:rsidRPr="0076031A" w:rsidRDefault="00686D44" w:rsidP="0076031A">
            <w:pPr>
              <w:rPr>
                <w:szCs w:val="24"/>
              </w:rPr>
            </w:pPr>
            <w:r>
              <w:rPr>
                <w:szCs w:val="24"/>
              </w:rPr>
              <w:t>Faksas: (8 5) 268 5187</w:t>
            </w:r>
          </w:p>
          <w:p w14:paraId="52AE25F8" w14:textId="77777777" w:rsidR="0076031A" w:rsidRDefault="0076031A" w:rsidP="0076031A">
            <w:pPr>
              <w:rPr>
                <w:szCs w:val="24"/>
              </w:rPr>
            </w:pPr>
            <w:r w:rsidRPr="0076031A">
              <w:rPr>
                <w:szCs w:val="24"/>
              </w:rPr>
              <w:t>El. p.</w:t>
            </w:r>
            <w:r>
              <w:rPr>
                <w:szCs w:val="24"/>
              </w:rPr>
              <w:t>:</w:t>
            </w:r>
            <w:r w:rsidRPr="0076031A">
              <w:rPr>
                <w:szCs w:val="24"/>
              </w:rPr>
              <w:t xml:space="preserve"> </w:t>
            </w:r>
            <w:hyperlink r:id="rId9" w:history="1">
              <w:r w:rsidR="00686D44" w:rsidRPr="004716FD">
                <w:rPr>
                  <w:rStyle w:val="Hyperlink"/>
                  <w:szCs w:val="24"/>
                </w:rPr>
                <w:t>info@teismai.lt</w:t>
              </w:r>
            </w:hyperlink>
          </w:p>
          <w:p w14:paraId="7DF381E4" w14:textId="77777777" w:rsidR="0076031A" w:rsidRDefault="0076031A" w:rsidP="0076031A">
            <w:pPr>
              <w:rPr>
                <w:rStyle w:val="Hyperlink"/>
              </w:rPr>
            </w:pPr>
          </w:p>
          <w:p w14:paraId="01CB1020" w14:textId="77777777" w:rsidR="0076031A" w:rsidRPr="0076031A" w:rsidRDefault="0076031A" w:rsidP="0076031A">
            <w:pPr>
              <w:rPr>
                <w:szCs w:val="24"/>
              </w:rPr>
            </w:pPr>
            <w:r w:rsidRPr="0076031A">
              <w:rPr>
                <w:szCs w:val="24"/>
              </w:rPr>
              <w:t xml:space="preserve">VšĮ </w:t>
            </w:r>
            <w:r w:rsidR="00686D44">
              <w:rPr>
                <w:szCs w:val="24"/>
              </w:rPr>
              <w:t xml:space="preserve">Europos socialinio fondo </w:t>
            </w:r>
            <w:r w:rsidRPr="0076031A">
              <w:rPr>
                <w:szCs w:val="24"/>
              </w:rPr>
              <w:t>agentūra</w:t>
            </w:r>
            <w:r w:rsidR="00C908E9">
              <w:rPr>
                <w:szCs w:val="24"/>
              </w:rPr>
              <w:t>i</w:t>
            </w:r>
            <w:r w:rsidRPr="0076031A">
              <w:rPr>
                <w:szCs w:val="24"/>
              </w:rPr>
              <w:t xml:space="preserve"> </w:t>
            </w:r>
          </w:p>
          <w:p w14:paraId="66365EAF" w14:textId="77777777" w:rsidR="0076031A" w:rsidRPr="0076031A" w:rsidRDefault="00686D44" w:rsidP="0076031A">
            <w:pPr>
              <w:rPr>
                <w:szCs w:val="24"/>
              </w:rPr>
            </w:pPr>
            <w:r>
              <w:rPr>
                <w:szCs w:val="24"/>
              </w:rPr>
              <w:t xml:space="preserve">Gynėjų </w:t>
            </w:r>
            <w:r w:rsidR="0076031A" w:rsidRPr="0076031A">
              <w:rPr>
                <w:szCs w:val="24"/>
              </w:rPr>
              <w:t>g. 1</w:t>
            </w:r>
            <w:r>
              <w:rPr>
                <w:szCs w:val="24"/>
              </w:rPr>
              <w:t>6</w:t>
            </w:r>
            <w:r w:rsidR="0076031A" w:rsidRPr="0076031A">
              <w:rPr>
                <w:szCs w:val="24"/>
              </w:rPr>
              <w:t xml:space="preserve"> </w:t>
            </w:r>
          </w:p>
          <w:p w14:paraId="4EDB4F38" w14:textId="77777777" w:rsidR="0076031A" w:rsidRPr="0076031A" w:rsidRDefault="00686D44" w:rsidP="0076031A">
            <w:pPr>
              <w:rPr>
                <w:szCs w:val="24"/>
              </w:rPr>
            </w:pPr>
            <w:r>
              <w:rPr>
                <w:szCs w:val="24"/>
              </w:rPr>
              <w:t>01109</w:t>
            </w:r>
            <w:r w:rsidR="0076031A" w:rsidRPr="0076031A">
              <w:rPr>
                <w:szCs w:val="24"/>
              </w:rPr>
              <w:t xml:space="preserve"> Vilnius</w:t>
            </w:r>
          </w:p>
          <w:p w14:paraId="4E7AFA8C" w14:textId="77777777" w:rsidR="00D84F53" w:rsidRDefault="0076031A" w:rsidP="0076031A">
            <w:pPr>
              <w:ind w:left="-57"/>
              <w:jc w:val="both"/>
              <w:rPr>
                <w:szCs w:val="24"/>
              </w:rPr>
            </w:pPr>
            <w:r>
              <w:rPr>
                <w:szCs w:val="24"/>
              </w:rPr>
              <w:t xml:space="preserve"> </w:t>
            </w:r>
            <w:r w:rsidRPr="0076031A">
              <w:rPr>
                <w:szCs w:val="24"/>
              </w:rPr>
              <w:t xml:space="preserve">El. p.: </w:t>
            </w:r>
            <w:hyperlink r:id="rId10" w:history="1">
              <w:r w:rsidR="00686D44" w:rsidRPr="004716FD">
                <w:rPr>
                  <w:rStyle w:val="Hyperlink"/>
                  <w:szCs w:val="24"/>
                </w:rPr>
                <w:t>info@esf.lt</w:t>
              </w:r>
            </w:hyperlink>
          </w:p>
          <w:p w14:paraId="5EEAB994" w14:textId="77777777" w:rsidR="0076031A" w:rsidRPr="00AF6608" w:rsidRDefault="0076031A" w:rsidP="0076031A">
            <w:pPr>
              <w:jc w:val="both"/>
              <w:rPr>
                <w:szCs w:val="24"/>
              </w:rPr>
            </w:pPr>
          </w:p>
        </w:tc>
        <w:tc>
          <w:tcPr>
            <w:tcW w:w="1545" w:type="dxa"/>
          </w:tcPr>
          <w:p w14:paraId="6DDE521B" w14:textId="13D56AE3" w:rsidR="00D84F53" w:rsidRPr="00AF6608" w:rsidRDefault="00686D44" w:rsidP="00D84F53">
            <w:pPr>
              <w:tabs>
                <w:tab w:val="left" w:pos="900"/>
              </w:tabs>
              <w:rPr>
                <w:szCs w:val="24"/>
              </w:rPr>
            </w:pPr>
            <w:r>
              <w:rPr>
                <w:szCs w:val="24"/>
              </w:rPr>
              <w:t xml:space="preserve">  </w:t>
            </w:r>
            <w:r w:rsidR="00D84F53" w:rsidRPr="00AF6608">
              <w:rPr>
                <w:szCs w:val="24"/>
              </w:rPr>
              <w:t>2019-</w:t>
            </w:r>
            <w:r w:rsidR="004F75D1">
              <w:rPr>
                <w:szCs w:val="24"/>
              </w:rPr>
              <w:t>10</w:t>
            </w:r>
            <w:r w:rsidR="00D84F53" w:rsidRPr="00AF6608">
              <w:rPr>
                <w:szCs w:val="24"/>
              </w:rPr>
              <w:t xml:space="preserve">-     </w:t>
            </w:r>
          </w:p>
          <w:p w14:paraId="0500D2DE" w14:textId="1703EDD6" w:rsidR="00D84F53" w:rsidRDefault="00D84F53" w:rsidP="00D84F53">
            <w:pPr>
              <w:tabs>
                <w:tab w:val="left" w:pos="900"/>
              </w:tabs>
              <w:rPr>
                <w:szCs w:val="24"/>
              </w:rPr>
            </w:pPr>
            <w:r w:rsidRPr="00AF6608">
              <w:rPr>
                <w:szCs w:val="24"/>
              </w:rPr>
              <w:t>Į 2019-</w:t>
            </w:r>
            <w:r w:rsidR="004F75D1">
              <w:rPr>
                <w:szCs w:val="24"/>
              </w:rPr>
              <w:t>10</w:t>
            </w:r>
            <w:r w:rsidRPr="00AF6608">
              <w:rPr>
                <w:szCs w:val="24"/>
              </w:rPr>
              <w:t>-</w:t>
            </w:r>
            <w:r w:rsidR="004F75D1">
              <w:rPr>
                <w:szCs w:val="24"/>
              </w:rPr>
              <w:t>01</w:t>
            </w:r>
          </w:p>
          <w:p w14:paraId="0CC7D9BA" w14:textId="6CF876B6" w:rsidR="005665FD" w:rsidRPr="00AF6608" w:rsidRDefault="005665FD" w:rsidP="00D84F53">
            <w:pPr>
              <w:tabs>
                <w:tab w:val="left" w:pos="900"/>
              </w:tabs>
              <w:rPr>
                <w:szCs w:val="24"/>
              </w:rPr>
            </w:pPr>
            <w:r>
              <w:rPr>
                <w:szCs w:val="24"/>
              </w:rPr>
              <w:t xml:space="preserve">  2019-09-10</w:t>
            </w:r>
          </w:p>
          <w:p w14:paraId="0BA64846" w14:textId="77777777" w:rsidR="00D84F53" w:rsidRPr="00AF6608" w:rsidRDefault="00D84F53" w:rsidP="00D84F53">
            <w:pPr>
              <w:tabs>
                <w:tab w:val="left" w:pos="900"/>
              </w:tabs>
              <w:rPr>
                <w:szCs w:val="24"/>
              </w:rPr>
            </w:pPr>
          </w:p>
          <w:p w14:paraId="052F4CB2" w14:textId="77777777" w:rsidR="00D84F53" w:rsidRPr="00AF6608" w:rsidRDefault="00D84F53" w:rsidP="00D84F53">
            <w:pPr>
              <w:tabs>
                <w:tab w:val="left" w:pos="900"/>
              </w:tabs>
              <w:rPr>
                <w:szCs w:val="24"/>
              </w:rPr>
            </w:pPr>
          </w:p>
          <w:p w14:paraId="029E030A" w14:textId="77777777" w:rsidR="00D84F53" w:rsidRPr="00AF6608" w:rsidRDefault="00D84F53" w:rsidP="00D84F53">
            <w:pPr>
              <w:tabs>
                <w:tab w:val="left" w:pos="900"/>
              </w:tabs>
              <w:rPr>
                <w:szCs w:val="24"/>
              </w:rPr>
            </w:pPr>
          </w:p>
        </w:tc>
        <w:tc>
          <w:tcPr>
            <w:tcW w:w="2693" w:type="dxa"/>
          </w:tcPr>
          <w:p w14:paraId="02E736DB" w14:textId="77777777" w:rsidR="00D84F53" w:rsidRPr="00AF6608" w:rsidRDefault="00D84F53" w:rsidP="00D84F53">
            <w:pPr>
              <w:tabs>
                <w:tab w:val="left" w:pos="900"/>
              </w:tabs>
              <w:rPr>
                <w:szCs w:val="24"/>
              </w:rPr>
            </w:pPr>
            <w:r w:rsidRPr="00AF6608">
              <w:rPr>
                <w:szCs w:val="24"/>
              </w:rPr>
              <w:t>Nr.</w:t>
            </w:r>
            <w:r w:rsidR="00237968" w:rsidRPr="00AF6608">
              <w:rPr>
                <w:szCs w:val="24"/>
              </w:rPr>
              <w:t xml:space="preserve"> 4S-             (7.29)</w:t>
            </w:r>
          </w:p>
          <w:p w14:paraId="7B302714" w14:textId="6C5C3A4F" w:rsidR="00D84F53" w:rsidRDefault="005A694B" w:rsidP="00D84F53">
            <w:pPr>
              <w:tabs>
                <w:tab w:val="left" w:pos="900"/>
              </w:tabs>
              <w:rPr>
                <w:szCs w:val="24"/>
              </w:rPr>
            </w:pPr>
            <w:r w:rsidRPr="00AF6608">
              <w:rPr>
                <w:szCs w:val="24"/>
              </w:rPr>
              <w:t xml:space="preserve">Nr. </w:t>
            </w:r>
            <w:r w:rsidR="00686D44">
              <w:rPr>
                <w:szCs w:val="24"/>
              </w:rPr>
              <w:t>4R-1</w:t>
            </w:r>
            <w:r w:rsidR="004F75D1">
              <w:rPr>
                <w:szCs w:val="24"/>
              </w:rPr>
              <w:t>492</w:t>
            </w:r>
            <w:r w:rsidR="00686D44">
              <w:rPr>
                <w:szCs w:val="24"/>
              </w:rPr>
              <w:t>-(1</w:t>
            </w:r>
            <w:r w:rsidR="004F75D1">
              <w:rPr>
                <w:szCs w:val="24"/>
              </w:rPr>
              <w:t>13</w:t>
            </w:r>
            <w:r w:rsidR="00686D44">
              <w:rPr>
                <w:szCs w:val="24"/>
              </w:rPr>
              <w:t>)</w:t>
            </w:r>
          </w:p>
          <w:p w14:paraId="2935E4A2" w14:textId="1A33C238" w:rsidR="005665FD" w:rsidRPr="00AF6608" w:rsidRDefault="005665FD" w:rsidP="00D84F53">
            <w:pPr>
              <w:tabs>
                <w:tab w:val="left" w:pos="900"/>
              </w:tabs>
              <w:rPr>
                <w:szCs w:val="24"/>
              </w:rPr>
            </w:pPr>
            <w:r>
              <w:rPr>
                <w:szCs w:val="24"/>
              </w:rPr>
              <w:t>Nr. ESFS14-2019-02011</w:t>
            </w:r>
          </w:p>
          <w:p w14:paraId="015831F6" w14:textId="77777777" w:rsidR="00D84F53" w:rsidRPr="00AF6608" w:rsidRDefault="00D84F53" w:rsidP="00D84F53">
            <w:pPr>
              <w:tabs>
                <w:tab w:val="left" w:pos="900"/>
              </w:tabs>
              <w:rPr>
                <w:szCs w:val="24"/>
              </w:rPr>
            </w:pPr>
          </w:p>
          <w:p w14:paraId="2F815467" w14:textId="77777777" w:rsidR="00D84F53" w:rsidRPr="00AF6608" w:rsidRDefault="00D84F53" w:rsidP="00D84F53">
            <w:pPr>
              <w:tabs>
                <w:tab w:val="left" w:pos="900"/>
              </w:tabs>
              <w:rPr>
                <w:szCs w:val="24"/>
              </w:rPr>
            </w:pPr>
          </w:p>
          <w:p w14:paraId="0F8FC971" w14:textId="77777777" w:rsidR="00D84F53" w:rsidRPr="00AF6608" w:rsidRDefault="00D84F53" w:rsidP="00D84F53">
            <w:pPr>
              <w:tabs>
                <w:tab w:val="left" w:pos="900"/>
              </w:tabs>
              <w:rPr>
                <w:szCs w:val="24"/>
              </w:rPr>
            </w:pPr>
          </w:p>
        </w:tc>
        <w:tc>
          <w:tcPr>
            <w:tcW w:w="1483" w:type="dxa"/>
          </w:tcPr>
          <w:p w14:paraId="1A2FA0C0" w14:textId="77777777" w:rsidR="00D84F53" w:rsidRPr="00AF6608" w:rsidRDefault="00D84F53" w:rsidP="00D84F53">
            <w:pPr>
              <w:tabs>
                <w:tab w:val="left" w:pos="1422"/>
              </w:tabs>
              <w:ind w:left="-108"/>
              <w:rPr>
                <w:szCs w:val="24"/>
              </w:rPr>
            </w:pPr>
          </w:p>
        </w:tc>
      </w:tr>
    </w:tbl>
    <w:p w14:paraId="38C251C4" w14:textId="77777777" w:rsidR="009E62B3" w:rsidRPr="00AF6608" w:rsidRDefault="009E62B3" w:rsidP="0074767A">
      <w:pPr>
        <w:rPr>
          <w:b/>
          <w:bCs/>
          <w:szCs w:val="24"/>
        </w:rPr>
      </w:pPr>
    </w:p>
    <w:p w14:paraId="11C79EE4" w14:textId="77777777" w:rsidR="0074767A" w:rsidRPr="00AF6608" w:rsidRDefault="0074767A" w:rsidP="0074767A">
      <w:pPr>
        <w:jc w:val="center"/>
        <w:rPr>
          <w:b/>
          <w:bCs/>
          <w:szCs w:val="24"/>
        </w:rPr>
      </w:pPr>
      <w:r w:rsidRPr="00AF6608">
        <w:rPr>
          <w:b/>
          <w:bCs/>
          <w:szCs w:val="24"/>
        </w:rPr>
        <w:t>VERTINIMO IŠVADA</w:t>
      </w:r>
    </w:p>
    <w:p w14:paraId="322741FB" w14:textId="77777777" w:rsidR="0074767A" w:rsidRPr="00AF6608" w:rsidRDefault="0074767A" w:rsidP="0074767A">
      <w:pPr>
        <w:rPr>
          <w:szCs w:val="24"/>
        </w:rPr>
      </w:pPr>
    </w:p>
    <w:p w14:paraId="271B1A05" w14:textId="77777777" w:rsidR="003D5064" w:rsidRPr="00AF6608" w:rsidRDefault="003D5064" w:rsidP="005A694B">
      <w:pPr>
        <w:ind w:firstLine="426"/>
        <w:jc w:val="both"/>
        <w:rPr>
          <w:szCs w:val="24"/>
        </w:rPr>
      </w:pPr>
      <w:r w:rsidRPr="00AF6608">
        <w:rPr>
          <w:bCs/>
          <w:szCs w:val="24"/>
        </w:rPr>
        <w:t>Viešųjų pirkimų tarnyba (toliau – Tarnyba), vadovaudamasi Lietuvos Respublikos viešųjų</w:t>
      </w:r>
      <w:r w:rsidR="00F058E5" w:rsidRPr="00AF6608">
        <w:rPr>
          <w:bCs/>
          <w:szCs w:val="24"/>
        </w:rPr>
        <w:t xml:space="preserve"> </w:t>
      </w:r>
      <w:r w:rsidRPr="00AF6608">
        <w:rPr>
          <w:bCs/>
          <w:szCs w:val="24"/>
        </w:rPr>
        <w:t xml:space="preserve">pirkimų įstatymo 95 straipsnio 1 dalies 2 punktu, </w:t>
      </w:r>
      <w:r w:rsidRPr="00AF6608">
        <w:rPr>
          <w:szCs w:val="24"/>
        </w:rPr>
        <w:t xml:space="preserve"> atliko</w:t>
      </w:r>
      <w:r w:rsidRPr="00AF6608">
        <w:rPr>
          <w:bCs/>
          <w:szCs w:val="24"/>
        </w:rPr>
        <w:t xml:space="preserve"> </w:t>
      </w:r>
      <w:r w:rsidR="00686D44">
        <w:rPr>
          <w:bCs/>
          <w:szCs w:val="24"/>
        </w:rPr>
        <w:t>Nacionalinės te</w:t>
      </w:r>
      <w:r w:rsidR="00D56F12">
        <w:rPr>
          <w:bCs/>
          <w:szCs w:val="24"/>
        </w:rPr>
        <w:t>is</w:t>
      </w:r>
      <w:r w:rsidR="00686D44">
        <w:rPr>
          <w:bCs/>
          <w:szCs w:val="24"/>
        </w:rPr>
        <w:t xml:space="preserve">mų administracijos </w:t>
      </w:r>
      <w:r w:rsidRPr="00AF6608">
        <w:rPr>
          <w:bCs/>
          <w:szCs w:val="24"/>
        </w:rPr>
        <w:t>(toliau – Perkančioji organizacija) vykd</w:t>
      </w:r>
      <w:r w:rsidR="00F05512">
        <w:rPr>
          <w:bCs/>
          <w:szCs w:val="24"/>
        </w:rPr>
        <w:t>yto</w:t>
      </w:r>
      <w:r w:rsidRPr="00AF6608">
        <w:rPr>
          <w:bCs/>
          <w:szCs w:val="24"/>
        </w:rPr>
        <w:t xml:space="preserve"> viešojo pirkimo </w:t>
      </w:r>
      <w:r w:rsidR="003455A8" w:rsidRPr="00C7505D">
        <w:rPr>
          <w:i/>
          <w:iCs/>
          <w:szCs w:val="24"/>
        </w:rPr>
        <w:t>„</w:t>
      </w:r>
      <w:r w:rsidR="00686D44">
        <w:rPr>
          <w:i/>
          <w:iCs/>
          <w:szCs w:val="24"/>
        </w:rPr>
        <w:t>Lietuvos teismų informacinės sistemos modernizavimo II ir mokymų organizavimo paslaugų pirkimas</w:t>
      </w:r>
      <w:r w:rsidR="003455A8">
        <w:rPr>
          <w:i/>
          <w:color w:val="000000"/>
          <w:szCs w:val="24"/>
        </w:rPr>
        <w:t>“</w:t>
      </w:r>
      <w:r w:rsidR="00E24551" w:rsidRPr="00AF6608">
        <w:rPr>
          <w:szCs w:val="24"/>
        </w:rPr>
        <w:t xml:space="preserve"> </w:t>
      </w:r>
      <w:r w:rsidR="003455A8">
        <w:rPr>
          <w:szCs w:val="24"/>
        </w:rPr>
        <w:t xml:space="preserve">dalinį </w:t>
      </w:r>
      <w:r w:rsidRPr="00AF6608">
        <w:rPr>
          <w:bCs/>
          <w:szCs w:val="24"/>
        </w:rPr>
        <w:t>vertinimą.</w:t>
      </w:r>
    </w:p>
    <w:p w14:paraId="55C1F181" w14:textId="77777777" w:rsidR="002A07F4" w:rsidRPr="00AF6608" w:rsidRDefault="002A07F4" w:rsidP="005A694B">
      <w:pPr>
        <w:ind w:firstLine="426"/>
        <w:rPr>
          <w:b/>
          <w:szCs w:val="14"/>
        </w:rPr>
      </w:pPr>
    </w:p>
    <w:p w14:paraId="0C5ACAD7" w14:textId="77777777" w:rsidR="002A07F4" w:rsidRPr="00AF6608" w:rsidRDefault="002A07F4" w:rsidP="002A07F4">
      <w:pPr>
        <w:spacing w:line="254" w:lineRule="auto"/>
        <w:ind w:right="49"/>
        <w:jc w:val="center"/>
        <w:rPr>
          <w:szCs w:val="24"/>
        </w:rPr>
      </w:pPr>
      <w:r w:rsidRPr="00AF6608">
        <w:rPr>
          <w:b/>
          <w:szCs w:val="24"/>
        </w:rPr>
        <w:t>I dalis. Bendra informacija</w:t>
      </w:r>
    </w:p>
    <w:p w14:paraId="12245FF1" w14:textId="77777777" w:rsidR="002A07F4" w:rsidRPr="00AF6608"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AF6608" w14:paraId="2356E931"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18815F1E" w14:textId="77777777" w:rsidR="002A07F4" w:rsidRPr="00AF6608" w:rsidRDefault="002A07F4">
            <w:pPr>
              <w:jc w:val="both"/>
              <w:rPr>
                <w:szCs w:val="24"/>
              </w:rPr>
            </w:pPr>
            <w:r w:rsidRPr="00AF6608">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362ACF13" w14:textId="77777777" w:rsidR="002A07F4" w:rsidRPr="00AF6608" w:rsidRDefault="00686D44" w:rsidP="001A204A">
            <w:pPr>
              <w:spacing w:line="254" w:lineRule="auto"/>
              <w:jc w:val="both"/>
              <w:rPr>
                <w:szCs w:val="24"/>
              </w:rPr>
            </w:pPr>
            <w:r w:rsidRPr="00C908E9">
              <w:rPr>
                <w:szCs w:val="24"/>
              </w:rPr>
              <w:t>„Lietuvos teismų informacinės sistemos modernizavimo II ir mokymų organizavimo paslaugų pirkimas</w:t>
            </w:r>
            <w:r w:rsidRPr="00C908E9">
              <w:rPr>
                <w:color w:val="000000"/>
                <w:szCs w:val="24"/>
              </w:rPr>
              <w:t>“</w:t>
            </w:r>
            <w:r w:rsidRPr="00AF6608">
              <w:rPr>
                <w:szCs w:val="24"/>
              </w:rPr>
              <w:t xml:space="preserve"> </w:t>
            </w:r>
            <w:r w:rsidR="003455A8" w:rsidRPr="0012563A">
              <w:rPr>
                <w:color w:val="000000"/>
                <w:szCs w:val="24"/>
              </w:rPr>
              <w:t xml:space="preserve">(Centrinėje viešųjų pirkimų informacinėje sistemoje </w:t>
            </w:r>
            <w:r w:rsidR="003455A8">
              <w:rPr>
                <w:color w:val="000000"/>
                <w:szCs w:val="24"/>
              </w:rPr>
              <w:t xml:space="preserve"> </w:t>
            </w:r>
            <w:r w:rsidR="003455A8" w:rsidRPr="0012563A">
              <w:rPr>
                <w:szCs w:val="24"/>
              </w:rPr>
              <w:t>skelbtas 201</w:t>
            </w:r>
            <w:r>
              <w:rPr>
                <w:szCs w:val="24"/>
              </w:rPr>
              <w:t>9</w:t>
            </w:r>
            <w:r w:rsidR="00C908E9">
              <w:rPr>
                <w:szCs w:val="24"/>
              </w:rPr>
              <w:t>-02-03</w:t>
            </w:r>
            <w:r w:rsidR="003455A8" w:rsidRPr="0012563A">
              <w:rPr>
                <w:szCs w:val="24"/>
              </w:rPr>
              <w:t xml:space="preserve">, pirkimo Nr. </w:t>
            </w:r>
            <w:r>
              <w:rPr>
                <w:szCs w:val="24"/>
              </w:rPr>
              <w:t>419687</w:t>
            </w:r>
            <w:r w:rsidR="003455A8" w:rsidRPr="0012563A">
              <w:rPr>
                <w:szCs w:val="24"/>
              </w:rPr>
              <w:t>)</w:t>
            </w:r>
            <w:r w:rsidR="003455A8">
              <w:rPr>
                <w:color w:val="000000"/>
                <w:szCs w:val="24"/>
              </w:rPr>
              <w:t xml:space="preserve"> </w:t>
            </w:r>
            <w:r w:rsidR="003D5064" w:rsidRPr="00AF6608">
              <w:rPr>
                <w:bCs/>
                <w:szCs w:val="24"/>
              </w:rPr>
              <w:t>(toliau – Pirkimas)</w:t>
            </w:r>
            <w:r w:rsidR="00E24551" w:rsidRPr="00AF6608">
              <w:rPr>
                <w:bCs/>
                <w:szCs w:val="24"/>
              </w:rPr>
              <w:t>.</w:t>
            </w:r>
          </w:p>
        </w:tc>
      </w:tr>
      <w:tr w:rsidR="002A07F4" w:rsidRPr="00AF6608" w14:paraId="45AC91A3"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83CB5BF" w14:textId="77777777" w:rsidR="002A07F4" w:rsidRPr="00AF6608" w:rsidRDefault="002A07F4">
            <w:pPr>
              <w:jc w:val="both"/>
              <w:rPr>
                <w:szCs w:val="24"/>
              </w:rPr>
            </w:pPr>
            <w:r w:rsidRPr="00AF6608">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2C153C07" w14:textId="77777777" w:rsidR="002A07F4" w:rsidRPr="00AF6608" w:rsidRDefault="003D5064" w:rsidP="000F5336">
            <w:pPr>
              <w:spacing w:line="254" w:lineRule="auto"/>
              <w:jc w:val="both"/>
              <w:rPr>
                <w:szCs w:val="24"/>
              </w:rPr>
            </w:pPr>
            <w:r w:rsidRPr="00AF6608">
              <w:rPr>
                <w:bCs/>
                <w:szCs w:val="24"/>
              </w:rPr>
              <w:t>Lietuvos Respublikos viešųjų pirkimų įstatymas (redakcija nuo 201</w:t>
            </w:r>
            <w:r w:rsidR="00F956A7">
              <w:rPr>
                <w:bCs/>
                <w:szCs w:val="24"/>
              </w:rPr>
              <w:t>9</w:t>
            </w:r>
            <w:r w:rsidRPr="00AF6608">
              <w:rPr>
                <w:bCs/>
                <w:szCs w:val="24"/>
              </w:rPr>
              <w:t>-01-01</w:t>
            </w:r>
            <w:r w:rsidR="00250E31">
              <w:rPr>
                <w:bCs/>
                <w:szCs w:val="24"/>
              </w:rPr>
              <w:t>)</w:t>
            </w:r>
            <w:r w:rsidRPr="00AF6608">
              <w:rPr>
                <w:bCs/>
                <w:szCs w:val="24"/>
              </w:rPr>
              <w:t xml:space="preserve"> (toliau – </w:t>
            </w:r>
            <w:r w:rsidR="00250E31">
              <w:rPr>
                <w:bCs/>
                <w:szCs w:val="24"/>
              </w:rPr>
              <w:t>Įstatymas)</w:t>
            </w:r>
            <w:r w:rsidRPr="00AF6608">
              <w:rPr>
                <w:bCs/>
                <w:szCs w:val="24"/>
              </w:rPr>
              <w:t>.</w:t>
            </w:r>
          </w:p>
        </w:tc>
      </w:tr>
      <w:tr w:rsidR="002A07F4" w:rsidRPr="00AF6608" w14:paraId="1B6A5EE8"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085C03CB" w14:textId="77777777" w:rsidR="002A07F4" w:rsidRPr="00AF6608" w:rsidRDefault="002A07F4" w:rsidP="002A07F4">
            <w:pPr>
              <w:jc w:val="both"/>
              <w:rPr>
                <w:rFonts w:eastAsia="Calibri"/>
              </w:rPr>
            </w:pPr>
            <w:r w:rsidRPr="00AF6608">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4D0A3399" w14:textId="77777777" w:rsidR="002A07F4" w:rsidRPr="00AF6608" w:rsidRDefault="009262A6" w:rsidP="00D060BB">
            <w:pPr>
              <w:rPr>
                <w:szCs w:val="24"/>
              </w:rPr>
            </w:pPr>
            <w:r w:rsidRPr="00AF6608">
              <w:rPr>
                <w:bCs/>
                <w:szCs w:val="24"/>
              </w:rPr>
              <w:t>Atviras konkursas</w:t>
            </w:r>
            <w:r w:rsidR="003D5064" w:rsidRPr="00AF6608">
              <w:rPr>
                <w:bCs/>
                <w:szCs w:val="24"/>
              </w:rPr>
              <w:t>.</w:t>
            </w:r>
          </w:p>
        </w:tc>
      </w:tr>
      <w:tr w:rsidR="002A07F4" w:rsidRPr="00AF6608" w14:paraId="1D64DE0D"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AC7BA74" w14:textId="77777777" w:rsidR="002A07F4" w:rsidRPr="00AF6608" w:rsidRDefault="002A07F4" w:rsidP="002A07F4">
            <w:pPr>
              <w:jc w:val="both"/>
              <w:rPr>
                <w:rFonts w:eastAsia="Calibri"/>
              </w:rPr>
            </w:pPr>
            <w:r w:rsidRPr="00AF6608">
              <w:rPr>
                <w:rFonts w:eastAsia="Calibri"/>
              </w:rPr>
              <w:t xml:space="preserve">Planuojama (nenurodoma, jeigu pirkimas vertinamas iki vokų su pasiūlymais atplėšimo procedūros), faktinė pirkimo/sutarties vertė Eur </w:t>
            </w:r>
            <w:r w:rsidR="003455A8">
              <w:rPr>
                <w:rFonts w:eastAsia="Calibri"/>
              </w:rPr>
              <w:t>be</w:t>
            </w:r>
            <w:r w:rsidRPr="00AF6608">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14:paraId="3B48DB9E" w14:textId="77777777" w:rsidR="00382F94" w:rsidRPr="00AF6608" w:rsidRDefault="00250E31" w:rsidP="003D5064">
            <w:pPr>
              <w:jc w:val="both"/>
              <w:rPr>
                <w:szCs w:val="24"/>
              </w:rPr>
            </w:pPr>
            <w:r>
              <w:rPr>
                <w:szCs w:val="24"/>
              </w:rPr>
              <w:t>1 295 000,00</w:t>
            </w:r>
            <w:r w:rsidR="00D7594B" w:rsidRPr="00AF6608">
              <w:rPr>
                <w:szCs w:val="24"/>
              </w:rPr>
              <w:t xml:space="preserve"> Eur </w:t>
            </w:r>
            <w:r w:rsidR="003455A8">
              <w:rPr>
                <w:szCs w:val="24"/>
              </w:rPr>
              <w:t>be</w:t>
            </w:r>
            <w:r w:rsidR="00D7594B" w:rsidRPr="00AF6608">
              <w:rPr>
                <w:szCs w:val="24"/>
              </w:rPr>
              <w:t xml:space="preserve"> PVM.</w:t>
            </w:r>
          </w:p>
          <w:p w14:paraId="751E1051" w14:textId="77777777" w:rsidR="000D4A4D" w:rsidRPr="00AF6608" w:rsidRDefault="000D4A4D" w:rsidP="003D5064">
            <w:pPr>
              <w:jc w:val="both"/>
              <w:rPr>
                <w:szCs w:val="24"/>
              </w:rPr>
            </w:pPr>
            <w:r w:rsidRPr="00AF6608">
              <w:rPr>
                <w:szCs w:val="24"/>
              </w:rPr>
              <w:t xml:space="preserve"> </w:t>
            </w:r>
          </w:p>
        </w:tc>
      </w:tr>
      <w:tr w:rsidR="002A07F4" w:rsidRPr="00AF6608" w14:paraId="599AF53D" w14:textId="77777777" w:rsidTr="0012700D">
        <w:tc>
          <w:tcPr>
            <w:tcW w:w="4677" w:type="dxa"/>
            <w:tcBorders>
              <w:top w:val="single" w:sz="4" w:space="0" w:color="auto"/>
              <w:left w:val="single" w:sz="4" w:space="0" w:color="auto"/>
              <w:bottom w:val="single" w:sz="4" w:space="0" w:color="auto"/>
              <w:right w:val="single" w:sz="4" w:space="0" w:color="auto"/>
            </w:tcBorders>
            <w:hideMark/>
          </w:tcPr>
          <w:p w14:paraId="41A75E7B" w14:textId="77777777" w:rsidR="002A07F4" w:rsidRPr="00AF6608" w:rsidRDefault="002A07F4" w:rsidP="002A07F4">
            <w:pPr>
              <w:jc w:val="both"/>
              <w:rPr>
                <w:szCs w:val="24"/>
              </w:rPr>
            </w:pPr>
            <w:r w:rsidRPr="00AF6608">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4CE072A5" w14:textId="77777777" w:rsidR="007D18C8" w:rsidRPr="00AF6608" w:rsidRDefault="00B72CED" w:rsidP="000D4A4D">
            <w:pPr>
              <w:jc w:val="both"/>
              <w:rPr>
                <w:szCs w:val="24"/>
              </w:rPr>
            </w:pPr>
            <w:r>
              <w:rPr>
                <w:szCs w:val="24"/>
              </w:rPr>
              <w:t>UAB „</w:t>
            </w:r>
            <w:proofErr w:type="spellStart"/>
            <w:r>
              <w:rPr>
                <w:szCs w:val="24"/>
              </w:rPr>
              <w:t>Proit</w:t>
            </w:r>
            <w:proofErr w:type="spellEnd"/>
            <w:r>
              <w:rPr>
                <w:szCs w:val="24"/>
              </w:rPr>
              <w:t>“, 302560374</w:t>
            </w:r>
          </w:p>
        </w:tc>
      </w:tr>
      <w:tr w:rsidR="002A07F4" w:rsidRPr="00AF6608" w14:paraId="4054B964"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8BF0213" w14:textId="77777777" w:rsidR="002A07F4" w:rsidRPr="00AF6608" w:rsidRDefault="002A07F4" w:rsidP="002A07F4">
            <w:pPr>
              <w:jc w:val="both"/>
              <w:rPr>
                <w:rFonts w:eastAsia="Calibri"/>
              </w:rPr>
            </w:pPr>
            <w:r w:rsidRPr="00AF6608">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2BF4F5F" w14:textId="75337153" w:rsidR="002A07F4" w:rsidRPr="00AF6608" w:rsidRDefault="003455A8" w:rsidP="0025094E">
            <w:pPr>
              <w:spacing w:line="254" w:lineRule="auto"/>
              <w:jc w:val="both"/>
              <w:rPr>
                <w:szCs w:val="24"/>
              </w:rPr>
            </w:pPr>
            <w:r w:rsidRPr="00467300">
              <w:rPr>
                <w:szCs w:val="24"/>
              </w:rPr>
              <w:t>Dalinis</w:t>
            </w:r>
            <w:r w:rsidR="00307926" w:rsidRPr="00467300">
              <w:rPr>
                <w:szCs w:val="24"/>
              </w:rPr>
              <w:t xml:space="preserve"> </w:t>
            </w:r>
            <w:r w:rsidR="0031209D" w:rsidRPr="00467300">
              <w:rPr>
                <w:szCs w:val="24"/>
              </w:rPr>
              <w:t xml:space="preserve">vertinimas </w:t>
            </w:r>
            <w:r w:rsidR="00CA40DC">
              <w:rPr>
                <w:szCs w:val="24"/>
              </w:rPr>
              <w:t xml:space="preserve">/ Pirkimo </w:t>
            </w:r>
            <w:r w:rsidR="006607D1">
              <w:rPr>
                <w:szCs w:val="24"/>
              </w:rPr>
              <w:t>procedūrų</w:t>
            </w:r>
            <w:r w:rsidR="00CA40DC">
              <w:rPr>
                <w:szCs w:val="24"/>
              </w:rPr>
              <w:t xml:space="preserve"> vertinimas po sutarties sudarymo </w:t>
            </w:r>
            <w:r w:rsidRPr="00467300">
              <w:rPr>
                <w:szCs w:val="24"/>
              </w:rPr>
              <w:t xml:space="preserve">dėl </w:t>
            </w:r>
            <w:r w:rsidR="004F75D1">
              <w:rPr>
                <w:szCs w:val="24"/>
              </w:rPr>
              <w:t xml:space="preserve">minimalių kvalifikacijos reikalavimų, ekonominio naudingumo vertinimo </w:t>
            </w:r>
            <w:r w:rsidR="004F75D1">
              <w:rPr>
                <w:szCs w:val="24"/>
              </w:rPr>
              <w:lastRenderedPageBreak/>
              <w:t>kriterijų ir techninės specifikacijos reikalavimų nustatymo</w:t>
            </w:r>
            <w:r w:rsidR="0031209D" w:rsidRPr="00AF6608">
              <w:rPr>
                <w:szCs w:val="24"/>
              </w:rPr>
              <w:t>.</w:t>
            </w:r>
          </w:p>
        </w:tc>
      </w:tr>
      <w:tr w:rsidR="002A07F4" w:rsidRPr="00AF6608" w14:paraId="43D2BF2B"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0D590EEB" w14:textId="77777777" w:rsidR="002A07F4" w:rsidRPr="00AF6608" w:rsidRDefault="002A07F4" w:rsidP="002A07F4">
            <w:pPr>
              <w:jc w:val="both"/>
              <w:rPr>
                <w:b/>
                <w:szCs w:val="24"/>
              </w:rPr>
            </w:pPr>
            <w:r w:rsidRPr="00AF6608">
              <w:rPr>
                <w:szCs w:val="24"/>
              </w:rPr>
              <w:lastRenderedPageBreak/>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C9DFBD4" w14:textId="77777777" w:rsidR="002A07F4" w:rsidRPr="00AF6608" w:rsidRDefault="00307926" w:rsidP="00C1042B">
            <w:pPr>
              <w:jc w:val="both"/>
              <w:rPr>
                <w:szCs w:val="24"/>
              </w:rPr>
            </w:pPr>
            <w:r w:rsidRPr="00AF6608">
              <w:rPr>
                <w:szCs w:val="24"/>
              </w:rPr>
              <w:t xml:space="preserve">Pirkimas </w:t>
            </w:r>
            <w:r w:rsidR="00250E31">
              <w:rPr>
                <w:szCs w:val="24"/>
              </w:rPr>
              <w:t>vykdomas, įgyvendinant projektą „Teismų veiklos efektyvumo didinimas“ Nr. 10.1.4-ESFA-V-922-01-0002, pagal 2014 – 2020 metų Europos Sąjungos fondų investicijų veiksmų programos 10 prioriteto „Visuomenės poreikius</w:t>
            </w:r>
            <w:r w:rsidR="00C1042B">
              <w:rPr>
                <w:szCs w:val="24"/>
              </w:rPr>
              <w:t xml:space="preserve"> atitinkantis ir pažangus viešasis valdymas“ įgyvendinimo priemonę Nr. 10.1.4-ESFA-V-922 „Teisingumo sistemos veiksmingumo didinimas“</w:t>
            </w:r>
            <w:r w:rsidR="00C908E9">
              <w:rPr>
                <w:szCs w:val="24"/>
              </w:rPr>
              <w:t>.</w:t>
            </w:r>
            <w:r w:rsidR="003455A8" w:rsidRPr="00840118">
              <w:rPr>
                <w:szCs w:val="24"/>
              </w:rPr>
              <w:t xml:space="preserve"> Įgyvendinančioji institucija – </w:t>
            </w:r>
            <w:r w:rsidR="003455A8">
              <w:rPr>
                <w:szCs w:val="24"/>
              </w:rPr>
              <w:t xml:space="preserve">VšĮ </w:t>
            </w:r>
            <w:r w:rsidR="00C1042B">
              <w:rPr>
                <w:szCs w:val="24"/>
              </w:rPr>
              <w:t>Europos socialinio fondo agentūra.</w:t>
            </w:r>
          </w:p>
        </w:tc>
      </w:tr>
      <w:tr w:rsidR="00D060BB" w:rsidRPr="00AF6608" w14:paraId="4331F123" w14:textId="77777777" w:rsidTr="00197368">
        <w:tc>
          <w:tcPr>
            <w:tcW w:w="4677" w:type="dxa"/>
            <w:shd w:val="clear" w:color="auto" w:fill="auto"/>
            <w:vAlign w:val="center"/>
          </w:tcPr>
          <w:p w14:paraId="06FCB595" w14:textId="77777777" w:rsidR="00D060BB" w:rsidRPr="00AF6608" w:rsidRDefault="00D060BB" w:rsidP="00D060BB">
            <w:pPr>
              <w:jc w:val="both"/>
              <w:rPr>
                <w:szCs w:val="24"/>
              </w:rPr>
            </w:pPr>
            <w:r w:rsidRPr="00AF6608">
              <w:rPr>
                <w:szCs w:val="24"/>
              </w:rPr>
              <w:t>Jei dėl pirkimo/sutarties vyksta teismo procesas, nurodyti ieškinio (skundo) dalykus, bylos šalių pavadinimus, ar taikomos laikinosios apsaugos priemonės, teisminio nagrinėjimo stadija, pvz., apygardos, apeliacinis teismas</w:t>
            </w:r>
          </w:p>
        </w:tc>
        <w:tc>
          <w:tcPr>
            <w:tcW w:w="5104" w:type="dxa"/>
            <w:shd w:val="clear" w:color="auto" w:fill="auto"/>
            <w:vAlign w:val="center"/>
          </w:tcPr>
          <w:p w14:paraId="27CECA41" w14:textId="77777777" w:rsidR="00D060BB" w:rsidRPr="00AF6608" w:rsidRDefault="00D060BB" w:rsidP="00D060BB">
            <w:pPr>
              <w:jc w:val="both"/>
              <w:rPr>
                <w:szCs w:val="24"/>
              </w:rPr>
            </w:pPr>
            <w:r w:rsidRPr="00AF6608">
              <w:rPr>
                <w:szCs w:val="24"/>
              </w:rPr>
              <w:t>–</w:t>
            </w:r>
          </w:p>
        </w:tc>
      </w:tr>
    </w:tbl>
    <w:p w14:paraId="6DFC972A" w14:textId="77777777" w:rsidR="003F255A" w:rsidRPr="00AF6608" w:rsidRDefault="003F255A" w:rsidP="002A07F4">
      <w:pPr>
        <w:jc w:val="center"/>
        <w:rPr>
          <w:b/>
          <w:szCs w:val="24"/>
        </w:rPr>
      </w:pPr>
    </w:p>
    <w:p w14:paraId="0E402317" w14:textId="77777777" w:rsidR="002A07F4" w:rsidRPr="00AF6608" w:rsidRDefault="002A07F4" w:rsidP="002A07F4">
      <w:pPr>
        <w:jc w:val="center"/>
        <w:rPr>
          <w:b/>
          <w:szCs w:val="24"/>
        </w:rPr>
      </w:pPr>
      <w:r w:rsidRPr="00AF6608">
        <w:rPr>
          <w:b/>
          <w:szCs w:val="24"/>
        </w:rPr>
        <w:t>II dalis. Vertinimo apimtyje nustatyti pažeidimai</w:t>
      </w:r>
    </w:p>
    <w:p w14:paraId="4D8EF482" w14:textId="77777777"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D44ADB" w:rsidRPr="00AF6608" w14:paraId="083FF3D7" w14:textId="77777777" w:rsidTr="00F81E5F">
        <w:tc>
          <w:tcPr>
            <w:tcW w:w="567" w:type="dxa"/>
            <w:shd w:val="clear" w:color="auto" w:fill="auto"/>
            <w:vAlign w:val="center"/>
          </w:tcPr>
          <w:p w14:paraId="00470030" w14:textId="77777777" w:rsidR="00D44ADB" w:rsidRPr="00AF6608" w:rsidRDefault="00D44ADB" w:rsidP="00BC7168">
            <w:pPr>
              <w:spacing w:before="120" w:after="120"/>
              <w:ind w:left="171" w:hanging="142"/>
              <w:jc w:val="center"/>
              <w:rPr>
                <w:szCs w:val="24"/>
              </w:rPr>
            </w:pPr>
          </w:p>
        </w:tc>
        <w:tc>
          <w:tcPr>
            <w:tcW w:w="9214" w:type="dxa"/>
            <w:shd w:val="clear" w:color="auto" w:fill="auto"/>
          </w:tcPr>
          <w:p w14:paraId="3EDEE690" w14:textId="2D960ACA" w:rsidR="006C2DCE" w:rsidRPr="006C2DCE" w:rsidRDefault="006C2DCE" w:rsidP="00764068">
            <w:pPr>
              <w:spacing w:before="120" w:after="120"/>
              <w:rPr>
                <w:iCs/>
                <w:szCs w:val="24"/>
              </w:rPr>
            </w:pPr>
            <w:r>
              <w:rPr>
                <w:iCs/>
                <w:szCs w:val="24"/>
              </w:rPr>
              <w:t>Įstatymo 17 straipsnio 1 dalis</w:t>
            </w:r>
            <w:r>
              <w:rPr>
                <w:rStyle w:val="FootnoteReference"/>
                <w:iCs/>
                <w:szCs w:val="24"/>
              </w:rPr>
              <w:footnoteReference w:id="1"/>
            </w:r>
            <w:r w:rsidR="00764068">
              <w:rPr>
                <w:iCs/>
                <w:szCs w:val="24"/>
              </w:rPr>
              <w:t xml:space="preserve">, </w:t>
            </w:r>
            <w:r>
              <w:rPr>
                <w:iCs/>
                <w:szCs w:val="24"/>
              </w:rPr>
              <w:t>Įstatymo 17 straipsnio 3 dalis</w:t>
            </w:r>
            <w:r>
              <w:rPr>
                <w:rStyle w:val="FootnoteReference"/>
                <w:iCs/>
                <w:szCs w:val="24"/>
              </w:rPr>
              <w:footnoteReference w:id="2"/>
            </w:r>
            <w:r w:rsidR="00764068">
              <w:rPr>
                <w:iCs/>
                <w:szCs w:val="24"/>
              </w:rPr>
              <w:t xml:space="preserve">, </w:t>
            </w:r>
            <w:r>
              <w:rPr>
                <w:iCs/>
                <w:szCs w:val="24"/>
              </w:rPr>
              <w:t>Įstatymo 55 straipsnio 5 dalis</w:t>
            </w:r>
            <w:r>
              <w:rPr>
                <w:rStyle w:val="FootnoteReference"/>
                <w:iCs/>
                <w:szCs w:val="24"/>
              </w:rPr>
              <w:footnoteReference w:id="3"/>
            </w:r>
          </w:p>
        </w:tc>
      </w:tr>
      <w:tr w:rsidR="00D44ADB" w:rsidRPr="00AF6608" w14:paraId="22F34FCE" w14:textId="77777777" w:rsidTr="0026458A">
        <w:tc>
          <w:tcPr>
            <w:tcW w:w="9781" w:type="dxa"/>
            <w:gridSpan w:val="2"/>
            <w:shd w:val="clear" w:color="auto" w:fill="auto"/>
            <w:vAlign w:val="center"/>
          </w:tcPr>
          <w:p w14:paraId="20A1AD96" w14:textId="24B97856" w:rsidR="0098278A" w:rsidRDefault="001D39F3" w:rsidP="001D39F3">
            <w:pPr>
              <w:jc w:val="both"/>
              <w:rPr>
                <w:szCs w:val="24"/>
              </w:rPr>
            </w:pPr>
            <w:r>
              <w:rPr>
                <w:szCs w:val="24"/>
              </w:rPr>
              <w:t xml:space="preserve">     </w:t>
            </w:r>
            <w:r w:rsidR="0098278A">
              <w:rPr>
                <w:szCs w:val="24"/>
              </w:rPr>
              <w:t xml:space="preserve">Tarnyba 2019-09-10 gavo Europos socialinio fondo agentūros raštą Nr. ESFS14-2019-02011, </w:t>
            </w:r>
            <w:r w:rsidR="006607D1">
              <w:rPr>
                <w:szCs w:val="24"/>
              </w:rPr>
              <w:t>kuriuo prašo</w:t>
            </w:r>
            <w:r w:rsidR="0098278A">
              <w:rPr>
                <w:szCs w:val="24"/>
              </w:rPr>
              <w:t xml:space="preserve"> Tarnybos įvertinti Pirkimo procedūrų dokumentus bei pateikti išvadą, ar </w:t>
            </w:r>
            <w:r w:rsidR="006607D1">
              <w:rPr>
                <w:szCs w:val="24"/>
              </w:rPr>
              <w:t>nustatyti minimalūs kvalifikacijos</w:t>
            </w:r>
            <w:r w:rsidR="00F11FD8">
              <w:rPr>
                <w:rStyle w:val="FootnoteReference"/>
                <w:szCs w:val="24"/>
              </w:rPr>
              <w:footnoteReference w:id="4"/>
            </w:r>
            <w:r w:rsidR="006607D1">
              <w:rPr>
                <w:szCs w:val="24"/>
              </w:rPr>
              <w:t>, techninės specifikacijos reikalavimai bei ekonominio naudingumo vertinimo kriterijai nepagrįstai neribojo konkurencijos ir ar tinkamai įgyvendinti viešųjų pirkimų principai.</w:t>
            </w:r>
          </w:p>
          <w:p w14:paraId="09FF4FD7" w14:textId="43CEF2C0" w:rsidR="00D44ADB" w:rsidRDefault="001D39F3" w:rsidP="001D39F3">
            <w:pPr>
              <w:jc w:val="both"/>
              <w:rPr>
                <w:szCs w:val="24"/>
              </w:rPr>
            </w:pPr>
            <w:r>
              <w:rPr>
                <w:szCs w:val="24"/>
              </w:rPr>
              <w:t xml:space="preserve">     </w:t>
            </w:r>
            <w:r w:rsidR="008F23BD" w:rsidRPr="00AF6608">
              <w:rPr>
                <w:szCs w:val="24"/>
              </w:rPr>
              <w:t xml:space="preserve"> </w:t>
            </w:r>
            <w:r w:rsidR="006D18D8">
              <w:rPr>
                <w:szCs w:val="24"/>
              </w:rPr>
              <w:t>Pirkimas vykdytas vadovaujantis  „</w:t>
            </w:r>
            <w:r w:rsidR="006D18D8" w:rsidRPr="00C908E9">
              <w:rPr>
                <w:szCs w:val="24"/>
              </w:rPr>
              <w:t>Lietuvos teismų informacinės sistemos modernizavimo II ir mokymų organizavimo paslaugų pirkimas</w:t>
            </w:r>
            <w:r w:rsidR="006D18D8">
              <w:rPr>
                <w:szCs w:val="24"/>
              </w:rPr>
              <w:t xml:space="preserve">“, sąlygomis (toliau -  Pirkimo sąlygos). </w:t>
            </w:r>
          </w:p>
          <w:p w14:paraId="47BCBD83" w14:textId="42FABC20" w:rsidR="009D2D01" w:rsidRDefault="001D39F3" w:rsidP="001D39F3">
            <w:pPr>
              <w:jc w:val="both"/>
              <w:rPr>
                <w:iCs/>
                <w:szCs w:val="24"/>
              </w:rPr>
            </w:pPr>
            <w:r>
              <w:rPr>
                <w:iCs/>
                <w:szCs w:val="24"/>
              </w:rPr>
              <w:t xml:space="preserve">      </w:t>
            </w:r>
            <w:r w:rsidR="007F56F0">
              <w:rPr>
                <w:iCs/>
                <w:szCs w:val="24"/>
              </w:rPr>
              <w:t>1.</w:t>
            </w:r>
            <w:r w:rsidR="00271972" w:rsidRPr="006C01E1">
              <w:rPr>
                <w:iCs/>
                <w:szCs w:val="24"/>
              </w:rPr>
              <w:t xml:space="preserve"> </w:t>
            </w:r>
            <w:r w:rsidR="00FC0C0E">
              <w:rPr>
                <w:iCs/>
                <w:szCs w:val="24"/>
              </w:rPr>
              <w:t xml:space="preserve">Remiantis </w:t>
            </w:r>
            <w:r w:rsidR="006607D1" w:rsidRPr="006607D1">
              <w:rPr>
                <w:iCs/>
                <w:szCs w:val="24"/>
              </w:rPr>
              <w:t xml:space="preserve">Pirkimo sąlygų </w:t>
            </w:r>
            <w:r w:rsidR="00FC0C0E">
              <w:rPr>
                <w:iCs/>
                <w:szCs w:val="24"/>
              </w:rPr>
              <w:t xml:space="preserve">11.1 punktu, ekonomiškai naudingiausias pasiūlymas turėjo būti išrinktas pagal šiuos kokybinius kriterijus: pirmas kriterijus – kaina </w:t>
            </w:r>
            <w:r w:rsidR="000924F3">
              <w:rPr>
                <w:iCs/>
                <w:szCs w:val="24"/>
              </w:rPr>
              <w:t xml:space="preserve">(C) </w:t>
            </w:r>
            <w:r w:rsidR="00FC0C0E">
              <w:rPr>
                <w:iCs/>
                <w:szCs w:val="24"/>
              </w:rPr>
              <w:t>(lyginamasis svoris – 30), antras kriterijus (T</w:t>
            </w:r>
            <w:r w:rsidR="00FC0C0E">
              <w:rPr>
                <w:iCs/>
                <w:szCs w:val="24"/>
                <w:vertAlign w:val="subscript"/>
              </w:rPr>
              <w:t>1</w:t>
            </w:r>
            <w:r w:rsidR="00FC0C0E">
              <w:rPr>
                <w:iCs/>
                <w:szCs w:val="24"/>
              </w:rPr>
              <w:t xml:space="preserve">) programinės įrangos inžinerijos procesų optimalumas </w:t>
            </w:r>
            <w:r w:rsidR="000924F3">
              <w:rPr>
                <w:iCs/>
                <w:szCs w:val="24"/>
              </w:rPr>
              <w:t>(lyginamasis svoris – 30), trečiasis kriterijus (T</w:t>
            </w:r>
            <w:r w:rsidR="000924F3">
              <w:rPr>
                <w:iCs/>
                <w:szCs w:val="24"/>
                <w:vertAlign w:val="subscript"/>
              </w:rPr>
              <w:t>2</w:t>
            </w:r>
            <w:r w:rsidR="000924F3">
              <w:rPr>
                <w:iCs/>
                <w:szCs w:val="24"/>
              </w:rPr>
              <w:t>) techninių sprendimų kokybė ir integralumas (lyginamasis svoris – 30), ketvirtasis kriterijus (T</w:t>
            </w:r>
            <w:r w:rsidR="000924F3">
              <w:rPr>
                <w:iCs/>
                <w:szCs w:val="24"/>
                <w:vertAlign w:val="subscript"/>
              </w:rPr>
              <w:t>3</w:t>
            </w:r>
            <w:r w:rsidR="000924F3">
              <w:rPr>
                <w:iCs/>
                <w:szCs w:val="24"/>
              </w:rPr>
              <w:t xml:space="preserve">) projekto valdymo efektyvumas (lyginamasis svoris – 10). Pirkimo sąlygų 11.11 punkte numatyti kriterijų </w:t>
            </w:r>
            <w:r w:rsidR="00672F4E">
              <w:rPr>
                <w:iCs/>
                <w:szCs w:val="24"/>
              </w:rPr>
              <w:t xml:space="preserve">ir parametrų </w:t>
            </w:r>
            <w:r w:rsidR="000924F3">
              <w:rPr>
                <w:iCs/>
                <w:szCs w:val="24"/>
              </w:rPr>
              <w:t xml:space="preserve">aprašymai. </w:t>
            </w:r>
            <w:r w:rsidR="00672F4E">
              <w:rPr>
                <w:iCs/>
                <w:szCs w:val="24"/>
              </w:rPr>
              <w:t>Numatyto k</w:t>
            </w:r>
            <w:r w:rsidR="000924F3">
              <w:rPr>
                <w:iCs/>
                <w:szCs w:val="24"/>
              </w:rPr>
              <w:t xml:space="preserve">riterijaus  </w:t>
            </w:r>
            <w:r w:rsidR="00672F4E">
              <w:rPr>
                <w:iCs/>
                <w:szCs w:val="24"/>
              </w:rPr>
              <w:t xml:space="preserve">„Reikalavimų realizavimo kokybė, </w:t>
            </w:r>
            <w:r w:rsidR="000924F3">
              <w:rPr>
                <w:iCs/>
                <w:szCs w:val="24"/>
              </w:rPr>
              <w:t>technini</w:t>
            </w:r>
            <w:r w:rsidR="00672F4E">
              <w:rPr>
                <w:iCs/>
                <w:szCs w:val="24"/>
              </w:rPr>
              <w:t>o</w:t>
            </w:r>
            <w:r w:rsidR="000924F3">
              <w:rPr>
                <w:iCs/>
                <w:szCs w:val="24"/>
              </w:rPr>
              <w:t xml:space="preserve"> sprendim</w:t>
            </w:r>
            <w:r w:rsidR="00290B20">
              <w:rPr>
                <w:iCs/>
                <w:szCs w:val="24"/>
              </w:rPr>
              <w:t>o</w:t>
            </w:r>
            <w:r w:rsidR="000924F3">
              <w:rPr>
                <w:iCs/>
                <w:szCs w:val="24"/>
              </w:rPr>
              <w:t xml:space="preserve"> kokybė ir integralumas</w:t>
            </w:r>
            <w:r w:rsidR="00672F4E">
              <w:rPr>
                <w:iCs/>
                <w:szCs w:val="24"/>
              </w:rPr>
              <w:t>“ (T</w:t>
            </w:r>
            <w:r w:rsidR="00672F4E">
              <w:rPr>
                <w:iCs/>
                <w:szCs w:val="24"/>
                <w:vertAlign w:val="subscript"/>
              </w:rPr>
              <w:t>2</w:t>
            </w:r>
            <w:r w:rsidR="00672F4E">
              <w:rPr>
                <w:iCs/>
                <w:szCs w:val="24"/>
              </w:rPr>
              <w:t xml:space="preserve">) parametro „Techninėje specifikacijoje numatytų reikalavimų realizavimo kokybė, </w:t>
            </w:r>
            <w:proofErr w:type="spellStart"/>
            <w:r w:rsidR="00672F4E">
              <w:rPr>
                <w:iCs/>
                <w:szCs w:val="24"/>
              </w:rPr>
              <w:t>pasikliaunamumas</w:t>
            </w:r>
            <w:proofErr w:type="spellEnd"/>
            <w:r w:rsidR="00672F4E">
              <w:rPr>
                <w:iCs/>
                <w:szCs w:val="24"/>
              </w:rPr>
              <w:t>, integralumas ir sėkmingą sprendimo diegimą užtikrinančios priemonės (P</w:t>
            </w:r>
            <w:r w:rsidR="00672F4E">
              <w:rPr>
                <w:iCs/>
                <w:szCs w:val="24"/>
                <w:vertAlign w:val="subscript"/>
              </w:rPr>
              <w:t>2</w:t>
            </w:r>
            <w:r w:rsidR="00672F4E">
              <w:rPr>
                <w:iCs/>
                <w:szCs w:val="24"/>
              </w:rPr>
              <w:t>)“ aprašyme numatyta, kad suteikiamas balas „Puikiai“ (80 – 100) bus už tai, jei „</w:t>
            </w:r>
            <w:r w:rsidR="00D9509B">
              <w:rPr>
                <w:iCs/>
                <w:szCs w:val="24"/>
              </w:rPr>
              <w:t xml:space="preserve">&lt;...&gt; </w:t>
            </w:r>
            <w:r w:rsidR="00672F4E">
              <w:rPr>
                <w:iCs/>
                <w:szCs w:val="24"/>
              </w:rPr>
              <w:t>Nurodyta kaip kuriant naujus funkcionalumus panaudojami ir pritaikomi turimos arba siūlomos platformos komponentai ir šiuo metu</w:t>
            </w:r>
            <w:r w:rsidR="00D9509B">
              <w:rPr>
                <w:iCs/>
                <w:szCs w:val="24"/>
              </w:rPr>
              <w:t xml:space="preserve"> platformoje realizuoti teismų veiklos funkcionalumai</w:t>
            </w:r>
            <w:r w:rsidR="00290B20">
              <w:rPr>
                <w:iCs/>
                <w:szCs w:val="24"/>
              </w:rPr>
              <w:t xml:space="preserve"> </w:t>
            </w:r>
            <w:r w:rsidR="00D9509B">
              <w:rPr>
                <w:iCs/>
                <w:szCs w:val="24"/>
              </w:rPr>
              <w:t xml:space="preserve">&lt;...&gt;“. </w:t>
            </w:r>
            <w:r w:rsidR="006460A9">
              <w:rPr>
                <w:iCs/>
                <w:szCs w:val="24"/>
              </w:rPr>
              <w:t>Tarnybos vertinimu, nustatytas m</w:t>
            </w:r>
            <w:r w:rsidR="00D9509B">
              <w:rPr>
                <w:iCs/>
                <w:szCs w:val="24"/>
              </w:rPr>
              <w:t>inėt</w:t>
            </w:r>
            <w:r w:rsidR="006460A9">
              <w:rPr>
                <w:iCs/>
                <w:szCs w:val="24"/>
              </w:rPr>
              <w:t>o</w:t>
            </w:r>
            <w:r w:rsidR="00D9509B">
              <w:rPr>
                <w:iCs/>
                <w:szCs w:val="24"/>
              </w:rPr>
              <w:t xml:space="preserve"> kriterijaus aprašymas suteikia pranašumą, skiriant balus, vieninteliam tiekėjui, kuris puikiai išmano šiuo metu platformoje realizuotus teismų veiklos funkcionalumus ir kuris sukūrė</w:t>
            </w:r>
            <w:r w:rsidR="00596B0F">
              <w:rPr>
                <w:rStyle w:val="FootnoteReference"/>
                <w:iCs/>
                <w:szCs w:val="24"/>
              </w:rPr>
              <w:footnoteReference w:id="5"/>
            </w:r>
            <w:r w:rsidR="00D9509B">
              <w:rPr>
                <w:iCs/>
                <w:szCs w:val="24"/>
              </w:rPr>
              <w:t xml:space="preserve"> šiuo metu esančią platformą</w:t>
            </w:r>
            <w:r w:rsidR="006460A9">
              <w:rPr>
                <w:iCs/>
                <w:szCs w:val="24"/>
              </w:rPr>
              <w:t xml:space="preserve">, </w:t>
            </w:r>
            <w:r w:rsidR="006460A9">
              <w:rPr>
                <w:iCs/>
                <w:szCs w:val="24"/>
              </w:rPr>
              <w:lastRenderedPageBreak/>
              <w:t>t. y. šiuo atveju</w:t>
            </w:r>
            <w:r w:rsidR="00596B0F">
              <w:rPr>
                <w:iCs/>
                <w:szCs w:val="24"/>
              </w:rPr>
              <w:t>,</w:t>
            </w:r>
            <w:r w:rsidR="006460A9">
              <w:rPr>
                <w:iCs/>
                <w:szCs w:val="24"/>
              </w:rPr>
              <w:t xml:space="preserve"> dirbtinai sumažinta konkurencija, nepagrįstai sudarytos palankesnės sąlygos UAB „</w:t>
            </w:r>
            <w:proofErr w:type="spellStart"/>
            <w:r w:rsidR="006460A9">
              <w:rPr>
                <w:iCs/>
                <w:szCs w:val="24"/>
              </w:rPr>
              <w:t>Proit</w:t>
            </w:r>
            <w:proofErr w:type="spellEnd"/>
            <w:r w:rsidR="006460A9">
              <w:rPr>
                <w:iCs/>
                <w:szCs w:val="24"/>
              </w:rPr>
              <w:t>“</w:t>
            </w:r>
            <w:r w:rsidR="00271972">
              <w:rPr>
                <w:iCs/>
                <w:szCs w:val="24"/>
              </w:rPr>
              <w:t xml:space="preserve">. </w:t>
            </w:r>
          </w:p>
          <w:p w14:paraId="6952B33C" w14:textId="1B8587C4" w:rsidR="006C01E1" w:rsidRDefault="00F11FD8" w:rsidP="00F11FD8">
            <w:pPr>
              <w:jc w:val="both"/>
              <w:rPr>
                <w:iCs/>
                <w:szCs w:val="24"/>
                <w:vertAlign w:val="subscript"/>
              </w:rPr>
            </w:pPr>
            <w:r>
              <w:rPr>
                <w:iCs/>
                <w:szCs w:val="24"/>
              </w:rPr>
              <w:t xml:space="preserve">    </w:t>
            </w:r>
            <w:r w:rsidR="00271972">
              <w:rPr>
                <w:iCs/>
                <w:szCs w:val="24"/>
              </w:rPr>
              <w:t>Atsižvelgiant į aukščiau išdėstytą, Tarnyba konstatuoja, kad pasirinkto vertinimo kriterijus</w:t>
            </w:r>
            <w:r w:rsidR="009D2D01">
              <w:rPr>
                <w:iCs/>
                <w:szCs w:val="24"/>
              </w:rPr>
              <w:t xml:space="preserve">, jo </w:t>
            </w:r>
            <w:r w:rsidR="00271972">
              <w:rPr>
                <w:iCs/>
                <w:szCs w:val="24"/>
              </w:rPr>
              <w:t xml:space="preserve"> aprašymas </w:t>
            </w:r>
            <w:r w:rsidR="006C01E1">
              <w:rPr>
                <w:iCs/>
                <w:szCs w:val="24"/>
              </w:rPr>
              <w:t xml:space="preserve">neužtikrina veiksmingos tiekėjų konkurencijos, todėl </w:t>
            </w:r>
            <w:r w:rsidR="006460A9">
              <w:rPr>
                <w:iCs/>
                <w:szCs w:val="24"/>
              </w:rPr>
              <w:t>pažei</w:t>
            </w:r>
            <w:r w:rsidR="006C01E1">
              <w:rPr>
                <w:iCs/>
                <w:szCs w:val="24"/>
              </w:rPr>
              <w:t>džia</w:t>
            </w:r>
            <w:r w:rsidR="006C2DCE">
              <w:rPr>
                <w:iCs/>
                <w:szCs w:val="24"/>
              </w:rPr>
              <w:t xml:space="preserve"> Įstatymo 17 straipsnio 1 dalyje įtvirtint</w:t>
            </w:r>
            <w:r w:rsidR="006C01E1">
              <w:rPr>
                <w:iCs/>
                <w:szCs w:val="24"/>
              </w:rPr>
              <w:t>us</w:t>
            </w:r>
            <w:r w:rsidR="006C2DCE">
              <w:rPr>
                <w:iCs/>
                <w:szCs w:val="24"/>
              </w:rPr>
              <w:t xml:space="preserve"> skaidrumo, lygiateisiškumo</w:t>
            </w:r>
            <w:r w:rsidR="006460A9">
              <w:rPr>
                <w:iCs/>
                <w:szCs w:val="24"/>
              </w:rPr>
              <w:t xml:space="preserve"> </w:t>
            </w:r>
            <w:r w:rsidR="006C2DCE">
              <w:rPr>
                <w:iCs/>
                <w:szCs w:val="24"/>
              </w:rPr>
              <w:t>princip</w:t>
            </w:r>
            <w:r w:rsidR="006C01E1">
              <w:rPr>
                <w:iCs/>
                <w:szCs w:val="24"/>
              </w:rPr>
              <w:t>us</w:t>
            </w:r>
            <w:r w:rsidR="006C2DCE">
              <w:rPr>
                <w:iCs/>
                <w:szCs w:val="24"/>
              </w:rPr>
              <w:t xml:space="preserve">, Įstatymo 17 straipsnio  3 dalies </w:t>
            </w:r>
            <w:r w:rsidR="00764068">
              <w:rPr>
                <w:iCs/>
                <w:szCs w:val="24"/>
              </w:rPr>
              <w:t>ir Įstatymo 55 straipsnio 5 dalies reikalavim</w:t>
            </w:r>
            <w:r w:rsidR="006C01E1">
              <w:rPr>
                <w:iCs/>
                <w:szCs w:val="24"/>
              </w:rPr>
              <w:t>us</w:t>
            </w:r>
            <w:r w:rsidR="00764068">
              <w:rPr>
                <w:iCs/>
                <w:szCs w:val="24"/>
              </w:rPr>
              <w:t>.</w:t>
            </w:r>
            <w:r w:rsidR="006C01E1">
              <w:rPr>
                <w:iCs/>
                <w:szCs w:val="24"/>
                <w:vertAlign w:val="subscript"/>
              </w:rPr>
              <w:t xml:space="preserve"> </w:t>
            </w:r>
          </w:p>
          <w:p w14:paraId="6EA737CC" w14:textId="2599DFF9" w:rsidR="00FF6770" w:rsidRDefault="00F11FD8" w:rsidP="00FF6770">
            <w:pPr>
              <w:pStyle w:val="ListParagraph"/>
              <w:numPr>
                <w:ilvl w:val="0"/>
                <w:numId w:val="5"/>
              </w:numPr>
              <w:ind w:left="0"/>
              <w:jc w:val="both"/>
            </w:pPr>
            <w:r>
              <w:t xml:space="preserve">    2.</w:t>
            </w:r>
            <w:r w:rsidR="00FF6770">
              <w:t xml:space="preserve"> </w:t>
            </w:r>
            <w:r w:rsidR="00FF6770" w:rsidRPr="006C01E1">
              <w:t xml:space="preserve">Pirkimo sąlygų </w:t>
            </w:r>
            <w:r w:rsidR="00FF6770">
              <w:t xml:space="preserve">1 priedo „Techninė specifikacija“ 7.4.4. dalies „Reikalavimai licencinei programinei įrangai“ reikalavime Nr. 68 nurodyta, kad „Diegėjui siūlant alternatyvią, lygiavertę </w:t>
            </w:r>
            <w:proofErr w:type="spellStart"/>
            <w:r w:rsidR="00FF6770">
              <w:t>Documentum</w:t>
            </w:r>
            <w:proofErr w:type="spellEnd"/>
            <w:r w:rsidR="00FF6770">
              <w:t xml:space="preserve"> platformai, programinę įrangą, turi būti tenkinamos žemiau pateikiamos sąlygos:</w:t>
            </w:r>
          </w:p>
          <w:p w14:paraId="20147364" w14:textId="77777777" w:rsidR="00FF6770" w:rsidRDefault="00FF6770" w:rsidP="00FF6770">
            <w:pPr>
              <w:pStyle w:val="ListParagraph"/>
              <w:ind w:left="0"/>
              <w:jc w:val="both"/>
            </w:pPr>
            <w:r>
              <w:t xml:space="preserve">    Diegėjas per 2 mėnesius turi realizuoti visus šiuo metu įgyvendintus LITEKO2 funkcionalumus;</w:t>
            </w:r>
          </w:p>
          <w:p w14:paraId="24B30573" w14:textId="2A4A48BC" w:rsidR="00FF6770" w:rsidRDefault="00FF6770" w:rsidP="00FF6770">
            <w:pPr>
              <w:pStyle w:val="ListParagraph"/>
              <w:ind w:left="0"/>
              <w:jc w:val="both"/>
            </w:pPr>
            <w:r>
              <w:t xml:space="preserve">    Per 2 mėnesius turės būti atlikti bent 20 val. autorizuoti siūlomos programinės įrangos įvadiniai administratorių mokymai, apmokant ne mažiau kaip 6 asmenis“.</w:t>
            </w:r>
          </w:p>
          <w:p w14:paraId="7ED520B8" w14:textId="15024B5B" w:rsidR="00355E28" w:rsidRPr="00FF6770" w:rsidRDefault="00355E28" w:rsidP="00FF6770">
            <w:pPr>
              <w:pStyle w:val="ListParagraph"/>
              <w:ind w:left="0"/>
              <w:jc w:val="both"/>
            </w:pPr>
            <w:r>
              <w:t xml:space="preserve">    </w:t>
            </w:r>
            <w:r>
              <w:t>Įvertinusi pateiktus dokumentus ir informaciją, Tarnyba sprendžia, kad nustatytas 2 mėnesių funkcionalumų realizavimo terminas yra per trumpas ir ribojantis konkurenciją bei suteikiantis pranašumą tiekėjui, kuris kūrė informacinę sistemą bei yra susipažinęs su jau įgyvendintais funkcionalumais. Pažymėtina, kad alternatyvios, lygiavertės platformos diegimo atveju Pirkimo sąlygose nustatytas terminas nebūtų pakankamas, įvertinus tai, kad tiekėjas privalėtų ne tik diegti naują alternatyvią platformą, bet ir susipažinti su įgyvendinto projekto funkcionalumo rezultatais, realizuotais sprendimais ankstesniuose įgyvendinimo etapuose.</w:t>
            </w:r>
            <w:bookmarkStart w:id="0" w:name="_GoBack"/>
            <w:bookmarkEnd w:id="0"/>
          </w:p>
          <w:p w14:paraId="187A3295" w14:textId="6E2BD7D9" w:rsidR="00FF6770" w:rsidRPr="00672F4E" w:rsidRDefault="00FF6770" w:rsidP="00F11FD8">
            <w:pPr>
              <w:pStyle w:val="ListParagraph"/>
              <w:ind w:left="0"/>
              <w:jc w:val="both"/>
              <w:rPr>
                <w:iCs/>
                <w:szCs w:val="24"/>
                <w:vertAlign w:val="subscript"/>
              </w:rPr>
            </w:pPr>
            <w:r>
              <w:t xml:space="preserve">    Įvertinus, tai kas išdėstyta, Tarnyba konstatuoja, kad nustatytas funkcionalumų realizavimo terminas nėra pakankamas nustatytiems reikalavimams įgyvendinti ir yra ribojantis konkurenciją, todėl pažeidžia Įstatymo 17 straipsnio 3 dalies nuostatas ir Įstatymo 17 straipsnio 1 dalyje įtvirtintą skaidrumo ir </w:t>
            </w:r>
            <w:r w:rsidR="00F11FD8">
              <w:t>lygiateisiškumo</w:t>
            </w:r>
            <w:r>
              <w:t xml:space="preserve"> principus.</w:t>
            </w:r>
          </w:p>
        </w:tc>
      </w:tr>
    </w:tbl>
    <w:p w14:paraId="6B4944DC" w14:textId="77777777" w:rsidR="002A07F4" w:rsidRPr="00AF6608" w:rsidRDefault="002A07F4" w:rsidP="002A07F4">
      <w:pPr>
        <w:ind w:left="-113"/>
        <w:jc w:val="center"/>
        <w:rPr>
          <w:b/>
          <w:szCs w:val="24"/>
        </w:rPr>
      </w:pPr>
    </w:p>
    <w:p w14:paraId="74E3A082" w14:textId="77777777" w:rsidR="002A07F4" w:rsidRPr="00AF6608" w:rsidRDefault="002A07F4" w:rsidP="002A07F4">
      <w:pPr>
        <w:ind w:left="-113"/>
        <w:jc w:val="center"/>
        <w:rPr>
          <w:b/>
          <w:color w:val="000000"/>
          <w:szCs w:val="24"/>
          <w:lang w:eastAsia="lt-LT"/>
        </w:rPr>
      </w:pPr>
      <w:r w:rsidRPr="00AF6608">
        <w:rPr>
          <w:b/>
          <w:szCs w:val="24"/>
        </w:rPr>
        <w:t xml:space="preserve">III dalis. </w:t>
      </w:r>
      <w:r w:rsidRPr="00AF6608">
        <w:rPr>
          <w:b/>
          <w:color w:val="000000"/>
          <w:szCs w:val="24"/>
          <w:lang w:eastAsia="lt-LT"/>
        </w:rPr>
        <w:t>Kiti nustatyti pažeidimai</w:t>
      </w:r>
    </w:p>
    <w:p w14:paraId="5B918D57" w14:textId="77777777" w:rsidR="002A07F4" w:rsidRPr="00AF6608"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9510A2" w:rsidRPr="00AF6608" w14:paraId="2758B8AC" w14:textId="77777777" w:rsidTr="006621D5">
        <w:tc>
          <w:tcPr>
            <w:tcW w:w="567" w:type="dxa"/>
            <w:shd w:val="clear" w:color="auto" w:fill="auto"/>
            <w:vAlign w:val="center"/>
          </w:tcPr>
          <w:p w14:paraId="79E83505" w14:textId="77777777" w:rsidR="009510A2" w:rsidRPr="00AF6608" w:rsidRDefault="009510A2" w:rsidP="006621D5">
            <w:pPr>
              <w:spacing w:before="120" w:after="120"/>
              <w:ind w:left="171" w:hanging="142"/>
              <w:jc w:val="center"/>
              <w:rPr>
                <w:szCs w:val="24"/>
              </w:rPr>
            </w:pPr>
          </w:p>
        </w:tc>
        <w:tc>
          <w:tcPr>
            <w:tcW w:w="9214" w:type="dxa"/>
            <w:shd w:val="clear" w:color="auto" w:fill="auto"/>
          </w:tcPr>
          <w:p w14:paraId="5C46E8AA" w14:textId="77777777" w:rsidR="009510A2" w:rsidRPr="00AF6608" w:rsidRDefault="009510A2" w:rsidP="006621D5">
            <w:pPr>
              <w:spacing w:before="120" w:after="120"/>
              <w:rPr>
                <w:b/>
                <w:szCs w:val="24"/>
              </w:rPr>
            </w:pPr>
          </w:p>
        </w:tc>
      </w:tr>
      <w:tr w:rsidR="009510A2" w:rsidRPr="0036140F" w14:paraId="5C262A94" w14:textId="77777777" w:rsidTr="006621D5">
        <w:tc>
          <w:tcPr>
            <w:tcW w:w="9781" w:type="dxa"/>
            <w:gridSpan w:val="2"/>
            <w:shd w:val="clear" w:color="auto" w:fill="auto"/>
          </w:tcPr>
          <w:p w14:paraId="11B15C14" w14:textId="708D6432" w:rsidR="001543EB" w:rsidRPr="006C01E1" w:rsidRDefault="001543EB" w:rsidP="007921D3">
            <w:pPr>
              <w:pStyle w:val="ListParagraph"/>
              <w:ind w:left="0"/>
              <w:jc w:val="both"/>
            </w:pPr>
          </w:p>
        </w:tc>
      </w:tr>
    </w:tbl>
    <w:p w14:paraId="3F3C5C43" w14:textId="77777777" w:rsidR="003A2C45" w:rsidRDefault="003A2C45" w:rsidP="002A07F4">
      <w:pPr>
        <w:jc w:val="center"/>
        <w:rPr>
          <w:b/>
          <w:szCs w:val="24"/>
        </w:rPr>
      </w:pPr>
    </w:p>
    <w:p w14:paraId="09AC50C8" w14:textId="77777777" w:rsidR="002A07F4" w:rsidRPr="00AF6608" w:rsidRDefault="002A07F4" w:rsidP="002A07F4">
      <w:pPr>
        <w:jc w:val="center"/>
        <w:rPr>
          <w:b/>
          <w:szCs w:val="24"/>
        </w:rPr>
      </w:pPr>
      <w:r w:rsidRPr="00AF6608">
        <w:rPr>
          <w:b/>
          <w:szCs w:val="24"/>
        </w:rPr>
        <w:t>IV dalis. Sprendimas</w:t>
      </w:r>
    </w:p>
    <w:p w14:paraId="32A3C559" w14:textId="77777777" w:rsidR="002A07F4" w:rsidRDefault="002A07F4" w:rsidP="002A07F4">
      <w:pPr>
        <w:jc w:val="center"/>
        <w:rPr>
          <w:b/>
          <w:szCs w:val="24"/>
        </w:rPr>
      </w:pPr>
    </w:p>
    <w:p w14:paraId="4FD6C61E" w14:textId="77777777" w:rsidR="002A07F4" w:rsidRPr="00AF6608" w:rsidRDefault="002A07F4" w:rsidP="002A07F4"/>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56F12" w:rsidRPr="00AF6608" w14:paraId="4D3A0EEB" w14:textId="77777777" w:rsidTr="00AA49DF">
        <w:tc>
          <w:tcPr>
            <w:tcW w:w="9781" w:type="dxa"/>
            <w:tcBorders>
              <w:top w:val="single" w:sz="4" w:space="0" w:color="auto"/>
              <w:left w:val="single" w:sz="4" w:space="0" w:color="auto"/>
              <w:bottom w:val="single" w:sz="4" w:space="0" w:color="auto"/>
              <w:right w:val="single" w:sz="4" w:space="0" w:color="auto"/>
            </w:tcBorders>
          </w:tcPr>
          <w:p w14:paraId="5501BF3B" w14:textId="1E5147FD" w:rsidR="0092687B" w:rsidRDefault="001B563D" w:rsidP="0092687B">
            <w:pPr>
              <w:jc w:val="both"/>
              <w:rPr>
                <w:bCs/>
                <w:szCs w:val="23"/>
              </w:rPr>
            </w:pPr>
            <w:r>
              <w:rPr>
                <w:bCs/>
                <w:szCs w:val="24"/>
              </w:rPr>
              <w:t xml:space="preserve">   </w:t>
            </w:r>
            <w:r w:rsidR="00EE404C">
              <w:rPr>
                <w:bCs/>
                <w:szCs w:val="23"/>
              </w:rPr>
              <w:t xml:space="preserve"> Tarnybos vertinimu, Pirkim</w:t>
            </w:r>
            <w:r w:rsidR="008831CF">
              <w:rPr>
                <w:bCs/>
                <w:szCs w:val="23"/>
              </w:rPr>
              <w:t xml:space="preserve">o sąlygomis </w:t>
            </w:r>
            <w:r w:rsidR="00EE404C">
              <w:rPr>
                <w:bCs/>
                <w:szCs w:val="23"/>
              </w:rPr>
              <w:t>dirbtinai sumažinta konkurencija, nepagrįstai sudarytos palankesnės sąlygos UAB „</w:t>
            </w:r>
            <w:proofErr w:type="spellStart"/>
            <w:r w:rsidR="00EE404C">
              <w:rPr>
                <w:bCs/>
                <w:szCs w:val="23"/>
              </w:rPr>
              <w:t>Proit</w:t>
            </w:r>
            <w:proofErr w:type="spellEnd"/>
            <w:r w:rsidR="00EE404C">
              <w:rPr>
                <w:bCs/>
                <w:szCs w:val="23"/>
              </w:rPr>
              <w:t>“, pažeisti Įstatymo 17 straipsnio 1 dalies, 3 dalies, Įstatymo 55 straipsnio 5 dalies reikalavimai.</w:t>
            </w:r>
          </w:p>
          <w:p w14:paraId="14F3F3F1" w14:textId="119A520C" w:rsidR="00C2363E" w:rsidRDefault="00EE404C" w:rsidP="0092687B">
            <w:pPr>
              <w:jc w:val="both"/>
              <w:rPr>
                <w:bCs/>
                <w:szCs w:val="23"/>
              </w:rPr>
            </w:pPr>
            <w:r>
              <w:rPr>
                <w:bCs/>
                <w:szCs w:val="23"/>
              </w:rPr>
              <w:t xml:space="preserve">    Atsižvelgiant į vertinimo apimtyje konstatuotus Įstatymo pažeidimus, su tiekėju UAB „</w:t>
            </w:r>
            <w:proofErr w:type="spellStart"/>
            <w:r>
              <w:rPr>
                <w:bCs/>
                <w:szCs w:val="23"/>
              </w:rPr>
              <w:t>Proit</w:t>
            </w:r>
            <w:proofErr w:type="spellEnd"/>
            <w:r>
              <w:rPr>
                <w:bCs/>
                <w:szCs w:val="23"/>
              </w:rPr>
              <w:t>“ 2019-05-13</w:t>
            </w:r>
            <w:r w:rsidR="00C2363E">
              <w:rPr>
                <w:bCs/>
                <w:szCs w:val="23"/>
              </w:rPr>
              <w:t xml:space="preserve"> sudaryta</w:t>
            </w:r>
            <w:r>
              <w:rPr>
                <w:bCs/>
                <w:szCs w:val="23"/>
              </w:rPr>
              <w:t xml:space="preserve"> Lietuvos teismų informacinės sistemos LITEKO modernizavimo II ir mokymų organizavimo paslaugų teikimo sutartis Nr. 41P-70-(4.11)</w:t>
            </w:r>
            <w:r w:rsidR="00C2363E">
              <w:rPr>
                <w:bCs/>
                <w:szCs w:val="23"/>
              </w:rPr>
              <w:t xml:space="preserve">, </w:t>
            </w:r>
            <w:r>
              <w:rPr>
                <w:bCs/>
                <w:szCs w:val="23"/>
              </w:rPr>
              <w:t xml:space="preserve"> </w:t>
            </w:r>
            <w:r w:rsidR="00C2363E">
              <w:rPr>
                <w:bCs/>
                <w:szCs w:val="23"/>
              </w:rPr>
              <w:t xml:space="preserve">Tarnybos nuomone, turėtų būti </w:t>
            </w:r>
            <w:r>
              <w:rPr>
                <w:bCs/>
                <w:szCs w:val="23"/>
              </w:rPr>
              <w:t>nutraukt</w:t>
            </w:r>
            <w:r w:rsidR="00C2363E">
              <w:rPr>
                <w:bCs/>
                <w:szCs w:val="23"/>
              </w:rPr>
              <w:t>a</w:t>
            </w:r>
            <w:r>
              <w:rPr>
                <w:bCs/>
                <w:szCs w:val="23"/>
              </w:rPr>
              <w:t xml:space="preserve"> ir</w:t>
            </w:r>
            <w:r w:rsidR="00C2363E">
              <w:rPr>
                <w:bCs/>
                <w:szCs w:val="23"/>
              </w:rPr>
              <w:t>, esant poreikiui organizuojamas naujas pirkimas.</w:t>
            </w:r>
          </w:p>
          <w:p w14:paraId="24924185" w14:textId="54D4BA66" w:rsidR="00EE404C" w:rsidRDefault="00C2363E" w:rsidP="0092687B">
            <w:pPr>
              <w:jc w:val="both"/>
              <w:rPr>
                <w:bCs/>
                <w:szCs w:val="23"/>
              </w:rPr>
            </w:pPr>
            <w:r>
              <w:rPr>
                <w:bCs/>
                <w:szCs w:val="23"/>
              </w:rPr>
              <w:t xml:space="preserve">    Prašome ne vėliau, kaip per 10 darbo dienų, nuo šios išvados gavimo dienos, raštu informuoti Tarnybą apie priimtą sprendimą.</w:t>
            </w:r>
          </w:p>
          <w:p w14:paraId="7C0B0133" w14:textId="038F9968" w:rsidR="00B55129" w:rsidRPr="00D56F12" w:rsidRDefault="001B563D" w:rsidP="0092687B">
            <w:pPr>
              <w:jc w:val="both"/>
              <w:rPr>
                <w:bCs/>
                <w:szCs w:val="24"/>
              </w:rPr>
            </w:pPr>
            <w:r>
              <w:rPr>
                <w:sz w:val="23"/>
                <w:szCs w:val="23"/>
              </w:rPr>
              <w:t xml:space="preserve">    </w:t>
            </w:r>
            <w:r w:rsidR="00B55129">
              <w:rPr>
                <w:sz w:val="23"/>
                <w:szCs w:val="23"/>
              </w:rPr>
              <w:t>Vadovaujantis Lietuvos Respublikos administracinių bylų teisenos įstatymo 5 ir 17</w:t>
            </w:r>
            <w:r w:rsidR="00B55129">
              <w:rPr>
                <w:b/>
                <w:sz w:val="23"/>
                <w:szCs w:val="23"/>
              </w:rPr>
              <w:t xml:space="preserve"> </w:t>
            </w:r>
            <w:r w:rsidR="00B55129">
              <w:rPr>
                <w:sz w:val="23"/>
                <w:szCs w:val="23"/>
              </w:rPr>
              <w:t>straipsniais, nesutikę su Tarnybos išvada, Jūs galite ją apskųsti teismui šio įstatymo nustatyta tvarka.</w:t>
            </w:r>
          </w:p>
        </w:tc>
      </w:tr>
    </w:tbl>
    <w:p w14:paraId="475B1DEB" w14:textId="77777777" w:rsidR="00D56F12" w:rsidRDefault="00D56F12" w:rsidP="002A07F4">
      <w:pPr>
        <w:jc w:val="center"/>
        <w:rPr>
          <w:b/>
          <w:szCs w:val="24"/>
        </w:rPr>
      </w:pPr>
    </w:p>
    <w:p w14:paraId="0D97A454" w14:textId="77777777" w:rsidR="002A07F4" w:rsidRPr="00AF6608" w:rsidRDefault="002A07F4" w:rsidP="002A07F4">
      <w:pPr>
        <w:jc w:val="center"/>
        <w:rPr>
          <w:b/>
          <w:szCs w:val="24"/>
        </w:rPr>
      </w:pPr>
      <w:r w:rsidRPr="00AF6608">
        <w:rPr>
          <w:b/>
          <w:szCs w:val="24"/>
        </w:rPr>
        <w:t>Pastabos</w:t>
      </w:r>
    </w:p>
    <w:p w14:paraId="0D87E9D5" w14:textId="77777777"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91215D" w:rsidRPr="00AF6608" w14:paraId="28B6819A" w14:textId="77777777" w:rsidTr="0091215D">
        <w:tc>
          <w:tcPr>
            <w:tcW w:w="567" w:type="dxa"/>
            <w:shd w:val="clear" w:color="auto" w:fill="auto"/>
            <w:vAlign w:val="center"/>
          </w:tcPr>
          <w:p w14:paraId="32225683" w14:textId="77777777" w:rsidR="0091215D" w:rsidRPr="00AF6608" w:rsidRDefault="0091215D" w:rsidP="00D52F90">
            <w:pPr>
              <w:spacing w:before="120" w:after="120"/>
              <w:ind w:left="171" w:hanging="142"/>
              <w:jc w:val="center"/>
              <w:rPr>
                <w:szCs w:val="24"/>
              </w:rPr>
            </w:pPr>
            <w:bookmarkStart w:id="1" w:name="_Hlk17179086"/>
          </w:p>
        </w:tc>
        <w:tc>
          <w:tcPr>
            <w:tcW w:w="9214" w:type="dxa"/>
            <w:shd w:val="clear" w:color="auto" w:fill="auto"/>
          </w:tcPr>
          <w:p w14:paraId="6A5DBA07" w14:textId="77777777" w:rsidR="0091215D" w:rsidRPr="00AF6608" w:rsidRDefault="0091215D" w:rsidP="00D52F90">
            <w:pPr>
              <w:spacing w:before="120" w:after="120"/>
              <w:rPr>
                <w:bCs/>
                <w:szCs w:val="24"/>
              </w:rPr>
            </w:pPr>
          </w:p>
        </w:tc>
      </w:tr>
      <w:tr w:rsidR="0091215D" w:rsidRPr="00AF6608" w14:paraId="3AEC4C5F" w14:textId="77777777" w:rsidTr="00C1042B">
        <w:tc>
          <w:tcPr>
            <w:tcW w:w="9781" w:type="dxa"/>
            <w:gridSpan w:val="2"/>
            <w:tcBorders>
              <w:top w:val="single" w:sz="4" w:space="0" w:color="auto"/>
              <w:left w:val="single" w:sz="4" w:space="0" w:color="auto"/>
              <w:bottom w:val="single" w:sz="4" w:space="0" w:color="auto"/>
              <w:right w:val="single" w:sz="4" w:space="0" w:color="auto"/>
            </w:tcBorders>
          </w:tcPr>
          <w:p w14:paraId="7C96A95D" w14:textId="4A85FA48" w:rsidR="0091215D" w:rsidRPr="000F0D76" w:rsidRDefault="007F56F0" w:rsidP="007F56F0">
            <w:pPr>
              <w:jc w:val="both"/>
              <w:rPr>
                <w:bCs/>
                <w:szCs w:val="24"/>
              </w:rPr>
            </w:pPr>
            <w:r>
              <w:rPr>
                <w:bCs/>
                <w:szCs w:val="24"/>
              </w:rPr>
              <w:t xml:space="preserve">    </w:t>
            </w:r>
            <w:r w:rsidR="000F0D76" w:rsidRPr="000F0D76">
              <w:rPr>
                <w:bCs/>
                <w:szCs w:val="24"/>
              </w:rPr>
              <w:t xml:space="preserve">Pirkimo sąlygų </w:t>
            </w:r>
            <w:r w:rsidR="000F0D76">
              <w:rPr>
                <w:bCs/>
                <w:szCs w:val="24"/>
              </w:rPr>
              <w:t>3.7.3. punkte nustatytas kvalifikacijos reikalavimas, kad „ Tiekėjas turi būti Perkančiosios organizacijos taikomos platformos (</w:t>
            </w:r>
            <w:proofErr w:type="spellStart"/>
            <w:r w:rsidR="000F0D76">
              <w:rPr>
                <w:bCs/>
                <w:szCs w:val="24"/>
              </w:rPr>
              <w:t>Documentum</w:t>
            </w:r>
            <w:proofErr w:type="spellEnd"/>
            <w:r w:rsidR="000F0D76">
              <w:rPr>
                <w:bCs/>
                <w:szCs w:val="24"/>
              </w:rPr>
              <w:t>) programinės įrangos arba siūlomos platformos programinės įrangos gamintojas ir/ arba ofici</w:t>
            </w:r>
            <w:r w:rsidR="00573B80">
              <w:rPr>
                <w:bCs/>
                <w:szCs w:val="24"/>
              </w:rPr>
              <w:t>a</w:t>
            </w:r>
            <w:r w:rsidR="000F0D76">
              <w:rPr>
                <w:bCs/>
                <w:szCs w:val="24"/>
              </w:rPr>
              <w:t xml:space="preserve">lus atstovas, </w:t>
            </w:r>
            <w:r w:rsidR="000F0D76" w:rsidRPr="007804EA">
              <w:rPr>
                <w:bCs/>
                <w:szCs w:val="24"/>
                <w:u w:val="single"/>
              </w:rPr>
              <w:t xml:space="preserve">įgaliotas </w:t>
            </w:r>
            <w:r w:rsidR="000F0D76" w:rsidRPr="00573B80">
              <w:rPr>
                <w:bCs/>
                <w:szCs w:val="24"/>
                <w:u w:val="single"/>
              </w:rPr>
              <w:t xml:space="preserve">parduoti programinės </w:t>
            </w:r>
            <w:r w:rsidR="000F0D76" w:rsidRPr="00573B80">
              <w:rPr>
                <w:bCs/>
                <w:szCs w:val="24"/>
                <w:u w:val="single"/>
              </w:rPr>
              <w:lastRenderedPageBreak/>
              <w:t>įrangos licencijas</w:t>
            </w:r>
            <w:r w:rsidR="000F0D76">
              <w:rPr>
                <w:bCs/>
                <w:szCs w:val="24"/>
              </w:rPr>
              <w:t>, diegti ir konfigūruoti programinę įrangą, atlikti techninį aptarnavimą</w:t>
            </w:r>
            <w:r w:rsidR="00573B80">
              <w:rPr>
                <w:bCs/>
                <w:szCs w:val="24"/>
              </w:rPr>
              <w:t xml:space="preserve"> ir/ arba turi susitarimą su tokiu atstovu dėl </w:t>
            </w:r>
            <w:r w:rsidR="00573B80" w:rsidRPr="00573B80">
              <w:rPr>
                <w:bCs/>
                <w:szCs w:val="24"/>
                <w:u w:val="single"/>
              </w:rPr>
              <w:t>licencijų pardavimo</w:t>
            </w:r>
            <w:r w:rsidR="00573B80">
              <w:rPr>
                <w:bCs/>
                <w:szCs w:val="24"/>
              </w:rPr>
              <w:t>, programinės įrangos diegimo, konfigūravimo ir techninio aptarnavimo atlikimo“, Tarnybos nuomone, reikalavimas dėl licencijų pardavimo neturėtų būti įtrauktas kvalifikaciniams reikalavimams vertinti, atsižvelgiant į tai, kad vieni tiekėjai gali tik diegti sistemą, tačiau parduoti licencijų negali.</w:t>
            </w:r>
          </w:p>
        </w:tc>
      </w:tr>
      <w:bookmarkEnd w:id="1"/>
    </w:tbl>
    <w:p w14:paraId="163AAE75" w14:textId="77777777" w:rsidR="002A07F4" w:rsidRPr="00AF6608" w:rsidRDefault="002A07F4" w:rsidP="002A07F4">
      <w:pPr>
        <w:rPr>
          <w:sz w:val="14"/>
          <w:szCs w:val="14"/>
        </w:rPr>
      </w:pPr>
    </w:p>
    <w:p w14:paraId="64437F17" w14:textId="72101659" w:rsidR="00EF0FD7" w:rsidRDefault="00EF0FD7" w:rsidP="00EF0FD7">
      <w:pPr>
        <w:tabs>
          <w:tab w:val="left" w:pos="851"/>
        </w:tabs>
        <w:ind w:firstLine="709"/>
        <w:jc w:val="both"/>
        <w:rPr>
          <w:bCs/>
          <w:szCs w:val="24"/>
          <w:lang w:eastAsia="lt-LT"/>
        </w:rPr>
      </w:pPr>
    </w:p>
    <w:p w14:paraId="6E364911" w14:textId="339E1161" w:rsidR="00573B80" w:rsidRDefault="00573B80" w:rsidP="00EF0FD7">
      <w:pPr>
        <w:tabs>
          <w:tab w:val="left" w:pos="851"/>
        </w:tabs>
        <w:ind w:firstLine="709"/>
        <w:jc w:val="both"/>
        <w:rPr>
          <w:bCs/>
          <w:szCs w:val="24"/>
          <w:lang w:eastAsia="lt-LT"/>
        </w:rPr>
      </w:pPr>
    </w:p>
    <w:p w14:paraId="520D87FC" w14:textId="6C26AEE7" w:rsidR="00573B80" w:rsidRDefault="00573B80" w:rsidP="00EF0FD7">
      <w:pPr>
        <w:tabs>
          <w:tab w:val="left" w:pos="851"/>
        </w:tabs>
        <w:ind w:firstLine="709"/>
        <w:jc w:val="both"/>
        <w:rPr>
          <w:bCs/>
          <w:szCs w:val="24"/>
          <w:lang w:eastAsia="lt-LT"/>
        </w:rPr>
      </w:pPr>
    </w:p>
    <w:p w14:paraId="2310C463" w14:textId="4FF86CA0" w:rsidR="00573B80" w:rsidRDefault="00573B80" w:rsidP="00EF0FD7">
      <w:pPr>
        <w:tabs>
          <w:tab w:val="left" w:pos="851"/>
        </w:tabs>
        <w:ind w:firstLine="709"/>
        <w:jc w:val="both"/>
        <w:rPr>
          <w:bCs/>
          <w:szCs w:val="24"/>
          <w:lang w:eastAsia="lt-LT"/>
        </w:rPr>
      </w:pPr>
    </w:p>
    <w:p w14:paraId="086C2253" w14:textId="376D88B8" w:rsidR="004650D2" w:rsidRDefault="004650D2" w:rsidP="00EF0FD7">
      <w:pPr>
        <w:tabs>
          <w:tab w:val="left" w:pos="851"/>
        </w:tabs>
        <w:ind w:firstLine="709"/>
        <w:jc w:val="both"/>
        <w:rPr>
          <w:bCs/>
          <w:szCs w:val="24"/>
          <w:lang w:eastAsia="lt-LT"/>
        </w:rPr>
      </w:pPr>
    </w:p>
    <w:p w14:paraId="0022C806" w14:textId="5160451A" w:rsidR="004650D2" w:rsidRDefault="004650D2" w:rsidP="00EF0FD7">
      <w:pPr>
        <w:tabs>
          <w:tab w:val="left" w:pos="851"/>
        </w:tabs>
        <w:ind w:firstLine="709"/>
        <w:jc w:val="both"/>
        <w:rPr>
          <w:bCs/>
          <w:szCs w:val="24"/>
          <w:lang w:eastAsia="lt-LT"/>
        </w:rPr>
      </w:pPr>
    </w:p>
    <w:p w14:paraId="7547D5C1" w14:textId="5FE03723" w:rsidR="004650D2" w:rsidRDefault="004650D2" w:rsidP="00EF0FD7">
      <w:pPr>
        <w:tabs>
          <w:tab w:val="left" w:pos="851"/>
        </w:tabs>
        <w:ind w:firstLine="709"/>
        <w:jc w:val="both"/>
        <w:rPr>
          <w:bCs/>
          <w:szCs w:val="24"/>
          <w:lang w:eastAsia="lt-LT"/>
        </w:rPr>
      </w:pPr>
    </w:p>
    <w:p w14:paraId="37B01474" w14:textId="77777777" w:rsidR="004650D2" w:rsidRDefault="004650D2" w:rsidP="00EF0FD7">
      <w:pPr>
        <w:tabs>
          <w:tab w:val="left" w:pos="851"/>
        </w:tabs>
        <w:ind w:firstLine="709"/>
        <w:jc w:val="both"/>
        <w:rPr>
          <w:bCs/>
          <w:szCs w:val="24"/>
          <w:lang w:eastAsia="lt-LT"/>
        </w:rPr>
      </w:pPr>
    </w:p>
    <w:p w14:paraId="0C6F853A" w14:textId="77777777" w:rsidR="0072439C" w:rsidRDefault="0072439C" w:rsidP="00EF0FD7">
      <w:pPr>
        <w:tabs>
          <w:tab w:val="left" w:pos="851"/>
        </w:tabs>
        <w:ind w:firstLine="709"/>
        <w:jc w:val="both"/>
        <w:rPr>
          <w:bCs/>
          <w:szCs w:val="24"/>
          <w:lang w:eastAsia="lt-LT"/>
        </w:rPr>
      </w:pPr>
    </w:p>
    <w:p w14:paraId="2D56BCD1" w14:textId="77777777" w:rsidR="00686CFF" w:rsidRDefault="00686CFF" w:rsidP="00686CFF">
      <w:pPr>
        <w:rPr>
          <w:sz w:val="22"/>
          <w:lang w:val="en-GB"/>
        </w:rPr>
      </w:pPr>
      <w:proofErr w:type="spellStart"/>
      <w:r>
        <w:rPr>
          <w:lang w:val="en-GB"/>
        </w:rPr>
        <w:t>Direktoriaus</w:t>
      </w:r>
      <w:proofErr w:type="spellEnd"/>
      <w:r>
        <w:rPr>
          <w:lang w:val="en-GB"/>
        </w:rPr>
        <w:t xml:space="preserve"> </w:t>
      </w:r>
      <w:proofErr w:type="spellStart"/>
      <w:r>
        <w:rPr>
          <w:lang w:val="en-GB"/>
        </w:rPr>
        <w:t>pavaduotoja</w:t>
      </w:r>
      <w:proofErr w:type="spellEnd"/>
      <w:r>
        <w:rPr>
          <w:lang w:val="en-GB"/>
        </w:rPr>
        <w:t>,</w:t>
      </w:r>
    </w:p>
    <w:p w14:paraId="739660FC" w14:textId="48965B8F" w:rsidR="00686CFF" w:rsidRDefault="00686CFF" w:rsidP="00686CFF">
      <w:pPr>
        <w:rPr>
          <w:lang w:val="en-GB"/>
        </w:rPr>
      </w:pPr>
      <w:proofErr w:type="spellStart"/>
      <w:r>
        <w:rPr>
          <w:lang w:val="en-GB"/>
        </w:rPr>
        <w:t>laikinai</w:t>
      </w:r>
      <w:proofErr w:type="spellEnd"/>
      <w:r>
        <w:rPr>
          <w:lang w:val="en-GB"/>
        </w:rPr>
        <w:t xml:space="preserve"> </w:t>
      </w:r>
      <w:proofErr w:type="spellStart"/>
      <w:r>
        <w:rPr>
          <w:lang w:val="en-GB"/>
        </w:rPr>
        <w:t>atliekanti</w:t>
      </w:r>
      <w:proofErr w:type="spellEnd"/>
      <w:r>
        <w:rPr>
          <w:lang w:val="en-GB"/>
        </w:rPr>
        <w:t xml:space="preserve"> </w:t>
      </w:r>
      <w:proofErr w:type="spellStart"/>
      <w:r>
        <w:rPr>
          <w:lang w:val="en-GB"/>
        </w:rPr>
        <w:t>direktoriaus</w:t>
      </w:r>
      <w:proofErr w:type="spellEnd"/>
      <w:r>
        <w:rPr>
          <w:lang w:val="en-GB"/>
        </w:rPr>
        <w:t xml:space="preserve"> funkcijas                                                            </w:t>
      </w:r>
      <w:r w:rsidR="004A03B7">
        <w:rPr>
          <w:lang w:val="en-GB"/>
        </w:rPr>
        <w:t xml:space="preserve">    </w:t>
      </w:r>
      <w:r>
        <w:rPr>
          <w:lang w:val="en-GB"/>
        </w:rPr>
        <w:t>    </w:t>
      </w:r>
      <w:r w:rsidR="004A03B7">
        <w:rPr>
          <w:lang w:val="en-GB"/>
        </w:rPr>
        <w:t xml:space="preserve">Jovita </w:t>
      </w:r>
      <w:proofErr w:type="spellStart"/>
      <w:r w:rsidR="004A03B7">
        <w:rPr>
          <w:lang w:val="en-GB"/>
        </w:rPr>
        <w:t>Petkuvienė</w:t>
      </w:r>
      <w:proofErr w:type="spellEnd"/>
    </w:p>
    <w:p w14:paraId="6B139330" w14:textId="77777777" w:rsidR="00BD7216" w:rsidRDefault="00BD7216" w:rsidP="004A6047">
      <w:pPr>
        <w:jc w:val="both"/>
        <w:rPr>
          <w:bCs/>
          <w:sz w:val="36"/>
          <w:szCs w:val="36"/>
        </w:rPr>
      </w:pPr>
    </w:p>
    <w:p w14:paraId="69028B27" w14:textId="790D7EB4" w:rsidR="00D56F12" w:rsidRDefault="00D56F12" w:rsidP="004A6047">
      <w:pPr>
        <w:jc w:val="both"/>
        <w:rPr>
          <w:bCs/>
          <w:sz w:val="36"/>
          <w:szCs w:val="36"/>
        </w:rPr>
      </w:pPr>
    </w:p>
    <w:p w14:paraId="15C2B40F" w14:textId="69824FE1" w:rsidR="004650D2" w:rsidRDefault="004650D2" w:rsidP="004A6047">
      <w:pPr>
        <w:jc w:val="both"/>
        <w:rPr>
          <w:bCs/>
          <w:sz w:val="36"/>
          <w:szCs w:val="36"/>
        </w:rPr>
      </w:pPr>
    </w:p>
    <w:p w14:paraId="473F5FED" w14:textId="654FE43B" w:rsidR="004650D2" w:rsidRDefault="004650D2" w:rsidP="004A6047">
      <w:pPr>
        <w:jc w:val="both"/>
        <w:rPr>
          <w:bCs/>
          <w:sz w:val="36"/>
          <w:szCs w:val="36"/>
        </w:rPr>
      </w:pPr>
    </w:p>
    <w:p w14:paraId="44F3A32B" w14:textId="51C78C80" w:rsidR="004650D2" w:rsidRDefault="004650D2" w:rsidP="004A6047">
      <w:pPr>
        <w:jc w:val="both"/>
        <w:rPr>
          <w:bCs/>
          <w:sz w:val="36"/>
          <w:szCs w:val="36"/>
        </w:rPr>
      </w:pPr>
    </w:p>
    <w:p w14:paraId="6F65E935" w14:textId="33B086DF" w:rsidR="004650D2" w:rsidRDefault="004650D2" w:rsidP="004A6047">
      <w:pPr>
        <w:jc w:val="both"/>
        <w:rPr>
          <w:bCs/>
          <w:sz w:val="36"/>
          <w:szCs w:val="36"/>
        </w:rPr>
      </w:pPr>
    </w:p>
    <w:p w14:paraId="1632F327" w14:textId="3BA6E65A" w:rsidR="004650D2" w:rsidRDefault="004650D2" w:rsidP="004A6047">
      <w:pPr>
        <w:jc w:val="both"/>
        <w:rPr>
          <w:bCs/>
          <w:sz w:val="36"/>
          <w:szCs w:val="36"/>
        </w:rPr>
      </w:pPr>
    </w:p>
    <w:p w14:paraId="0CDFD39B" w14:textId="01C58AAC" w:rsidR="004650D2" w:rsidRDefault="004650D2" w:rsidP="004A6047">
      <w:pPr>
        <w:jc w:val="both"/>
        <w:rPr>
          <w:bCs/>
          <w:sz w:val="36"/>
          <w:szCs w:val="36"/>
        </w:rPr>
      </w:pPr>
    </w:p>
    <w:p w14:paraId="1265A627" w14:textId="60A3EC74" w:rsidR="004650D2" w:rsidRDefault="004650D2" w:rsidP="004A6047">
      <w:pPr>
        <w:jc w:val="both"/>
        <w:rPr>
          <w:bCs/>
          <w:sz w:val="36"/>
          <w:szCs w:val="36"/>
        </w:rPr>
      </w:pPr>
    </w:p>
    <w:p w14:paraId="0BB2F729" w14:textId="6BC08B47" w:rsidR="004650D2" w:rsidRDefault="004650D2" w:rsidP="004A6047">
      <w:pPr>
        <w:jc w:val="both"/>
        <w:rPr>
          <w:bCs/>
          <w:sz w:val="36"/>
          <w:szCs w:val="36"/>
        </w:rPr>
      </w:pPr>
    </w:p>
    <w:p w14:paraId="54AC0326" w14:textId="6601B96B" w:rsidR="004650D2" w:rsidRDefault="004650D2" w:rsidP="004A6047">
      <w:pPr>
        <w:jc w:val="both"/>
        <w:rPr>
          <w:bCs/>
          <w:sz w:val="36"/>
          <w:szCs w:val="36"/>
        </w:rPr>
      </w:pPr>
    </w:p>
    <w:p w14:paraId="6B333E4C" w14:textId="27E9D030" w:rsidR="004650D2" w:rsidRDefault="004650D2" w:rsidP="004A6047">
      <w:pPr>
        <w:jc w:val="both"/>
        <w:rPr>
          <w:bCs/>
          <w:sz w:val="36"/>
          <w:szCs w:val="36"/>
        </w:rPr>
      </w:pPr>
    </w:p>
    <w:p w14:paraId="4FE48E8A" w14:textId="0E3D1A74" w:rsidR="004650D2" w:rsidRDefault="004650D2" w:rsidP="004A6047">
      <w:pPr>
        <w:jc w:val="both"/>
        <w:rPr>
          <w:bCs/>
          <w:sz w:val="36"/>
          <w:szCs w:val="36"/>
        </w:rPr>
      </w:pPr>
    </w:p>
    <w:p w14:paraId="592C9135" w14:textId="1DCB7985" w:rsidR="004650D2" w:rsidRDefault="004650D2" w:rsidP="004A6047">
      <w:pPr>
        <w:jc w:val="both"/>
        <w:rPr>
          <w:bCs/>
          <w:sz w:val="36"/>
          <w:szCs w:val="36"/>
        </w:rPr>
      </w:pPr>
    </w:p>
    <w:p w14:paraId="22019FF0" w14:textId="33616BA4" w:rsidR="004650D2" w:rsidRDefault="004650D2" w:rsidP="004A6047">
      <w:pPr>
        <w:jc w:val="both"/>
        <w:rPr>
          <w:bCs/>
          <w:sz w:val="36"/>
          <w:szCs w:val="36"/>
        </w:rPr>
      </w:pPr>
    </w:p>
    <w:p w14:paraId="3B6B47EC" w14:textId="1DB2FE4E" w:rsidR="004650D2" w:rsidRDefault="004650D2" w:rsidP="004A6047">
      <w:pPr>
        <w:jc w:val="both"/>
        <w:rPr>
          <w:bCs/>
          <w:sz w:val="36"/>
          <w:szCs w:val="36"/>
        </w:rPr>
      </w:pPr>
    </w:p>
    <w:p w14:paraId="76D2BA71" w14:textId="0D478587" w:rsidR="004650D2" w:rsidRDefault="004650D2" w:rsidP="004A6047">
      <w:pPr>
        <w:jc w:val="both"/>
        <w:rPr>
          <w:bCs/>
          <w:sz w:val="36"/>
          <w:szCs w:val="36"/>
        </w:rPr>
      </w:pPr>
    </w:p>
    <w:p w14:paraId="0BDA44EB" w14:textId="4F9299AD" w:rsidR="004650D2" w:rsidRDefault="004650D2" w:rsidP="004A6047">
      <w:pPr>
        <w:jc w:val="both"/>
        <w:rPr>
          <w:bCs/>
          <w:sz w:val="36"/>
          <w:szCs w:val="36"/>
        </w:rPr>
      </w:pPr>
    </w:p>
    <w:p w14:paraId="461E656D" w14:textId="1725EFCD" w:rsidR="004650D2" w:rsidRDefault="004650D2" w:rsidP="004A6047">
      <w:pPr>
        <w:jc w:val="both"/>
        <w:rPr>
          <w:bCs/>
          <w:sz w:val="36"/>
          <w:szCs w:val="36"/>
        </w:rPr>
      </w:pPr>
    </w:p>
    <w:p w14:paraId="256D3FD9" w14:textId="49A29AE5" w:rsidR="004650D2" w:rsidRDefault="004650D2" w:rsidP="004A6047">
      <w:pPr>
        <w:jc w:val="both"/>
        <w:rPr>
          <w:bCs/>
          <w:sz w:val="36"/>
          <w:szCs w:val="36"/>
        </w:rPr>
      </w:pPr>
    </w:p>
    <w:p w14:paraId="7E1D20EC" w14:textId="3E8506DB" w:rsidR="00F11FD8" w:rsidRDefault="00F11FD8" w:rsidP="004A6047">
      <w:pPr>
        <w:jc w:val="both"/>
        <w:rPr>
          <w:bCs/>
          <w:sz w:val="36"/>
          <w:szCs w:val="36"/>
        </w:rPr>
      </w:pPr>
    </w:p>
    <w:p w14:paraId="1064C29F" w14:textId="048B170C" w:rsidR="00F11FD8" w:rsidRDefault="00F11FD8" w:rsidP="004A6047">
      <w:pPr>
        <w:jc w:val="both"/>
        <w:rPr>
          <w:bCs/>
          <w:sz w:val="36"/>
          <w:szCs w:val="36"/>
        </w:rPr>
      </w:pPr>
    </w:p>
    <w:p w14:paraId="406BE531" w14:textId="77777777" w:rsidR="00D56F12" w:rsidRPr="00D56F12" w:rsidRDefault="00D56F12" w:rsidP="00D56F12">
      <w:pPr>
        <w:tabs>
          <w:tab w:val="left" w:pos="900"/>
        </w:tabs>
        <w:spacing w:before="120" w:after="120"/>
        <w:jc w:val="both"/>
        <w:rPr>
          <w:rFonts w:eastAsia="Calibri"/>
          <w:szCs w:val="24"/>
        </w:rPr>
      </w:pPr>
      <w:r w:rsidRPr="00D56F12">
        <w:rPr>
          <w:rFonts w:eastAsia="Calibri"/>
          <w:szCs w:val="24"/>
        </w:rPr>
        <w:t>L. Tautvaišienė, tel. (8 5) 219 7036, faks. (8 5) 213 6213, el. p. Laimute.Tautvaisiene@vpt.lt</w:t>
      </w:r>
    </w:p>
    <w:sectPr w:rsidR="00D56F12" w:rsidRPr="00D56F12" w:rsidSect="003F255A">
      <w:headerReference w:type="default" r:id="rId11"/>
      <w:headerReference w:type="first" r:id="rId12"/>
      <w:footerReference w:type="first" r:id="rId13"/>
      <w:pgSz w:w="11906" w:h="16838"/>
      <w:pgMar w:top="425"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AA99C" w14:textId="77777777" w:rsidR="009F442B" w:rsidRDefault="009F442B" w:rsidP="00B60E72">
      <w:r>
        <w:separator/>
      </w:r>
    </w:p>
  </w:endnote>
  <w:endnote w:type="continuationSeparator" w:id="0">
    <w:p w14:paraId="3EBF4D06" w14:textId="77777777" w:rsidR="009F442B" w:rsidRDefault="009F442B"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9F59C" w14:textId="77777777" w:rsidR="00C45CC1" w:rsidRPr="00EF1EBC" w:rsidRDefault="00C45CC1" w:rsidP="00C45CC1">
    <w:pPr>
      <w:pBdr>
        <w:top w:val="single" w:sz="4" w:space="1" w:color="auto"/>
      </w:pBdr>
      <w:rPr>
        <w:sz w:val="20"/>
      </w:rPr>
    </w:pPr>
    <w:r w:rsidRPr="00EF1EBC">
      <w:rPr>
        <w:sz w:val="20"/>
      </w:rPr>
      <w:t xml:space="preserve">Biudžetinė įstaiga                              </w:t>
    </w:r>
    <w:r w:rsidRPr="00132FD4">
      <w:rPr>
        <w:sz w:val="20"/>
      </w:rPr>
      <w:t xml:space="preserve">        </w:t>
    </w:r>
    <w:r w:rsidR="0027186C">
      <w:rPr>
        <w:sz w:val="20"/>
      </w:rPr>
      <w:t xml:space="preserve">               </w:t>
    </w:r>
    <w:r w:rsidRPr="00EF1EBC">
      <w:rPr>
        <w:sz w:val="20"/>
      </w:rPr>
      <w:t xml:space="preserve"> Tel.  (8 5) 219 7001        </w:t>
    </w:r>
    <w:r w:rsidRPr="00132FD4">
      <w:rPr>
        <w:sz w:val="20"/>
      </w:rPr>
      <w:t xml:space="preserve">    </w:t>
    </w:r>
    <w:r w:rsidR="001B1E35">
      <w:rPr>
        <w:sz w:val="20"/>
      </w:rPr>
      <w:t xml:space="preserve">   </w:t>
    </w:r>
    <w:r w:rsidR="0027186C">
      <w:rPr>
        <w:sz w:val="20"/>
      </w:rPr>
      <w:t xml:space="preserve">       </w:t>
    </w:r>
    <w:r w:rsidRPr="00EF1EBC">
      <w:rPr>
        <w:sz w:val="20"/>
      </w:rPr>
      <w:t>Duomenys kaupiami ir saugomi </w:t>
    </w:r>
  </w:p>
  <w:p w14:paraId="03D00ABD" w14:textId="144AB4D1" w:rsidR="00C45CC1" w:rsidRPr="00EF1EBC" w:rsidRDefault="00C45CC1" w:rsidP="00C45CC1">
    <w:pPr>
      <w:pBdr>
        <w:top w:val="single" w:sz="4" w:space="1" w:color="auto"/>
      </w:pBdr>
      <w:jc w:val="both"/>
      <w:rPr>
        <w:sz w:val="20"/>
      </w:rPr>
    </w:pPr>
    <w:r w:rsidRPr="00EF1EBC">
      <w:rPr>
        <w:sz w:val="20"/>
      </w:rPr>
      <w:t>Kareivių g. 1, LT-08</w:t>
    </w:r>
    <w:r w:rsidR="009B5649">
      <w:rPr>
        <w:sz w:val="20"/>
      </w:rPr>
      <w:t>351</w:t>
    </w:r>
    <w:r w:rsidRPr="00EF1EBC">
      <w:rPr>
        <w:sz w:val="20"/>
      </w:rPr>
      <w:t xml:space="preserve"> Vilnius          </w:t>
    </w:r>
    <w:r w:rsidR="00132FD4">
      <w:rPr>
        <w:sz w:val="20"/>
      </w:rPr>
      <w:t xml:space="preserve">                  </w:t>
    </w:r>
    <w:r w:rsidRPr="00132FD4">
      <w:rPr>
        <w:sz w:val="20"/>
      </w:rPr>
      <w:t xml:space="preserve">   </w:t>
    </w:r>
    <w:r w:rsidRPr="00EF1EBC">
      <w:rPr>
        <w:sz w:val="20"/>
      </w:rPr>
      <w:t xml:space="preserve">Faks. (8 5) 213 6213    </w:t>
    </w:r>
    <w:r w:rsidR="00132FD4">
      <w:rPr>
        <w:sz w:val="20"/>
      </w:rPr>
      <w:t xml:space="preserve">    </w:t>
    </w:r>
    <w:r w:rsidR="0027186C">
      <w:rPr>
        <w:sz w:val="20"/>
      </w:rPr>
      <w:t xml:space="preserve">    </w:t>
    </w:r>
    <w:r w:rsidR="001B1E35">
      <w:rPr>
        <w:sz w:val="20"/>
      </w:rPr>
      <w:t xml:space="preserve">     </w:t>
    </w:r>
    <w:r w:rsidR="00132FD4">
      <w:rPr>
        <w:sz w:val="20"/>
      </w:rPr>
      <w:t xml:space="preserve">   </w:t>
    </w:r>
    <w:r w:rsidRPr="00EF1EBC">
      <w:rPr>
        <w:sz w:val="20"/>
      </w:rPr>
      <w:t xml:space="preserve">Juridinių asmenų registre </w:t>
    </w:r>
  </w:p>
  <w:p w14:paraId="5F389674" w14:textId="77777777" w:rsidR="00C45CC1" w:rsidRPr="00EF1EBC" w:rsidRDefault="00C45CC1" w:rsidP="00C45CC1">
    <w:pPr>
      <w:pBdr>
        <w:top w:val="single" w:sz="4" w:space="1" w:color="auto"/>
      </w:pBdr>
      <w:jc w:val="both"/>
      <w:rPr>
        <w:sz w:val="20"/>
      </w:rPr>
    </w:pPr>
    <w:r w:rsidRPr="00EF1EBC">
      <w:rPr>
        <w:sz w:val="20"/>
      </w:rPr>
      <w:t xml:space="preserve">http://www.vpt.lt                                 </w:t>
    </w:r>
    <w:r w:rsidRPr="00132FD4">
      <w:rPr>
        <w:sz w:val="20"/>
      </w:rPr>
      <w:t xml:space="preserve">       </w:t>
    </w:r>
    <w:r w:rsidR="0027186C">
      <w:rPr>
        <w:sz w:val="20"/>
      </w:rPr>
      <w:t xml:space="preserve">            </w:t>
    </w:r>
    <w:r w:rsidR="00132FD4">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sidRPr="00132FD4">
      <w:rPr>
        <w:sz w:val="20"/>
      </w:rPr>
      <w:t xml:space="preserve">  </w:t>
    </w:r>
    <w:r w:rsidR="0027186C">
      <w:rPr>
        <w:sz w:val="20"/>
      </w:rPr>
      <w:t xml:space="preserve">       </w:t>
    </w:r>
    <w:r w:rsidRPr="00EF1EBC">
      <w:rPr>
        <w:sz w:val="20"/>
      </w:rPr>
      <w:t xml:space="preserve"> </w:t>
    </w:r>
    <w:r w:rsidR="001B1E35">
      <w:rPr>
        <w:sz w:val="20"/>
      </w:rPr>
      <w:t xml:space="preserve">   </w:t>
    </w:r>
    <w:r w:rsidRPr="00EF1EBC">
      <w:rPr>
        <w:sz w:val="20"/>
      </w:rPr>
      <w:t xml:space="preserve">    Kodas 188656261</w:t>
    </w:r>
  </w:p>
  <w:p w14:paraId="18F0B6E9" w14:textId="77777777" w:rsidR="00C45CC1" w:rsidRPr="00132FD4" w:rsidRDefault="00C45CC1" w:rsidP="00C45CC1">
    <w:pPr>
      <w:pStyle w:val="Footer"/>
      <w:rPr>
        <w:sz w:val="20"/>
      </w:rPr>
    </w:pPr>
  </w:p>
  <w:p w14:paraId="65A5C928" w14:textId="77777777" w:rsidR="00526B7B" w:rsidRDefault="00526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23BE0" w14:textId="77777777" w:rsidR="009F442B" w:rsidRDefault="009F442B" w:rsidP="00B60E72">
      <w:r>
        <w:separator/>
      </w:r>
    </w:p>
  </w:footnote>
  <w:footnote w:type="continuationSeparator" w:id="0">
    <w:p w14:paraId="4FE72F3C" w14:textId="77777777" w:rsidR="009F442B" w:rsidRDefault="009F442B" w:rsidP="00B60E72">
      <w:r>
        <w:continuationSeparator/>
      </w:r>
    </w:p>
  </w:footnote>
  <w:footnote w:id="1">
    <w:p w14:paraId="0CDC70BD" w14:textId="19A4BFD2" w:rsidR="006C2DCE" w:rsidRDefault="006C2DCE">
      <w:pPr>
        <w:pStyle w:val="FootnoteText"/>
      </w:pPr>
      <w:r>
        <w:rPr>
          <w:rStyle w:val="FootnoteReference"/>
        </w:rPr>
        <w:footnoteRef/>
      </w:r>
      <w:r>
        <w:t xml:space="preserve"> „Perkančioji organizacija užtikrina, kad vykdant pirkimą būtų laikomasi lygiateisiškumo, nediskriminavimo, abipusio pripažinimo, proporcingumo, skaidrumo principų“;</w:t>
      </w:r>
    </w:p>
  </w:footnote>
  <w:footnote w:id="2">
    <w:p w14:paraId="675B598A" w14:textId="3D7894A6" w:rsidR="006C2DCE" w:rsidRDefault="006C2DCE">
      <w:pPr>
        <w:pStyle w:val="FootnoteText"/>
      </w:pPr>
      <w:r>
        <w:rPr>
          <w:rStyle w:val="FootnoteReference"/>
        </w:rPr>
        <w:footnoteRef/>
      </w:r>
      <w:r>
        <w:t xml:space="preserve"> „Planuojant pirkimus ir jiems rengiantis negali būti siekiama išvengti šiame įstatyme nustatytos tvarkos taikymo ar dirbinai sumažinti konkurenciją &lt;...&gt;“;</w:t>
      </w:r>
    </w:p>
  </w:footnote>
  <w:footnote w:id="3">
    <w:p w14:paraId="63E55863" w14:textId="66D3820A" w:rsidR="006C2DCE" w:rsidRDefault="006C2DCE">
      <w:pPr>
        <w:pStyle w:val="FootnoteText"/>
      </w:pPr>
      <w:r>
        <w:rPr>
          <w:rStyle w:val="FootnoteReference"/>
        </w:rPr>
        <w:footnoteRef/>
      </w:r>
      <w:r>
        <w:t xml:space="preserve"> </w:t>
      </w:r>
      <w:r w:rsidR="00764068">
        <w:t>„Pasirinkti pasiūlymų vertinimo kriterijai neturi perkančiajai organizacijai suteikti neribotos pasirinkimo laisvės ir turi užtikrinti veiksmingą tiekėjų konkurenciją &lt;...&gt;“;</w:t>
      </w:r>
    </w:p>
  </w:footnote>
  <w:footnote w:id="4">
    <w:p w14:paraId="4A79824C" w14:textId="3A05EB4F" w:rsidR="00F11FD8" w:rsidRDefault="00F11FD8">
      <w:pPr>
        <w:pStyle w:val="FootnoteText"/>
      </w:pPr>
      <w:r>
        <w:rPr>
          <w:rStyle w:val="FootnoteReference"/>
        </w:rPr>
        <w:footnoteRef/>
      </w:r>
      <w:r>
        <w:t xml:space="preserve"> Pirkimo sąlygų 3.7.3. punkte nustatytas kvalifikacijos reikalavimas;</w:t>
      </w:r>
    </w:p>
  </w:footnote>
  <w:footnote w:id="5">
    <w:p w14:paraId="08ABD600" w14:textId="2E2317FC" w:rsidR="00596B0F" w:rsidRDefault="00596B0F">
      <w:pPr>
        <w:pStyle w:val="FootnoteText"/>
      </w:pPr>
      <w:r>
        <w:rPr>
          <w:rStyle w:val="FootnoteReference"/>
        </w:rPr>
        <w:footnoteRef/>
      </w:r>
      <w:r>
        <w:t xml:space="preserve"> </w:t>
      </w:r>
      <w:r w:rsidR="009D2D01">
        <w:t xml:space="preserve">„Lietuvos teismų informacinės sistemos modernizavimo paslaugų pirkimo“ </w:t>
      </w:r>
      <w:r>
        <w:t>sutartis</w:t>
      </w:r>
      <w:r w:rsidR="009D2D01">
        <w:t xml:space="preserve"> </w:t>
      </w:r>
      <w:r>
        <w:t>Nr. 41P-104-(4.11)</w:t>
      </w:r>
      <w:r w:rsidR="009D2D01">
        <w:t xml:space="preserve"> pasirašyta 2016-07-14 </w:t>
      </w:r>
      <w:r>
        <w:t xml:space="preserve"> su UAB „</w:t>
      </w:r>
      <w:proofErr w:type="spellStart"/>
      <w:r>
        <w:t>Proit</w:t>
      </w:r>
      <w:proofErr w:type="spellEnd"/>
      <w:r>
        <w:t>“</w:t>
      </w:r>
      <w:r w:rsidR="009D2D0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018201"/>
      <w:docPartObj>
        <w:docPartGallery w:val="Page Numbers (Top of Page)"/>
        <w:docPartUnique/>
      </w:docPartObj>
    </w:sdtPr>
    <w:sdtEndPr/>
    <w:sdtContent>
      <w:p w14:paraId="709B05E1" w14:textId="77777777" w:rsidR="00467300" w:rsidRDefault="00467300">
        <w:pPr>
          <w:pStyle w:val="Header"/>
          <w:jc w:val="center"/>
        </w:pPr>
        <w:r>
          <w:fldChar w:fldCharType="begin"/>
        </w:r>
        <w:r>
          <w:instrText>PAGE   \* MERGEFORMAT</w:instrText>
        </w:r>
        <w:r>
          <w:fldChar w:fldCharType="separate"/>
        </w:r>
        <w:r w:rsidR="00FF6770">
          <w:rPr>
            <w:noProof/>
          </w:rPr>
          <w:t>4</w:t>
        </w:r>
        <w:r>
          <w:fldChar w:fldCharType="end"/>
        </w:r>
        <w:r>
          <w:t>.</w:t>
        </w:r>
      </w:p>
    </w:sdtContent>
  </w:sdt>
  <w:p w14:paraId="063D899E" w14:textId="77777777" w:rsidR="0027186C" w:rsidRDefault="0027186C" w:rsidP="008A58F2">
    <w:pPr>
      <w:pStyle w:val="Header"/>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B81C" w14:textId="77777777" w:rsidR="00ED0D41" w:rsidRDefault="00ED0D41" w:rsidP="00ED0D41">
    <w:pPr>
      <w:pStyle w:val="Header"/>
      <w:jc w:val="right"/>
      <w:rPr>
        <w:b/>
        <w:szCs w:val="24"/>
      </w:rPr>
    </w:pPr>
  </w:p>
  <w:p w14:paraId="50AF0222" w14:textId="77777777" w:rsidR="00ED0D41" w:rsidRDefault="00ED0D41" w:rsidP="00ED0D41">
    <w:pPr>
      <w:pStyle w:val="Header"/>
      <w:jc w:val="right"/>
    </w:pPr>
    <w:r>
      <w:rPr>
        <w:b/>
        <w:szCs w:val="24"/>
      </w:rPr>
      <w:t>Originalas nebus siunčiamas</w:t>
    </w:r>
  </w:p>
  <w:p w14:paraId="64F1BBC6" w14:textId="77777777" w:rsidR="00ED0D41" w:rsidRDefault="00ED0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385546F"/>
    <w:multiLevelType w:val="hybridMultilevel"/>
    <w:tmpl w:val="F0DE21E0"/>
    <w:lvl w:ilvl="0" w:tplc="EEA4A5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235B09"/>
    <w:multiLevelType w:val="hybridMultilevel"/>
    <w:tmpl w:val="9F82A7C4"/>
    <w:lvl w:ilvl="0" w:tplc="4D287150">
      <w:numFmt w:val="bullet"/>
      <w:lvlText w:val="-"/>
      <w:lvlJc w:val="left"/>
      <w:pPr>
        <w:ind w:left="819" w:hanging="360"/>
      </w:pPr>
      <w:rPr>
        <w:rFonts w:ascii="Times New Roman" w:eastAsia="Times New Roman" w:hAnsi="Times New Roman" w:cs="Times New Roman" w:hint="default"/>
      </w:rPr>
    </w:lvl>
    <w:lvl w:ilvl="1" w:tplc="04270003" w:tentative="1">
      <w:start w:val="1"/>
      <w:numFmt w:val="bullet"/>
      <w:lvlText w:val="o"/>
      <w:lvlJc w:val="left"/>
      <w:pPr>
        <w:ind w:left="1539" w:hanging="360"/>
      </w:pPr>
      <w:rPr>
        <w:rFonts w:ascii="Courier New" w:hAnsi="Courier New" w:cs="Courier New" w:hint="default"/>
      </w:rPr>
    </w:lvl>
    <w:lvl w:ilvl="2" w:tplc="04270005" w:tentative="1">
      <w:start w:val="1"/>
      <w:numFmt w:val="bullet"/>
      <w:lvlText w:val=""/>
      <w:lvlJc w:val="left"/>
      <w:pPr>
        <w:ind w:left="2259" w:hanging="360"/>
      </w:pPr>
      <w:rPr>
        <w:rFonts w:ascii="Wingdings" w:hAnsi="Wingdings" w:hint="default"/>
      </w:rPr>
    </w:lvl>
    <w:lvl w:ilvl="3" w:tplc="04270001" w:tentative="1">
      <w:start w:val="1"/>
      <w:numFmt w:val="bullet"/>
      <w:lvlText w:val=""/>
      <w:lvlJc w:val="left"/>
      <w:pPr>
        <w:ind w:left="2979" w:hanging="360"/>
      </w:pPr>
      <w:rPr>
        <w:rFonts w:ascii="Symbol" w:hAnsi="Symbol" w:hint="default"/>
      </w:rPr>
    </w:lvl>
    <w:lvl w:ilvl="4" w:tplc="04270003" w:tentative="1">
      <w:start w:val="1"/>
      <w:numFmt w:val="bullet"/>
      <w:lvlText w:val="o"/>
      <w:lvlJc w:val="left"/>
      <w:pPr>
        <w:ind w:left="3699" w:hanging="360"/>
      </w:pPr>
      <w:rPr>
        <w:rFonts w:ascii="Courier New" w:hAnsi="Courier New" w:cs="Courier New" w:hint="default"/>
      </w:rPr>
    </w:lvl>
    <w:lvl w:ilvl="5" w:tplc="04270005" w:tentative="1">
      <w:start w:val="1"/>
      <w:numFmt w:val="bullet"/>
      <w:lvlText w:val=""/>
      <w:lvlJc w:val="left"/>
      <w:pPr>
        <w:ind w:left="4419" w:hanging="360"/>
      </w:pPr>
      <w:rPr>
        <w:rFonts w:ascii="Wingdings" w:hAnsi="Wingdings" w:hint="default"/>
      </w:rPr>
    </w:lvl>
    <w:lvl w:ilvl="6" w:tplc="04270001" w:tentative="1">
      <w:start w:val="1"/>
      <w:numFmt w:val="bullet"/>
      <w:lvlText w:val=""/>
      <w:lvlJc w:val="left"/>
      <w:pPr>
        <w:ind w:left="5139" w:hanging="360"/>
      </w:pPr>
      <w:rPr>
        <w:rFonts w:ascii="Symbol" w:hAnsi="Symbol" w:hint="default"/>
      </w:rPr>
    </w:lvl>
    <w:lvl w:ilvl="7" w:tplc="04270003" w:tentative="1">
      <w:start w:val="1"/>
      <w:numFmt w:val="bullet"/>
      <w:lvlText w:val="o"/>
      <w:lvlJc w:val="left"/>
      <w:pPr>
        <w:ind w:left="5859" w:hanging="360"/>
      </w:pPr>
      <w:rPr>
        <w:rFonts w:ascii="Courier New" w:hAnsi="Courier New" w:cs="Courier New" w:hint="default"/>
      </w:rPr>
    </w:lvl>
    <w:lvl w:ilvl="8" w:tplc="04270005" w:tentative="1">
      <w:start w:val="1"/>
      <w:numFmt w:val="bullet"/>
      <w:lvlText w:val=""/>
      <w:lvlJc w:val="left"/>
      <w:pPr>
        <w:ind w:left="6579"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CB"/>
    <w:rsid w:val="00000524"/>
    <w:rsid w:val="00000C7F"/>
    <w:rsid w:val="00002C5B"/>
    <w:rsid w:val="000250C3"/>
    <w:rsid w:val="00027DCA"/>
    <w:rsid w:val="00040D01"/>
    <w:rsid w:val="00042D9E"/>
    <w:rsid w:val="00056EEC"/>
    <w:rsid w:val="00067351"/>
    <w:rsid w:val="000738AE"/>
    <w:rsid w:val="000800F2"/>
    <w:rsid w:val="00087B20"/>
    <w:rsid w:val="000920AE"/>
    <w:rsid w:val="000924F3"/>
    <w:rsid w:val="000A221B"/>
    <w:rsid w:val="000A309E"/>
    <w:rsid w:val="000B23BE"/>
    <w:rsid w:val="000C387E"/>
    <w:rsid w:val="000C7196"/>
    <w:rsid w:val="000C7BB7"/>
    <w:rsid w:val="000D4A4D"/>
    <w:rsid w:val="000D6E31"/>
    <w:rsid w:val="000E4048"/>
    <w:rsid w:val="000E634C"/>
    <w:rsid w:val="000F0D76"/>
    <w:rsid w:val="000F1A98"/>
    <w:rsid w:val="000F5336"/>
    <w:rsid w:val="001016AD"/>
    <w:rsid w:val="00103E48"/>
    <w:rsid w:val="00106473"/>
    <w:rsid w:val="0011395D"/>
    <w:rsid w:val="00114DFB"/>
    <w:rsid w:val="00123178"/>
    <w:rsid w:val="00124C28"/>
    <w:rsid w:val="0012700D"/>
    <w:rsid w:val="00130DA5"/>
    <w:rsid w:val="00132FD4"/>
    <w:rsid w:val="00134418"/>
    <w:rsid w:val="00135EFA"/>
    <w:rsid w:val="001373AB"/>
    <w:rsid w:val="001460AB"/>
    <w:rsid w:val="001479BB"/>
    <w:rsid w:val="00153E4A"/>
    <w:rsid w:val="001542F1"/>
    <w:rsid w:val="001543EB"/>
    <w:rsid w:val="00156A02"/>
    <w:rsid w:val="00163908"/>
    <w:rsid w:val="00173E58"/>
    <w:rsid w:val="00197368"/>
    <w:rsid w:val="001A18D2"/>
    <w:rsid w:val="001A204A"/>
    <w:rsid w:val="001A2215"/>
    <w:rsid w:val="001B1E35"/>
    <w:rsid w:val="001B4077"/>
    <w:rsid w:val="001B563D"/>
    <w:rsid w:val="001B6A4E"/>
    <w:rsid w:val="001D3779"/>
    <w:rsid w:val="001D39F3"/>
    <w:rsid w:val="001D4656"/>
    <w:rsid w:val="001E5675"/>
    <w:rsid w:val="001F1676"/>
    <w:rsid w:val="00200029"/>
    <w:rsid w:val="00200CF5"/>
    <w:rsid w:val="0021722B"/>
    <w:rsid w:val="00222A9B"/>
    <w:rsid w:val="0022436C"/>
    <w:rsid w:val="0022780E"/>
    <w:rsid w:val="00234843"/>
    <w:rsid w:val="00237968"/>
    <w:rsid w:val="00250424"/>
    <w:rsid w:val="0025094E"/>
    <w:rsid w:val="00250E31"/>
    <w:rsid w:val="00257AE8"/>
    <w:rsid w:val="00266070"/>
    <w:rsid w:val="00266C8F"/>
    <w:rsid w:val="0027186C"/>
    <w:rsid w:val="00271972"/>
    <w:rsid w:val="0028125C"/>
    <w:rsid w:val="00283CA1"/>
    <w:rsid w:val="002866A6"/>
    <w:rsid w:val="002876AF"/>
    <w:rsid w:val="00290B20"/>
    <w:rsid w:val="00290D1A"/>
    <w:rsid w:val="002A07F4"/>
    <w:rsid w:val="002A6D67"/>
    <w:rsid w:val="002A7F53"/>
    <w:rsid w:val="002E5706"/>
    <w:rsid w:val="002F10DB"/>
    <w:rsid w:val="002F32BA"/>
    <w:rsid w:val="00306117"/>
    <w:rsid w:val="00307926"/>
    <w:rsid w:val="00311DD6"/>
    <w:rsid w:val="0031209D"/>
    <w:rsid w:val="00320DC6"/>
    <w:rsid w:val="003241D9"/>
    <w:rsid w:val="00325CFB"/>
    <w:rsid w:val="003328C2"/>
    <w:rsid w:val="00334382"/>
    <w:rsid w:val="00336743"/>
    <w:rsid w:val="003454A0"/>
    <w:rsid w:val="003455A8"/>
    <w:rsid w:val="00355E28"/>
    <w:rsid w:val="00361009"/>
    <w:rsid w:val="0036140F"/>
    <w:rsid w:val="003618DD"/>
    <w:rsid w:val="00374452"/>
    <w:rsid w:val="00382F94"/>
    <w:rsid w:val="00385EF0"/>
    <w:rsid w:val="00387196"/>
    <w:rsid w:val="00397F1E"/>
    <w:rsid w:val="003A120C"/>
    <w:rsid w:val="003A2C45"/>
    <w:rsid w:val="003B346F"/>
    <w:rsid w:val="003C3987"/>
    <w:rsid w:val="003D1AEF"/>
    <w:rsid w:val="003D1F5D"/>
    <w:rsid w:val="003D5064"/>
    <w:rsid w:val="003E037E"/>
    <w:rsid w:val="003E284B"/>
    <w:rsid w:val="003E3E69"/>
    <w:rsid w:val="003E67BA"/>
    <w:rsid w:val="003F1B10"/>
    <w:rsid w:val="003F2389"/>
    <w:rsid w:val="003F255A"/>
    <w:rsid w:val="003F3484"/>
    <w:rsid w:val="004650D2"/>
    <w:rsid w:val="00467300"/>
    <w:rsid w:val="004722F4"/>
    <w:rsid w:val="00473F2C"/>
    <w:rsid w:val="00485137"/>
    <w:rsid w:val="00496648"/>
    <w:rsid w:val="004A03B7"/>
    <w:rsid w:val="004A6047"/>
    <w:rsid w:val="004B322F"/>
    <w:rsid w:val="004C2177"/>
    <w:rsid w:val="004D0DEB"/>
    <w:rsid w:val="004D0EEB"/>
    <w:rsid w:val="004D25C2"/>
    <w:rsid w:val="004D7E87"/>
    <w:rsid w:val="004F0322"/>
    <w:rsid w:val="004F2600"/>
    <w:rsid w:val="004F5E8B"/>
    <w:rsid w:val="004F75D1"/>
    <w:rsid w:val="004F7A25"/>
    <w:rsid w:val="0050210C"/>
    <w:rsid w:val="00512E9A"/>
    <w:rsid w:val="005258FD"/>
    <w:rsid w:val="00526B7B"/>
    <w:rsid w:val="00527B80"/>
    <w:rsid w:val="00534618"/>
    <w:rsid w:val="0054272F"/>
    <w:rsid w:val="005538A9"/>
    <w:rsid w:val="005605BB"/>
    <w:rsid w:val="005665FD"/>
    <w:rsid w:val="00573B80"/>
    <w:rsid w:val="00581126"/>
    <w:rsid w:val="00590913"/>
    <w:rsid w:val="00596B0F"/>
    <w:rsid w:val="00597800"/>
    <w:rsid w:val="005A694B"/>
    <w:rsid w:val="005B36E8"/>
    <w:rsid w:val="005C1D91"/>
    <w:rsid w:val="005C4197"/>
    <w:rsid w:val="005D6878"/>
    <w:rsid w:val="00602696"/>
    <w:rsid w:val="00603A8B"/>
    <w:rsid w:val="006069EA"/>
    <w:rsid w:val="006320D1"/>
    <w:rsid w:val="006460A9"/>
    <w:rsid w:val="0064672C"/>
    <w:rsid w:val="00657135"/>
    <w:rsid w:val="006607D1"/>
    <w:rsid w:val="00661AE3"/>
    <w:rsid w:val="00672F4E"/>
    <w:rsid w:val="00674230"/>
    <w:rsid w:val="0068038C"/>
    <w:rsid w:val="00684762"/>
    <w:rsid w:val="00685630"/>
    <w:rsid w:val="00686CFF"/>
    <w:rsid w:val="00686D44"/>
    <w:rsid w:val="00693763"/>
    <w:rsid w:val="0069689B"/>
    <w:rsid w:val="006A0994"/>
    <w:rsid w:val="006B0271"/>
    <w:rsid w:val="006B0671"/>
    <w:rsid w:val="006B1AC5"/>
    <w:rsid w:val="006B787A"/>
    <w:rsid w:val="006C01E1"/>
    <w:rsid w:val="006C1BB5"/>
    <w:rsid w:val="006C2DCE"/>
    <w:rsid w:val="006C5E63"/>
    <w:rsid w:val="006D18D8"/>
    <w:rsid w:val="006E4466"/>
    <w:rsid w:val="007010E2"/>
    <w:rsid w:val="00704A2F"/>
    <w:rsid w:val="00705FBE"/>
    <w:rsid w:val="00707387"/>
    <w:rsid w:val="007074C2"/>
    <w:rsid w:val="0071153A"/>
    <w:rsid w:val="00712BA4"/>
    <w:rsid w:val="00713DF6"/>
    <w:rsid w:val="0072439C"/>
    <w:rsid w:val="0073636D"/>
    <w:rsid w:val="00737E28"/>
    <w:rsid w:val="00742757"/>
    <w:rsid w:val="007463EE"/>
    <w:rsid w:val="0074767A"/>
    <w:rsid w:val="0075723B"/>
    <w:rsid w:val="0076031A"/>
    <w:rsid w:val="007617C0"/>
    <w:rsid w:val="00764068"/>
    <w:rsid w:val="007804EA"/>
    <w:rsid w:val="00787846"/>
    <w:rsid w:val="00791449"/>
    <w:rsid w:val="007921D3"/>
    <w:rsid w:val="007B2E49"/>
    <w:rsid w:val="007C17E1"/>
    <w:rsid w:val="007C423F"/>
    <w:rsid w:val="007D11FD"/>
    <w:rsid w:val="007D18C8"/>
    <w:rsid w:val="007D2C7E"/>
    <w:rsid w:val="007D314B"/>
    <w:rsid w:val="007D33E9"/>
    <w:rsid w:val="007D5C55"/>
    <w:rsid w:val="007E5772"/>
    <w:rsid w:val="007E6B34"/>
    <w:rsid w:val="007E7258"/>
    <w:rsid w:val="007F2011"/>
    <w:rsid w:val="007F3ED0"/>
    <w:rsid w:val="007F56F0"/>
    <w:rsid w:val="008006B5"/>
    <w:rsid w:val="00801A47"/>
    <w:rsid w:val="00813C36"/>
    <w:rsid w:val="00816CFA"/>
    <w:rsid w:val="00831C09"/>
    <w:rsid w:val="00840118"/>
    <w:rsid w:val="0084611B"/>
    <w:rsid w:val="00847789"/>
    <w:rsid w:val="008743F2"/>
    <w:rsid w:val="008831CF"/>
    <w:rsid w:val="00884729"/>
    <w:rsid w:val="00885FD8"/>
    <w:rsid w:val="008861AD"/>
    <w:rsid w:val="00894452"/>
    <w:rsid w:val="00894F56"/>
    <w:rsid w:val="008A58F2"/>
    <w:rsid w:val="008B115C"/>
    <w:rsid w:val="008B62CB"/>
    <w:rsid w:val="008C3444"/>
    <w:rsid w:val="008C65E5"/>
    <w:rsid w:val="008C7D30"/>
    <w:rsid w:val="008D15E0"/>
    <w:rsid w:val="008D63D3"/>
    <w:rsid w:val="008E6C4E"/>
    <w:rsid w:val="008E71CA"/>
    <w:rsid w:val="008F23BD"/>
    <w:rsid w:val="00902476"/>
    <w:rsid w:val="0091215D"/>
    <w:rsid w:val="00922A50"/>
    <w:rsid w:val="009262A6"/>
    <w:rsid w:val="0092687B"/>
    <w:rsid w:val="0093034A"/>
    <w:rsid w:val="00935E7B"/>
    <w:rsid w:val="0093750F"/>
    <w:rsid w:val="00944876"/>
    <w:rsid w:val="009448CF"/>
    <w:rsid w:val="0095063C"/>
    <w:rsid w:val="00950DC6"/>
    <w:rsid w:val="009510A2"/>
    <w:rsid w:val="00952B85"/>
    <w:rsid w:val="00955776"/>
    <w:rsid w:val="009652F8"/>
    <w:rsid w:val="009658AD"/>
    <w:rsid w:val="00971A91"/>
    <w:rsid w:val="009756BE"/>
    <w:rsid w:val="00975B68"/>
    <w:rsid w:val="0098263E"/>
    <w:rsid w:val="0098278A"/>
    <w:rsid w:val="00985B7B"/>
    <w:rsid w:val="00991819"/>
    <w:rsid w:val="009A6CBB"/>
    <w:rsid w:val="009B0A6E"/>
    <w:rsid w:val="009B1D0A"/>
    <w:rsid w:val="009B5649"/>
    <w:rsid w:val="009C01F2"/>
    <w:rsid w:val="009C7CD8"/>
    <w:rsid w:val="009D2D01"/>
    <w:rsid w:val="009E28E1"/>
    <w:rsid w:val="009E62B3"/>
    <w:rsid w:val="009F2065"/>
    <w:rsid w:val="009F442B"/>
    <w:rsid w:val="009F7B12"/>
    <w:rsid w:val="00A05869"/>
    <w:rsid w:val="00A06C00"/>
    <w:rsid w:val="00A21139"/>
    <w:rsid w:val="00A24B02"/>
    <w:rsid w:val="00A3093D"/>
    <w:rsid w:val="00A32DF7"/>
    <w:rsid w:val="00A40B74"/>
    <w:rsid w:val="00A46A96"/>
    <w:rsid w:val="00A668D4"/>
    <w:rsid w:val="00A8553D"/>
    <w:rsid w:val="00AB00B1"/>
    <w:rsid w:val="00AB5D7D"/>
    <w:rsid w:val="00AB6CB7"/>
    <w:rsid w:val="00AD365C"/>
    <w:rsid w:val="00AE5CB9"/>
    <w:rsid w:val="00AE6A61"/>
    <w:rsid w:val="00AF6608"/>
    <w:rsid w:val="00B01017"/>
    <w:rsid w:val="00B01B24"/>
    <w:rsid w:val="00B153FD"/>
    <w:rsid w:val="00B21313"/>
    <w:rsid w:val="00B2583D"/>
    <w:rsid w:val="00B3017D"/>
    <w:rsid w:val="00B3406C"/>
    <w:rsid w:val="00B367C0"/>
    <w:rsid w:val="00B55129"/>
    <w:rsid w:val="00B60E72"/>
    <w:rsid w:val="00B6609C"/>
    <w:rsid w:val="00B722E2"/>
    <w:rsid w:val="00B72CED"/>
    <w:rsid w:val="00B7334B"/>
    <w:rsid w:val="00B735B6"/>
    <w:rsid w:val="00B75533"/>
    <w:rsid w:val="00B75711"/>
    <w:rsid w:val="00B903C8"/>
    <w:rsid w:val="00B914A9"/>
    <w:rsid w:val="00BB2D30"/>
    <w:rsid w:val="00BC1D8A"/>
    <w:rsid w:val="00BC5CE7"/>
    <w:rsid w:val="00BC7168"/>
    <w:rsid w:val="00BD5EE2"/>
    <w:rsid w:val="00BD6F07"/>
    <w:rsid w:val="00BD7216"/>
    <w:rsid w:val="00BE4A81"/>
    <w:rsid w:val="00BE6D9E"/>
    <w:rsid w:val="00BE71D9"/>
    <w:rsid w:val="00BF1CD6"/>
    <w:rsid w:val="00BF3ED2"/>
    <w:rsid w:val="00BF712E"/>
    <w:rsid w:val="00C0034B"/>
    <w:rsid w:val="00C06F1F"/>
    <w:rsid w:val="00C07DDB"/>
    <w:rsid w:val="00C1042B"/>
    <w:rsid w:val="00C16781"/>
    <w:rsid w:val="00C2363E"/>
    <w:rsid w:val="00C32280"/>
    <w:rsid w:val="00C34095"/>
    <w:rsid w:val="00C353DA"/>
    <w:rsid w:val="00C45CC1"/>
    <w:rsid w:val="00C516C8"/>
    <w:rsid w:val="00C536E7"/>
    <w:rsid w:val="00C60C96"/>
    <w:rsid w:val="00C72F64"/>
    <w:rsid w:val="00C836A8"/>
    <w:rsid w:val="00C907D3"/>
    <w:rsid w:val="00C908E9"/>
    <w:rsid w:val="00C914A4"/>
    <w:rsid w:val="00C94DB3"/>
    <w:rsid w:val="00CA40DC"/>
    <w:rsid w:val="00CB5F58"/>
    <w:rsid w:val="00CC0286"/>
    <w:rsid w:val="00CD0A97"/>
    <w:rsid w:val="00CE7BA1"/>
    <w:rsid w:val="00D060BB"/>
    <w:rsid w:val="00D06FDB"/>
    <w:rsid w:val="00D130A8"/>
    <w:rsid w:val="00D14F0B"/>
    <w:rsid w:val="00D160A3"/>
    <w:rsid w:val="00D16A90"/>
    <w:rsid w:val="00D24F1F"/>
    <w:rsid w:val="00D34470"/>
    <w:rsid w:val="00D34E8C"/>
    <w:rsid w:val="00D37305"/>
    <w:rsid w:val="00D44ADB"/>
    <w:rsid w:val="00D56F12"/>
    <w:rsid w:val="00D5761C"/>
    <w:rsid w:val="00D57768"/>
    <w:rsid w:val="00D64CAB"/>
    <w:rsid w:val="00D654A6"/>
    <w:rsid w:val="00D7594B"/>
    <w:rsid w:val="00D80071"/>
    <w:rsid w:val="00D82C0B"/>
    <w:rsid w:val="00D84F53"/>
    <w:rsid w:val="00D9509B"/>
    <w:rsid w:val="00D95469"/>
    <w:rsid w:val="00DA2E17"/>
    <w:rsid w:val="00DA508B"/>
    <w:rsid w:val="00DA706F"/>
    <w:rsid w:val="00DB425B"/>
    <w:rsid w:val="00DC0459"/>
    <w:rsid w:val="00E01165"/>
    <w:rsid w:val="00E027DE"/>
    <w:rsid w:val="00E07C3D"/>
    <w:rsid w:val="00E24551"/>
    <w:rsid w:val="00E30508"/>
    <w:rsid w:val="00E350AB"/>
    <w:rsid w:val="00E377C8"/>
    <w:rsid w:val="00E460EA"/>
    <w:rsid w:val="00E46681"/>
    <w:rsid w:val="00E52FD7"/>
    <w:rsid w:val="00E6014D"/>
    <w:rsid w:val="00E610E3"/>
    <w:rsid w:val="00E62417"/>
    <w:rsid w:val="00E7239B"/>
    <w:rsid w:val="00E9087B"/>
    <w:rsid w:val="00E92E97"/>
    <w:rsid w:val="00EA1A92"/>
    <w:rsid w:val="00EA1DFE"/>
    <w:rsid w:val="00EA3058"/>
    <w:rsid w:val="00EA515B"/>
    <w:rsid w:val="00EA6873"/>
    <w:rsid w:val="00EC0475"/>
    <w:rsid w:val="00EC27AE"/>
    <w:rsid w:val="00ED0D41"/>
    <w:rsid w:val="00ED21DA"/>
    <w:rsid w:val="00ED77BF"/>
    <w:rsid w:val="00EE404C"/>
    <w:rsid w:val="00EE5E67"/>
    <w:rsid w:val="00EE6033"/>
    <w:rsid w:val="00EF0FD7"/>
    <w:rsid w:val="00EF1EBC"/>
    <w:rsid w:val="00F00654"/>
    <w:rsid w:val="00F01AAD"/>
    <w:rsid w:val="00F05512"/>
    <w:rsid w:val="00F058E5"/>
    <w:rsid w:val="00F11FD8"/>
    <w:rsid w:val="00F13D52"/>
    <w:rsid w:val="00F16A86"/>
    <w:rsid w:val="00F236FA"/>
    <w:rsid w:val="00F241AA"/>
    <w:rsid w:val="00F40ECE"/>
    <w:rsid w:val="00F4280F"/>
    <w:rsid w:val="00F4290A"/>
    <w:rsid w:val="00F81E5F"/>
    <w:rsid w:val="00F94F18"/>
    <w:rsid w:val="00F956A7"/>
    <w:rsid w:val="00FA5468"/>
    <w:rsid w:val="00FB37B4"/>
    <w:rsid w:val="00FB3CA6"/>
    <w:rsid w:val="00FB61E8"/>
    <w:rsid w:val="00FC0C0E"/>
    <w:rsid w:val="00FD5E27"/>
    <w:rsid w:val="00FD7DBE"/>
    <w:rsid w:val="00FF5D87"/>
    <w:rsid w:val="00FF6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5BF5D"/>
  <w15:docId w15:val="{421ADFDA-AE55-4BF9-9238-A2CB0B4F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0E72"/>
    <w:rPr>
      <w:sz w:val="20"/>
    </w:rPr>
  </w:style>
  <w:style w:type="character" w:customStyle="1" w:styleId="FootnoteTextChar">
    <w:name w:val="Footnote Text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F1EBC"/>
    <w:pPr>
      <w:tabs>
        <w:tab w:val="center" w:pos="4819"/>
        <w:tab w:val="right" w:pos="9638"/>
      </w:tabs>
    </w:pPr>
  </w:style>
  <w:style w:type="character" w:customStyle="1" w:styleId="FooterChar">
    <w:name w:val="Footer Char"/>
    <w:basedOn w:val="DefaultParagraphFont"/>
    <w:link w:val="Footer"/>
    <w:uiPriority w:val="99"/>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ListParagraph">
    <w:name w:val="List Paragraph"/>
    <w:basedOn w:val="Normal"/>
    <w:uiPriority w:val="34"/>
    <w:qFormat/>
    <w:rsid w:val="00BC7168"/>
    <w:pPr>
      <w:ind w:left="720"/>
      <w:contextualSpacing/>
    </w:pPr>
  </w:style>
  <w:style w:type="character" w:styleId="Emphasis">
    <w:name w:val="Emphasis"/>
    <w:basedOn w:val="DefaultParagraphFont"/>
    <w:uiPriority w:val="20"/>
    <w:qFormat/>
    <w:rsid w:val="0071153A"/>
    <w:rPr>
      <w:i/>
      <w:iCs/>
    </w:rPr>
  </w:style>
  <w:style w:type="character" w:customStyle="1" w:styleId="UnresolvedMention1">
    <w:name w:val="Unresolved Mention1"/>
    <w:basedOn w:val="DefaultParagraphFont"/>
    <w:uiPriority w:val="99"/>
    <w:semiHidden/>
    <w:unhideWhenUsed/>
    <w:rsid w:val="00A06C00"/>
    <w:rPr>
      <w:color w:val="605E5C"/>
      <w:shd w:val="clear" w:color="auto" w:fill="E1DFDD"/>
    </w:rPr>
  </w:style>
  <w:style w:type="character" w:styleId="FollowedHyperlink">
    <w:name w:val="FollowedHyperlink"/>
    <w:basedOn w:val="DefaultParagraphFont"/>
    <w:uiPriority w:val="99"/>
    <w:semiHidden/>
    <w:unhideWhenUsed/>
    <w:rsid w:val="00EF0FD7"/>
    <w:rPr>
      <w:color w:val="954F72" w:themeColor="followedHyperlink"/>
      <w:u w:val="single"/>
    </w:rPr>
  </w:style>
  <w:style w:type="character" w:styleId="Strong">
    <w:name w:val="Strong"/>
    <w:basedOn w:val="DefaultParagraphFont"/>
    <w:uiPriority w:val="22"/>
    <w:qFormat/>
    <w:rsid w:val="00AB5D7D"/>
    <w:rPr>
      <w:b/>
      <w:bCs/>
    </w:rPr>
  </w:style>
  <w:style w:type="character" w:customStyle="1" w:styleId="plaintext">
    <w:name w:val="plain_text"/>
    <w:basedOn w:val="DefaultParagraphFont"/>
    <w:rsid w:val="00C0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203299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esf.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9DA19-C27E-4F1C-9CE9-7F3424FB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5545</Words>
  <Characters>3161</Characters>
  <Application>Microsoft Office Word</Application>
  <DocSecurity>0</DocSecurity>
  <Lines>26</Lines>
  <Paragraphs>17</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
      <vt:lpstr/>
      <vt:lpstr/>
    </vt:vector>
  </TitlesOfParts>
  <Company>SPecialiST RePack</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 Petronytė</dc:creator>
  <cp:lastModifiedBy>Laimutė Tautvaišienė</cp:lastModifiedBy>
  <cp:revision>8</cp:revision>
  <cp:lastPrinted>2019-08-14T06:29:00Z</cp:lastPrinted>
  <dcterms:created xsi:type="dcterms:W3CDTF">2019-10-29T08:26:00Z</dcterms:created>
  <dcterms:modified xsi:type="dcterms:W3CDTF">2019-10-29T14:10:00Z</dcterms:modified>
</cp:coreProperties>
</file>