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98" w:rsidRDefault="0033539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35398" w:rsidRDefault="0033539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667A00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7A00">
        <w:rPr>
          <w:rFonts w:ascii="Times New Roman" w:eastAsia="Calibri" w:hAnsi="Times New Roman" w:cs="Times New Roman"/>
          <w:noProof/>
          <w:sz w:val="24"/>
          <w:szCs w:val="24"/>
          <w:lang w:val="lt-LT" w:eastAsia="lt-LT"/>
        </w:rPr>
        <w:drawing>
          <wp:inline distT="0" distB="0" distL="0" distR="0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A00" w:rsidRP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:rsidR="00667A00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7A00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:rsidR="006760D4" w:rsidRPr="00667A00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:rsidR="006760D4" w:rsidRPr="006760D4" w:rsidRDefault="006760D4" w:rsidP="006760D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629A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B6E7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C63D3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="00C63D3B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15552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6760D4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proofErr w:type="gramEnd"/>
      <w:r w:rsidRPr="006760D4">
        <w:rPr>
          <w:rFonts w:ascii="Times New Roman" w:hAnsi="Times New Roman" w:cs="Times New Roman"/>
          <w:sz w:val="24"/>
          <w:szCs w:val="24"/>
          <w:lang w:val="en-US"/>
        </w:rPr>
        <w:t>. 4S-_</w:t>
      </w:r>
      <w:r w:rsidR="00C63D3B">
        <w:rPr>
          <w:rFonts w:ascii="Times New Roman" w:hAnsi="Times New Roman" w:cs="Times New Roman"/>
          <w:sz w:val="24"/>
          <w:szCs w:val="24"/>
          <w:lang w:val="en-US"/>
        </w:rPr>
        <w:t>1073</w:t>
      </w:r>
      <w:bookmarkStart w:id="0" w:name="_GoBack"/>
      <w:bookmarkEnd w:id="0"/>
    </w:p>
    <w:p w:rsidR="00667A00" w:rsidRDefault="00667A00" w:rsidP="00667A0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760D4">
        <w:rPr>
          <w:rFonts w:ascii="Times New Roman" w:hAnsi="Times New Roman" w:cs="Times New Roman"/>
          <w:sz w:val="24"/>
          <w:szCs w:val="24"/>
          <w:lang w:val="en-US"/>
        </w:rPr>
        <w:t>Vilnius</w:t>
      </w:r>
    </w:p>
    <w:p w:rsidR="006C7E58" w:rsidRPr="00037B8D" w:rsidRDefault="00E70420" w:rsidP="006C7E58">
      <w:pPr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37B8D">
        <w:rPr>
          <w:rFonts w:ascii="Times New Roman" w:hAnsi="Times New Roman" w:cs="Times New Roman"/>
          <w:sz w:val="24"/>
          <w:szCs w:val="24"/>
          <w:lang w:val="lt-LT"/>
        </w:rPr>
        <w:t>Viešųjų pirkimų tarnyba (toliau – Tarnyba), vadovaudamasi Lietuvos Respublikos viešųjų pirkimų įstatymo 8² straipsnio 1 dalies 2 punktu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atliko </w:t>
      </w:r>
      <w:r w:rsidR="00D85D6D">
        <w:rPr>
          <w:rFonts w:ascii="Times New Roman" w:hAnsi="Times New Roman" w:cs="Times New Roman"/>
          <w:sz w:val="24"/>
          <w:szCs w:val="24"/>
          <w:lang w:val="lt-LT"/>
        </w:rPr>
        <w:t xml:space="preserve">dalinį </w:t>
      </w:r>
      <w:r w:rsidR="00576522" w:rsidRPr="00037B8D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B01491">
        <w:rPr>
          <w:rFonts w:ascii="Times New Roman" w:hAnsi="Times New Roman" w:cs="Times New Roman"/>
          <w:sz w:val="24"/>
          <w:szCs w:val="24"/>
          <w:lang w:val="lt-LT"/>
        </w:rPr>
        <w:t>š</w:t>
      </w:r>
      <w:r w:rsidR="0057652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2B6E74">
        <w:rPr>
          <w:rFonts w:ascii="Times New Roman" w:hAnsi="Times New Roman" w:cs="Times New Roman"/>
          <w:sz w:val="24"/>
          <w:szCs w:val="24"/>
          <w:lang w:val="lt-LT"/>
        </w:rPr>
        <w:t>Marijampolės ligoninės</w:t>
      </w:r>
      <w:r w:rsidR="003D5BD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="00AB12EC" w:rsidRPr="00037B8D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erkančioji organizacija)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vykdomo </w:t>
      </w:r>
      <w:r w:rsidR="002B6E74">
        <w:rPr>
          <w:rFonts w:ascii="Times New Roman" w:hAnsi="Times New Roman" w:cs="Times New Roman"/>
          <w:sz w:val="24"/>
          <w:szCs w:val="24"/>
          <w:lang w:val="lt-LT"/>
        </w:rPr>
        <w:t xml:space="preserve">viešojo </w:t>
      </w:r>
      <w:r w:rsidR="002C6752" w:rsidRPr="00037B8D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2B6E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atitikties </w:t>
      </w:r>
      <w:r w:rsidR="00EE199F" w:rsidRPr="00037B8D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</w:t>
      </w:r>
      <w:r w:rsidR="008222C9" w:rsidRPr="00037B8D">
        <w:rPr>
          <w:rFonts w:ascii="Times New Roman" w:hAnsi="Times New Roman" w:cs="Times New Roman"/>
          <w:sz w:val="24"/>
          <w:szCs w:val="24"/>
          <w:lang w:val="lt-LT"/>
        </w:rPr>
        <w:t xml:space="preserve">statymo reikalavimams </w:t>
      </w:r>
      <w:r w:rsidRPr="00037B8D">
        <w:rPr>
          <w:rFonts w:ascii="Times New Roman" w:hAnsi="Times New Roman" w:cs="Times New Roman"/>
          <w:sz w:val="24"/>
          <w:szCs w:val="24"/>
          <w:lang w:val="lt-LT"/>
        </w:rPr>
        <w:t>vertinimą.</w:t>
      </w:r>
    </w:p>
    <w:p w:rsidR="00AB1809" w:rsidRPr="00164E22" w:rsidRDefault="00AB1809" w:rsidP="00562F97">
      <w:pPr>
        <w:ind w:left="2689" w:firstLine="851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64E22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164E2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Lentelstinklelis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:rsidR="00AB1809" w:rsidRPr="00164E22" w:rsidRDefault="00016BEA" w:rsidP="00016BE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 – Diagnostikos reagentų ir papildomų priemonių laboratorinių tyrimų paslaugoms užtikrinti pirkimas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(Centrinėje viešųjų pirkimų informacinėje sistemoje (toliau – CVP IS) skelbtas 2016 m.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rugsėjo 23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d., pirkimo Nr. 17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8952</w:t>
            </w:r>
            <w:r w:rsidR="00F62456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(toliau – Pirkimas)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:rsidR="00AB1809" w:rsidRPr="00164E22" w:rsidRDefault="005F51F2" w:rsidP="00164E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:rsidR="00AB1809" w:rsidRPr="00164E22" w:rsidRDefault="005F51F2" w:rsidP="005F51F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440 000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</w:t>
            </w:r>
            <w:r w:rsidR="00EC1025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PVM</w:t>
            </w:r>
            <w:r w:rsidR="002E6A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347 600 be PVM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:rsidR="00AB1809" w:rsidRPr="00164E22" w:rsidRDefault="00A36346" w:rsidP="00A36346">
            <w:pPr>
              <w:tabs>
                <w:tab w:val="left" w:pos="900"/>
              </w:tabs>
              <w:ind w:left="-87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CD5FFF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:rsidR="00AB1809" w:rsidRPr="00164E22" w:rsidRDefault="00FC2860" w:rsidP="002E6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įstatymas (redakcija nuo 201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4E571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EC0919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</w:tr>
      <w:tr w:rsidR="00164E22" w:rsidRPr="00164E22" w:rsidTr="00422723">
        <w:tc>
          <w:tcPr>
            <w:tcW w:w="4672" w:type="dxa"/>
          </w:tcPr>
          <w:p w:rsidR="00AB1809" w:rsidRPr="00164E22" w:rsidRDefault="00AB1809" w:rsidP="004227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:rsidR="00AB1809" w:rsidRPr="00164E22" w:rsidRDefault="00D85D6D" w:rsidP="002E6A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Dalinis Pirkimo vertinimas/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Pirkimo procedūrų vertinimas </w:t>
            </w:r>
            <w:r w:rsidR="004E5711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iki</w:t>
            </w:r>
            <w:r w:rsidR="008F152C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vokų su pasiūlymais atplėšimo p</w:t>
            </w:r>
            <w:r w:rsidR="007A14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</w:t>
            </w:r>
            <w:r w:rsidR="002E6A0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ocedūros</w:t>
            </w:r>
            <w:r w:rsidR="00E90356" w:rsidRPr="00164E2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164E22" w:rsidRPr="00164E22" w:rsidTr="007E4301">
        <w:tc>
          <w:tcPr>
            <w:tcW w:w="4672" w:type="dxa"/>
          </w:tcPr>
          <w:p w:rsidR="00AB1809" w:rsidRPr="00164E22" w:rsidRDefault="00AB1809" w:rsidP="000A66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164E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:rsidR="009759D4" w:rsidRPr="00164E22" w:rsidRDefault="009759D4" w:rsidP="00EC0919">
            <w:pPr>
              <w:pStyle w:val="Sraopastraipa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E75F7" w:rsidRDefault="00AE75F7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E06125" w:rsidRDefault="00E06125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A500B8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II dalis. </w:t>
      </w:r>
      <w:r w:rsidR="00C5562E" w:rsidRPr="00307F8F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9058"/>
      </w:tblGrid>
      <w:tr w:rsidR="006741AE" w:rsidRPr="00307F8F" w:rsidTr="00335398">
        <w:trPr>
          <w:trHeight w:val="500"/>
        </w:trPr>
        <w:tc>
          <w:tcPr>
            <w:tcW w:w="576" w:type="dxa"/>
          </w:tcPr>
          <w:p w:rsidR="006741AE" w:rsidRPr="00307F8F" w:rsidRDefault="006741AE" w:rsidP="00AB1809">
            <w:pPr>
              <w:pStyle w:val="Sraopastraipa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058" w:type="dxa"/>
          </w:tcPr>
          <w:p w:rsidR="00F8009F" w:rsidRPr="00E70F9C" w:rsidRDefault="00130A42" w:rsidP="00130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</w:t>
            </w:r>
            <w:r w:rsidRPr="00130A42">
              <w:rPr>
                <w:rFonts w:ascii="Times New Roman" w:hAnsi="Times New Roman" w:cs="Times New Roman"/>
                <w:lang w:val="lt-LT"/>
              </w:rPr>
              <w:t>o</w:t>
            </w:r>
            <w:r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</w:t>
            </w:r>
            <w:r w:rsidRPr="00E576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straipsnio 2 dalis</w:t>
            </w:r>
            <w:r w:rsidR="00334369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E576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D000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</w:t>
            </w:r>
            <w:r w:rsidR="007A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DB2D1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="00F11947" w:rsidRPr="00F800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straipsnio 1 dalis</w:t>
            </w:r>
            <w:r w:rsidR="003251DE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2"/>
            </w:r>
            <w:r w:rsidR="007A14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BC0A7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11947"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 3 straipsnio 2 dalis</w:t>
            </w:r>
            <w:r w:rsidR="00A715BD" w:rsidRPr="00130A42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3"/>
            </w:r>
            <w:r w:rsidR="00464513" w:rsidRPr="00130A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E47623" w:rsidRPr="00307F8F" w:rsidTr="00F56B3B">
        <w:tc>
          <w:tcPr>
            <w:tcW w:w="9634" w:type="dxa"/>
            <w:gridSpan w:val="2"/>
          </w:tcPr>
          <w:p w:rsidR="00D04D8E" w:rsidRPr="0062364D" w:rsidRDefault="00D04D8E" w:rsidP="00923C54">
            <w:pPr>
              <w:ind w:left="29" w:firstLine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Įvertinusi Pirkimo sąlygų 2 priedo techninėje specifikacijoje </w:t>
            </w:r>
            <w:r w:rsidR="001A68C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(toliau – Techninė specifikacija) </w:t>
            </w:r>
            <w:r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nurodytus reikalavimus, Tarnyba, remdamasi </w:t>
            </w:r>
            <w:r w:rsidR="00D619D2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nepriklausomo </w:t>
            </w:r>
            <w:r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eksperto išvadomis, nustatė, kad</w:t>
            </w:r>
            <w:r w:rsidR="00923C54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1A68CA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Techninėje specifikacijoje </w:t>
            </w:r>
            <w:r w:rsidR="00923C54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Pirkimo objekto daly</w:t>
            </w:r>
            <w:r w:rsidR="00923C5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s</w:t>
            </w:r>
            <w:r w:rsidR="00923C54"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e Nr. 3</w:t>
            </w:r>
            <w:r w:rsidR="00923C54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, Nr. 5 ir </w:t>
            </w:r>
            <w:r w:rsidR="001A4B21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Nr. 6 nustatyti reikalavimai yra </w:t>
            </w:r>
            <w:r w:rsidR="001A4B21" w:rsidRPr="0062364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nepagrįsti ir diskriminuojantys tiekėjus</w:t>
            </w:r>
            <w:r w:rsidR="0062364D" w:rsidRPr="0062364D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, būtent:</w:t>
            </w:r>
          </w:p>
          <w:p w:rsidR="005A5A20" w:rsidRPr="005A5A20" w:rsidRDefault="005A5A20" w:rsidP="00923C54">
            <w:pPr>
              <w:pStyle w:val="Default"/>
              <w:numPr>
                <w:ilvl w:val="0"/>
                <w:numId w:val="42"/>
              </w:numPr>
              <w:ind w:left="29" w:firstLine="851"/>
              <w:jc w:val="both"/>
              <w:rPr>
                <w:rFonts w:ascii="Times New Roman" w:eastAsia="Times New Roman" w:hAnsi="Times New Roman" w:cs="Times New Roman"/>
                <w:color w:val="auto"/>
                <w:lang w:eastAsia="en-GB"/>
              </w:rPr>
            </w:pPr>
            <w:r w:rsidRPr="005A5A20">
              <w:rPr>
                <w:rFonts w:ascii="Times New Roman" w:hAnsi="Times New Roman" w:cs="Times New Roman"/>
                <w:bCs/>
              </w:rPr>
              <w:t xml:space="preserve">Pirkimo objekto dalyje Nr. </w:t>
            </w:r>
            <w:r w:rsidR="002764DC">
              <w:rPr>
                <w:rFonts w:ascii="Times New Roman" w:hAnsi="Times New Roman" w:cs="Times New Roman"/>
                <w:bCs/>
              </w:rPr>
              <w:t xml:space="preserve">3 </w:t>
            </w:r>
            <w:r w:rsidRPr="005A5A20">
              <w:rPr>
                <w:rFonts w:ascii="Times New Roman" w:hAnsi="Times New Roman" w:cs="Times New Roman"/>
              </w:rPr>
              <w:t>3.2.</w:t>
            </w:r>
            <w:r>
              <w:rPr>
                <w:rFonts w:ascii="Times New Roman" w:hAnsi="Times New Roman" w:cs="Times New Roman"/>
              </w:rPr>
              <w:t>11</w:t>
            </w:r>
            <w:r w:rsidRPr="005A5A20">
              <w:rPr>
                <w:rFonts w:ascii="Times New Roman" w:hAnsi="Times New Roman" w:cs="Times New Roman"/>
              </w:rPr>
              <w:t xml:space="preserve"> </w:t>
            </w:r>
            <w:r w:rsidR="002764DC">
              <w:rPr>
                <w:rFonts w:ascii="Times New Roman" w:hAnsi="Times New Roman" w:cs="Times New Roman"/>
              </w:rPr>
              <w:t xml:space="preserve">punkte </w:t>
            </w:r>
            <w:r>
              <w:rPr>
                <w:rFonts w:ascii="Times New Roman" w:hAnsi="Times New Roman" w:cs="Times New Roman"/>
              </w:rPr>
              <w:t>nustatytas</w:t>
            </w:r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apribojimas mėginio tūriui „</w:t>
            </w:r>
            <w:r w:rsidRPr="005A5A20">
              <w:rPr>
                <w:rFonts w:ascii="Times New Roman" w:eastAsia="Times New Roman" w:hAnsi="Times New Roman" w:cs="Times New Roman"/>
                <w:i/>
                <w:color w:val="auto"/>
                <w:lang w:eastAsia="en-GB"/>
              </w:rPr>
              <w:t>ne daugiau 110 µl</w:t>
            </w:r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“ neleidžia tiekėjui pasiūlyti </w:t>
            </w:r>
            <w:r w:rsidRPr="005A5A20">
              <w:rPr>
                <w:rFonts w:ascii="Times New Roman" w:hAnsi="Times New Roman" w:cs="Times New Roman"/>
                <w:color w:val="auto"/>
              </w:rPr>
              <w:t xml:space="preserve">pvz. </w:t>
            </w:r>
            <w:proofErr w:type="spellStart"/>
            <w:r w:rsidRPr="005A5A20">
              <w:rPr>
                <w:rFonts w:ascii="Times New Roman" w:hAnsi="Times New Roman" w:cs="Times New Roman"/>
                <w:color w:val="auto"/>
              </w:rPr>
              <w:t>Roche</w:t>
            </w:r>
            <w:proofErr w:type="spellEnd"/>
            <w:r w:rsidRPr="005A5A20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5A20">
              <w:rPr>
                <w:rFonts w:ascii="Times New Roman" w:hAnsi="Times New Roman" w:cs="Times New Roman"/>
                <w:color w:val="auto"/>
              </w:rPr>
              <w:t>cobas</w:t>
            </w:r>
            <w:proofErr w:type="spellEnd"/>
            <w:r w:rsidRPr="005A5A20">
              <w:rPr>
                <w:rFonts w:ascii="Times New Roman" w:hAnsi="Times New Roman" w:cs="Times New Roman"/>
                <w:color w:val="auto"/>
              </w:rPr>
              <w:t xml:space="preserve"> b 123 POC</w:t>
            </w:r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analizatoriaus, kurio mėginio tūris yra 123 </w:t>
            </w:r>
            <w:proofErr w:type="spellStart"/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μl</w:t>
            </w:r>
            <w:proofErr w:type="spellEnd"/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(našesnio </w:t>
            </w:r>
            <w:proofErr w:type="spellStart"/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cobas</w:t>
            </w:r>
            <w:proofErr w:type="spellEnd"/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 xml:space="preserve"> b 221 analizatoriaus mėginio tūris yra 200 μ). Dėl šios priežasties ribojimas mėginio tūriui turėtų būti nustatytas kaip „</w:t>
            </w:r>
            <w:r w:rsidRPr="005A5A20">
              <w:rPr>
                <w:rFonts w:ascii="Times New Roman" w:eastAsia="Times New Roman" w:hAnsi="Times New Roman" w:cs="Times New Roman"/>
                <w:i/>
                <w:color w:val="auto"/>
                <w:lang w:eastAsia="en-GB"/>
              </w:rPr>
              <w:t>ne daugiau 200 µl</w:t>
            </w:r>
            <w:r w:rsidRPr="005A5A20">
              <w:rPr>
                <w:rFonts w:ascii="Times New Roman" w:eastAsia="Times New Roman" w:hAnsi="Times New Roman" w:cs="Times New Roman"/>
                <w:color w:val="auto"/>
                <w:lang w:eastAsia="en-GB"/>
              </w:rPr>
              <w:t>“.</w:t>
            </w:r>
          </w:p>
          <w:p w:rsidR="00335398" w:rsidRPr="005A5A20" w:rsidRDefault="00D04D8E" w:rsidP="00923C54">
            <w:pPr>
              <w:pStyle w:val="Sraopastraipa"/>
              <w:numPr>
                <w:ilvl w:val="0"/>
                <w:numId w:val="42"/>
              </w:numPr>
              <w:ind w:left="29"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</w:pPr>
            <w:r w:rsidRPr="005A5A20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Pirkimo objekto dalyje Nr. 3 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3.2.22 </w:t>
            </w:r>
            <w:r w:rsidR="002764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punkte 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numatyti reikalavimai analizatoriaus atminčiai yra ribojantys konkurenciją ir turėtų būti keičiami. Atsižvelgiant į </w:t>
            </w:r>
            <w:r w:rsidR="005A5A20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irkimo </w:t>
            </w:r>
            <w:r w:rsidR="005A5A20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sąlygose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nurodytą santykinai nedidelį atliekamų tyrimų skaičių per valandą (vidutiniškai mažiau nei 1 tyrimas per val.) nėra pagrįstas reikalavimas analizatoriui turėti tokios didelės apimties vidinę atmintį, net ir atsižvelgiant į galimus ligoninės informacinės sistemos (toliau – LIS) darbo sutrikimus. </w:t>
            </w:r>
            <w:r w:rsidR="004E55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Pažymėtina,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kad kai kurie rinkoje esantys analizatoriai, pvz. </w:t>
            </w:r>
            <w:proofErr w:type="spellStart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</w:t>
            </w:r>
            <w:proofErr w:type="spellEnd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cobas</w:t>
            </w:r>
            <w:proofErr w:type="spellEnd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 123 POC, turi spausdintuvą, kuris leidžia tyrimo ar kokybės kontrolės rezultatus išspausdinti terminiu spausdintuvu. Siemens gaminamas kraujo dujų analizatorius RAPID</w:t>
            </w:r>
            <w:r w:rsidR="005A5A20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Point</w:t>
            </w:r>
            <w:proofErr w:type="spellEnd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500 </w:t>
            </w:r>
            <w:proofErr w:type="spellStart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Systems</w:t>
            </w:r>
            <w:proofErr w:type="spellEnd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vidinėje atmintyje saugo po </w:t>
            </w:r>
            <w:r w:rsidR="00335398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250 pacientų ir kokybės kontrolės duomenų, </w:t>
            </w:r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Siemens RAPID</w:t>
            </w:r>
            <w:r w:rsidR="005A5A20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</w:t>
            </w:r>
            <w:proofErr w:type="spellEnd"/>
            <w:r w:rsidR="00335398" w:rsidRPr="005A5A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348EX - iki </w:t>
            </w:r>
            <w:r w:rsidR="00335398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250 pacientų duomenų ir po 90 kiekvieno lygio kokybės kontrolės ataskaitų duomenų. Atsižvelgiant į tai, </w:t>
            </w:r>
            <w:r w:rsidR="004E550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kad </w:t>
            </w:r>
            <w:r w:rsidR="005A5A20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Perkančioji organizacija</w:t>
            </w:r>
            <w:r w:rsidR="004E550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, atsakydama į tiekėjų paklausimus,</w:t>
            </w:r>
            <w:r w:rsidR="005A5A20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nepateikė argumentuotų ir įtikinamų paaiškinim</w:t>
            </w:r>
            <w:r w:rsidR="00C26FE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ų</w:t>
            </w:r>
            <w:r w:rsidR="005A5A20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dėl minėto reikalavimo </w:t>
            </w:r>
            <w:r w:rsidR="004E550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būtinumo</w:t>
            </w:r>
            <w:r w:rsidR="005A5A20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, reikalavimas analizatoriaus atminčiai, Tarnybos nuomone, galėtų būti nustatytas tik Perkančiajai organizacijai</w:t>
            </w:r>
            <w:r w:rsidR="005E364E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pateikus pagrindimą ir</w:t>
            </w:r>
            <w:r w:rsidR="00335398" w:rsidRPr="005A5A20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informaciją apie dokumentuotus per paskutinius 12 mėnesių LIS sutrikimus nurodant jų datas, kiekvieno sutrikimo trukmę bei tuo metu dujų analizatoriumi atliktų tyrimų, kokybės kontrolės bei kalibravimo testų skaičių. </w:t>
            </w:r>
          </w:p>
          <w:p w:rsidR="00335398" w:rsidRPr="00923C54" w:rsidRDefault="00335398" w:rsidP="00923C54">
            <w:pPr>
              <w:pStyle w:val="Sraopastraipa"/>
              <w:numPr>
                <w:ilvl w:val="0"/>
                <w:numId w:val="42"/>
              </w:numPr>
              <w:ind w:left="29" w:firstLine="851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erkančioji organizacija </w:t>
            </w:r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2016-11-07 rašte Nr. VP1-1266 nurodo, jog „5-oje pirkimo dalyje nustatytų reikalavimų visumą atitinka daugiau nei vieno gamintojo prekės“ ir teigia, kad </w:t>
            </w:r>
            <w:r w:rsid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objekto dalies Nr. 5 </w:t>
            </w:r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5.2.1. ir 5.2.2</w:t>
            </w:r>
            <w:r w:rsid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punktuose</w:t>
            </w:r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numatytus reikalavimus atitinka DIRUI ir YD DIAGNOSTIC gamintojų analizatoriai. Kaip to įrodymą P</w:t>
            </w:r>
            <w:r w:rsid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erkančioji organizacija</w:t>
            </w:r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prie rašto pridėjo gamintojo DIRUI automatinio šlapimo analizatoriaus H-800, automatinės šlapimo analizės sistemos FUS-200/H-800 ir pusiau automatinio analizatoriaus H-500 bei gamintojo YD </w:t>
            </w:r>
            <w:proofErr w:type="spellStart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automatinio šlapimo analizatoriaus </w:t>
            </w:r>
            <w:proofErr w:type="spellStart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URiSCAN</w:t>
            </w:r>
            <w:proofErr w:type="spellEnd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Super</w:t>
            </w:r>
            <w:proofErr w:type="spellEnd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 ir pusiau automatinio analizatoriaus </w:t>
            </w:r>
            <w:proofErr w:type="spellStart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URiSCAN</w:t>
            </w:r>
            <w:proofErr w:type="spellEnd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Optima</w:t>
            </w:r>
            <w:proofErr w:type="spellEnd"/>
            <w:r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informacinę medžiagą. </w:t>
            </w:r>
          </w:p>
          <w:p w:rsidR="00335398" w:rsidRPr="005A5DBC" w:rsidRDefault="004E550F" w:rsidP="00335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tkreipti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nas dėmesys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tai, kad nors P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erkančioji organizacija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teigia, kad 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reikalaujamas atminties funkcijas užtikrina DIRUI ir YD DIAGNOSTIC gamintojų analizatoriai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bet, sprendžiant iš viešai prieinamos informacijos, 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tik DIRUI H-800 analizatorius atitinka </w:t>
            </w:r>
            <w:r w:rsidR="005A5DBC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techninės 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specifikacijos 5.2.1.7 p</w:t>
            </w:r>
            <w:r w:rsidR="000E6E0A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>unkte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numatytus reikalavimus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10 000 paciento duomenų, 300 skubių ir kontrolinių mėginių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“, DIRUI H-800 – 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10 000 paciento duomenų, 5000 skubių ir 1000 kontrolinių mėginių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“), о YD </w:t>
            </w:r>
            <w:proofErr w:type="spellStart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automatinio šlapimo analizatoriaus </w:t>
            </w:r>
            <w:proofErr w:type="spellStart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URiSCAN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Super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 specifikacijoje gamintojas nenurodo skubių (STAT) tyrimų duomenų, saugomų prietaiso atmintyje skaičiaus 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(„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Memory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capacity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: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more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than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1,000,000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patient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test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results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, 500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control</w:t>
            </w:r>
            <w:proofErr w:type="spellEnd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results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“)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todėl negalima teigti, kad šis analizatorius atitinka techninės specifikacijos reikalavimus. Svarbu pastebėti, kad P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erkančiosios organizacijos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teiginys, kad 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Pakankamai dažna situacija, kai duomenų perdavimas iš analizatoriaus </w:t>
            </w:r>
            <w:r w:rsidR="005A5DB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užstringa</w:t>
            </w:r>
            <w:r w:rsidR="005A5DBC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“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 xml:space="preserve"> dėl įvairių vidinių ir išorinių trikdžių, todėl būtina analizatoriaus atmintyje surasti pakankamai senus rezultatus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atsižvelgiant į nedideles tyrimų apimtus (15000 tyrimų per metus) yra nepagrįstas, kaip ir nepagrįstas pradinis reikalavimas analizatoriui saugoti beveik 67 metų tyrimų duomenis (5.2.1.7 p. „</w:t>
            </w:r>
            <w:r w:rsidR="00335398" w:rsidRPr="00923C54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1 mln. paciento duomenų</w:t>
            </w:r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“), atitinkantis aukščiau minimo analizatoriaus </w:t>
            </w:r>
            <w:proofErr w:type="spellStart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URiSCAN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Super</w:t>
            </w:r>
            <w:proofErr w:type="spellEnd"/>
            <w:r w:rsidR="00335398" w:rsidRPr="00923C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+ techninius duomenis. 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Tai, kad tokie reikalavimai atminčiai yra nepagrįsti patvirtintina ir tas faktas, kad įprastai panašaus našumo automatiniai analizatoriai turi gerokai mažesnę atmintį, pvz. Siemens CLINITEK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Atlas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saugo atmintyje 1000 paciento duomenų, 200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kalibracijos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kontrolinių mėginių,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Urisys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2400 - 1000 paciento duomenų, 200 skubių tyrimų duomenų ir 300 kontrolinių mėginių,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Arkray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AUTION MAX ™ AX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-4030 atmintyje saugo iš viso 2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 mėginių (įskaitant 200 kontrolinių mėginių). Techninėje specifikacijoje numatytus reikalavimus atminčiai galėtų atitikti tik gerokai našesni analizatoriai nei Pirkimo</w:t>
            </w:r>
            <w:r w:rsid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objekto </w:t>
            </w:r>
            <w:r w:rsidR="00DB70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5 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5.1 dalyje nurodytas tyrimų skaičius (41 tyrimas/d.), pvz.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cobas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 601, kuris skirtas atlikti iki 1000 tyrimų per dieną ir kuris atmintyje saugo iki 10000 paciento tyrimų duomenų (panašaus našumo Siemens CLINITEK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Novus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analizatorius saugo 7500 pacientų tyrimų duomenis).</w:t>
            </w:r>
          </w:p>
          <w:p w:rsidR="00335398" w:rsidRPr="005A5DBC" w:rsidRDefault="00DB70FA" w:rsidP="00335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</w:t>
            </w:r>
            <w:r w:rsidR="00335398" w:rsidRPr="00DB70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Sprendžiant iš gamintojų informacijos</w:t>
            </w:r>
            <w:r w:rsidR="00AA01B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="00335398" w:rsidRPr="00DB70F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35398" w:rsidRP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tik DIRUI tiekia 13-оs parametrų testų juosteles</w:t>
            </w:r>
            <w:r w:rsidR="00AA01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</w:t>
            </w:r>
            <w:r w:rsidR="00335398" w:rsidRP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YD </w:t>
            </w:r>
            <w:proofErr w:type="spellStart"/>
            <w:r w:rsidR="00335398" w:rsidRP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335398" w:rsidRP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tiekia daugiausia 11-оs testų juosteles</w:t>
            </w:r>
            <w:r w:rsidR="00AA01BC">
              <w:rPr>
                <w:rStyle w:val="Puslapioinaosnuoroda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5"/>
            </w:r>
            <w:r w:rsidR="00335398" w:rsidRP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Taip pat</w:t>
            </w:r>
            <w:r w:rsidR="00335398" w:rsidRP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viešai prieinama informacija neleidžia patvirtinti DIRUI H-800 analizatoriaus atitik</w:t>
            </w:r>
            <w:r w:rsidR="0033436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ties Techninės</w:t>
            </w:r>
            <w:r w:rsidR="00335398" w:rsidRP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</w:t>
            </w:r>
            <w:r w:rsid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pecifikacijos 5.2.1.5 punkto</w:t>
            </w:r>
            <w:r w:rsidR="00335398" w:rsidRP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reikalavimams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nes gamintojo medžiagoje nėra nurodyta, kad testo juostelių galiojimo laikas analizatoriuje būtų 14 dienų. </w:t>
            </w:r>
          </w:p>
          <w:p w:rsidR="00335398" w:rsidRPr="005A5DBC" w:rsidRDefault="00334369" w:rsidP="003353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</w:t>
            </w:r>
            <w:r w:rsid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iant</w:t>
            </w:r>
            <w:r w:rsid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 išdėstytą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E6E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galima 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daryti išvadą, kad nei DIRUI, nei YD </w:t>
            </w:r>
            <w:proofErr w:type="spellStart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Diagnostics</w:t>
            </w:r>
            <w:proofErr w:type="spellEnd"/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gaminami automatiniai šlapimo analizatoriai neatitinka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echninės specifikacijos 5.2.1 </w:t>
            </w:r>
            <w:r w:rsidR="00AB3D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punkte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nurodytų reikalavimų visumos, o Techninės specifikacijos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5.2.1.7 p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unkte</w:t>
            </w:r>
            <w:r w:rsidR="00335398" w:rsidRPr="005A5DB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numatyti reikalavimai atminčiai yra pertekliniai, niekuo nepagrįsti ir ribojantys konkurenciją. </w:t>
            </w:r>
          </w:p>
          <w:p w:rsidR="00335398" w:rsidRPr="005A5DBC" w:rsidRDefault="00334369" w:rsidP="0033539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335398" w:rsidRPr="005A5DBC">
              <w:rPr>
                <w:rFonts w:ascii="Times New Roman" w:hAnsi="Times New Roman" w:cs="Times New Roman"/>
              </w:rPr>
              <w:t>Taip pat atkreip</w:t>
            </w:r>
            <w:r w:rsidR="0073255C">
              <w:rPr>
                <w:rFonts w:ascii="Times New Roman" w:hAnsi="Times New Roman" w:cs="Times New Roman"/>
              </w:rPr>
              <w:t xml:space="preserve">iame dėmesį </w:t>
            </w:r>
            <w:r w:rsidR="00335398" w:rsidRPr="005A5DBC">
              <w:rPr>
                <w:rFonts w:ascii="Times New Roman" w:hAnsi="Times New Roman" w:cs="Times New Roman"/>
              </w:rPr>
              <w:t>į tai, kad P</w:t>
            </w:r>
            <w:r w:rsidR="0073255C">
              <w:rPr>
                <w:rFonts w:ascii="Times New Roman" w:hAnsi="Times New Roman" w:cs="Times New Roman"/>
              </w:rPr>
              <w:t>erkančiosios organizacijos</w:t>
            </w:r>
            <w:r w:rsidR="00335398" w:rsidRPr="005A5DBC">
              <w:rPr>
                <w:rFonts w:ascii="Times New Roman" w:hAnsi="Times New Roman" w:cs="Times New Roman"/>
              </w:rPr>
              <w:t xml:space="preserve"> minimas pusiau automatinis analizatorius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URiSCAN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Optima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neatitinka </w:t>
            </w:r>
            <w:r>
              <w:rPr>
                <w:rFonts w:ascii="Times New Roman" w:hAnsi="Times New Roman" w:cs="Times New Roman"/>
              </w:rPr>
              <w:t>T</w:t>
            </w:r>
            <w:r w:rsidR="0073255C">
              <w:rPr>
                <w:rFonts w:ascii="Times New Roman" w:hAnsi="Times New Roman" w:cs="Times New Roman"/>
              </w:rPr>
              <w:t xml:space="preserve">echninės </w:t>
            </w:r>
            <w:r w:rsidR="00335398" w:rsidRPr="005A5DBC">
              <w:rPr>
                <w:rFonts w:ascii="Times New Roman" w:hAnsi="Times New Roman" w:cs="Times New Roman"/>
              </w:rPr>
              <w:t>specifikacijos 5.2.2.8 p</w:t>
            </w:r>
            <w:r w:rsidR="00AB3D3E">
              <w:rPr>
                <w:rFonts w:ascii="Times New Roman" w:hAnsi="Times New Roman" w:cs="Times New Roman"/>
              </w:rPr>
              <w:t>unkte nustatytų</w:t>
            </w:r>
            <w:r w:rsidR="00335398" w:rsidRPr="005A5DBC">
              <w:rPr>
                <w:rFonts w:ascii="Times New Roman" w:hAnsi="Times New Roman" w:cs="Times New Roman"/>
              </w:rPr>
              <w:t xml:space="preserve"> reikalavimų („</w:t>
            </w:r>
            <w:r w:rsidR="00335398" w:rsidRPr="005A5DBC">
              <w:rPr>
                <w:rFonts w:ascii="Times New Roman" w:hAnsi="Times New Roman" w:cs="Times New Roman"/>
                <w:i/>
              </w:rPr>
              <w:t>≥500 tyrimų ir 30 kontrolių duomenų</w:t>
            </w:r>
            <w:r w:rsidR="00335398" w:rsidRPr="005A5DBC">
              <w:rPr>
                <w:rFonts w:ascii="Times New Roman" w:hAnsi="Times New Roman" w:cs="Times New Roman"/>
              </w:rPr>
              <w:t>“), nes gamintojo tinklalapyje</w:t>
            </w:r>
            <w:r w:rsidR="00AA01BC">
              <w:rPr>
                <w:rStyle w:val="Puslapioinaosnuoroda"/>
                <w:rFonts w:ascii="Times New Roman" w:hAnsi="Times New Roman" w:cs="Times New Roman"/>
              </w:rPr>
              <w:footnoteReference w:id="6"/>
            </w:r>
            <w:r w:rsidR="00335398" w:rsidRPr="005A5DBC">
              <w:rPr>
                <w:rFonts w:ascii="Times New Roman" w:hAnsi="Times New Roman" w:cs="Times New Roman"/>
              </w:rPr>
              <w:t xml:space="preserve"> yra nurodyta, kad prietaise yra saugomi tik 2000</w:t>
            </w:r>
            <w:r w:rsidR="00AB3D3E">
              <w:rPr>
                <w:rFonts w:ascii="Times New Roman" w:hAnsi="Times New Roman" w:cs="Times New Roman"/>
              </w:rPr>
              <w:t xml:space="preserve"> </w:t>
            </w:r>
            <w:r w:rsidR="00335398" w:rsidRPr="005A5DBC">
              <w:rPr>
                <w:rFonts w:ascii="Times New Roman" w:hAnsi="Times New Roman" w:cs="Times New Roman"/>
              </w:rPr>
              <w:t xml:space="preserve">pacientų tyrimų duomenų </w:t>
            </w:r>
            <w:r w:rsidR="00335398" w:rsidRPr="00AB3D3E">
              <w:rPr>
                <w:rFonts w:ascii="Times New Roman" w:hAnsi="Times New Roman" w:cs="Times New Roman"/>
                <w:color w:val="auto"/>
              </w:rPr>
              <w:t xml:space="preserve">ir nėra nurodytas saugomų kontrolinių </w:t>
            </w:r>
            <w:r w:rsidR="00335398" w:rsidRPr="005A5DBC">
              <w:rPr>
                <w:rFonts w:ascii="Times New Roman" w:hAnsi="Times New Roman" w:cs="Times New Roman"/>
              </w:rPr>
              <w:t xml:space="preserve">tyrimų duomenų skaičius. </w:t>
            </w:r>
            <w:r w:rsidR="0073255C">
              <w:rPr>
                <w:rFonts w:ascii="Times New Roman" w:hAnsi="Times New Roman" w:cs="Times New Roman"/>
              </w:rPr>
              <w:t xml:space="preserve">Techninės specifikacijos </w:t>
            </w:r>
            <w:r w:rsidR="00335398" w:rsidRPr="005A5DBC">
              <w:rPr>
                <w:rFonts w:ascii="Times New Roman" w:hAnsi="Times New Roman" w:cs="Times New Roman"/>
              </w:rPr>
              <w:t>5.2.2.8 p</w:t>
            </w:r>
            <w:r w:rsidR="0073255C">
              <w:rPr>
                <w:rFonts w:ascii="Times New Roman" w:hAnsi="Times New Roman" w:cs="Times New Roman"/>
              </w:rPr>
              <w:t>unkto</w:t>
            </w:r>
            <w:r w:rsidR="00335398" w:rsidRPr="005A5DBC">
              <w:rPr>
                <w:rFonts w:ascii="Times New Roman" w:hAnsi="Times New Roman" w:cs="Times New Roman"/>
              </w:rPr>
              <w:t xml:space="preserve"> reikalavimus atitinka kitas YD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Diagnostics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gaminamas pusiau automatinis analizatorius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URiSCAN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Pro, nes DIRUI gamintojo pateikiamoje informacijoje</w:t>
            </w:r>
            <w:r w:rsidR="00AA01BC">
              <w:rPr>
                <w:rStyle w:val="Puslapioinaosnuoroda"/>
                <w:rFonts w:ascii="Times New Roman" w:hAnsi="Times New Roman" w:cs="Times New Roman"/>
              </w:rPr>
              <w:footnoteReference w:id="7"/>
            </w:r>
            <w:r w:rsidR="00335398" w:rsidRPr="005A5DBC">
              <w:rPr>
                <w:rFonts w:ascii="Times New Roman" w:hAnsi="Times New Roman" w:cs="Times New Roman"/>
              </w:rPr>
              <w:t xml:space="preserve"> </w:t>
            </w:r>
            <w:r w:rsidR="00335398" w:rsidRPr="00AB3D3E">
              <w:rPr>
                <w:rFonts w:ascii="Times New Roman" w:hAnsi="Times New Roman" w:cs="Times New Roman"/>
                <w:color w:val="auto"/>
              </w:rPr>
              <w:t xml:space="preserve">yra </w:t>
            </w:r>
            <w:r w:rsidR="00335398" w:rsidRPr="005A5DBC">
              <w:rPr>
                <w:rFonts w:ascii="Times New Roman" w:hAnsi="Times New Roman" w:cs="Times New Roman"/>
              </w:rPr>
              <w:t xml:space="preserve">nurodoma, kad analizatoriai H-500 ir H-100 saugo tik paciento tyrimų duomenis (2000 ir 1000 atitinkamai) ir nėra nurodyta, kad yra saugomi kontrolių duomenys. Dėl šios priežasties galima daryti išvadą, kad </w:t>
            </w:r>
            <w:r>
              <w:rPr>
                <w:rFonts w:ascii="Times New Roman" w:hAnsi="Times New Roman" w:cs="Times New Roman"/>
              </w:rPr>
              <w:t>T</w:t>
            </w:r>
            <w:r w:rsidR="00335398" w:rsidRPr="005A5DBC">
              <w:rPr>
                <w:rFonts w:ascii="Times New Roman" w:hAnsi="Times New Roman" w:cs="Times New Roman"/>
              </w:rPr>
              <w:t xml:space="preserve">echninės specifikacijos 5.2.2 </w:t>
            </w:r>
            <w:r w:rsidR="0073255C">
              <w:rPr>
                <w:rFonts w:ascii="Times New Roman" w:hAnsi="Times New Roman" w:cs="Times New Roman"/>
              </w:rPr>
              <w:t>punkto</w:t>
            </w:r>
            <w:r w:rsidR="00335398" w:rsidRPr="005A5DBC">
              <w:rPr>
                <w:rFonts w:ascii="Times New Roman" w:hAnsi="Times New Roman" w:cs="Times New Roman"/>
              </w:rPr>
              <w:t xml:space="preserve"> reikalavimų visumą atitinka tik YD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Diagnostics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gaminamas pusiau automatinis analizatorius </w:t>
            </w:r>
            <w:proofErr w:type="spellStart"/>
            <w:r w:rsidR="00335398" w:rsidRPr="005A5DBC">
              <w:rPr>
                <w:rFonts w:ascii="Times New Roman" w:hAnsi="Times New Roman" w:cs="Times New Roman"/>
              </w:rPr>
              <w:t>URiSCAN</w:t>
            </w:r>
            <w:proofErr w:type="spellEnd"/>
            <w:r w:rsidR="00335398" w:rsidRPr="005A5DBC">
              <w:rPr>
                <w:rFonts w:ascii="Times New Roman" w:hAnsi="Times New Roman" w:cs="Times New Roman"/>
              </w:rPr>
              <w:t xml:space="preserve"> Pro.</w:t>
            </w:r>
          </w:p>
          <w:p w:rsidR="00E576B6" w:rsidRDefault="00E576B6" w:rsidP="00E576B6">
            <w:pPr>
              <w:pStyle w:val="Default"/>
              <w:numPr>
                <w:ilvl w:val="0"/>
                <w:numId w:val="42"/>
              </w:numPr>
              <w:ind w:left="29"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Pirkimo objekto dalies</w:t>
            </w:r>
            <w:r w:rsidRPr="00E576B6">
              <w:rPr>
                <w:rFonts w:ascii="Times New Roman" w:eastAsia="Times New Roman" w:hAnsi="Times New Roman" w:cs="Times New Roman"/>
              </w:rPr>
              <w:t xml:space="preserve"> Nr. 6 </w:t>
            </w:r>
            <w:r w:rsidRPr="00E576B6">
              <w:rPr>
                <w:rFonts w:ascii="Times New Roman" w:hAnsi="Times New Roman" w:cs="Times New Roman"/>
              </w:rPr>
              <w:t>6.1.1, 6.1.3, 6.</w:t>
            </w:r>
            <w:r>
              <w:rPr>
                <w:rFonts w:ascii="Times New Roman" w:hAnsi="Times New Roman" w:cs="Times New Roman"/>
              </w:rPr>
              <w:t>2.8 ir</w:t>
            </w:r>
            <w:r w:rsidRPr="00E576B6">
              <w:rPr>
                <w:rFonts w:ascii="Times New Roman" w:hAnsi="Times New Roman" w:cs="Times New Roman"/>
              </w:rPr>
              <w:t xml:space="preserve"> 6.2.10</w:t>
            </w:r>
            <w:r>
              <w:rPr>
                <w:rFonts w:ascii="Times New Roman" w:hAnsi="Times New Roman" w:cs="Times New Roman"/>
              </w:rPr>
              <w:t xml:space="preserve"> punktuose </w:t>
            </w:r>
            <w:r>
              <w:rPr>
                <w:rFonts w:ascii="Times New Roman" w:eastAsia="Times New Roman" w:hAnsi="Times New Roman" w:cs="Times New Roman"/>
              </w:rPr>
              <w:t>nus</w:t>
            </w:r>
            <w:r>
              <w:rPr>
                <w:rFonts w:ascii="Times New Roman" w:hAnsi="Times New Roman" w:cs="Times New Roman"/>
              </w:rPr>
              <w:t>tatytas</w:t>
            </w:r>
            <w:r w:rsidR="00335398" w:rsidRPr="00E576B6">
              <w:rPr>
                <w:rFonts w:ascii="Times New Roman" w:hAnsi="Times New Roman" w:cs="Times New Roman"/>
              </w:rPr>
              <w:t xml:space="preserve"> reikalavimas, kad reagentai būtų sukalibruoti gamykloje yra pritaikytas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Diagnostica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Stago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S.A.S.</w:t>
            </w:r>
            <w:r w:rsidR="00335398" w:rsidRPr="00E576B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335398" w:rsidRPr="00E576B6">
              <w:rPr>
                <w:rFonts w:ascii="Times New Roman" w:hAnsi="Times New Roman" w:cs="Times New Roman"/>
              </w:rPr>
              <w:t>gamintojui i</w:t>
            </w:r>
            <w:r>
              <w:rPr>
                <w:rFonts w:ascii="Times New Roman" w:hAnsi="Times New Roman" w:cs="Times New Roman"/>
              </w:rPr>
              <w:t xml:space="preserve">r tokiu būdu riboja konkurenciją. </w:t>
            </w:r>
            <w:r w:rsidR="00335398" w:rsidRPr="00E576B6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erkančiosios organizacijos</w:t>
            </w:r>
            <w:r w:rsidR="00335398" w:rsidRPr="00E576B6">
              <w:rPr>
                <w:rFonts w:ascii="Times New Roman" w:hAnsi="Times New Roman" w:cs="Times New Roman"/>
              </w:rPr>
              <w:t xml:space="preserve"> nurodyti argumentai, kad reagentų išankstinis sukalibravimas gamykloje yra būtinas norint išvengti žalos paciento sveikatai bei laiku suteikti paslaugą, yra nepagrįsti, o 2016-12-02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rаštuose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Nr. VP1-1333 ir Nr. VP1-1334 pateikta informacija apie tai, kad „</w:t>
            </w:r>
            <w:r w:rsidR="00335398" w:rsidRPr="00E576B6">
              <w:rPr>
                <w:rFonts w:ascii="Times New Roman" w:hAnsi="Times New Roman" w:cs="Times New Roman"/>
                <w:i/>
              </w:rPr>
              <w:t xml:space="preserve">rinkoje yra ir daugiau prietaisų, kuriems naudojami gamykloje sukalibruoti reagentai (pvz.,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Micro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 xml:space="preserve"> INR,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CoaguChek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NycoCard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>)</w:t>
            </w:r>
            <w:r w:rsidR="00334369">
              <w:rPr>
                <w:rFonts w:ascii="Times New Roman" w:hAnsi="Times New Roman" w:cs="Times New Roman"/>
              </w:rPr>
              <w:t>“</w:t>
            </w:r>
            <w:r w:rsidR="00335398" w:rsidRPr="00E576B6">
              <w:rPr>
                <w:rFonts w:ascii="Times New Roman" w:hAnsi="Times New Roman" w:cs="Times New Roman"/>
              </w:rPr>
              <w:t xml:space="preserve"> yra klaidinanti, nes P</w:t>
            </w:r>
            <w:r>
              <w:rPr>
                <w:rFonts w:ascii="Times New Roman" w:hAnsi="Times New Roman" w:cs="Times New Roman"/>
              </w:rPr>
              <w:t>erkančiosios organizacijos</w:t>
            </w:r>
            <w:r w:rsidR="00335398" w:rsidRPr="00E576B6">
              <w:rPr>
                <w:rFonts w:ascii="Times New Roman" w:hAnsi="Times New Roman" w:cs="Times New Roman"/>
              </w:rPr>
              <w:t xml:space="preserve"> nurodyti analizatoriai neatitinka nei </w:t>
            </w:r>
            <w:r w:rsidR="00334369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echninės specifikacijos </w:t>
            </w:r>
            <w:r w:rsidRPr="00E576B6">
              <w:rPr>
                <w:rFonts w:ascii="Times New Roman" w:hAnsi="Times New Roman" w:cs="Times New Roman"/>
              </w:rPr>
              <w:t xml:space="preserve">6.1 </w:t>
            </w:r>
            <w:r>
              <w:rPr>
                <w:rFonts w:ascii="Times New Roman" w:hAnsi="Times New Roman" w:cs="Times New Roman"/>
              </w:rPr>
              <w:lastRenderedPageBreak/>
              <w:t xml:space="preserve">punkte </w:t>
            </w:r>
            <w:r w:rsidRPr="00E576B6">
              <w:rPr>
                <w:rFonts w:ascii="Times New Roman" w:hAnsi="Times New Roman" w:cs="Times New Roman"/>
              </w:rPr>
              <w:t>nurodytų reikalavimų reagentams bei papildomoms priemonėms</w:t>
            </w:r>
            <w:r>
              <w:rPr>
                <w:rFonts w:ascii="Times New Roman" w:hAnsi="Times New Roman" w:cs="Times New Roman"/>
              </w:rPr>
              <w:t xml:space="preserve">, nei </w:t>
            </w:r>
            <w:r w:rsidR="00334369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echninės specifikacijos </w:t>
            </w:r>
            <w:r w:rsidR="00335398" w:rsidRPr="00E576B6">
              <w:rPr>
                <w:rFonts w:ascii="Times New Roman" w:hAnsi="Times New Roman" w:cs="Times New Roman"/>
              </w:rPr>
              <w:t xml:space="preserve">6.2 </w:t>
            </w:r>
            <w:r>
              <w:rPr>
                <w:rFonts w:ascii="Times New Roman" w:hAnsi="Times New Roman" w:cs="Times New Roman"/>
              </w:rPr>
              <w:t xml:space="preserve">punkte </w:t>
            </w:r>
            <w:r w:rsidR="00335398" w:rsidRPr="00E576B6">
              <w:rPr>
                <w:rFonts w:ascii="Times New Roman" w:hAnsi="Times New Roman" w:cs="Times New Roman"/>
              </w:rPr>
              <w:t>nurodytų reikalavimų automatiniam kraujo krešėjimo analizatoriui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335398" w:rsidRPr="00E576B6" w:rsidRDefault="00E576B6" w:rsidP="00335398">
            <w:pPr>
              <w:pStyle w:val="Defaul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335398" w:rsidRPr="005551E0">
              <w:rPr>
                <w:rFonts w:ascii="Times New Roman" w:hAnsi="Times New Roman" w:cs="Times New Roman"/>
              </w:rPr>
              <w:t xml:space="preserve">Svarbu pastebėti, kad </w:t>
            </w:r>
            <w:r w:rsidR="00334369">
              <w:rPr>
                <w:rFonts w:ascii="Times New Roman" w:hAnsi="Times New Roman" w:cs="Times New Roman"/>
              </w:rPr>
              <w:t>T</w:t>
            </w:r>
            <w:r w:rsidR="00335398" w:rsidRPr="005551E0">
              <w:rPr>
                <w:rFonts w:ascii="Times New Roman" w:hAnsi="Times New Roman" w:cs="Times New Roman"/>
              </w:rPr>
              <w:t>echninės specifikacijos 6.1.1</w:t>
            </w:r>
            <w:r>
              <w:rPr>
                <w:rFonts w:ascii="Times New Roman" w:hAnsi="Times New Roman" w:cs="Times New Roman"/>
              </w:rPr>
              <w:t xml:space="preserve"> punkte</w:t>
            </w:r>
            <w:r w:rsidR="00335398" w:rsidRPr="005551E0">
              <w:rPr>
                <w:rFonts w:ascii="Times New Roman" w:hAnsi="Times New Roman" w:cs="Times New Roman"/>
              </w:rPr>
              <w:t xml:space="preserve"> yra nurodytas </w:t>
            </w:r>
            <w:proofErr w:type="spellStart"/>
            <w:r w:rsidR="00335398" w:rsidRPr="005551E0">
              <w:rPr>
                <w:rFonts w:ascii="Times New Roman" w:hAnsi="Times New Roman" w:cs="Times New Roman"/>
              </w:rPr>
              <w:t>protrombino</w:t>
            </w:r>
            <w:proofErr w:type="spellEnd"/>
            <w:r w:rsidR="00335398" w:rsidRPr="005551E0">
              <w:rPr>
                <w:rFonts w:ascii="Times New Roman" w:hAnsi="Times New Roman" w:cs="Times New Roman"/>
              </w:rPr>
              <w:t xml:space="preserve"> komplekso tyrimas (angl. „</w:t>
            </w:r>
            <w:proofErr w:type="spellStart"/>
            <w:r w:rsidR="00335398" w:rsidRPr="005551E0">
              <w:rPr>
                <w:rFonts w:ascii="Times New Roman" w:hAnsi="Times New Roman" w:cs="Times New Roman"/>
                <w:i/>
              </w:rPr>
              <w:t>Prothrombin</w:t>
            </w:r>
            <w:proofErr w:type="spellEnd"/>
            <w:r w:rsidR="00335398" w:rsidRPr="005551E0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35398" w:rsidRPr="005551E0">
              <w:rPr>
                <w:rFonts w:ascii="Times New Roman" w:hAnsi="Times New Roman" w:cs="Times New Roman"/>
                <w:i/>
              </w:rPr>
              <w:t>time</w:t>
            </w:r>
            <w:proofErr w:type="spellEnd"/>
            <w:r w:rsidR="00334369">
              <w:rPr>
                <w:rFonts w:ascii="Times New Roman" w:hAnsi="Times New Roman" w:cs="Times New Roman"/>
              </w:rPr>
              <w:t>“ arba PT)</w:t>
            </w:r>
            <w:r w:rsidR="00335398" w:rsidRPr="005551E0">
              <w:rPr>
                <w:rFonts w:ascii="Times New Roman" w:hAnsi="Times New Roman" w:cs="Times New Roman"/>
              </w:rPr>
              <w:t xml:space="preserve"> vartojamas gydymo antikoaguliantais sekimui, gali būti atliekamas dviem skirtingais</w:t>
            </w:r>
            <w:r w:rsidR="00335398">
              <w:rPr>
                <w:sz w:val="20"/>
                <w:szCs w:val="20"/>
              </w:rPr>
              <w:t xml:space="preserve"> </w:t>
            </w:r>
            <w:r w:rsidR="00335398" w:rsidRPr="00E576B6">
              <w:rPr>
                <w:rFonts w:ascii="Times New Roman" w:hAnsi="Times New Roman" w:cs="Times New Roman"/>
              </w:rPr>
              <w:t xml:space="preserve">metodais: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Quick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Owren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. Pasaulyje dažniausiai naudojamas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Quick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metodas, o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Owren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metodas, kuriam reikalavimas yra nustatytas </w:t>
            </w:r>
            <w:r w:rsidR="006F45D3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echninės specifikacijos </w:t>
            </w:r>
            <w:r w:rsidR="00335398" w:rsidRPr="00E576B6">
              <w:rPr>
                <w:rFonts w:ascii="Times New Roman" w:hAnsi="Times New Roman" w:cs="Times New Roman"/>
              </w:rPr>
              <w:t xml:space="preserve">6.1.1 </w:t>
            </w:r>
            <w:r>
              <w:rPr>
                <w:rFonts w:ascii="Times New Roman" w:hAnsi="Times New Roman" w:cs="Times New Roman"/>
              </w:rPr>
              <w:t>punkte</w:t>
            </w:r>
            <w:r w:rsidR="00335398" w:rsidRPr="00E576B6">
              <w:rPr>
                <w:rFonts w:ascii="Times New Roman" w:hAnsi="Times New Roman" w:cs="Times New Roman"/>
              </w:rPr>
              <w:t xml:space="preserve">, yra taikomas tik keliose šalyse (Skandinavijoje,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Benelukse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, Japonijoje, Lietuvoje), tačiau abu metodai yra tinkami gydymo antikoaguliantais monitoringui ir kiekvienas metodas turi savo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privalumų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ir trūkumų</w:t>
            </w:r>
            <w:r>
              <w:rPr>
                <w:rStyle w:val="Puslapioinaosnuoroda"/>
                <w:rFonts w:ascii="Times New Roman" w:hAnsi="Times New Roman" w:cs="Times New Roman"/>
              </w:rPr>
              <w:footnoteReference w:id="8"/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335398" w:rsidRPr="00E576B6">
              <w:rPr>
                <w:rFonts w:ascii="Times New Roman" w:hAnsi="Times New Roman" w:cs="Times New Roman"/>
              </w:rPr>
              <w:t xml:space="preserve">Lietuvoje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protrombino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komplekso tyrimas yra dažnai net trumpinamas kaip SPA (angl. „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Stago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Prothrombin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Assay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>“). Pasaulio Sveikatos Organizacija, siekdama suvienodinti gydymo antikoaguliantais kontrolę, gydymo efektyvumui įvertinanti rekomenduoja naudoti ne PT, o išvestinį rodiklį INR (angl. „</w:t>
            </w:r>
            <w:r w:rsidR="00335398" w:rsidRPr="00E576B6">
              <w:rPr>
                <w:rFonts w:ascii="Times New Roman" w:hAnsi="Times New Roman" w:cs="Times New Roman"/>
                <w:i/>
              </w:rPr>
              <w:t xml:space="preserve">International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Normalized</w:t>
            </w:r>
            <w:proofErr w:type="spellEnd"/>
            <w:r w:rsidR="00335398" w:rsidRPr="00E576B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335398" w:rsidRPr="00E576B6">
              <w:rPr>
                <w:rFonts w:ascii="Times New Roman" w:hAnsi="Times New Roman" w:cs="Times New Roman"/>
                <w:i/>
              </w:rPr>
              <w:t>Ratio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“, kurio rezultatai nepriklauso nuo naudojamo metodo ar reagentų. Dėl šių priežasčių reikalavimas, jog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protrombino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komplekso  tyrimas būtų atliekamas būtinai </w:t>
            </w:r>
            <w:proofErr w:type="spellStart"/>
            <w:r w:rsidR="00335398" w:rsidRPr="00E576B6">
              <w:rPr>
                <w:rFonts w:ascii="Times New Roman" w:hAnsi="Times New Roman" w:cs="Times New Roman"/>
              </w:rPr>
              <w:t>Owren</w:t>
            </w:r>
            <w:proofErr w:type="spellEnd"/>
            <w:r w:rsidR="00335398" w:rsidRPr="00E576B6">
              <w:rPr>
                <w:rFonts w:ascii="Times New Roman" w:hAnsi="Times New Roman" w:cs="Times New Roman"/>
              </w:rPr>
              <w:t xml:space="preserve"> metodu, taip pat negali būti vertinamas, kaip pagrįstas.</w:t>
            </w:r>
          </w:p>
          <w:p w:rsidR="00DE1107" w:rsidRPr="00971FD0" w:rsidRDefault="00334369" w:rsidP="00DE110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1A68CA">
              <w:rPr>
                <w:rFonts w:ascii="Times New Roman" w:hAnsi="Times New Roman" w:cs="Times New Roman"/>
              </w:rPr>
              <w:t xml:space="preserve">Apibendrindama išdėstytą, Tarnyba daro išvadą, kad </w:t>
            </w:r>
            <w:r w:rsidR="00714FCA">
              <w:rPr>
                <w:rFonts w:ascii="Times New Roman" w:hAnsi="Times New Roman" w:cs="Times New Roman"/>
              </w:rPr>
              <w:t xml:space="preserve">Perkančiosios organizacijos aukščiau išvardintuose </w:t>
            </w:r>
            <w:r w:rsidR="001A68CA">
              <w:rPr>
                <w:rFonts w:ascii="Times New Roman" w:hAnsi="Times New Roman" w:cs="Times New Roman"/>
                <w:bCs/>
              </w:rPr>
              <w:t xml:space="preserve">Techninės specifikacijos </w:t>
            </w:r>
            <w:r w:rsidR="00714FCA">
              <w:rPr>
                <w:rFonts w:ascii="Times New Roman" w:hAnsi="Times New Roman" w:cs="Times New Roman"/>
                <w:bCs/>
              </w:rPr>
              <w:t xml:space="preserve">punktuose </w:t>
            </w:r>
            <w:r w:rsidR="001A68CA">
              <w:rPr>
                <w:rFonts w:ascii="Times New Roman" w:hAnsi="Times New Roman" w:cs="Times New Roman"/>
                <w:bCs/>
              </w:rPr>
              <w:t>Pirkimo objekto dal</w:t>
            </w:r>
            <w:r w:rsidR="00714FCA">
              <w:rPr>
                <w:rFonts w:ascii="Times New Roman" w:hAnsi="Times New Roman" w:cs="Times New Roman"/>
                <w:bCs/>
              </w:rPr>
              <w:t>yse</w:t>
            </w:r>
            <w:r w:rsidR="001A68CA">
              <w:rPr>
                <w:rFonts w:ascii="Times New Roman" w:hAnsi="Times New Roman" w:cs="Times New Roman"/>
                <w:bCs/>
              </w:rPr>
              <w:t xml:space="preserve"> Nr</w:t>
            </w:r>
            <w:r w:rsidR="00F01E5B">
              <w:rPr>
                <w:rFonts w:ascii="Times New Roman" w:hAnsi="Times New Roman" w:cs="Times New Roman"/>
                <w:bCs/>
              </w:rPr>
              <w:t>. 3</w:t>
            </w:r>
            <w:r w:rsidR="001A68CA">
              <w:rPr>
                <w:rFonts w:ascii="Times New Roman" w:hAnsi="Times New Roman" w:cs="Times New Roman"/>
                <w:color w:val="auto"/>
              </w:rPr>
              <w:t xml:space="preserve">, Nr. 5 </w:t>
            </w:r>
            <w:r w:rsidR="00F01E5B">
              <w:rPr>
                <w:rFonts w:ascii="Times New Roman" w:hAnsi="Times New Roman" w:cs="Times New Roman"/>
                <w:color w:val="auto"/>
              </w:rPr>
              <w:t xml:space="preserve">ir </w:t>
            </w:r>
            <w:r w:rsidR="00F01E5B">
              <w:rPr>
                <w:rFonts w:ascii="Times New Roman" w:hAnsi="Times New Roman" w:cs="Times New Roman"/>
                <w:bCs/>
              </w:rPr>
              <w:t xml:space="preserve">Nr. 6 </w:t>
            </w:r>
            <w:r w:rsidR="00714FCA">
              <w:rPr>
                <w:rFonts w:ascii="Times New Roman" w:hAnsi="Times New Roman" w:cs="Times New Roman"/>
                <w:bCs/>
              </w:rPr>
              <w:t>nustatyti</w:t>
            </w:r>
            <w:r w:rsidR="00F01E5B">
              <w:rPr>
                <w:rFonts w:ascii="Times New Roman" w:hAnsi="Times New Roman" w:cs="Times New Roman"/>
                <w:bCs/>
              </w:rPr>
              <w:t xml:space="preserve"> reikalavim</w:t>
            </w:r>
            <w:r w:rsidR="00714FCA">
              <w:rPr>
                <w:rFonts w:ascii="Times New Roman" w:hAnsi="Times New Roman" w:cs="Times New Roman"/>
                <w:bCs/>
              </w:rPr>
              <w:t xml:space="preserve">ai yra pertekliniai, </w:t>
            </w:r>
            <w:r w:rsidR="00C533A4">
              <w:rPr>
                <w:rFonts w:ascii="Times New Roman" w:hAnsi="Times New Roman" w:cs="Times New Roman"/>
                <w:bCs/>
              </w:rPr>
              <w:t xml:space="preserve">nepagrįsti, </w:t>
            </w:r>
            <w:r w:rsidR="00714FCA">
              <w:rPr>
                <w:rFonts w:ascii="Times New Roman" w:hAnsi="Times New Roman" w:cs="Times New Roman"/>
                <w:bCs/>
              </w:rPr>
              <w:t>diskriminaciniai ir ribojantys</w:t>
            </w:r>
            <w:r w:rsidR="00714FCA" w:rsidRPr="0059205B">
              <w:rPr>
                <w:rFonts w:ascii="Times New Roman" w:hAnsi="Times New Roman" w:cs="Times New Roman"/>
                <w:bCs/>
              </w:rPr>
              <w:t xml:space="preserve"> tiekėjų konkurenciją</w:t>
            </w:r>
            <w:r w:rsidR="00714FCA">
              <w:rPr>
                <w:rFonts w:ascii="Times New Roman" w:hAnsi="Times New Roman" w:cs="Times New Roman"/>
                <w:bCs/>
              </w:rPr>
              <w:t xml:space="preserve">, todėl </w:t>
            </w:r>
            <w:r w:rsidR="00E576B6" w:rsidRPr="00E576B6">
              <w:rPr>
                <w:rFonts w:ascii="Times New Roman" w:hAnsi="Times New Roman" w:cs="Times New Roman"/>
              </w:rPr>
              <w:t>pažeidžia Įstatym</w:t>
            </w:r>
            <w:r w:rsidR="00E576B6">
              <w:rPr>
                <w:rFonts w:ascii="Times New Roman" w:hAnsi="Times New Roman" w:cs="Times New Roman"/>
              </w:rPr>
              <w:t>o</w:t>
            </w:r>
            <w:r w:rsidR="00E576B6" w:rsidRPr="00E576B6">
              <w:rPr>
                <w:rFonts w:ascii="Times New Roman" w:hAnsi="Times New Roman" w:cs="Times New Roman"/>
              </w:rPr>
              <w:t xml:space="preserve"> 25 straipsnio 2 dalies nuostatas, kad „</w:t>
            </w:r>
            <w:r w:rsidR="00E576B6" w:rsidRPr="00E576B6">
              <w:rPr>
                <w:rFonts w:ascii="Times New Roman" w:hAnsi="Times New Roman" w:cs="Times New Roman"/>
                <w:i/>
              </w:rPr>
              <w:t>techninė specifikacija turi užtikrinti konkurenciją ir nediskriminuoti tiekėjų</w:t>
            </w:r>
            <w:r w:rsidR="00714FCA">
              <w:rPr>
                <w:rFonts w:ascii="Times New Roman" w:hAnsi="Times New Roman" w:cs="Times New Roman"/>
              </w:rPr>
              <w:t>“, taip pat</w:t>
            </w:r>
            <w:r w:rsidR="00A375CF">
              <w:rPr>
                <w:rFonts w:ascii="Times New Roman" w:hAnsi="Times New Roman" w:cs="Times New Roman"/>
              </w:rPr>
              <w:t xml:space="preserve"> pažeidžia</w:t>
            </w:r>
            <w:r w:rsidR="00714FCA">
              <w:rPr>
                <w:rFonts w:ascii="Times New Roman" w:hAnsi="Times New Roman" w:cs="Times New Roman"/>
              </w:rPr>
              <w:t xml:space="preserve"> Įstatymo 3 straipsnio 1 dalyje įtvirtint</w:t>
            </w:r>
            <w:r w:rsidR="0056187E">
              <w:rPr>
                <w:rFonts w:ascii="Times New Roman" w:hAnsi="Times New Roman" w:cs="Times New Roman"/>
              </w:rPr>
              <w:t>us skaidrumo ir lygiateisiškumo</w:t>
            </w:r>
            <w:r w:rsidR="00714FCA">
              <w:rPr>
                <w:rFonts w:ascii="Times New Roman" w:hAnsi="Times New Roman" w:cs="Times New Roman"/>
              </w:rPr>
              <w:t xml:space="preserve"> princip</w:t>
            </w:r>
            <w:r w:rsidR="0056187E">
              <w:rPr>
                <w:rFonts w:ascii="Times New Roman" w:hAnsi="Times New Roman" w:cs="Times New Roman"/>
              </w:rPr>
              <w:t>us</w:t>
            </w:r>
            <w:r w:rsidR="00714FCA">
              <w:rPr>
                <w:rFonts w:ascii="Times New Roman" w:hAnsi="Times New Roman" w:cs="Times New Roman"/>
              </w:rPr>
              <w:t xml:space="preserve"> ir </w:t>
            </w:r>
            <w:r w:rsidR="00971FD0">
              <w:rPr>
                <w:rFonts w:ascii="Times New Roman" w:hAnsi="Times New Roman" w:cs="Times New Roman"/>
              </w:rPr>
              <w:t>Įstatymo 3 straipsnio 2 dali</w:t>
            </w:r>
            <w:r w:rsidR="00A375CF">
              <w:rPr>
                <w:rFonts w:ascii="Times New Roman" w:hAnsi="Times New Roman" w:cs="Times New Roman"/>
              </w:rPr>
              <w:t>e</w:t>
            </w:r>
            <w:r w:rsidR="00971FD0">
              <w:rPr>
                <w:rFonts w:ascii="Times New Roman" w:hAnsi="Times New Roman" w:cs="Times New Roman"/>
              </w:rPr>
              <w:t>s</w:t>
            </w:r>
            <w:r w:rsidR="00130A42">
              <w:rPr>
                <w:rFonts w:ascii="Times New Roman" w:hAnsi="Times New Roman" w:cs="Times New Roman"/>
              </w:rPr>
              <w:t xml:space="preserve"> </w:t>
            </w:r>
            <w:r w:rsidR="00A375CF">
              <w:rPr>
                <w:rFonts w:ascii="Times New Roman" w:hAnsi="Times New Roman" w:cs="Times New Roman"/>
              </w:rPr>
              <w:t>nuostatas</w:t>
            </w:r>
            <w:r w:rsidR="00971FD0">
              <w:rPr>
                <w:rFonts w:ascii="Times New Roman" w:hAnsi="Times New Roman" w:cs="Times New Roman"/>
              </w:rPr>
              <w:t>.</w:t>
            </w:r>
          </w:p>
          <w:p w:rsidR="00631760" w:rsidRPr="00307F8F" w:rsidRDefault="00631760" w:rsidP="003E2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4975B1" w:rsidRDefault="004975B1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B64236" w:rsidRDefault="008F4663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/>
          <w:sz w:val="24"/>
          <w:szCs w:val="24"/>
          <w:lang w:val="lt-LT"/>
        </w:rPr>
        <w:t>I</w:t>
      </w:r>
      <w:r w:rsidR="00ED2E43" w:rsidRPr="00307F8F">
        <w:rPr>
          <w:rFonts w:ascii="Times New Roman" w:hAnsi="Times New Roman" w:cs="Times New Roman"/>
          <w:b/>
          <w:sz w:val="24"/>
          <w:szCs w:val="24"/>
          <w:lang w:val="lt-LT"/>
        </w:rPr>
        <w:t>II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dalis </w:t>
      </w:r>
      <w:r w:rsidR="007A1C3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>astabos</w:t>
      </w:r>
      <w:r w:rsidR="00B822E0" w:rsidRPr="00307F8F">
        <w:rPr>
          <w:rFonts w:ascii="Times New Roman" w:hAnsi="Times New Roman" w:cs="Times New Roman"/>
          <w:b/>
          <w:sz w:val="24"/>
          <w:szCs w:val="24"/>
          <w:lang w:val="lt-LT"/>
        </w:rPr>
        <w:t>,</w:t>
      </w:r>
      <w:r w:rsidR="00B64236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į kurias </w:t>
      </w:r>
      <w:r w:rsidR="00BA3D29" w:rsidRPr="00307F8F">
        <w:rPr>
          <w:rFonts w:ascii="Times New Roman" w:hAnsi="Times New Roman" w:cs="Times New Roman"/>
          <w:b/>
          <w:sz w:val="24"/>
          <w:szCs w:val="24"/>
          <w:lang w:val="lt-LT"/>
        </w:rPr>
        <w:t>perkančioji organizacija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 turėtų atsižvelgti vykdydama </w:t>
      </w:r>
      <w:r w:rsidR="00E93D32" w:rsidRPr="00307F8F">
        <w:rPr>
          <w:rFonts w:ascii="Times New Roman" w:hAnsi="Times New Roman" w:cs="Times New Roman"/>
          <w:b/>
          <w:sz w:val="24"/>
          <w:szCs w:val="24"/>
          <w:lang w:val="lt-LT"/>
        </w:rPr>
        <w:t xml:space="preserve">kitus </w:t>
      </w:r>
      <w:r w:rsidR="0071396E" w:rsidRPr="00307F8F">
        <w:rPr>
          <w:rFonts w:ascii="Times New Roman" w:hAnsi="Times New Roman" w:cs="Times New Roman"/>
          <w:b/>
          <w:sz w:val="24"/>
          <w:szCs w:val="24"/>
          <w:lang w:val="lt-LT"/>
        </w:rPr>
        <w:t>pirkimus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445"/>
        <w:gridCol w:w="9189"/>
      </w:tblGrid>
      <w:tr w:rsidR="00FD74E9" w:rsidRPr="00307F8F" w:rsidTr="00403905">
        <w:tc>
          <w:tcPr>
            <w:tcW w:w="445" w:type="dxa"/>
          </w:tcPr>
          <w:p w:rsidR="00FD74E9" w:rsidRPr="00307F8F" w:rsidRDefault="00FD74E9" w:rsidP="00BA3D29">
            <w:pPr>
              <w:pStyle w:val="Sraopastraipa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89" w:type="dxa"/>
          </w:tcPr>
          <w:p w:rsidR="00FD74E9" w:rsidRPr="00307F8F" w:rsidRDefault="000F6D6C" w:rsidP="003C17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E098B" w:rsidRPr="00307F8F" w:rsidTr="00403905">
        <w:tc>
          <w:tcPr>
            <w:tcW w:w="9634" w:type="dxa"/>
            <w:gridSpan w:val="2"/>
          </w:tcPr>
          <w:p w:rsidR="004E098B" w:rsidRPr="00307F8F" w:rsidRDefault="004E098B" w:rsidP="008B3D96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8E38C1" w:rsidRDefault="008E38C1" w:rsidP="005413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C17A6" w:rsidRPr="00780425" w:rsidRDefault="003C17A6" w:rsidP="003C17A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>IV dalis. SPRENDIMAS</w:t>
      </w:r>
    </w:p>
    <w:p w:rsidR="00C47501" w:rsidRPr="00780425" w:rsidRDefault="00C47501" w:rsidP="00C47501">
      <w:pPr>
        <w:pStyle w:val="Normal12pt"/>
        <w:ind w:right="0"/>
        <w:rPr>
          <w:lang w:eastAsia="lt-LT"/>
        </w:rPr>
      </w:pPr>
      <w:r w:rsidRPr="00780425">
        <w:tab/>
        <w:t>Tarnyba, atsižvelgdama į išvados II dalyje nustatytus Įstatymo nuostatų pažeidimus, vadovaudamasi Lietuvos Respublikos viešųjų pirkimų įstatymo 8</w:t>
      </w:r>
      <w:r w:rsidRPr="00780425">
        <w:rPr>
          <w:vertAlign w:val="superscript"/>
        </w:rPr>
        <w:t>2</w:t>
      </w:r>
      <w:r w:rsidRPr="00780425">
        <w:t xml:space="preserve"> straipsnio 2 dalies 6 punktu, </w:t>
      </w:r>
      <w:r w:rsidRPr="00780425">
        <w:rPr>
          <w:b/>
        </w:rPr>
        <w:t>įpareigoja</w:t>
      </w:r>
      <w:r w:rsidRPr="00780425">
        <w:t xml:space="preserve"> </w:t>
      </w:r>
      <w:r w:rsidR="00780425" w:rsidRPr="00780425">
        <w:t>P</w:t>
      </w:r>
      <w:r w:rsidRPr="00780425">
        <w:t>erkančiąją organizaciją:</w:t>
      </w:r>
    </w:p>
    <w:p w:rsidR="0098658F" w:rsidRDefault="00C47501" w:rsidP="0098658F">
      <w:pPr>
        <w:pStyle w:val="Normal12pt"/>
        <w:ind w:right="0" w:firstLine="851"/>
      </w:pPr>
      <w:r w:rsidRPr="00081C1C">
        <w:t xml:space="preserve">1. </w:t>
      </w:r>
      <w:r w:rsidR="0098658F">
        <w:t xml:space="preserve">Pakeisti </w:t>
      </w:r>
      <w:r w:rsidR="0098658F" w:rsidRPr="00780425">
        <w:t xml:space="preserve">Techninės specifikacijos Pirkimo objekto dalyse Nr. 3, Nr. 5 ir Nr. 6 </w:t>
      </w:r>
      <w:r w:rsidR="0098658F">
        <w:t>nustatytas sąlygas, neatitinkančias Įstatymo reikalavimų.</w:t>
      </w:r>
    </w:p>
    <w:p w:rsidR="0098658F" w:rsidRDefault="0098658F" w:rsidP="0098658F">
      <w:pPr>
        <w:pStyle w:val="Normal12pt"/>
        <w:ind w:right="0" w:firstLine="851"/>
      </w:pPr>
      <w:r>
        <w:t>2. Įstatymo nustatyta tvarka patikslinti Pirkimo dokumentus.</w:t>
      </w:r>
    </w:p>
    <w:p w:rsidR="00C47501" w:rsidRDefault="0098658F" w:rsidP="0098658F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3. </w:t>
      </w:r>
      <w:r w:rsidR="00C47501" w:rsidRPr="00780425">
        <w:rPr>
          <w:rFonts w:ascii="Times New Roman" w:hAnsi="Times New Roman" w:cs="Times New Roman"/>
          <w:sz w:val="24"/>
          <w:szCs w:val="24"/>
          <w:lang w:val="lt-LT"/>
        </w:rPr>
        <w:t>Raštu informuoti Tarnybą apie įpareigojimo įvykdymą ir pateikti tai patvirtinančius dokumentus.</w:t>
      </w:r>
    </w:p>
    <w:p w:rsidR="00165CFB" w:rsidRPr="00780425" w:rsidRDefault="00165CFB" w:rsidP="00165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Tarnyba neprieštarauja, kad Pirkimo objekto dalių </w:t>
      </w:r>
      <w:r w:rsidR="00D44711">
        <w:rPr>
          <w:rFonts w:ascii="Times New Roman" w:hAnsi="Times New Roman" w:cs="Times New Roman"/>
          <w:sz w:val="24"/>
          <w:szCs w:val="24"/>
          <w:lang w:val="lt-LT"/>
        </w:rPr>
        <w:t xml:space="preserve">Nr. 1-2, Nr. 4, Nr. 7-28 </w:t>
      </w:r>
      <w:r>
        <w:rPr>
          <w:rFonts w:ascii="Times New Roman" w:hAnsi="Times New Roman" w:cs="Times New Roman"/>
          <w:sz w:val="24"/>
          <w:szCs w:val="24"/>
          <w:lang w:val="lt-LT"/>
        </w:rPr>
        <w:t>procedūros būtų tęsiamos.</w:t>
      </w:r>
    </w:p>
    <w:p w:rsidR="00C47501" w:rsidRPr="00780425" w:rsidRDefault="00C47501" w:rsidP="00C475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80425">
        <w:rPr>
          <w:rFonts w:ascii="Times New Roman" w:hAnsi="Times New Roman" w:cs="Times New Roman"/>
          <w:sz w:val="24"/>
          <w:szCs w:val="24"/>
          <w:lang w:val="lt-LT"/>
        </w:rPr>
        <w:t xml:space="preserve">Vadovaujantis Lietuvos Respublikos administracinių bylų teisenos įstatymo 5 </w:t>
      </w:r>
      <w:r w:rsidRPr="0020546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05465">
        <w:rPr>
          <w:rFonts w:ascii="Times New Roman" w:hAnsi="Times New Roman" w:cs="Times New Roman"/>
          <w:sz w:val="24"/>
          <w:szCs w:val="24"/>
          <w:lang w:val="lt-LT"/>
        </w:rPr>
        <w:t>17</w:t>
      </w:r>
      <w:r w:rsidRPr="0078042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780425">
        <w:rPr>
          <w:rFonts w:ascii="Times New Roman" w:hAnsi="Times New Roman" w:cs="Times New Roman"/>
          <w:sz w:val="24"/>
          <w:szCs w:val="24"/>
          <w:lang w:val="lt-LT"/>
        </w:rPr>
        <w:t>straipsniais, nesutikę su Tarnybos įpareigojimu, Jūs galite ją apskųsti teismui šio įstatymo nustatyta tvarka.</w:t>
      </w:r>
    </w:p>
    <w:p w:rsidR="00971FD0" w:rsidRDefault="00971FD0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081C1C" w:rsidRPr="00463C95" w:rsidRDefault="00081C1C" w:rsidP="0046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17324A" w:rsidRDefault="00463A83" w:rsidP="004975B1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>Kontrolės skyriaus vyriausioji specialistė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ab/>
      </w:r>
      <w:r w:rsidR="00EB1582">
        <w:rPr>
          <w:rFonts w:ascii="Times New Roman" w:hAnsi="Times New Roman" w:cs="Times New Roman"/>
          <w:bCs/>
          <w:sz w:val="24"/>
          <w:szCs w:val="24"/>
          <w:lang w:val="lt-LT"/>
        </w:rPr>
        <w:tab/>
        <w:t xml:space="preserve">        A</w:t>
      </w:r>
      <w:r w:rsidR="00307F8F">
        <w:rPr>
          <w:rFonts w:ascii="Times New Roman" w:hAnsi="Times New Roman" w:cs="Times New Roman"/>
          <w:bCs/>
          <w:sz w:val="24"/>
          <w:szCs w:val="24"/>
          <w:lang w:val="lt-LT"/>
        </w:rPr>
        <w:t>lbina Perlavičienė</w:t>
      </w:r>
      <w:r w:rsidRPr="00307F8F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01178A" w:rsidRPr="004975B1" w:rsidRDefault="00081C1C" w:rsidP="00B2434B">
      <w:pPr>
        <w:tabs>
          <w:tab w:val="left" w:pos="720"/>
          <w:tab w:val="center" w:pos="4320"/>
          <w:tab w:val="right" w:pos="8640"/>
        </w:tabs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A</w:t>
      </w:r>
      <w:proofErr w:type="spellStart"/>
      <w:r w:rsidR="00DE543B" w:rsidRPr="004975B1">
        <w:rPr>
          <w:rFonts w:ascii="Times New Roman" w:hAnsi="Times New Roman" w:cs="Times New Roman"/>
        </w:rPr>
        <w:t>lbina</w:t>
      </w:r>
      <w:proofErr w:type="spellEnd"/>
      <w:r w:rsidR="00DE543B" w:rsidRPr="004975B1">
        <w:rPr>
          <w:rFonts w:ascii="Times New Roman" w:hAnsi="Times New Roman" w:cs="Times New Roman"/>
        </w:rPr>
        <w:t xml:space="preserve"> Perlavičienė, </w:t>
      </w:r>
      <w:proofErr w:type="spellStart"/>
      <w:r w:rsidR="00DE543B" w:rsidRPr="004975B1">
        <w:rPr>
          <w:rFonts w:ascii="Times New Roman" w:hAnsi="Times New Roman" w:cs="Times New Roman"/>
        </w:rPr>
        <w:t>tel</w:t>
      </w:r>
      <w:proofErr w:type="spellEnd"/>
      <w:r w:rsidR="00DE543B" w:rsidRPr="004975B1">
        <w:rPr>
          <w:rFonts w:ascii="Times New Roman" w:hAnsi="Times New Roman" w:cs="Times New Roman"/>
        </w:rPr>
        <w:t xml:space="preserve">. (8 5) 219 7038, </w:t>
      </w:r>
      <w:proofErr w:type="spellStart"/>
      <w:r w:rsidR="00DE543B" w:rsidRPr="004975B1">
        <w:rPr>
          <w:rFonts w:ascii="Times New Roman" w:hAnsi="Times New Roman" w:cs="Times New Roman"/>
        </w:rPr>
        <w:t>el</w:t>
      </w:r>
      <w:proofErr w:type="spellEnd"/>
      <w:r w:rsidR="00DE543B" w:rsidRPr="004975B1">
        <w:rPr>
          <w:rFonts w:ascii="Times New Roman" w:hAnsi="Times New Roman" w:cs="Times New Roman"/>
        </w:rPr>
        <w:t xml:space="preserve">. p. </w:t>
      </w:r>
      <w:bookmarkStart w:id="1" w:name="_Hlt75580842"/>
      <w:r w:rsidR="00DE543B" w:rsidRPr="004975B1">
        <w:rPr>
          <w:rFonts w:ascii="Times New Roman" w:hAnsi="Times New Roman" w:cs="Times New Roman"/>
        </w:rPr>
        <w:t>Albina.Perlaviciene</w:t>
      </w:r>
      <w:hyperlink r:id="rId9" w:history="1">
        <w:r w:rsidR="00DE543B" w:rsidRPr="004975B1">
          <w:rPr>
            <w:rStyle w:val="Hipersaitas"/>
            <w:rFonts w:ascii="Times New Roman" w:hAnsi="Times New Roman" w:cs="Times New Roman"/>
          </w:rPr>
          <w:t>@vpt.lt</w:t>
        </w:r>
      </w:hyperlink>
      <w:bookmarkEnd w:id="1"/>
    </w:p>
    <w:sectPr w:rsidR="0001178A" w:rsidRPr="004975B1" w:rsidSect="004D176F">
      <w:headerReference w:type="default" r:id="rId10"/>
      <w:pgSz w:w="11906" w:h="16838"/>
      <w:pgMar w:top="1440" w:right="566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D83" w:rsidRDefault="00945D83" w:rsidP="006741AE">
      <w:pPr>
        <w:spacing w:after="0" w:line="240" w:lineRule="auto"/>
      </w:pPr>
      <w:r>
        <w:separator/>
      </w:r>
    </w:p>
  </w:endnote>
  <w:end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T Serif">
    <w:altName w:val="Times New Roman"/>
    <w:charset w:val="00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D83" w:rsidRDefault="00945D83" w:rsidP="006741AE">
      <w:pPr>
        <w:spacing w:after="0" w:line="240" w:lineRule="auto"/>
      </w:pPr>
      <w:r>
        <w:separator/>
      </w:r>
    </w:p>
  </w:footnote>
  <w:footnote w:type="continuationSeparator" w:id="0">
    <w:p w:rsidR="00945D83" w:rsidRDefault="00945D83" w:rsidP="006741AE">
      <w:pPr>
        <w:spacing w:after="0" w:line="240" w:lineRule="auto"/>
      </w:pPr>
      <w:r>
        <w:continuationSeparator/>
      </w:r>
    </w:p>
  </w:footnote>
  <w:footnote w:id="1">
    <w:p w:rsidR="00334369" w:rsidRPr="00334369" w:rsidRDefault="00334369">
      <w:pPr>
        <w:pStyle w:val="Puslapioinaostekstas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334369">
        <w:rPr>
          <w:rFonts w:ascii="Times New Roman" w:hAnsi="Times New Roman" w:cs="Times New Roman"/>
          <w:lang w:val="lt-LT"/>
        </w:rPr>
        <w:t>„Techninė specifikacija turi užtikrinti konkurenciją ir nediskriminuoti tiekėjų“</w:t>
      </w:r>
      <w:r>
        <w:rPr>
          <w:rFonts w:ascii="Times New Roman" w:hAnsi="Times New Roman" w:cs="Times New Roman"/>
          <w:lang w:val="lt-LT"/>
        </w:rPr>
        <w:t>.</w:t>
      </w:r>
    </w:p>
  </w:footnote>
  <w:footnote w:id="2">
    <w:p w:rsidR="003251DE" w:rsidRPr="004E1EAB" w:rsidRDefault="003251DE" w:rsidP="00A21B8A">
      <w:pPr>
        <w:pStyle w:val="Puslapioinaostekstas"/>
        <w:ind w:right="-99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A715BD" w:rsidRPr="00FC5CCF">
        <w:rPr>
          <w:rFonts w:ascii="Times New Roman" w:hAnsi="Times New Roman"/>
        </w:rPr>
        <w:t>„</w:t>
      </w:r>
      <w:r w:rsidR="00A715BD" w:rsidRPr="004E1EAB">
        <w:rPr>
          <w:rFonts w:ascii="Times New Roman" w:hAnsi="Times New Roman"/>
          <w:lang w:val="lt-LT"/>
        </w:rPr>
        <w:t>Perkančioji organizacija</w:t>
      </w:r>
      <w:r w:rsidR="00A715BD" w:rsidRPr="004E1EA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715BD" w:rsidRPr="004E1EAB">
        <w:rPr>
          <w:rFonts w:ascii="Times New Roman" w:hAnsi="Times New Roman"/>
          <w:lang w:val="lt-LT"/>
        </w:rPr>
        <w:t>užtikrina, kad atliekant pirkimo procedūras ir nust</w:t>
      </w:r>
      <w:r w:rsidR="00E06340">
        <w:rPr>
          <w:rFonts w:ascii="Times New Roman" w:hAnsi="Times New Roman"/>
          <w:lang w:val="lt-LT"/>
        </w:rPr>
        <w:t xml:space="preserve">atant laimėtoją būtų laikomasi </w:t>
      </w:r>
      <w:r w:rsidR="00A715BD" w:rsidRPr="004E1EAB">
        <w:rPr>
          <w:rFonts w:ascii="Times New Roman" w:hAnsi="Times New Roman"/>
          <w:lang w:val="lt-LT"/>
        </w:rPr>
        <w:t>skaidrumo</w:t>
      </w:r>
      <w:r w:rsidR="005F5859">
        <w:rPr>
          <w:rFonts w:ascii="Times New Roman" w:hAnsi="Times New Roman"/>
          <w:lang w:val="lt-LT"/>
        </w:rPr>
        <w:t>, nediskriminavimo, proporcingumo</w:t>
      </w:r>
      <w:r w:rsidR="00334369">
        <w:rPr>
          <w:rFonts w:ascii="Times New Roman" w:hAnsi="Times New Roman"/>
          <w:lang w:val="lt-LT"/>
        </w:rPr>
        <w:t xml:space="preserve"> </w:t>
      </w:r>
      <w:proofErr w:type="gramStart"/>
      <w:r w:rsidR="00334369">
        <w:rPr>
          <w:rFonts w:ascii="Times New Roman" w:hAnsi="Times New Roman"/>
          <w:lang w:val="lt-LT"/>
        </w:rPr>
        <w:t>principų“</w:t>
      </w:r>
      <w:proofErr w:type="gramEnd"/>
      <w:r w:rsidR="00334369">
        <w:rPr>
          <w:rFonts w:ascii="Times New Roman" w:hAnsi="Times New Roman"/>
          <w:lang w:val="lt-LT"/>
        </w:rPr>
        <w:t>.</w:t>
      </w:r>
    </w:p>
  </w:footnote>
  <w:footnote w:id="3">
    <w:p w:rsidR="00A715BD" w:rsidRPr="004E1EAB" w:rsidRDefault="00A715BD" w:rsidP="00A21B8A">
      <w:pPr>
        <w:pStyle w:val="Puslapioinaostekstas"/>
        <w:ind w:right="-99"/>
        <w:jc w:val="both"/>
        <w:rPr>
          <w:lang w:val="lt-LT"/>
        </w:rPr>
      </w:pPr>
      <w:r w:rsidRPr="004E1EAB">
        <w:rPr>
          <w:rStyle w:val="Puslapioinaosnuoroda"/>
          <w:lang w:val="lt-LT"/>
        </w:rPr>
        <w:footnoteRef/>
      </w:r>
      <w:r w:rsidRPr="004E1EAB">
        <w:rPr>
          <w:lang w:val="lt-LT"/>
        </w:rPr>
        <w:t xml:space="preserve"> </w:t>
      </w:r>
      <w:r w:rsidRPr="004E1EAB">
        <w:rPr>
          <w:rFonts w:ascii="Times New Roman" w:hAnsi="Times New Roman" w:cs="Times New Roman"/>
          <w:lang w:val="lt-LT"/>
        </w:rPr>
        <w:t>„</w:t>
      </w:r>
      <w:r w:rsidR="00B6544C">
        <w:rPr>
          <w:rFonts w:ascii="Times New Roman" w:hAnsi="Times New Roman" w:cs="Times New Roman"/>
          <w:lang w:val="lt-LT"/>
        </w:rPr>
        <w:t>P</w:t>
      </w:r>
      <w:r w:rsidRPr="004E1EAB">
        <w:rPr>
          <w:rFonts w:ascii="Times New Roman" w:hAnsi="Times New Roman" w:cs="Times New Roman"/>
          <w:lang w:val="lt-LT"/>
        </w:rPr>
        <w:t>irkimų tiksl</w:t>
      </w:r>
      <w:r w:rsidR="00B6544C">
        <w:rPr>
          <w:rFonts w:ascii="Times New Roman" w:hAnsi="Times New Roman" w:cs="Times New Roman"/>
          <w:lang w:val="lt-LT"/>
        </w:rPr>
        <w:t>as</w:t>
      </w:r>
      <w:r w:rsidRPr="004E1EAB">
        <w:rPr>
          <w:rFonts w:ascii="Times New Roman" w:hAnsi="Times New Roman" w:cs="Times New Roman"/>
          <w:lang w:val="lt-LT"/>
        </w:rPr>
        <w:t xml:space="preserve"> – vadovaujantis šio įstatymo reikalavimais sudaryti pirkimo sutartį, leidžiančią įsigyti </w:t>
      </w:r>
      <w:r w:rsidR="00CB6942">
        <w:rPr>
          <w:rFonts w:ascii="Times New Roman" w:hAnsi="Times New Roman" w:cs="Times New Roman"/>
          <w:lang w:val="lt-LT"/>
        </w:rPr>
        <w:t xml:space="preserve">perkančiajai organizacijai </w:t>
      </w:r>
      <w:r w:rsidRPr="004E1EAB">
        <w:rPr>
          <w:rFonts w:ascii="Times New Roman" w:hAnsi="Times New Roman" w:cs="Times New Roman"/>
          <w:lang w:val="lt-LT"/>
        </w:rPr>
        <w:t xml:space="preserve">reikalingų </w:t>
      </w:r>
      <w:r w:rsidR="00CB6942">
        <w:rPr>
          <w:rFonts w:ascii="Times New Roman" w:hAnsi="Times New Roman" w:cs="Times New Roman"/>
          <w:lang w:val="lt-LT"/>
        </w:rPr>
        <w:t xml:space="preserve">prekių, </w:t>
      </w:r>
      <w:r w:rsidRPr="004E1EAB">
        <w:rPr>
          <w:rFonts w:ascii="Times New Roman" w:hAnsi="Times New Roman" w:cs="Times New Roman"/>
          <w:lang w:val="lt-LT"/>
        </w:rPr>
        <w:t>paslaugų, racionali</w:t>
      </w:r>
      <w:r w:rsidR="00334369">
        <w:rPr>
          <w:rFonts w:ascii="Times New Roman" w:hAnsi="Times New Roman" w:cs="Times New Roman"/>
          <w:lang w:val="lt-LT"/>
        </w:rPr>
        <w:t>ai naudojant tam skirtas lėšas“.</w:t>
      </w:r>
    </w:p>
  </w:footnote>
  <w:footnote w:id="4">
    <w:p w:rsidR="00AA01BC" w:rsidRPr="00D601A2" w:rsidRDefault="00AA01BC" w:rsidP="00D601A2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D601A2">
        <w:rPr>
          <w:rFonts w:ascii="Times New Roman" w:hAnsi="Times New Roman" w:cs="Times New Roman"/>
          <w:lang w:val="lt-LT"/>
        </w:rPr>
        <w:t>„(</w:t>
      </w:r>
      <w:hyperlink r:id="rId1" w:history="1">
        <w:r w:rsidRPr="00D601A2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http://www.diruiturkey.com/urunler-detay.asp?LanguageID=2&amp;cid=31&amp;id=70&amp;id2=95</w:t>
        </w:r>
      </w:hyperlink>
      <w:r w:rsidRPr="00D601A2">
        <w:rPr>
          <w:rFonts w:ascii="Times New Roman" w:hAnsi="Times New Roman" w:cs="Times New Roman"/>
          <w:lang w:val="lt-LT"/>
        </w:rPr>
        <w:t>)“</w:t>
      </w:r>
    </w:p>
  </w:footnote>
  <w:footnote w:id="5">
    <w:p w:rsidR="00AA01BC" w:rsidRPr="00D601A2" w:rsidRDefault="00AA01BC" w:rsidP="00D601A2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601A2">
        <w:rPr>
          <w:rStyle w:val="Puslapioinaosnuoroda"/>
          <w:rFonts w:ascii="Times New Roman" w:hAnsi="Times New Roman" w:cs="Times New Roman"/>
        </w:rPr>
        <w:footnoteRef/>
      </w:r>
      <w:r w:rsidRPr="00D601A2">
        <w:rPr>
          <w:rFonts w:ascii="Times New Roman" w:hAnsi="Times New Roman" w:cs="Times New Roman"/>
        </w:rPr>
        <w:t xml:space="preserve"> </w:t>
      </w:r>
      <w:r w:rsidRPr="00D601A2">
        <w:rPr>
          <w:rFonts w:ascii="Times New Roman" w:hAnsi="Times New Roman" w:cs="Times New Roman"/>
          <w:lang w:val="lt-LT"/>
        </w:rPr>
        <w:t>„(</w:t>
      </w:r>
      <w:hyperlink r:id="rId2" w:history="1">
        <w:r w:rsidRPr="00D601A2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http://www.yd-diagnostics.com/2012/eng/channel_02/prt_list.php</w:t>
        </w:r>
      </w:hyperlink>
      <w:r w:rsidRPr="00D601A2">
        <w:rPr>
          <w:rFonts w:ascii="Times New Roman" w:hAnsi="Times New Roman" w:cs="Times New Roman"/>
          <w:lang w:val="lt-LT"/>
        </w:rPr>
        <w:t>)“</w:t>
      </w:r>
    </w:p>
  </w:footnote>
  <w:footnote w:id="6">
    <w:p w:rsidR="00AA01BC" w:rsidRPr="00D601A2" w:rsidRDefault="00AA01BC" w:rsidP="00D601A2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601A2">
        <w:rPr>
          <w:rStyle w:val="Puslapioinaosnuoroda"/>
          <w:rFonts w:ascii="Times New Roman" w:hAnsi="Times New Roman" w:cs="Times New Roman"/>
        </w:rPr>
        <w:footnoteRef/>
      </w:r>
      <w:r w:rsidRPr="00D601A2">
        <w:rPr>
          <w:rFonts w:ascii="Times New Roman" w:hAnsi="Times New Roman" w:cs="Times New Roman"/>
        </w:rPr>
        <w:t xml:space="preserve"> </w:t>
      </w:r>
      <w:r w:rsidRPr="00D601A2">
        <w:rPr>
          <w:rFonts w:ascii="Times New Roman" w:hAnsi="Times New Roman" w:cs="Times New Roman"/>
          <w:lang w:val="lt-LT"/>
        </w:rPr>
        <w:t>„(</w:t>
      </w:r>
      <w:hyperlink r:id="rId3" w:history="1">
        <w:r w:rsidRPr="00D601A2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http://www.yd-diagnostics.com/2012/eng/channel_02/prt_list.php</w:t>
        </w:r>
      </w:hyperlink>
      <w:r w:rsidRPr="00D601A2">
        <w:rPr>
          <w:rFonts w:ascii="Times New Roman" w:hAnsi="Times New Roman" w:cs="Times New Roman"/>
          <w:lang w:val="lt-LT"/>
        </w:rPr>
        <w:t>)“</w:t>
      </w:r>
    </w:p>
  </w:footnote>
  <w:footnote w:id="7">
    <w:p w:rsidR="00AA01BC" w:rsidRPr="00D601A2" w:rsidRDefault="00AA01BC" w:rsidP="00D601A2">
      <w:pPr>
        <w:pStyle w:val="Puslapioinaostekstas"/>
        <w:jc w:val="both"/>
        <w:rPr>
          <w:rFonts w:ascii="Times New Roman" w:hAnsi="Times New Roman" w:cs="Times New Roman"/>
          <w:lang w:val="lt-LT"/>
        </w:rPr>
      </w:pPr>
      <w:r w:rsidRPr="00D601A2">
        <w:rPr>
          <w:rStyle w:val="Puslapioinaosnuoroda"/>
          <w:rFonts w:ascii="Times New Roman" w:hAnsi="Times New Roman" w:cs="Times New Roman"/>
        </w:rPr>
        <w:footnoteRef/>
      </w:r>
      <w:r w:rsidR="00D601A2">
        <w:rPr>
          <w:rFonts w:ascii="Times New Roman" w:hAnsi="Times New Roman" w:cs="Times New Roman"/>
          <w:lang w:val="lt-LT"/>
        </w:rPr>
        <w:t>„</w:t>
      </w:r>
      <w:r w:rsidRPr="00D601A2">
        <w:rPr>
          <w:rFonts w:ascii="Times New Roman" w:hAnsi="Times New Roman" w:cs="Times New Roman"/>
          <w:lang w:val="lt-LT"/>
        </w:rPr>
        <w:t>(</w:t>
      </w:r>
      <w:hyperlink r:id="rId4" w:history="1">
        <w:r w:rsidRPr="00D601A2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http://www.dirui.com.cn/Y02/ws_cp/info.asp?mkbh=M002&amp;id=C00000049</w:t>
        </w:r>
      </w:hyperlink>
      <w:r w:rsidR="00D601A2">
        <w:rPr>
          <w:rFonts w:ascii="Times New Roman" w:hAnsi="Times New Roman" w:cs="Times New Roman"/>
          <w:lang w:val="lt-LT"/>
        </w:rPr>
        <w:t xml:space="preserve"> </w:t>
      </w:r>
      <w:hyperlink r:id="rId5" w:history="1">
        <w:r w:rsidRPr="00D601A2">
          <w:rPr>
            <w:rStyle w:val="Hipersaitas"/>
            <w:rFonts w:ascii="Times New Roman" w:hAnsi="Times New Roman" w:cs="Times New Roman"/>
            <w:color w:val="auto"/>
            <w:u w:val="none"/>
            <w:lang w:val="lt-LT"/>
          </w:rPr>
          <w:t>http://diamedil.info/MediGal/Urine%20analysis/H100.pdf</w:t>
        </w:r>
      </w:hyperlink>
      <w:r w:rsidRPr="00D601A2">
        <w:rPr>
          <w:rFonts w:ascii="Times New Roman" w:hAnsi="Times New Roman" w:cs="Times New Roman"/>
          <w:lang w:val="lt-LT"/>
        </w:rPr>
        <w:t>)</w:t>
      </w:r>
      <w:r w:rsidR="00D601A2">
        <w:rPr>
          <w:rFonts w:ascii="Times New Roman" w:hAnsi="Times New Roman" w:cs="Times New Roman"/>
          <w:lang w:val="lt-LT"/>
        </w:rPr>
        <w:t>“</w:t>
      </w:r>
    </w:p>
  </w:footnote>
  <w:footnote w:id="8">
    <w:p w:rsidR="00E576B6" w:rsidRPr="00E576B6" w:rsidRDefault="00E576B6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E576B6">
        <w:rPr>
          <w:rFonts w:ascii="Times New Roman" w:hAnsi="Times New Roman" w:cs="Times New Roman"/>
          <w:lang w:val="lt-LT"/>
        </w:rPr>
        <w:t>„</w:t>
      </w:r>
      <w:r w:rsidRPr="00E576B6">
        <w:rPr>
          <w:rFonts w:ascii="Times New Roman" w:hAnsi="Times New Roman" w:cs="Times New Roman"/>
        </w:rPr>
        <w:t>(</w:t>
      </w:r>
      <w:hyperlink r:id="rId6" w:history="1">
        <w:r w:rsidRPr="00E576B6">
          <w:rPr>
            <w:rStyle w:val="Hipersaitas"/>
            <w:rFonts w:ascii="Times New Roman" w:hAnsi="Times New Roman" w:cs="Times New Roman"/>
            <w:color w:val="auto"/>
            <w:u w:val="none"/>
          </w:rPr>
          <w:t>https://www.ncbi.nlm.nih.gov/pmc/articles/ PMC3222250/</w:t>
        </w:r>
      </w:hyperlink>
      <w:r w:rsidRPr="00E576B6">
        <w:rPr>
          <w:rFonts w:ascii="Times New Roman" w:hAnsi="Times New Roman" w:cs="Times New Roman"/>
        </w:rPr>
        <w:t>)</w:t>
      </w:r>
      <w:r w:rsidRPr="00E576B6">
        <w:rPr>
          <w:rFonts w:ascii="Times New Roman" w:hAnsi="Times New Roman" w:cs="Times New Roman"/>
          <w:lang w:val="lt-LT"/>
        </w:rPr>
        <w:t>“</w:t>
      </w:r>
      <w:r w:rsidRPr="00E576B6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039302"/>
      <w:docPartObj>
        <w:docPartGallery w:val="Page Numbers (Top of Page)"/>
        <w:docPartUnique/>
      </w:docPartObj>
    </w:sdtPr>
    <w:sdtEndPr/>
    <w:sdtContent>
      <w:p w:rsidR="004D176F" w:rsidRDefault="004D176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D3B" w:rsidRPr="00C63D3B">
          <w:rPr>
            <w:noProof/>
            <w:lang w:val="lt-LT"/>
          </w:rPr>
          <w:t>4</w:t>
        </w:r>
        <w:r>
          <w:fldChar w:fldCharType="end"/>
        </w:r>
      </w:p>
    </w:sdtContent>
  </w:sdt>
  <w:p w:rsidR="004D176F" w:rsidRDefault="004D176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DA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4F17"/>
    <w:multiLevelType w:val="hybridMultilevel"/>
    <w:tmpl w:val="7430BDA6"/>
    <w:lvl w:ilvl="0" w:tplc="FCAE25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C17E6"/>
    <w:multiLevelType w:val="hybridMultilevel"/>
    <w:tmpl w:val="0EEA86AC"/>
    <w:lvl w:ilvl="0" w:tplc="7FE4DE26"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983287F"/>
    <w:multiLevelType w:val="hybridMultilevel"/>
    <w:tmpl w:val="A56CA6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1B2875"/>
    <w:multiLevelType w:val="hybridMultilevel"/>
    <w:tmpl w:val="96EE9780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26829B2"/>
    <w:multiLevelType w:val="hybridMultilevel"/>
    <w:tmpl w:val="3398BB56"/>
    <w:lvl w:ilvl="0" w:tplc="D286F7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7803A8"/>
    <w:multiLevelType w:val="hybridMultilevel"/>
    <w:tmpl w:val="DCBE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40C3A"/>
    <w:multiLevelType w:val="hybridMultilevel"/>
    <w:tmpl w:val="F5A0A44A"/>
    <w:lvl w:ilvl="0" w:tplc="EE46AE8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11BAE"/>
    <w:multiLevelType w:val="hybridMultilevel"/>
    <w:tmpl w:val="42B0DAE2"/>
    <w:lvl w:ilvl="0" w:tplc="1E446BC8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0FB9"/>
    <w:multiLevelType w:val="hybridMultilevel"/>
    <w:tmpl w:val="40BCF254"/>
    <w:lvl w:ilvl="0" w:tplc="5DCCC3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F927493"/>
    <w:multiLevelType w:val="hybridMultilevel"/>
    <w:tmpl w:val="4914E6A6"/>
    <w:lvl w:ilvl="0" w:tplc="F2184D5C">
      <w:start w:val="2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D36A9F"/>
    <w:multiLevelType w:val="hybridMultilevel"/>
    <w:tmpl w:val="11146B94"/>
    <w:lvl w:ilvl="0" w:tplc="4FD4F2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63E68"/>
    <w:multiLevelType w:val="hybridMultilevel"/>
    <w:tmpl w:val="AF109DBE"/>
    <w:lvl w:ilvl="0" w:tplc="645E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B5774"/>
    <w:multiLevelType w:val="hybridMultilevel"/>
    <w:tmpl w:val="2BF845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30" w15:restartNumberingAfterBreak="0">
    <w:nsid w:val="4F0E0667"/>
    <w:multiLevelType w:val="hybridMultilevel"/>
    <w:tmpl w:val="0E149782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BD0A0F"/>
    <w:multiLevelType w:val="hybridMultilevel"/>
    <w:tmpl w:val="22242BDC"/>
    <w:lvl w:ilvl="0" w:tplc="0FCC5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685120"/>
    <w:multiLevelType w:val="hybridMultilevel"/>
    <w:tmpl w:val="27148648"/>
    <w:lvl w:ilvl="0" w:tplc="4D062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4617E8"/>
    <w:multiLevelType w:val="hybridMultilevel"/>
    <w:tmpl w:val="E36C25B4"/>
    <w:lvl w:ilvl="0" w:tplc="5E62563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543FF"/>
    <w:multiLevelType w:val="multilevel"/>
    <w:tmpl w:val="8758B3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9" w15:restartNumberingAfterBreak="0">
    <w:nsid w:val="747D3D70"/>
    <w:multiLevelType w:val="hybridMultilevel"/>
    <w:tmpl w:val="16586CA4"/>
    <w:lvl w:ilvl="0" w:tplc="6F22F358">
      <w:start w:val="1"/>
      <w:numFmt w:val="bullet"/>
      <w:lvlText w:val="-"/>
      <w:lvlJc w:val="left"/>
      <w:pPr>
        <w:ind w:left="24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0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41"/>
  </w:num>
  <w:num w:numId="3">
    <w:abstractNumId w:val="25"/>
  </w:num>
  <w:num w:numId="4">
    <w:abstractNumId w:val="35"/>
  </w:num>
  <w:num w:numId="5">
    <w:abstractNumId w:val="40"/>
  </w:num>
  <w:num w:numId="6">
    <w:abstractNumId w:val="4"/>
  </w:num>
  <w:num w:numId="7">
    <w:abstractNumId w:val="14"/>
  </w:num>
  <w:num w:numId="8">
    <w:abstractNumId w:val="34"/>
  </w:num>
  <w:num w:numId="9">
    <w:abstractNumId w:val="10"/>
  </w:num>
  <w:num w:numId="10">
    <w:abstractNumId w:val="26"/>
  </w:num>
  <w:num w:numId="11">
    <w:abstractNumId w:val="3"/>
  </w:num>
  <w:num w:numId="12">
    <w:abstractNumId w:val="24"/>
  </w:num>
  <w:num w:numId="13">
    <w:abstractNumId w:val="29"/>
  </w:num>
  <w:num w:numId="14">
    <w:abstractNumId w:val="7"/>
  </w:num>
  <w:num w:numId="15">
    <w:abstractNumId w:val="13"/>
  </w:num>
  <w:num w:numId="16">
    <w:abstractNumId w:val="32"/>
  </w:num>
  <w:num w:numId="17">
    <w:abstractNumId w:val="31"/>
  </w:num>
  <w:num w:numId="18">
    <w:abstractNumId w:val="38"/>
  </w:num>
  <w:num w:numId="19">
    <w:abstractNumId w:val="20"/>
  </w:num>
  <w:num w:numId="20">
    <w:abstractNumId w:val="19"/>
  </w:num>
  <w:num w:numId="21">
    <w:abstractNumId w:val="11"/>
  </w:num>
  <w:num w:numId="22">
    <w:abstractNumId w:val="1"/>
  </w:num>
  <w:num w:numId="23">
    <w:abstractNumId w:val="12"/>
  </w:num>
  <w:num w:numId="24">
    <w:abstractNumId w:val="0"/>
  </w:num>
  <w:num w:numId="25">
    <w:abstractNumId w:val="18"/>
  </w:num>
  <w:num w:numId="26">
    <w:abstractNumId w:val="17"/>
  </w:num>
  <w:num w:numId="27">
    <w:abstractNumId w:val="23"/>
  </w:num>
  <w:num w:numId="28">
    <w:abstractNumId w:val="5"/>
  </w:num>
  <w:num w:numId="29">
    <w:abstractNumId w:val="22"/>
  </w:num>
  <w:num w:numId="30">
    <w:abstractNumId w:val="2"/>
  </w:num>
  <w:num w:numId="31">
    <w:abstractNumId w:val="37"/>
  </w:num>
  <w:num w:numId="32">
    <w:abstractNumId w:val="15"/>
  </w:num>
  <w:num w:numId="33">
    <w:abstractNumId w:val="36"/>
  </w:num>
  <w:num w:numId="34">
    <w:abstractNumId w:val="21"/>
  </w:num>
  <w:num w:numId="35">
    <w:abstractNumId w:val="27"/>
  </w:num>
  <w:num w:numId="36">
    <w:abstractNumId w:val="33"/>
  </w:num>
  <w:num w:numId="37">
    <w:abstractNumId w:val="28"/>
  </w:num>
  <w:num w:numId="38">
    <w:abstractNumId w:val="39"/>
  </w:num>
  <w:num w:numId="39">
    <w:abstractNumId w:val="8"/>
  </w:num>
  <w:num w:numId="40">
    <w:abstractNumId w:val="16"/>
  </w:num>
  <w:num w:numId="41">
    <w:abstractNumId w:val="6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16"/>
    <w:rsid w:val="00000CAC"/>
    <w:rsid w:val="00003C52"/>
    <w:rsid w:val="00005E74"/>
    <w:rsid w:val="00006467"/>
    <w:rsid w:val="0001178A"/>
    <w:rsid w:val="00015674"/>
    <w:rsid w:val="00016BEA"/>
    <w:rsid w:val="00016F78"/>
    <w:rsid w:val="00017150"/>
    <w:rsid w:val="00017E71"/>
    <w:rsid w:val="000219A0"/>
    <w:rsid w:val="00022C19"/>
    <w:rsid w:val="00027566"/>
    <w:rsid w:val="00030CC3"/>
    <w:rsid w:val="00036FDA"/>
    <w:rsid w:val="00037399"/>
    <w:rsid w:val="00037B8D"/>
    <w:rsid w:val="0004111C"/>
    <w:rsid w:val="00041245"/>
    <w:rsid w:val="00043B22"/>
    <w:rsid w:val="000474AA"/>
    <w:rsid w:val="00054198"/>
    <w:rsid w:val="000547B1"/>
    <w:rsid w:val="00054DD2"/>
    <w:rsid w:val="000552B0"/>
    <w:rsid w:val="00060DEC"/>
    <w:rsid w:val="00065347"/>
    <w:rsid w:val="00065B9B"/>
    <w:rsid w:val="0006608E"/>
    <w:rsid w:val="00066D43"/>
    <w:rsid w:val="00067CE8"/>
    <w:rsid w:val="00070776"/>
    <w:rsid w:val="00075A88"/>
    <w:rsid w:val="00075B0D"/>
    <w:rsid w:val="000763A0"/>
    <w:rsid w:val="00081C1C"/>
    <w:rsid w:val="0008234B"/>
    <w:rsid w:val="00084D58"/>
    <w:rsid w:val="00085418"/>
    <w:rsid w:val="000A2F8E"/>
    <w:rsid w:val="000A336E"/>
    <w:rsid w:val="000A66E6"/>
    <w:rsid w:val="000B300D"/>
    <w:rsid w:val="000B46C0"/>
    <w:rsid w:val="000B55F3"/>
    <w:rsid w:val="000C19E9"/>
    <w:rsid w:val="000C20C2"/>
    <w:rsid w:val="000C5F03"/>
    <w:rsid w:val="000C6ED4"/>
    <w:rsid w:val="000D1879"/>
    <w:rsid w:val="000D3969"/>
    <w:rsid w:val="000D3D36"/>
    <w:rsid w:val="000D3E88"/>
    <w:rsid w:val="000E3558"/>
    <w:rsid w:val="000E3C5B"/>
    <w:rsid w:val="000E4F6F"/>
    <w:rsid w:val="000E6E0A"/>
    <w:rsid w:val="000E7B16"/>
    <w:rsid w:val="000F1325"/>
    <w:rsid w:val="000F1C2C"/>
    <w:rsid w:val="000F27D5"/>
    <w:rsid w:val="000F4593"/>
    <w:rsid w:val="000F6C05"/>
    <w:rsid w:val="000F6D6C"/>
    <w:rsid w:val="001057DE"/>
    <w:rsid w:val="00114DD4"/>
    <w:rsid w:val="001155C7"/>
    <w:rsid w:val="00120D6E"/>
    <w:rsid w:val="00121EA3"/>
    <w:rsid w:val="00121F78"/>
    <w:rsid w:val="00130A42"/>
    <w:rsid w:val="0014028C"/>
    <w:rsid w:val="001404F3"/>
    <w:rsid w:val="001426D8"/>
    <w:rsid w:val="0014601B"/>
    <w:rsid w:val="0015217D"/>
    <w:rsid w:val="00155525"/>
    <w:rsid w:val="00160956"/>
    <w:rsid w:val="00160D01"/>
    <w:rsid w:val="0016439A"/>
    <w:rsid w:val="0016484B"/>
    <w:rsid w:val="00164E22"/>
    <w:rsid w:val="00165133"/>
    <w:rsid w:val="00165CFB"/>
    <w:rsid w:val="00170DA0"/>
    <w:rsid w:val="0017324A"/>
    <w:rsid w:val="001734C5"/>
    <w:rsid w:val="00180ED5"/>
    <w:rsid w:val="00181F8F"/>
    <w:rsid w:val="00193342"/>
    <w:rsid w:val="00194431"/>
    <w:rsid w:val="00195271"/>
    <w:rsid w:val="00197989"/>
    <w:rsid w:val="00197E2C"/>
    <w:rsid w:val="001A1AA5"/>
    <w:rsid w:val="001A271F"/>
    <w:rsid w:val="001A3A03"/>
    <w:rsid w:val="001A4B21"/>
    <w:rsid w:val="001A4E6D"/>
    <w:rsid w:val="001A59B7"/>
    <w:rsid w:val="001A68CA"/>
    <w:rsid w:val="001A6E55"/>
    <w:rsid w:val="001A7519"/>
    <w:rsid w:val="001B27FA"/>
    <w:rsid w:val="001B3C55"/>
    <w:rsid w:val="001B3EA8"/>
    <w:rsid w:val="001B4057"/>
    <w:rsid w:val="001B75E3"/>
    <w:rsid w:val="001C041E"/>
    <w:rsid w:val="001D6AA6"/>
    <w:rsid w:val="001D7D6D"/>
    <w:rsid w:val="001E62B2"/>
    <w:rsid w:val="001E72AF"/>
    <w:rsid w:val="001F19E6"/>
    <w:rsid w:val="001F6FB0"/>
    <w:rsid w:val="00203DBD"/>
    <w:rsid w:val="002043AE"/>
    <w:rsid w:val="00205465"/>
    <w:rsid w:val="00213292"/>
    <w:rsid w:val="00220083"/>
    <w:rsid w:val="00221D89"/>
    <w:rsid w:val="00224BAB"/>
    <w:rsid w:val="002271FE"/>
    <w:rsid w:val="00227537"/>
    <w:rsid w:val="00230011"/>
    <w:rsid w:val="00230E79"/>
    <w:rsid w:val="00237ED3"/>
    <w:rsid w:val="0024059C"/>
    <w:rsid w:val="00240707"/>
    <w:rsid w:val="00242D24"/>
    <w:rsid w:val="00243FAC"/>
    <w:rsid w:val="002441C4"/>
    <w:rsid w:val="00246C98"/>
    <w:rsid w:val="0026481C"/>
    <w:rsid w:val="00275FB2"/>
    <w:rsid w:val="002764DC"/>
    <w:rsid w:val="00276DEF"/>
    <w:rsid w:val="00277007"/>
    <w:rsid w:val="00280FCA"/>
    <w:rsid w:val="00281F9A"/>
    <w:rsid w:val="002852A7"/>
    <w:rsid w:val="0029371F"/>
    <w:rsid w:val="00295E35"/>
    <w:rsid w:val="002968F9"/>
    <w:rsid w:val="002A2BF1"/>
    <w:rsid w:val="002A2D0F"/>
    <w:rsid w:val="002A4102"/>
    <w:rsid w:val="002B0659"/>
    <w:rsid w:val="002B2CAB"/>
    <w:rsid w:val="002B4EE8"/>
    <w:rsid w:val="002B6E74"/>
    <w:rsid w:val="002C1665"/>
    <w:rsid w:val="002C4DB9"/>
    <w:rsid w:val="002C6680"/>
    <w:rsid w:val="002C6752"/>
    <w:rsid w:val="002D3EDA"/>
    <w:rsid w:val="002E0E16"/>
    <w:rsid w:val="002E145F"/>
    <w:rsid w:val="002E2985"/>
    <w:rsid w:val="002E6A0B"/>
    <w:rsid w:val="002E6F44"/>
    <w:rsid w:val="002F00A9"/>
    <w:rsid w:val="002F12DF"/>
    <w:rsid w:val="003021F6"/>
    <w:rsid w:val="003023DB"/>
    <w:rsid w:val="00307F8F"/>
    <w:rsid w:val="00311B02"/>
    <w:rsid w:val="00313361"/>
    <w:rsid w:val="00313455"/>
    <w:rsid w:val="003251DE"/>
    <w:rsid w:val="00334369"/>
    <w:rsid w:val="00334C30"/>
    <w:rsid w:val="00335398"/>
    <w:rsid w:val="003374EE"/>
    <w:rsid w:val="00340E5B"/>
    <w:rsid w:val="00355E12"/>
    <w:rsid w:val="003565DE"/>
    <w:rsid w:val="00370047"/>
    <w:rsid w:val="00370217"/>
    <w:rsid w:val="0037586E"/>
    <w:rsid w:val="00376E28"/>
    <w:rsid w:val="003777E2"/>
    <w:rsid w:val="00377C32"/>
    <w:rsid w:val="00386B5E"/>
    <w:rsid w:val="00387828"/>
    <w:rsid w:val="00391A1D"/>
    <w:rsid w:val="0039481D"/>
    <w:rsid w:val="003974B1"/>
    <w:rsid w:val="003A0F96"/>
    <w:rsid w:val="003A2E94"/>
    <w:rsid w:val="003A6AA8"/>
    <w:rsid w:val="003A7DCA"/>
    <w:rsid w:val="003B3B16"/>
    <w:rsid w:val="003B4970"/>
    <w:rsid w:val="003B5F8C"/>
    <w:rsid w:val="003B6572"/>
    <w:rsid w:val="003C0DD8"/>
    <w:rsid w:val="003C17A6"/>
    <w:rsid w:val="003C1ABE"/>
    <w:rsid w:val="003C3518"/>
    <w:rsid w:val="003C3D7B"/>
    <w:rsid w:val="003C57C3"/>
    <w:rsid w:val="003C716A"/>
    <w:rsid w:val="003D19E1"/>
    <w:rsid w:val="003D3541"/>
    <w:rsid w:val="003D58F6"/>
    <w:rsid w:val="003D5BD2"/>
    <w:rsid w:val="003D601A"/>
    <w:rsid w:val="003D68B0"/>
    <w:rsid w:val="003E24C8"/>
    <w:rsid w:val="003E2BF7"/>
    <w:rsid w:val="003E435E"/>
    <w:rsid w:val="003F01B6"/>
    <w:rsid w:val="003F2332"/>
    <w:rsid w:val="00403905"/>
    <w:rsid w:val="0040717D"/>
    <w:rsid w:val="00411871"/>
    <w:rsid w:val="00416B0D"/>
    <w:rsid w:val="00422723"/>
    <w:rsid w:val="004229AF"/>
    <w:rsid w:val="00426034"/>
    <w:rsid w:val="00431DC5"/>
    <w:rsid w:val="00432D7A"/>
    <w:rsid w:val="00432E27"/>
    <w:rsid w:val="00437480"/>
    <w:rsid w:val="00440769"/>
    <w:rsid w:val="00440936"/>
    <w:rsid w:val="004447F0"/>
    <w:rsid w:val="004450E7"/>
    <w:rsid w:val="00445145"/>
    <w:rsid w:val="00446786"/>
    <w:rsid w:val="00451209"/>
    <w:rsid w:val="00455118"/>
    <w:rsid w:val="00455514"/>
    <w:rsid w:val="00455B55"/>
    <w:rsid w:val="00455BB0"/>
    <w:rsid w:val="00457788"/>
    <w:rsid w:val="00457DFD"/>
    <w:rsid w:val="004619B2"/>
    <w:rsid w:val="00462450"/>
    <w:rsid w:val="00463A83"/>
    <w:rsid w:val="00463C95"/>
    <w:rsid w:val="00464513"/>
    <w:rsid w:val="00465826"/>
    <w:rsid w:val="00465F98"/>
    <w:rsid w:val="00466E2D"/>
    <w:rsid w:val="004700B0"/>
    <w:rsid w:val="0047431D"/>
    <w:rsid w:val="004756E6"/>
    <w:rsid w:val="00487124"/>
    <w:rsid w:val="004908D0"/>
    <w:rsid w:val="00496DC5"/>
    <w:rsid w:val="004975B1"/>
    <w:rsid w:val="004A15C1"/>
    <w:rsid w:val="004B17A3"/>
    <w:rsid w:val="004B2A57"/>
    <w:rsid w:val="004B4420"/>
    <w:rsid w:val="004B4CD7"/>
    <w:rsid w:val="004B62B6"/>
    <w:rsid w:val="004C0437"/>
    <w:rsid w:val="004D115A"/>
    <w:rsid w:val="004D176F"/>
    <w:rsid w:val="004D195F"/>
    <w:rsid w:val="004D28DF"/>
    <w:rsid w:val="004D2B41"/>
    <w:rsid w:val="004D529C"/>
    <w:rsid w:val="004E082E"/>
    <w:rsid w:val="004E098B"/>
    <w:rsid w:val="004E1EAB"/>
    <w:rsid w:val="004E550F"/>
    <w:rsid w:val="004E5711"/>
    <w:rsid w:val="004F29DC"/>
    <w:rsid w:val="004F35FA"/>
    <w:rsid w:val="004F6ED7"/>
    <w:rsid w:val="00503085"/>
    <w:rsid w:val="00504B73"/>
    <w:rsid w:val="00505B22"/>
    <w:rsid w:val="00513DF0"/>
    <w:rsid w:val="0052272F"/>
    <w:rsid w:val="00522F8A"/>
    <w:rsid w:val="00525A89"/>
    <w:rsid w:val="00534448"/>
    <w:rsid w:val="00536648"/>
    <w:rsid w:val="00540E8A"/>
    <w:rsid w:val="00541357"/>
    <w:rsid w:val="005424AD"/>
    <w:rsid w:val="00551C9A"/>
    <w:rsid w:val="005551E0"/>
    <w:rsid w:val="0056187E"/>
    <w:rsid w:val="00562F97"/>
    <w:rsid w:val="005724EA"/>
    <w:rsid w:val="00576522"/>
    <w:rsid w:val="005776F4"/>
    <w:rsid w:val="00583661"/>
    <w:rsid w:val="00584815"/>
    <w:rsid w:val="00585A4D"/>
    <w:rsid w:val="0058741E"/>
    <w:rsid w:val="005874A4"/>
    <w:rsid w:val="0059205B"/>
    <w:rsid w:val="00593A6F"/>
    <w:rsid w:val="00595176"/>
    <w:rsid w:val="0059657F"/>
    <w:rsid w:val="005A5A20"/>
    <w:rsid w:val="005A5DBC"/>
    <w:rsid w:val="005A75A4"/>
    <w:rsid w:val="005A7F48"/>
    <w:rsid w:val="005B107C"/>
    <w:rsid w:val="005B15FD"/>
    <w:rsid w:val="005B4AC7"/>
    <w:rsid w:val="005B5A06"/>
    <w:rsid w:val="005B66C2"/>
    <w:rsid w:val="005B7D72"/>
    <w:rsid w:val="005C6E99"/>
    <w:rsid w:val="005D01A3"/>
    <w:rsid w:val="005D0BC6"/>
    <w:rsid w:val="005D33BC"/>
    <w:rsid w:val="005E0FBF"/>
    <w:rsid w:val="005E364E"/>
    <w:rsid w:val="005E4589"/>
    <w:rsid w:val="005E54FA"/>
    <w:rsid w:val="005E7A5A"/>
    <w:rsid w:val="005F3086"/>
    <w:rsid w:val="005F51F2"/>
    <w:rsid w:val="005F5859"/>
    <w:rsid w:val="00603C4E"/>
    <w:rsid w:val="00606DEB"/>
    <w:rsid w:val="00607934"/>
    <w:rsid w:val="006111DA"/>
    <w:rsid w:val="00612DE8"/>
    <w:rsid w:val="00612F3B"/>
    <w:rsid w:val="00616C55"/>
    <w:rsid w:val="006216E4"/>
    <w:rsid w:val="006233A6"/>
    <w:rsid w:val="006233C9"/>
    <w:rsid w:val="0062364D"/>
    <w:rsid w:val="00631760"/>
    <w:rsid w:val="006352F3"/>
    <w:rsid w:val="00636CE3"/>
    <w:rsid w:val="00643583"/>
    <w:rsid w:val="0064529A"/>
    <w:rsid w:val="00656464"/>
    <w:rsid w:val="0065758C"/>
    <w:rsid w:val="00660F9F"/>
    <w:rsid w:val="00662A11"/>
    <w:rsid w:val="00664639"/>
    <w:rsid w:val="00667A00"/>
    <w:rsid w:val="0067077F"/>
    <w:rsid w:val="0067161C"/>
    <w:rsid w:val="006741AE"/>
    <w:rsid w:val="00674BB0"/>
    <w:rsid w:val="006760D4"/>
    <w:rsid w:val="00681361"/>
    <w:rsid w:val="006867B4"/>
    <w:rsid w:val="00690339"/>
    <w:rsid w:val="0069046E"/>
    <w:rsid w:val="00695442"/>
    <w:rsid w:val="006965FC"/>
    <w:rsid w:val="006A22AE"/>
    <w:rsid w:val="006A4755"/>
    <w:rsid w:val="006A5D53"/>
    <w:rsid w:val="006B1E6D"/>
    <w:rsid w:val="006B4978"/>
    <w:rsid w:val="006B5750"/>
    <w:rsid w:val="006C75D4"/>
    <w:rsid w:val="006C7E58"/>
    <w:rsid w:val="006D01EC"/>
    <w:rsid w:val="006D1A7C"/>
    <w:rsid w:val="006D53E8"/>
    <w:rsid w:val="006D6C10"/>
    <w:rsid w:val="006E5172"/>
    <w:rsid w:val="006E7493"/>
    <w:rsid w:val="006F2575"/>
    <w:rsid w:val="006F2BB6"/>
    <w:rsid w:val="006F459F"/>
    <w:rsid w:val="006F45D3"/>
    <w:rsid w:val="006F6616"/>
    <w:rsid w:val="006F7CED"/>
    <w:rsid w:val="00702637"/>
    <w:rsid w:val="007032C0"/>
    <w:rsid w:val="00706930"/>
    <w:rsid w:val="00711D28"/>
    <w:rsid w:val="007126E1"/>
    <w:rsid w:val="0071396E"/>
    <w:rsid w:val="00713C2D"/>
    <w:rsid w:val="00714FCA"/>
    <w:rsid w:val="0072166C"/>
    <w:rsid w:val="00723DD9"/>
    <w:rsid w:val="00723F5F"/>
    <w:rsid w:val="00724A2F"/>
    <w:rsid w:val="007269F7"/>
    <w:rsid w:val="007274FE"/>
    <w:rsid w:val="0073255C"/>
    <w:rsid w:val="00740F2F"/>
    <w:rsid w:val="0074598C"/>
    <w:rsid w:val="00750A67"/>
    <w:rsid w:val="0075243C"/>
    <w:rsid w:val="007540C1"/>
    <w:rsid w:val="00756C65"/>
    <w:rsid w:val="00762F32"/>
    <w:rsid w:val="0076682F"/>
    <w:rsid w:val="00780425"/>
    <w:rsid w:val="00783047"/>
    <w:rsid w:val="007846F0"/>
    <w:rsid w:val="0078555A"/>
    <w:rsid w:val="00787E66"/>
    <w:rsid w:val="00787F58"/>
    <w:rsid w:val="00790165"/>
    <w:rsid w:val="00793D4C"/>
    <w:rsid w:val="00794970"/>
    <w:rsid w:val="007A12CE"/>
    <w:rsid w:val="007A1415"/>
    <w:rsid w:val="007A1C3E"/>
    <w:rsid w:val="007A3697"/>
    <w:rsid w:val="007A63D5"/>
    <w:rsid w:val="007A7ABA"/>
    <w:rsid w:val="007B294A"/>
    <w:rsid w:val="007C01D0"/>
    <w:rsid w:val="007D3107"/>
    <w:rsid w:val="007D4652"/>
    <w:rsid w:val="007D5E80"/>
    <w:rsid w:val="007E0E8B"/>
    <w:rsid w:val="007E4301"/>
    <w:rsid w:val="007E45B5"/>
    <w:rsid w:val="007E7047"/>
    <w:rsid w:val="007F09E8"/>
    <w:rsid w:val="007F74D8"/>
    <w:rsid w:val="0081393A"/>
    <w:rsid w:val="00814533"/>
    <w:rsid w:val="008147A8"/>
    <w:rsid w:val="0081593C"/>
    <w:rsid w:val="00816D04"/>
    <w:rsid w:val="008222C9"/>
    <w:rsid w:val="008244B7"/>
    <w:rsid w:val="008267AE"/>
    <w:rsid w:val="0082697A"/>
    <w:rsid w:val="0082759E"/>
    <w:rsid w:val="00830E7B"/>
    <w:rsid w:val="008461FE"/>
    <w:rsid w:val="0085037E"/>
    <w:rsid w:val="00850388"/>
    <w:rsid w:val="00857B02"/>
    <w:rsid w:val="00862E0A"/>
    <w:rsid w:val="0086352F"/>
    <w:rsid w:val="008635E6"/>
    <w:rsid w:val="0086518C"/>
    <w:rsid w:val="00865505"/>
    <w:rsid w:val="00865E82"/>
    <w:rsid w:val="00870494"/>
    <w:rsid w:val="0088620F"/>
    <w:rsid w:val="008866BF"/>
    <w:rsid w:val="008870C7"/>
    <w:rsid w:val="008931DD"/>
    <w:rsid w:val="008A0660"/>
    <w:rsid w:val="008A0C26"/>
    <w:rsid w:val="008A5BB1"/>
    <w:rsid w:val="008A5EF3"/>
    <w:rsid w:val="008A61F3"/>
    <w:rsid w:val="008B12E7"/>
    <w:rsid w:val="008B3005"/>
    <w:rsid w:val="008B3D96"/>
    <w:rsid w:val="008B5AB9"/>
    <w:rsid w:val="008B77A3"/>
    <w:rsid w:val="008C02FC"/>
    <w:rsid w:val="008C5C66"/>
    <w:rsid w:val="008C6EE5"/>
    <w:rsid w:val="008D000D"/>
    <w:rsid w:val="008D002A"/>
    <w:rsid w:val="008D0A6F"/>
    <w:rsid w:val="008D3B2A"/>
    <w:rsid w:val="008D46F8"/>
    <w:rsid w:val="008D6CAD"/>
    <w:rsid w:val="008D791E"/>
    <w:rsid w:val="008E0A49"/>
    <w:rsid w:val="008E118B"/>
    <w:rsid w:val="008E38C1"/>
    <w:rsid w:val="008E43A6"/>
    <w:rsid w:val="008E4E82"/>
    <w:rsid w:val="008E6C5C"/>
    <w:rsid w:val="008F152C"/>
    <w:rsid w:val="008F2E84"/>
    <w:rsid w:val="008F4663"/>
    <w:rsid w:val="008F4A7F"/>
    <w:rsid w:val="00904295"/>
    <w:rsid w:val="0090549B"/>
    <w:rsid w:val="00905C72"/>
    <w:rsid w:val="009074C1"/>
    <w:rsid w:val="00915F8F"/>
    <w:rsid w:val="00916413"/>
    <w:rsid w:val="00923C54"/>
    <w:rsid w:val="00925D00"/>
    <w:rsid w:val="009267DF"/>
    <w:rsid w:val="009312DA"/>
    <w:rsid w:val="0093180C"/>
    <w:rsid w:val="00934736"/>
    <w:rsid w:val="0093671C"/>
    <w:rsid w:val="009422BA"/>
    <w:rsid w:val="00943A91"/>
    <w:rsid w:val="00945CB8"/>
    <w:rsid w:val="00945D83"/>
    <w:rsid w:val="00947885"/>
    <w:rsid w:val="00953701"/>
    <w:rsid w:val="009539A7"/>
    <w:rsid w:val="0095761F"/>
    <w:rsid w:val="0096071D"/>
    <w:rsid w:val="00960D71"/>
    <w:rsid w:val="00961B38"/>
    <w:rsid w:val="00961F64"/>
    <w:rsid w:val="009629A5"/>
    <w:rsid w:val="009636B5"/>
    <w:rsid w:val="00963963"/>
    <w:rsid w:val="00971143"/>
    <w:rsid w:val="00971FD0"/>
    <w:rsid w:val="00974E79"/>
    <w:rsid w:val="009759D4"/>
    <w:rsid w:val="00980A7E"/>
    <w:rsid w:val="00980C2B"/>
    <w:rsid w:val="00981A33"/>
    <w:rsid w:val="009848DC"/>
    <w:rsid w:val="0098658F"/>
    <w:rsid w:val="0098733E"/>
    <w:rsid w:val="009902B2"/>
    <w:rsid w:val="009931B3"/>
    <w:rsid w:val="009A17C2"/>
    <w:rsid w:val="009A542C"/>
    <w:rsid w:val="009A6034"/>
    <w:rsid w:val="009A6F85"/>
    <w:rsid w:val="009B229D"/>
    <w:rsid w:val="009B7505"/>
    <w:rsid w:val="009C3875"/>
    <w:rsid w:val="009C3E93"/>
    <w:rsid w:val="009D0218"/>
    <w:rsid w:val="009D1147"/>
    <w:rsid w:val="009D1808"/>
    <w:rsid w:val="009D274B"/>
    <w:rsid w:val="009E00C0"/>
    <w:rsid w:val="009E2E22"/>
    <w:rsid w:val="009E32D6"/>
    <w:rsid w:val="009E55F8"/>
    <w:rsid w:val="009E5E0A"/>
    <w:rsid w:val="009E77F1"/>
    <w:rsid w:val="009F3BD5"/>
    <w:rsid w:val="009F60D8"/>
    <w:rsid w:val="00A0518F"/>
    <w:rsid w:val="00A1021E"/>
    <w:rsid w:val="00A1182C"/>
    <w:rsid w:val="00A17A11"/>
    <w:rsid w:val="00A21966"/>
    <w:rsid w:val="00A21B8A"/>
    <w:rsid w:val="00A220B9"/>
    <w:rsid w:val="00A34D03"/>
    <w:rsid w:val="00A36346"/>
    <w:rsid w:val="00A375CF"/>
    <w:rsid w:val="00A37F15"/>
    <w:rsid w:val="00A41914"/>
    <w:rsid w:val="00A46B9F"/>
    <w:rsid w:val="00A46F3E"/>
    <w:rsid w:val="00A500B8"/>
    <w:rsid w:val="00A51C74"/>
    <w:rsid w:val="00A541DF"/>
    <w:rsid w:val="00A56E73"/>
    <w:rsid w:val="00A57DDE"/>
    <w:rsid w:val="00A602BB"/>
    <w:rsid w:val="00A6251B"/>
    <w:rsid w:val="00A6346B"/>
    <w:rsid w:val="00A66E95"/>
    <w:rsid w:val="00A67824"/>
    <w:rsid w:val="00A715BD"/>
    <w:rsid w:val="00A71F42"/>
    <w:rsid w:val="00A7332E"/>
    <w:rsid w:val="00A744D0"/>
    <w:rsid w:val="00A746EC"/>
    <w:rsid w:val="00A74C13"/>
    <w:rsid w:val="00A7589A"/>
    <w:rsid w:val="00A90060"/>
    <w:rsid w:val="00A94F43"/>
    <w:rsid w:val="00AA01BC"/>
    <w:rsid w:val="00AA0220"/>
    <w:rsid w:val="00AA36BF"/>
    <w:rsid w:val="00AA4E04"/>
    <w:rsid w:val="00AA5B92"/>
    <w:rsid w:val="00AB12EC"/>
    <w:rsid w:val="00AB1809"/>
    <w:rsid w:val="00AB1C8E"/>
    <w:rsid w:val="00AB32BF"/>
    <w:rsid w:val="00AB3D3E"/>
    <w:rsid w:val="00AB4E93"/>
    <w:rsid w:val="00AC3B04"/>
    <w:rsid w:val="00AD2D0B"/>
    <w:rsid w:val="00AE07A6"/>
    <w:rsid w:val="00AE75F7"/>
    <w:rsid w:val="00AF1469"/>
    <w:rsid w:val="00AF36B7"/>
    <w:rsid w:val="00AF3E0A"/>
    <w:rsid w:val="00AF484F"/>
    <w:rsid w:val="00AF54FA"/>
    <w:rsid w:val="00AF694D"/>
    <w:rsid w:val="00AF795A"/>
    <w:rsid w:val="00B006B2"/>
    <w:rsid w:val="00B01491"/>
    <w:rsid w:val="00B015AE"/>
    <w:rsid w:val="00B106F1"/>
    <w:rsid w:val="00B14E0B"/>
    <w:rsid w:val="00B21730"/>
    <w:rsid w:val="00B2434B"/>
    <w:rsid w:val="00B25586"/>
    <w:rsid w:val="00B448F0"/>
    <w:rsid w:val="00B4627F"/>
    <w:rsid w:val="00B547CD"/>
    <w:rsid w:val="00B5485F"/>
    <w:rsid w:val="00B54D6F"/>
    <w:rsid w:val="00B578E8"/>
    <w:rsid w:val="00B57A48"/>
    <w:rsid w:val="00B603E7"/>
    <w:rsid w:val="00B60D43"/>
    <w:rsid w:val="00B60FE5"/>
    <w:rsid w:val="00B61E6F"/>
    <w:rsid w:val="00B62D32"/>
    <w:rsid w:val="00B64236"/>
    <w:rsid w:val="00B6544C"/>
    <w:rsid w:val="00B66639"/>
    <w:rsid w:val="00B66A4E"/>
    <w:rsid w:val="00B702A2"/>
    <w:rsid w:val="00B71A06"/>
    <w:rsid w:val="00B71DE3"/>
    <w:rsid w:val="00B72EC3"/>
    <w:rsid w:val="00B7669D"/>
    <w:rsid w:val="00B822E0"/>
    <w:rsid w:val="00B875B2"/>
    <w:rsid w:val="00B9471F"/>
    <w:rsid w:val="00B94791"/>
    <w:rsid w:val="00BA0688"/>
    <w:rsid w:val="00BA23BB"/>
    <w:rsid w:val="00BA2B50"/>
    <w:rsid w:val="00BA3D29"/>
    <w:rsid w:val="00BB1AE7"/>
    <w:rsid w:val="00BB78F2"/>
    <w:rsid w:val="00BC0A77"/>
    <w:rsid w:val="00BD03B6"/>
    <w:rsid w:val="00BD1554"/>
    <w:rsid w:val="00BD1EE5"/>
    <w:rsid w:val="00BD3FF8"/>
    <w:rsid w:val="00BD414B"/>
    <w:rsid w:val="00BD7E32"/>
    <w:rsid w:val="00BE3B96"/>
    <w:rsid w:val="00BE6ECD"/>
    <w:rsid w:val="00BF0B04"/>
    <w:rsid w:val="00BF1392"/>
    <w:rsid w:val="00BF3800"/>
    <w:rsid w:val="00C02C06"/>
    <w:rsid w:val="00C05B4E"/>
    <w:rsid w:val="00C10CF8"/>
    <w:rsid w:val="00C1290D"/>
    <w:rsid w:val="00C1672B"/>
    <w:rsid w:val="00C1685F"/>
    <w:rsid w:val="00C173F6"/>
    <w:rsid w:val="00C20482"/>
    <w:rsid w:val="00C26AA6"/>
    <w:rsid w:val="00C26FE7"/>
    <w:rsid w:val="00C34BB1"/>
    <w:rsid w:val="00C34EE3"/>
    <w:rsid w:val="00C40605"/>
    <w:rsid w:val="00C413AB"/>
    <w:rsid w:val="00C42B79"/>
    <w:rsid w:val="00C46204"/>
    <w:rsid w:val="00C47501"/>
    <w:rsid w:val="00C47A33"/>
    <w:rsid w:val="00C510AC"/>
    <w:rsid w:val="00C52557"/>
    <w:rsid w:val="00C533A4"/>
    <w:rsid w:val="00C5404D"/>
    <w:rsid w:val="00C55343"/>
    <w:rsid w:val="00C5562E"/>
    <w:rsid w:val="00C55815"/>
    <w:rsid w:val="00C55E19"/>
    <w:rsid w:val="00C56014"/>
    <w:rsid w:val="00C608CA"/>
    <w:rsid w:val="00C63D3B"/>
    <w:rsid w:val="00C646CB"/>
    <w:rsid w:val="00C66433"/>
    <w:rsid w:val="00C66589"/>
    <w:rsid w:val="00C66D44"/>
    <w:rsid w:val="00C67865"/>
    <w:rsid w:val="00C70FC6"/>
    <w:rsid w:val="00C7123B"/>
    <w:rsid w:val="00C72D9B"/>
    <w:rsid w:val="00C77585"/>
    <w:rsid w:val="00C77BBE"/>
    <w:rsid w:val="00C77D52"/>
    <w:rsid w:val="00C83E80"/>
    <w:rsid w:val="00C85D46"/>
    <w:rsid w:val="00C93EA4"/>
    <w:rsid w:val="00C94DFD"/>
    <w:rsid w:val="00C9591A"/>
    <w:rsid w:val="00CA2725"/>
    <w:rsid w:val="00CA2F5B"/>
    <w:rsid w:val="00CB2564"/>
    <w:rsid w:val="00CB6942"/>
    <w:rsid w:val="00CC0E30"/>
    <w:rsid w:val="00CC226F"/>
    <w:rsid w:val="00CC503E"/>
    <w:rsid w:val="00CC5A72"/>
    <w:rsid w:val="00CC5FA6"/>
    <w:rsid w:val="00CC709A"/>
    <w:rsid w:val="00CD1B75"/>
    <w:rsid w:val="00CD5FFF"/>
    <w:rsid w:val="00CE009B"/>
    <w:rsid w:val="00CE0DCA"/>
    <w:rsid w:val="00CE4642"/>
    <w:rsid w:val="00CF75E1"/>
    <w:rsid w:val="00D00B37"/>
    <w:rsid w:val="00D0440E"/>
    <w:rsid w:val="00D04D8E"/>
    <w:rsid w:val="00D054D1"/>
    <w:rsid w:val="00D0747A"/>
    <w:rsid w:val="00D111BF"/>
    <w:rsid w:val="00D116EC"/>
    <w:rsid w:val="00D124EC"/>
    <w:rsid w:val="00D151B5"/>
    <w:rsid w:val="00D153D7"/>
    <w:rsid w:val="00D15629"/>
    <w:rsid w:val="00D26829"/>
    <w:rsid w:val="00D32EBC"/>
    <w:rsid w:val="00D33365"/>
    <w:rsid w:val="00D34B62"/>
    <w:rsid w:val="00D37A87"/>
    <w:rsid w:val="00D44711"/>
    <w:rsid w:val="00D4579D"/>
    <w:rsid w:val="00D47B52"/>
    <w:rsid w:val="00D50573"/>
    <w:rsid w:val="00D50BA4"/>
    <w:rsid w:val="00D51A18"/>
    <w:rsid w:val="00D537C2"/>
    <w:rsid w:val="00D54DB6"/>
    <w:rsid w:val="00D56B55"/>
    <w:rsid w:val="00D601A2"/>
    <w:rsid w:val="00D619D2"/>
    <w:rsid w:val="00D649CD"/>
    <w:rsid w:val="00D66594"/>
    <w:rsid w:val="00D666AA"/>
    <w:rsid w:val="00D66C9A"/>
    <w:rsid w:val="00D67162"/>
    <w:rsid w:val="00D71599"/>
    <w:rsid w:val="00D752A8"/>
    <w:rsid w:val="00D75383"/>
    <w:rsid w:val="00D80992"/>
    <w:rsid w:val="00D83099"/>
    <w:rsid w:val="00D85B74"/>
    <w:rsid w:val="00D85D6D"/>
    <w:rsid w:val="00D873C8"/>
    <w:rsid w:val="00D87A05"/>
    <w:rsid w:val="00D90C52"/>
    <w:rsid w:val="00D915F4"/>
    <w:rsid w:val="00D93E8E"/>
    <w:rsid w:val="00D94CD0"/>
    <w:rsid w:val="00D9660C"/>
    <w:rsid w:val="00DA049A"/>
    <w:rsid w:val="00DA0A5E"/>
    <w:rsid w:val="00DA157B"/>
    <w:rsid w:val="00DA20EB"/>
    <w:rsid w:val="00DA31B8"/>
    <w:rsid w:val="00DA3252"/>
    <w:rsid w:val="00DA429F"/>
    <w:rsid w:val="00DA65FC"/>
    <w:rsid w:val="00DA6B7B"/>
    <w:rsid w:val="00DB1B06"/>
    <w:rsid w:val="00DB2A12"/>
    <w:rsid w:val="00DB2D11"/>
    <w:rsid w:val="00DB55FB"/>
    <w:rsid w:val="00DB70FA"/>
    <w:rsid w:val="00DD19F3"/>
    <w:rsid w:val="00DD21BE"/>
    <w:rsid w:val="00DD70A7"/>
    <w:rsid w:val="00DE086F"/>
    <w:rsid w:val="00DE10CF"/>
    <w:rsid w:val="00DE1107"/>
    <w:rsid w:val="00DE518B"/>
    <w:rsid w:val="00DE543B"/>
    <w:rsid w:val="00DE6B30"/>
    <w:rsid w:val="00E06125"/>
    <w:rsid w:val="00E06340"/>
    <w:rsid w:val="00E074EB"/>
    <w:rsid w:val="00E10B4E"/>
    <w:rsid w:val="00E16378"/>
    <w:rsid w:val="00E224A4"/>
    <w:rsid w:val="00E22C88"/>
    <w:rsid w:val="00E23087"/>
    <w:rsid w:val="00E237F1"/>
    <w:rsid w:val="00E24670"/>
    <w:rsid w:val="00E272A9"/>
    <w:rsid w:val="00E3057E"/>
    <w:rsid w:val="00E310EC"/>
    <w:rsid w:val="00E3540A"/>
    <w:rsid w:val="00E4194C"/>
    <w:rsid w:val="00E4274B"/>
    <w:rsid w:val="00E47623"/>
    <w:rsid w:val="00E537A7"/>
    <w:rsid w:val="00E558CA"/>
    <w:rsid w:val="00E57395"/>
    <w:rsid w:val="00E576B6"/>
    <w:rsid w:val="00E62AC6"/>
    <w:rsid w:val="00E70420"/>
    <w:rsid w:val="00E70F9C"/>
    <w:rsid w:val="00E822B9"/>
    <w:rsid w:val="00E831FA"/>
    <w:rsid w:val="00E8421E"/>
    <w:rsid w:val="00E90356"/>
    <w:rsid w:val="00E93D32"/>
    <w:rsid w:val="00E957CB"/>
    <w:rsid w:val="00E966C1"/>
    <w:rsid w:val="00E97437"/>
    <w:rsid w:val="00EA0D7B"/>
    <w:rsid w:val="00EA26BA"/>
    <w:rsid w:val="00EA4BA4"/>
    <w:rsid w:val="00EA5BA5"/>
    <w:rsid w:val="00EB024D"/>
    <w:rsid w:val="00EB1582"/>
    <w:rsid w:val="00EB1ACE"/>
    <w:rsid w:val="00EB21A2"/>
    <w:rsid w:val="00EB4966"/>
    <w:rsid w:val="00EB4A70"/>
    <w:rsid w:val="00EB54A3"/>
    <w:rsid w:val="00EC0919"/>
    <w:rsid w:val="00EC1025"/>
    <w:rsid w:val="00EC35DF"/>
    <w:rsid w:val="00EC6F75"/>
    <w:rsid w:val="00EC7C8F"/>
    <w:rsid w:val="00ED0B6C"/>
    <w:rsid w:val="00ED160A"/>
    <w:rsid w:val="00ED2E43"/>
    <w:rsid w:val="00ED4A71"/>
    <w:rsid w:val="00ED555E"/>
    <w:rsid w:val="00EE199F"/>
    <w:rsid w:val="00EE1A67"/>
    <w:rsid w:val="00EE6EFB"/>
    <w:rsid w:val="00EF05DD"/>
    <w:rsid w:val="00EF1698"/>
    <w:rsid w:val="00EF1F6B"/>
    <w:rsid w:val="00EF2F7B"/>
    <w:rsid w:val="00F00AE1"/>
    <w:rsid w:val="00F01430"/>
    <w:rsid w:val="00F01E5B"/>
    <w:rsid w:val="00F073EC"/>
    <w:rsid w:val="00F10811"/>
    <w:rsid w:val="00F10D84"/>
    <w:rsid w:val="00F11947"/>
    <w:rsid w:val="00F1709F"/>
    <w:rsid w:val="00F2358C"/>
    <w:rsid w:val="00F23CF4"/>
    <w:rsid w:val="00F300FC"/>
    <w:rsid w:val="00F307E1"/>
    <w:rsid w:val="00F3527F"/>
    <w:rsid w:val="00F35F41"/>
    <w:rsid w:val="00F37E9F"/>
    <w:rsid w:val="00F43787"/>
    <w:rsid w:val="00F51355"/>
    <w:rsid w:val="00F51902"/>
    <w:rsid w:val="00F52410"/>
    <w:rsid w:val="00F53B5C"/>
    <w:rsid w:val="00F53E49"/>
    <w:rsid w:val="00F56B3B"/>
    <w:rsid w:val="00F57683"/>
    <w:rsid w:val="00F60F3B"/>
    <w:rsid w:val="00F62456"/>
    <w:rsid w:val="00F66630"/>
    <w:rsid w:val="00F67CB7"/>
    <w:rsid w:val="00F708C9"/>
    <w:rsid w:val="00F7597D"/>
    <w:rsid w:val="00F8009F"/>
    <w:rsid w:val="00F818D6"/>
    <w:rsid w:val="00F82294"/>
    <w:rsid w:val="00F867A3"/>
    <w:rsid w:val="00F92E9F"/>
    <w:rsid w:val="00FA0743"/>
    <w:rsid w:val="00FB1539"/>
    <w:rsid w:val="00FB5CDB"/>
    <w:rsid w:val="00FC1FE7"/>
    <w:rsid w:val="00FC2860"/>
    <w:rsid w:val="00FC420D"/>
    <w:rsid w:val="00FC78C7"/>
    <w:rsid w:val="00FD285F"/>
    <w:rsid w:val="00FD38ED"/>
    <w:rsid w:val="00FD452D"/>
    <w:rsid w:val="00FD6E65"/>
    <w:rsid w:val="00FD74E9"/>
    <w:rsid w:val="00FE0518"/>
    <w:rsid w:val="00FE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E5F1F-F2F7-4024-A918-5A941A7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6481C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B4E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4E9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4E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4E93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23CF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rsid w:val="000A336E"/>
    <w:rPr>
      <w:color w:val="0000FF"/>
      <w:u w:val="single"/>
    </w:rPr>
  </w:style>
  <w:style w:type="paragraph" w:customStyle="1" w:styleId="Normal12pt">
    <w:name w:val="Normal + 12 pt"/>
    <w:basedOn w:val="prastasis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Numatytasispastraiposriftas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741A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6741AE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A87"/>
  </w:style>
  <w:style w:type="paragraph" w:styleId="Porat">
    <w:name w:val="footer"/>
    <w:basedOn w:val="prastasis"/>
    <w:link w:val="PoratDiagrama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A87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244B7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244B7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244B7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C5A72"/>
  </w:style>
  <w:style w:type="character" w:customStyle="1" w:styleId="FontStyle18">
    <w:name w:val="Font Style18"/>
    <w:basedOn w:val="Numatytasispastraiposriftas"/>
    <w:rsid w:val="00E558CA"/>
    <w:rPr>
      <w:rFonts w:ascii="Times New Roman" w:hAnsi="Times New Roman"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027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Default">
    <w:name w:val="Default"/>
    <w:rsid w:val="00F66630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  <w:lang w:val="lt-LT"/>
    </w:rPr>
  </w:style>
  <w:style w:type="character" w:customStyle="1" w:styleId="Mention">
    <w:name w:val="Mention"/>
    <w:basedOn w:val="Numatytasispastraiposriftas"/>
    <w:uiPriority w:val="99"/>
    <w:semiHidden/>
    <w:unhideWhenUsed/>
    <w:rsid w:val="0033539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34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9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8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78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3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4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2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7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93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8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4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dliauskiene@vpt.l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d-diagnostics.com/2012/eng/channel_02/prt_list.php" TargetMode="External"/><Relationship Id="rId2" Type="http://schemas.openxmlformats.org/officeDocument/2006/relationships/hyperlink" Target="http://www.yd-diagnostics.com/2012/eng/channel_02/prt_list.php" TargetMode="External"/><Relationship Id="rId1" Type="http://schemas.openxmlformats.org/officeDocument/2006/relationships/hyperlink" Target="http://www.diruiturkey.com/urunler-detay.asp?LanguageID=2&amp;cid=31&amp;id=70&amp;id2=95" TargetMode="External"/><Relationship Id="rId6" Type="http://schemas.openxmlformats.org/officeDocument/2006/relationships/hyperlink" Target="https://www.ncbi.nlm.nih.gov/pmc/articles/%20PMC3222250/" TargetMode="External"/><Relationship Id="rId5" Type="http://schemas.openxmlformats.org/officeDocument/2006/relationships/hyperlink" Target="http://diamedil.info/MediGal/Urine%20analysis/H100.pdf" TargetMode="External"/><Relationship Id="rId4" Type="http://schemas.openxmlformats.org/officeDocument/2006/relationships/hyperlink" Target="http://www.dirui.com.cn/Y02/ws_cp/info.asp?mkbh=M002&amp;id=C00000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FD6E0-B93B-4074-810D-6000D239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7901</Words>
  <Characters>4505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Ilčiukas</dc:creator>
  <cp:lastModifiedBy>Albina Perlavičienė</cp:lastModifiedBy>
  <cp:revision>22</cp:revision>
  <cp:lastPrinted>2016-09-08T06:53:00Z</cp:lastPrinted>
  <dcterms:created xsi:type="dcterms:W3CDTF">2017-03-29T07:45:00Z</dcterms:created>
  <dcterms:modified xsi:type="dcterms:W3CDTF">2017-04-06T13:41:00Z</dcterms:modified>
</cp:coreProperties>
</file>