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3A6" w:rsidRDefault="006C33A6" w:rsidP="006C33A6">
      <w:pPr>
        <w:jc w:val="center"/>
        <w:rPr>
          <w:rFonts w:ascii="CG Times" w:hAnsi="CG Times"/>
          <w:sz w:val="24"/>
          <w:szCs w:val="24"/>
        </w:rPr>
      </w:pPr>
      <w:r w:rsidRPr="00E96D24">
        <w:rPr>
          <w:rFonts w:ascii="CG Times" w:hAnsi="CG Times"/>
          <w:sz w:val="24"/>
          <w:szCs w:val="24"/>
        </w:rPr>
        <w:object w:dxaOrig="876"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93517859" r:id="rId8"/>
        </w:object>
      </w:r>
    </w:p>
    <w:p w:rsidR="006C33A6" w:rsidRDefault="006C33A6" w:rsidP="006C33A6">
      <w:pPr>
        <w:jc w:val="center"/>
        <w:rPr>
          <w:sz w:val="24"/>
          <w:szCs w:val="24"/>
        </w:rPr>
      </w:pPr>
    </w:p>
    <w:p w:rsidR="006C33A6" w:rsidRDefault="006C33A6" w:rsidP="006C33A6">
      <w:pPr>
        <w:pStyle w:val="Heading1"/>
        <w:tabs>
          <w:tab w:val="left" w:pos="900"/>
        </w:tabs>
        <w:jc w:val="center"/>
        <w:rPr>
          <w:sz w:val="24"/>
          <w:szCs w:val="24"/>
        </w:rPr>
      </w:pPr>
      <w:r>
        <w:rPr>
          <w:sz w:val="24"/>
          <w:szCs w:val="24"/>
        </w:rPr>
        <w:t>VIEŠŲJŲ PIRKIMŲ TARNYBA</w:t>
      </w:r>
    </w:p>
    <w:p w:rsidR="006C33A6" w:rsidRDefault="006C33A6" w:rsidP="006C33A6">
      <w:pPr>
        <w:tabs>
          <w:tab w:val="left" w:pos="900"/>
        </w:tabs>
        <w:rPr>
          <w:bCs/>
          <w:sz w:val="24"/>
          <w:szCs w:val="24"/>
        </w:rPr>
      </w:pPr>
    </w:p>
    <w:p w:rsidR="006C33A6" w:rsidRDefault="006C33A6" w:rsidP="006C33A6">
      <w:pPr>
        <w:tabs>
          <w:tab w:val="left" w:pos="900"/>
        </w:tabs>
        <w:rPr>
          <w:bCs/>
          <w:sz w:val="24"/>
          <w:szCs w:val="24"/>
        </w:rPr>
      </w:pPr>
    </w:p>
    <w:p w:rsidR="006C33A6" w:rsidRDefault="006C33A6" w:rsidP="006C33A6">
      <w:pPr>
        <w:tabs>
          <w:tab w:val="left" w:pos="900"/>
        </w:tabs>
        <w:rPr>
          <w:bCs/>
          <w:sz w:val="24"/>
          <w:szCs w:val="24"/>
        </w:rPr>
      </w:pPr>
    </w:p>
    <w:tbl>
      <w:tblPr>
        <w:tblW w:w="9802" w:type="dxa"/>
        <w:tblInd w:w="87" w:type="dxa"/>
        <w:tblLayout w:type="fixed"/>
        <w:tblLook w:val="04A0" w:firstRow="1" w:lastRow="0" w:firstColumn="1" w:lastColumn="0" w:noHBand="0" w:noVBand="1"/>
      </w:tblPr>
      <w:tblGrid>
        <w:gridCol w:w="5408"/>
        <w:gridCol w:w="283"/>
        <w:gridCol w:w="1418"/>
        <w:gridCol w:w="568"/>
        <w:gridCol w:w="2125"/>
      </w:tblGrid>
      <w:tr w:rsidR="006C33A6" w:rsidTr="00933B83">
        <w:trPr>
          <w:cantSplit/>
          <w:trHeight w:val="933"/>
        </w:trPr>
        <w:tc>
          <w:tcPr>
            <w:tcW w:w="5408" w:type="dxa"/>
          </w:tcPr>
          <w:p w:rsidR="00D03A7E" w:rsidRDefault="005F73D1" w:rsidP="00DA1D79">
            <w:pPr>
              <w:tabs>
                <w:tab w:val="left" w:pos="273"/>
                <w:tab w:val="left" w:pos="900"/>
              </w:tabs>
              <w:rPr>
                <w:sz w:val="24"/>
                <w:szCs w:val="24"/>
              </w:rPr>
            </w:pPr>
            <w:r>
              <w:rPr>
                <w:sz w:val="24"/>
                <w:szCs w:val="24"/>
              </w:rPr>
              <w:t>Macikų</w:t>
            </w:r>
            <w:r w:rsidR="00D03A7E">
              <w:rPr>
                <w:sz w:val="24"/>
                <w:szCs w:val="24"/>
              </w:rPr>
              <w:t xml:space="preserve"> socialinės globos namams</w:t>
            </w:r>
          </w:p>
          <w:p w:rsidR="00D03A7E" w:rsidRDefault="00D03A7E" w:rsidP="00DA1D79">
            <w:pPr>
              <w:tabs>
                <w:tab w:val="left" w:pos="273"/>
                <w:tab w:val="left" w:pos="900"/>
              </w:tabs>
              <w:rPr>
                <w:sz w:val="24"/>
                <w:szCs w:val="24"/>
              </w:rPr>
            </w:pPr>
          </w:p>
          <w:p w:rsidR="00D03A7E" w:rsidRDefault="005F73D1" w:rsidP="00DA1D79">
            <w:pPr>
              <w:tabs>
                <w:tab w:val="left" w:pos="273"/>
                <w:tab w:val="left" w:pos="900"/>
              </w:tabs>
              <w:rPr>
                <w:sz w:val="24"/>
                <w:szCs w:val="24"/>
              </w:rPr>
            </w:pPr>
            <w:r>
              <w:rPr>
                <w:sz w:val="24"/>
                <w:szCs w:val="24"/>
              </w:rPr>
              <w:t>Vilties</w:t>
            </w:r>
            <w:r w:rsidR="00D03A7E">
              <w:rPr>
                <w:sz w:val="24"/>
                <w:szCs w:val="24"/>
              </w:rPr>
              <w:t xml:space="preserve"> g. </w:t>
            </w:r>
            <w:r>
              <w:rPr>
                <w:sz w:val="24"/>
                <w:szCs w:val="24"/>
              </w:rPr>
              <w:t>2</w:t>
            </w:r>
          </w:p>
          <w:p w:rsidR="00D03A7E" w:rsidRDefault="005F73D1" w:rsidP="00DA1D79">
            <w:pPr>
              <w:tabs>
                <w:tab w:val="left" w:pos="273"/>
                <w:tab w:val="left" w:pos="900"/>
              </w:tabs>
              <w:rPr>
                <w:sz w:val="24"/>
                <w:szCs w:val="24"/>
              </w:rPr>
            </w:pPr>
            <w:r>
              <w:rPr>
                <w:sz w:val="24"/>
                <w:szCs w:val="24"/>
              </w:rPr>
              <w:t>Macikų</w:t>
            </w:r>
            <w:r w:rsidR="00D03A7E">
              <w:rPr>
                <w:sz w:val="24"/>
                <w:szCs w:val="24"/>
              </w:rPr>
              <w:t xml:space="preserve"> k., </w:t>
            </w:r>
            <w:r>
              <w:rPr>
                <w:sz w:val="24"/>
                <w:szCs w:val="24"/>
              </w:rPr>
              <w:t xml:space="preserve">Šilutės </w:t>
            </w:r>
            <w:r w:rsidR="00D03A7E">
              <w:rPr>
                <w:sz w:val="24"/>
                <w:szCs w:val="24"/>
              </w:rPr>
              <w:t>sen.</w:t>
            </w:r>
          </w:p>
          <w:p w:rsidR="00D03A7E" w:rsidRDefault="005F73D1" w:rsidP="00DA1D79">
            <w:pPr>
              <w:tabs>
                <w:tab w:val="left" w:pos="273"/>
                <w:tab w:val="left" w:pos="900"/>
              </w:tabs>
              <w:rPr>
                <w:sz w:val="24"/>
                <w:szCs w:val="24"/>
              </w:rPr>
            </w:pPr>
            <w:r>
              <w:rPr>
                <w:sz w:val="24"/>
                <w:szCs w:val="24"/>
              </w:rPr>
              <w:t xml:space="preserve">99156 Šilutės r. </w:t>
            </w:r>
          </w:p>
          <w:p w:rsidR="00D03A7E" w:rsidRDefault="00D03A7E" w:rsidP="00DA1D79">
            <w:pPr>
              <w:tabs>
                <w:tab w:val="left" w:pos="273"/>
                <w:tab w:val="left" w:pos="900"/>
              </w:tabs>
              <w:rPr>
                <w:sz w:val="24"/>
                <w:szCs w:val="24"/>
              </w:rPr>
            </w:pPr>
          </w:p>
          <w:p w:rsidR="00D03A7E" w:rsidRDefault="00D03A7E" w:rsidP="00DA1D79">
            <w:pPr>
              <w:tabs>
                <w:tab w:val="left" w:pos="273"/>
                <w:tab w:val="left" w:pos="900"/>
              </w:tabs>
              <w:rPr>
                <w:sz w:val="24"/>
                <w:szCs w:val="24"/>
              </w:rPr>
            </w:pPr>
            <w:r>
              <w:rPr>
                <w:sz w:val="24"/>
                <w:szCs w:val="24"/>
              </w:rPr>
              <w:t xml:space="preserve">El. p. </w:t>
            </w:r>
            <w:r w:rsidR="005F73D1">
              <w:rPr>
                <w:sz w:val="24"/>
                <w:szCs w:val="24"/>
              </w:rPr>
              <w:t>info</w:t>
            </w:r>
            <w:hyperlink r:id="rId9" w:history="1">
              <w:r w:rsidRPr="00D03A7E">
                <w:rPr>
                  <w:rStyle w:val="Hyperlink"/>
                  <w:color w:val="auto"/>
                  <w:sz w:val="24"/>
                  <w:szCs w:val="24"/>
                  <w:u w:val="none"/>
                </w:rPr>
                <w:t>@</w:t>
              </w:r>
              <w:r w:rsidR="005F73D1">
                <w:rPr>
                  <w:rStyle w:val="Hyperlink"/>
                  <w:color w:val="auto"/>
                  <w:sz w:val="24"/>
                  <w:szCs w:val="24"/>
                  <w:u w:val="none"/>
                </w:rPr>
                <w:t>macikaigloba</w:t>
              </w:r>
              <w:r w:rsidRPr="00D03A7E">
                <w:rPr>
                  <w:rStyle w:val="Hyperlink"/>
                  <w:color w:val="auto"/>
                  <w:sz w:val="24"/>
                  <w:szCs w:val="24"/>
                  <w:u w:val="none"/>
                </w:rPr>
                <w:t>.com</w:t>
              </w:r>
            </w:hyperlink>
          </w:p>
          <w:p w:rsidR="00D03A7E" w:rsidRDefault="00D03A7E" w:rsidP="00DA1D79">
            <w:pPr>
              <w:tabs>
                <w:tab w:val="left" w:pos="273"/>
                <w:tab w:val="left" w:pos="900"/>
              </w:tabs>
              <w:rPr>
                <w:sz w:val="24"/>
                <w:szCs w:val="24"/>
              </w:rPr>
            </w:pPr>
          </w:p>
          <w:p w:rsidR="00B156EB" w:rsidRDefault="00B156EB" w:rsidP="00B156EB">
            <w:pPr>
              <w:tabs>
                <w:tab w:val="left" w:pos="273"/>
                <w:tab w:val="left" w:pos="900"/>
              </w:tabs>
              <w:rPr>
                <w:bCs/>
                <w:sz w:val="24"/>
                <w:szCs w:val="24"/>
              </w:rPr>
            </w:pPr>
          </w:p>
          <w:p w:rsidR="00B156EB" w:rsidRPr="00DA1D79" w:rsidRDefault="00B156EB" w:rsidP="00933B83">
            <w:pPr>
              <w:tabs>
                <w:tab w:val="left" w:pos="900"/>
              </w:tabs>
              <w:rPr>
                <w:sz w:val="24"/>
                <w:szCs w:val="24"/>
                <w:lang w:val="en-US"/>
              </w:rPr>
            </w:pPr>
          </w:p>
        </w:tc>
        <w:tc>
          <w:tcPr>
            <w:tcW w:w="283" w:type="dxa"/>
          </w:tcPr>
          <w:p w:rsidR="006C33A6" w:rsidRDefault="006C33A6">
            <w:pPr>
              <w:tabs>
                <w:tab w:val="left" w:pos="900"/>
              </w:tabs>
              <w:rPr>
                <w:sz w:val="24"/>
                <w:szCs w:val="24"/>
              </w:rPr>
            </w:pPr>
          </w:p>
          <w:p w:rsidR="00B156EB" w:rsidRDefault="006C33A6">
            <w:pPr>
              <w:tabs>
                <w:tab w:val="left" w:pos="900"/>
              </w:tabs>
              <w:rPr>
                <w:sz w:val="24"/>
                <w:szCs w:val="24"/>
              </w:rPr>
            </w:pPr>
            <w:r>
              <w:rPr>
                <w:sz w:val="24"/>
                <w:szCs w:val="24"/>
              </w:rPr>
              <w:t>Į</w:t>
            </w: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6C33A6" w:rsidRPr="00B156EB" w:rsidRDefault="006C33A6" w:rsidP="00B156EB">
            <w:pPr>
              <w:rPr>
                <w:sz w:val="24"/>
                <w:szCs w:val="24"/>
              </w:rPr>
            </w:pPr>
          </w:p>
        </w:tc>
        <w:tc>
          <w:tcPr>
            <w:tcW w:w="1418" w:type="dxa"/>
          </w:tcPr>
          <w:p w:rsidR="006C33A6" w:rsidRDefault="00DA1D79">
            <w:pPr>
              <w:tabs>
                <w:tab w:val="left" w:pos="900"/>
              </w:tabs>
              <w:rPr>
                <w:sz w:val="24"/>
                <w:szCs w:val="24"/>
              </w:rPr>
            </w:pPr>
            <w:r>
              <w:rPr>
                <w:sz w:val="24"/>
                <w:szCs w:val="24"/>
              </w:rPr>
              <w:t>201</w:t>
            </w:r>
            <w:r w:rsidR="00B156EB">
              <w:rPr>
                <w:sz w:val="24"/>
                <w:szCs w:val="24"/>
              </w:rPr>
              <w:t>8</w:t>
            </w:r>
            <w:r>
              <w:rPr>
                <w:sz w:val="24"/>
                <w:szCs w:val="24"/>
              </w:rPr>
              <w:t>-0</w:t>
            </w:r>
            <w:r w:rsidR="00933B83">
              <w:rPr>
                <w:sz w:val="24"/>
                <w:szCs w:val="24"/>
              </w:rPr>
              <w:t>7</w:t>
            </w:r>
            <w:r w:rsidR="006C33A6">
              <w:rPr>
                <w:sz w:val="24"/>
                <w:szCs w:val="24"/>
              </w:rPr>
              <w:t>-</w:t>
            </w:r>
            <w:r w:rsidR="00F51D08">
              <w:rPr>
                <w:sz w:val="24"/>
                <w:szCs w:val="24"/>
              </w:rPr>
              <w:t>19</w:t>
            </w:r>
          </w:p>
          <w:p w:rsidR="00B156EB" w:rsidRDefault="00933B83" w:rsidP="00B156EB">
            <w:pPr>
              <w:tabs>
                <w:tab w:val="left" w:pos="900"/>
              </w:tabs>
              <w:rPr>
                <w:sz w:val="24"/>
                <w:szCs w:val="24"/>
              </w:rPr>
            </w:pPr>
            <w:r>
              <w:rPr>
                <w:sz w:val="24"/>
                <w:szCs w:val="24"/>
              </w:rPr>
              <w:t>2018-0</w:t>
            </w:r>
            <w:r w:rsidR="00D03A7E">
              <w:rPr>
                <w:sz w:val="24"/>
                <w:szCs w:val="24"/>
              </w:rPr>
              <w:t>7-</w:t>
            </w:r>
            <w:r w:rsidR="005F73D1">
              <w:rPr>
                <w:sz w:val="24"/>
                <w:szCs w:val="24"/>
              </w:rPr>
              <w:t>09</w:t>
            </w: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Default="00B156EB" w:rsidP="00B156EB">
            <w:pPr>
              <w:rPr>
                <w:sz w:val="24"/>
                <w:szCs w:val="24"/>
              </w:rPr>
            </w:pPr>
          </w:p>
          <w:p w:rsidR="006C33A6" w:rsidRPr="00B156EB" w:rsidRDefault="006C33A6" w:rsidP="00B156EB">
            <w:pPr>
              <w:rPr>
                <w:sz w:val="24"/>
                <w:szCs w:val="24"/>
              </w:rPr>
            </w:pPr>
          </w:p>
        </w:tc>
        <w:tc>
          <w:tcPr>
            <w:tcW w:w="568" w:type="dxa"/>
          </w:tcPr>
          <w:p w:rsidR="006C33A6" w:rsidRDefault="006C33A6">
            <w:pPr>
              <w:tabs>
                <w:tab w:val="left" w:pos="900"/>
              </w:tabs>
              <w:rPr>
                <w:sz w:val="24"/>
                <w:szCs w:val="24"/>
              </w:rPr>
            </w:pPr>
            <w:r>
              <w:rPr>
                <w:sz w:val="24"/>
                <w:szCs w:val="24"/>
              </w:rPr>
              <w:t>Nr.</w:t>
            </w:r>
          </w:p>
          <w:p w:rsidR="006C33A6" w:rsidRDefault="006C33A6">
            <w:pPr>
              <w:tabs>
                <w:tab w:val="left" w:pos="900"/>
              </w:tabs>
              <w:rPr>
                <w:sz w:val="24"/>
                <w:szCs w:val="24"/>
              </w:rPr>
            </w:pPr>
            <w:r>
              <w:rPr>
                <w:sz w:val="24"/>
                <w:szCs w:val="24"/>
              </w:rPr>
              <w:t xml:space="preserve">Nr. </w:t>
            </w:r>
          </w:p>
          <w:p w:rsidR="00B156EB" w:rsidRDefault="00B156EB">
            <w:pPr>
              <w:tabs>
                <w:tab w:val="left" w:pos="900"/>
              </w:tabs>
              <w:rPr>
                <w:sz w:val="24"/>
                <w:szCs w:val="24"/>
              </w:rPr>
            </w:pPr>
          </w:p>
          <w:p w:rsidR="00B156EB" w:rsidRDefault="00B156EB">
            <w:pPr>
              <w:tabs>
                <w:tab w:val="left" w:pos="900"/>
              </w:tabs>
              <w:rPr>
                <w:sz w:val="24"/>
                <w:szCs w:val="24"/>
              </w:rPr>
            </w:pPr>
          </w:p>
          <w:p w:rsidR="006C33A6" w:rsidRDefault="006C33A6">
            <w:pPr>
              <w:tabs>
                <w:tab w:val="left" w:pos="900"/>
              </w:tabs>
              <w:rPr>
                <w:sz w:val="24"/>
                <w:szCs w:val="24"/>
              </w:rPr>
            </w:pPr>
          </w:p>
          <w:p w:rsidR="00B156EB" w:rsidRDefault="00B156EB">
            <w:pPr>
              <w:tabs>
                <w:tab w:val="left" w:pos="900"/>
              </w:tabs>
              <w:rPr>
                <w:sz w:val="24"/>
                <w:szCs w:val="24"/>
              </w:rPr>
            </w:pPr>
          </w:p>
          <w:p w:rsidR="00B156EB" w:rsidRPr="00B156EB" w:rsidRDefault="00B156EB" w:rsidP="00B156EB">
            <w:pPr>
              <w:rPr>
                <w:sz w:val="24"/>
                <w:szCs w:val="24"/>
              </w:rPr>
            </w:pPr>
          </w:p>
          <w:p w:rsidR="00B156EB" w:rsidRDefault="00B156EB" w:rsidP="00B156EB">
            <w:pPr>
              <w:rPr>
                <w:sz w:val="24"/>
                <w:szCs w:val="24"/>
              </w:rPr>
            </w:pPr>
          </w:p>
          <w:p w:rsidR="00B156EB" w:rsidRPr="00B156EB" w:rsidRDefault="00B156EB" w:rsidP="00B156EB">
            <w:pPr>
              <w:rPr>
                <w:sz w:val="24"/>
                <w:szCs w:val="24"/>
              </w:rPr>
            </w:pPr>
          </w:p>
        </w:tc>
        <w:tc>
          <w:tcPr>
            <w:tcW w:w="2125" w:type="dxa"/>
            <w:hideMark/>
          </w:tcPr>
          <w:p w:rsidR="006C33A6" w:rsidRDefault="006C33A6">
            <w:pPr>
              <w:tabs>
                <w:tab w:val="left" w:pos="900"/>
              </w:tabs>
              <w:rPr>
                <w:sz w:val="24"/>
                <w:szCs w:val="24"/>
              </w:rPr>
            </w:pPr>
            <w:r>
              <w:rPr>
                <w:sz w:val="24"/>
                <w:szCs w:val="24"/>
              </w:rPr>
              <w:t>4S-</w:t>
            </w:r>
            <w:r w:rsidR="00F51D08">
              <w:rPr>
                <w:sz w:val="24"/>
                <w:szCs w:val="24"/>
              </w:rPr>
              <w:t>977</w:t>
            </w:r>
            <w:bookmarkStart w:id="0" w:name="_GoBack"/>
            <w:bookmarkEnd w:id="0"/>
          </w:p>
          <w:p w:rsidR="00B156EB" w:rsidRDefault="005F73D1" w:rsidP="006C33A6">
            <w:pPr>
              <w:tabs>
                <w:tab w:val="left" w:pos="900"/>
              </w:tabs>
              <w:ind w:left="176" w:hanging="176"/>
              <w:rPr>
                <w:sz w:val="24"/>
                <w:szCs w:val="24"/>
              </w:rPr>
            </w:pPr>
            <w:r>
              <w:rPr>
                <w:sz w:val="24"/>
                <w:szCs w:val="24"/>
              </w:rPr>
              <w:t>1-113</w:t>
            </w: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Default="00B156EB" w:rsidP="00B156EB">
            <w:pPr>
              <w:rPr>
                <w:sz w:val="24"/>
                <w:szCs w:val="24"/>
              </w:rPr>
            </w:pPr>
          </w:p>
          <w:p w:rsidR="006C33A6" w:rsidRPr="00B156EB" w:rsidRDefault="006C33A6" w:rsidP="00B156EB">
            <w:pPr>
              <w:rPr>
                <w:sz w:val="24"/>
                <w:szCs w:val="24"/>
              </w:rPr>
            </w:pPr>
          </w:p>
        </w:tc>
      </w:tr>
    </w:tbl>
    <w:p w:rsidR="005F73D1" w:rsidRPr="00674C40" w:rsidRDefault="005F73D1" w:rsidP="005F73D1">
      <w:pPr>
        <w:jc w:val="center"/>
        <w:rPr>
          <w:b/>
          <w:bCs/>
          <w:sz w:val="24"/>
          <w:szCs w:val="24"/>
        </w:rPr>
      </w:pPr>
      <w:r w:rsidRPr="00674C40">
        <w:rPr>
          <w:b/>
          <w:bCs/>
          <w:sz w:val="24"/>
          <w:szCs w:val="24"/>
        </w:rPr>
        <w:t>PIRKIMŲ VERTINIMO IŠVADA</w:t>
      </w:r>
    </w:p>
    <w:p w:rsidR="005F73D1" w:rsidRPr="00674C40" w:rsidRDefault="005F73D1" w:rsidP="005F73D1">
      <w:pPr>
        <w:jc w:val="center"/>
        <w:rPr>
          <w:b/>
          <w:sz w:val="24"/>
          <w:szCs w:val="24"/>
        </w:rPr>
      </w:pPr>
    </w:p>
    <w:p w:rsidR="005F73D1" w:rsidRPr="00FB6394" w:rsidRDefault="005F73D1" w:rsidP="005F73D1">
      <w:pPr>
        <w:spacing w:before="120"/>
        <w:ind w:firstLine="567"/>
        <w:jc w:val="both"/>
        <w:rPr>
          <w:sz w:val="24"/>
          <w:szCs w:val="24"/>
        </w:rPr>
      </w:pPr>
      <w:r w:rsidRPr="00FB6394">
        <w:rPr>
          <w:bCs/>
          <w:sz w:val="24"/>
          <w:szCs w:val="24"/>
        </w:rPr>
        <w:t xml:space="preserve">Viešųjų pirkimų tarnyba (toliau – </w:t>
      </w:r>
      <w:r>
        <w:rPr>
          <w:bCs/>
          <w:sz w:val="24"/>
          <w:szCs w:val="24"/>
        </w:rPr>
        <w:t>Tarnyba</w:t>
      </w:r>
      <w:r w:rsidRPr="00FB6394">
        <w:rPr>
          <w:bCs/>
          <w:sz w:val="24"/>
          <w:szCs w:val="24"/>
        </w:rPr>
        <w:t xml:space="preserve">), vadovaudamasi Lietuvos Respublikos viešųjų pirkimų įstatymo 95 straipsnio 1 dalies 2 punktu, atliko </w:t>
      </w:r>
      <w:r>
        <w:rPr>
          <w:bCs/>
          <w:sz w:val="24"/>
          <w:szCs w:val="24"/>
        </w:rPr>
        <w:t>Macikų socialinės globos namų</w:t>
      </w:r>
      <w:r w:rsidRPr="00FB6394">
        <w:rPr>
          <w:sz w:val="24"/>
          <w:szCs w:val="24"/>
        </w:rPr>
        <w:t xml:space="preserve"> </w:t>
      </w:r>
      <w:r w:rsidRPr="00FB6394">
        <w:rPr>
          <w:bCs/>
          <w:sz w:val="24"/>
          <w:szCs w:val="24"/>
        </w:rPr>
        <w:t xml:space="preserve">(toliau – </w:t>
      </w:r>
      <w:r>
        <w:rPr>
          <w:bCs/>
          <w:sz w:val="24"/>
          <w:szCs w:val="24"/>
        </w:rPr>
        <w:t>Perkančioji organizacija</w:t>
      </w:r>
      <w:r w:rsidRPr="00FB6394">
        <w:rPr>
          <w:bCs/>
          <w:sz w:val="24"/>
          <w:szCs w:val="24"/>
        </w:rPr>
        <w:t xml:space="preserve">) </w:t>
      </w:r>
      <w:r w:rsidRPr="00FB6394">
        <w:rPr>
          <w:sz w:val="24"/>
          <w:szCs w:val="24"/>
        </w:rPr>
        <w:t xml:space="preserve">vykdyto viešojo pirkimo </w:t>
      </w:r>
      <w:r>
        <w:rPr>
          <w:sz w:val="24"/>
          <w:szCs w:val="24"/>
        </w:rPr>
        <w:t xml:space="preserve">ir jo pagrindu sudarytos sutarties </w:t>
      </w:r>
      <w:r w:rsidRPr="00FB6394">
        <w:rPr>
          <w:sz w:val="24"/>
          <w:szCs w:val="24"/>
        </w:rPr>
        <w:t>vertinimą</w:t>
      </w:r>
      <w:r w:rsidRPr="00FB6394">
        <w:rPr>
          <w:bCs/>
          <w:sz w:val="24"/>
          <w:szCs w:val="24"/>
        </w:rPr>
        <w:t>.</w:t>
      </w:r>
    </w:p>
    <w:p w:rsidR="005F73D1" w:rsidRDefault="005F73D1" w:rsidP="005F73D1">
      <w:pPr>
        <w:ind w:firstLine="709"/>
        <w:jc w:val="both"/>
        <w:rPr>
          <w:sz w:val="24"/>
          <w:szCs w:val="24"/>
        </w:rPr>
      </w:pPr>
    </w:p>
    <w:p w:rsidR="005F73D1" w:rsidRPr="00FB6394" w:rsidRDefault="005F73D1" w:rsidP="005F73D1">
      <w:pPr>
        <w:spacing w:before="120"/>
        <w:ind w:firstLine="425"/>
        <w:jc w:val="center"/>
        <w:rPr>
          <w:b/>
          <w:sz w:val="24"/>
          <w:szCs w:val="24"/>
        </w:rPr>
      </w:pPr>
      <w:r w:rsidRPr="00FB6394">
        <w:rPr>
          <w:b/>
          <w:sz w:val="24"/>
          <w:szCs w:val="24"/>
        </w:rPr>
        <w:t>I dalis. Bendra informacija</w:t>
      </w:r>
    </w:p>
    <w:p w:rsidR="005F73D1" w:rsidRPr="00FB6394" w:rsidRDefault="005F73D1" w:rsidP="005F73D1">
      <w:pPr>
        <w:spacing w:before="120"/>
        <w:ind w:firstLine="425"/>
        <w:jc w:val="cente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34"/>
      </w:tblGrid>
      <w:tr w:rsidR="005F73D1" w:rsidRPr="00FB6394" w:rsidTr="00F91F93">
        <w:tc>
          <w:tcPr>
            <w:tcW w:w="4672" w:type="dxa"/>
            <w:shd w:val="clear" w:color="auto" w:fill="auto"/>
            <w:vAlign w:val="center"/>
          </w:tcPr>
          <w:p w:rsidR="005F73D1" w:rsidRPr="00FB6394" w:rsidRDefault="005F73D1" w:rsidP="00F91F93">
            <w:pPr>
              <w:spacing w:before="60" w:after="60"/>
              <w:jc w:val="both"/>
              <w:rPr>
                <w:sz w:val="24"/>
                <w:szCs w:val="24"/>
              </w:rPr>
            </w:pPr>
            <w:r w:rsidRPr="00FB6394">
              <w:rPr>
                <w:sz w:val="24"/>
                <w:szCs w:val="24"/>
              </w:rPr>
              <w:t>Pirkimo pavadinimas, numeris (jeigu skelbtas), pirkimo paskelbimo (kvietimo pateikti pasiūlymą) data</w:t>
            </w:r>
          </w:p>
        </w:tc>
        <w:tc>
          <w:tcPr>
            <w:tcW w:w="4934" w:type="dxa"/>
            <w:shd w:val="clear" w:color="auto" w:fill="auto"/>
            <w:vAlign w:val="center"/>
          </w:tcPr>
          <w:p w:rsidR="005F73D1" w:rsidRPr="00331A47" w:rsidRDefault="005F73D1" w:rsidP="00F91F93">
            <w:pPr>
              <w:spacing w:before="60" w:after="60"/>
              <w:ind w:firstLine="10"/>
              <w:jc w:val="both"/>
              <w:rPr>
                <w:sz w:val="24"/>
                <w:szCs w:val="24"/>
              </w:rPr>
            </w:pPr>
            <w:r w:rsidRPr="00FB6394">
              <w:rPr>
                <w:sz w:val="24"/>
                <w:szCs w:val="24"/>
              </w:rPr>
              <w:t>„</w:t>
            </w:r>
            <w:r>
              <w:rPr>
                <w:sz w:val="24"/>
                <w:szCs w:val="24"/>
              </w:rPr>
              <w:t xml:space="preserve">Įstaigos tvarkomų asmens duomenų auditas ir konsultacijos“ </w:t>
            </w:r>
            <w:r w:rsidRPr="00FB6394">
              <w:rPr>
                <w:bCs/>
                <w:sz w:val="24"/>
                <w:szCs w:val="24"/>
              </w:rPr>
              <w:t>(toliau – Pirkimas).</w:t>
            </w:r>
          </w:p>
        </w:tc>
      </w:tr>
      <w:tr w:rsidR="005F73D1" w:rsidRPr="00FB6394" w:rsidTr="00F91F93">
        <w:tc>
          <w:tcPr>
            <w:tcW w:w="4672" w:type="dxa"/>
            <w:shd w:val="clear" w:color="auto" w:fill="auto"/>
            <w:vAlign w:val="center"/>
          </w:tcPr>
          <w:p w:rsidR="005F73D1" w:rsidRPr="00FB6394" w:rsidRDefault="005F73D1" w:rsidP="00F91F93">
            <w:pPr>
              <w:spacing w:before="60" w:after="60"/>
              <w:jc w:val="both"/>
              <w:rPr>
                <w:sz w:val="24"/>
                <w:szCs w:val="24"/>
              </w:rPr>
            </w:pPr>
            <w:r w:rsidRPr="00FB6394">
              <w:rPr>
                <w:sz w:val="24"/>
                <w:szCs w:val="24"/>
              </w:rPr>
              <w:t>Pirkimo būdas</w:t>
            </w:r>
          </w:p>
        </w:tc>
        <w:tc>
          <w:tcPr>
            <w:tcW w:w="4934" w:type="dxa"/>
            <w:shd w:val="clear" w:color="auto" w:fill="auto"/>
            <w:vAlign w:val="center"/>
          </w:tcPr>
          <w:p w:rsidR="005F73D1" w:rsidRPr="00FB6394" w:rsidRDefault="005F73D1" w:rsidP="00F91F93">
            <w:pPr>
              <w:spacing w:before="60" w:after="60"/>
              <w:jc w:val="both"/>
              <w:rPr>
                <w:sz w:val="24"/>
                <w:szCs w:val="24"/>
              </w:rPr>
            </w:pPr>
            <w:r>
              <w:rPr>
                <w:sz w:val="24"/>
                <w:szCs w:val="24"/>
              </w:rPr>
              <w:t>Mažos vertės pirkimas neskelbiamos apklausos būdu</w:t>
            </w:r>
          </w:p>
        </w:tc>
      </w:tr>
      <w:tr w:rsidR="005F73D1" w:rsidRPr="00FB6394" w:rsidTr="00F91F93">
        <w:tc>
          <w:tcPr>
            <w:tcW w:w="4672" w:type="dxa"/>
            <w:shd w:val="clear" w:color="auto" w:fill="auto"/>
            <w:vAlign w:val="center"/>
          </w:tcPr>
          <w:p w:rsidR="005F73D1" w:rsidRPr="00FB6394" w:rsidRDefault="005F73D1" w:rsidP="00F91F93">
            <w:pPr>
              <w:spacing w:before="60" w:after="60"/>
              <w:jc w:val="both"/>
              <w:rPr>
                <w:sz w:val="24"/>
                <w:szCs w:val="24"/>
              </w:rPr>
            </w:pPr>
            <w:r w:rsidRPr="00FB6394">
              <w:rPr>
                <w:sz w:val="24"/>
                <w:szCs w:val="24"/>
              </w:rPr>
              <w:t>Planuojama (nenurodoma, jeigu pirkimas vertinamas iki vokų su pasiūlymais atplėšimo procedūros) pirkimo sutarties vertė, su PVM</w:t>
            </w:r>
            <w:r>
              <w:rPr>
                <w:sz w:val="24"/>
                <w:szCs w:val="24"/>
              </w:rPr>
              <w:t xml:space="preserve"> </w:t>
            </w:r>
            <w:r w:rsidRPr="00FB6394">
              <w:rPr>
                <w:sz w:val="24"/>
                <w:szCs w:val="24"/>
              </w:rPr>
              <w:t>/</w:t>
            </w:r>
            <w:r>
              <w:rPr>
                <w:sz w:val="24"/>
                <w:szCs w:val="24"/>
              </w:rPr>
              <w:t xml:space="preserve"> </w:t>
            </w:r>
            <w:r w:rsidRPr="00FB6394">
              <w:rPr>
                <w:sz w:val="24"/>
                <w:szCs w:val="24"/>
              </w:rPr>
              <w:t>be PVM</w:t>
            </w:r>
          </w:p>
        </w:tc>
        <w:tc>
          <w:tcPr>
            <w:tcW w:w="4934" w:type="dxa"/>
            <w:shd w:val="clear" w:color="auto" w:fill="auto"/>
            <w:vAlign w:val="center"/>
          </w:tcPr>
          <w:p w:rsidR="005F73D1" w:rsidRDefault="005F73D1" w:rsidP="00F91F93">
            <w:pPr>
              <w:spacing w:before="60" w:after="60"/>
              <w:ind w:firstLine="10"/>
              <w:jc w:val="both"/>
              <w:rPr>
                <w:sz w:val="24"/>
                <w:szCs w:val="24"/>
              </w:rPr>
            </w:pPr>
            <w:r>
              <w:rPr>
                <w:sz w:val="24"/>
                <w:szCs w:val="24"/>
              </w:rPr>
              <w:t>Numatoma Pirkimo vertė – 12 100,00 Eur su PVM</w:t>
            </w:r>
            <w:r>
              <w:rPr>
                <w:rStyle w:val="FootnoteReference"/>
                <w:sz w:val="24"/>
                <w:szCs w:val="24"/>
              </w:rPr>
              <w:footnoteReference w:id="1"/>
            </w:r>
            <w:r>
              <w:rPr>
                <w:sz w:val="24"/>
                <w:szCs w:val="24"/>
              </w:rPr>
              <w:t>;</w:t>
            </w:r>
          </w:p>
          <w:p w:rsidR="005F73D1" w:rsidRPr="00FB6394" w:rsidRDefault="005F73D1" w:rsidP="00F91F93">
            <w:pPr>
              <w:spacing w:before="60" w:after="60"/>
              <w:ind w:firstLine="10"/>
              <w:jc w:val="both"/>
              <w:rPr>
                <w:sz w:val="24"/>
                <w:szCs w:val="24"/>
              </w:rPr>
            </w:pPr>
            <w:r>
              <w:rPr>
                <w:sz w:val="24"/>
                <w:szCs w:val="24"/>
              </w:rPr>
              <w:t>Pirkimo pagrindu sudarytos sutarties vertė – 11 858,00 Eur su PVM</w:t>
            </w:r>
          </w:p>
        </w:tc>
      </w:tr>
      <w:tr w:rsidR="005F73D1" w:rsidRPr="00FB6394" w:rsidTr="00F91F93">
        <w:tc>
          <w:tcPr>
            <w:tcW w:w="4672" w:type="dxa"/>
            <w:shd w:val="clear" w:color="auto" w:fill="auto"/>
            <w:vAlign w:val="center"/>
          </w:tcPr>
          <w:p w:rsidR="005F73D1" w:rsidRPr="00FB6394" w:rsidRDefault="005F73D1" w:rsidP="00F91F93">
            <w:pPr>
              <w:spacing w:before="60" w:after="60"/>
              <w:jc w:val="both"/>
              <w:rPr>
                <w:sz w:val="24"/>
                <w:szCs w:val="24"/>
              </w:rPr>
            </w:pPr>
            <w:r w:rsidRPr="00FB6394">
              <w:rPr>
                <w:sz w:val="24"/>
                <w:szCs w:val="24"/>
              </w:rPr>
              <w:t>Pirkimas finansuojamas ES lėšomis, projekto pavadinimas, Įgyvendinančioji institucija</w:t>
            </w:r>
          </w:p>
        </w:tc>
        <w:tc>
          <w:tcPr>
            <w:tcW w:w="4934" w:type="dxa"/>
            <w:shd w:val="clear" w:color="auto" w:fill="auto"/>
            <w:vAlign w:val="center"/>
          </w:tcPr>
          <w:p w:rsidR="005F73D1" w:rsidRPr="00331A47" w:rsidRDefault="005F73D1" w:rsidP="00F91F93">
            <w:pPr>
              <w:spacing w:before="60" w:after="60"/>
              <w:ind w:firstLine="10"/>
              <w:jc w:val="both"/>
              <w:rPr>
                <w:sz w:val="24"/>
                <w:szCs w:val="24"/>
              </w:rPr>
            </w:pPr>
            <w:r w:rsidRPr="00FB6394">
              <w:rPr>
                <w:sz w:val="24"/>
                <w:szCs w:val="24"/>
              </w:rPr>
              <w:t xml:space="preserve"> </w:t>
            </w:r>
            <w:r>
              <w:rPr>
                <w:sz w:val="24"/>
                <w:szCs w:val="24"/>
              </w:rPr>
              <w:t>-</w:t>
            </w:r>
          </w:p>
        </w:tc>
      </w:tr>
      <w:tr w:rsidR="005F73D1" w:rsidRPr="00FB6394" w:rsidTr="00F91F93">
        <w:tc>
          <w:tcPr>
            <w:tcW w:w="4672" w:type="dxa"/>
            <w:shd w:val="clear" w:color="auto" w:fill="auto"/>
            <w:vAlign w:val="center"/>
          </w:tcPr>
          <w:p w:rsidR="005F73D1" w:rsidRPr="00331A47" w:rsidRDefault="005F73D1" w:rsidP="00F91F93">
            <w:pPr>
              <w:spacing w:before="60" w:after="60"/>
              <w:jc w:val="both"/>
              <w:rPr>
                <w:sz w:val="24"/>
                <w:szCs w:val="24"/>
              </w:rPr>
            </w:pPr>
            <w:r w:rsidRPr="00331A47">
              <w:rPr>
                <w:sz w:val="24"/>
                <w:szCs w:val="24"/>
              </w:rPr>
              <w:t>Sutarties pavadinimas, data, numeris</w:t>
            </w:r>
          </w:p>
        </w:tc>
        <w:tc>
          <w:tcPr>
            <w:tcW w:w="4934" w:type="dxa"/>
            <w:shd w:val="clear" w:color="auto" w:fill="auto"/>
            <w:vAlign w:val="center"/>
          </w:tcPr>
          <w:p w:rsidR="005F73D1" w:rsidRPr="00FB6394" w:rsidRDefault="005F73D1" w:rsidP="00F91F93">
            <w:pPr>
              <w:spacing w:before="60" w:after="60"/>
              <w:ind w:firstLine="10"/>
              <w:jc w:val="both"/>
              <w:rPr>
                <w:bCs/>
                <w:sz w:val="24"/>
                <w:szCs w:val="24"/>
              </w:rPr>
            </w:pPr>
            <w:r>
              <w:rPr>
                <w:bCs/>
                <w:sz w:val="24"/>
                <w:szCs w:val="24"/>
              </w:rPr>
              <w:t xml:space="preserve">2018-06-01 Įstaigos tvarkomų asmens duomenų audito ir konsultacijų, susijusių su pasirengimu taikyti Bendrųjų duomenų apsaugos reglamentą, paslaugų sutartis Nr. ST-175 (toliau – Sutartis)  </w:t>
            </w:r>
          </w:p>
        </w:tc>
      </w:tr>
      <w:tr w:rsidR="005F73D1" w:rsidRPr="00FB6394" w:rsidTr="00F91F93">
        <w:tc>
          <w:tcPr>
            <w:tcW w:w="4672" w:type="dxa"/>
            <w:shd w:val="clear" w:color="auto" w:fill="auto"/>
            <w:vAlign w:val="center"/>
          </w:tcPr>
          <w:p w:rsidR="005F73D1" w:rsidRPr="00D93BBF" w:rsidRDefault="005F73D1" w:rsidP="00F91F93">
            <w:pPr>
              <w:spacing w:before="60" w:after="60"/>
              <w:jc w:val="both"/>
              <w:rPr>
                <w:sz w:val="24"/>
                <w:szCs w:val="24"/>
              </w:rPr>
            </w:pPr>
            <w:r w:rsidRPr="00D93BBF">
              <w:rPr>
                <w:sz w:val="24"/>
                <w:szCs w:val="24"/>
              </w:rPr>
              <w:t>Sutarties pakeitimai (jei tokių buvo): data, Nr.</w:t>
            </w:r>
          </w:p>
        </w:tc>
        <w:tc>
          <w:tcPr>
            <w:tcW w:w="4934" w:type="dxa"/>
            <w:shd w:val="clear" w:color="auto" w:fill="auto"/>
            <w:vAlign w:val="center"/>
          </w:tcPr>
          <w:p w:rsidR="005F73D1" w:rsidRDefault="005F73D1" w:rsidP="00F91F93">
            <w:pPr>
              <w:spacing w:before="60" w:after="60"/>
              <w:ind w:firstLine="10"/>
              <w:jc w:val="both"/>
              <w:rPr>
                <w:bCs/>
                <w:sz w:val="24"/>
                <w:szCs w:val="24"/>
              </w:rPr>
            </w:pPr>
            <w:r>
              <w:rPr>
                <w:bCs/>
                <w:sz w:val="24"/>
                <w:szCs w:val="24"/>
              </w:rPr>
              <w:t>-</w:t>
            </w:r>
          </w:p>
        </w:tc>
      </w:tr>
      <w:tr w:rsidR="005F73D1" w:rsidRPr="00FB6394" w:rsidTr="00F91F93">
        <w:tc>
          <w:tcPr>
            <w:tcW w:w="4672" w:type="dxa"/>
            <w:shd w:val="clear" w:color="auto" w:fill="auto"/>
            <w:vAlign w:val="center"/>
          </w:tcPr>
          <w:p w:rsidR="005F73D1" w:rsidRPr="00D93BBF" w:rsidRDefault="005F73D1" w:rsidP="00F91F93">
            <w:pPr>
              <w:spacing w:before="60" w:after="60"/>
              <w:jc w:val="both"/>
              <w:rPr>
                <w:sz w:val="24"/>
                <w:szCs w:val="24"/>
              </w:rPr>
            </w:pPr>
            <w:r w:rsidRPr="00D93BBF">
              <w:rPr>
                <w:sz w:val="24"/>
                <w:szCs w:val="24"/>
              </w:rPr>
              <w:t>Tiekėjas / teikėjas / rangovas</w:t>
            </w:r>
          </w:p>
        </w:tc>
        <w:tc>
          <w:tcPr>
            <w:tcW w:w="4934" w:type="dxa"/>
            <w:shd w:val="clear" w:color="auto" w:fill="auto"/>
            <w:vAlign w:val="center"/>
          </w:tcPr>
          <w:p w:rsidR="005F73D1" w:rsidRDefault="005F73D1" w:rsidP="00F91F93">
            <w:pPr>
              <w:spacing w:before="60" w:after="60"/>
              <w:ind w:firstLine="10"/>
              <w:jc w:val="both"/>
              <w:rPr>
                <w:bCs/>
                <w:sz w:val="24"/>
                <w:szCs w:val="24"/>
              </w:rPr>
            </w:pPr>
            <w:r>
              <w:rPr>
                <w:bCs/>
                <w:sz w:val="24"/>
                <w:szCs w:val="24"/>
              </w:rPr>
              <w:t xml:space="preserve">MB „Conversio“ </w:t>
            </w:r>
          </w:p>
        </w:tc>
      </w:tr>
      <w:tr w:rsidR="005F73D1" w:rsidRPr="00FB6394" w:rsidTr="00F91F93">
        <w:tc>
          <w:tcPr>
            <w:tcW w:w="4672" w:type="dxa"/>
            <w:shd w:val="clear" w:color="auto" w:fill="auto"/>
            <w:vAlign w:val="center"/>
          </w:tcPr>
          <w:p w:rsidR="005F73D1" w:rsidRPr="00D93BBF" w:rsidRDefault="005F73D1" w:rsidP="00F91F93">
            <w:pPr>
              <w:spacing w:before="60" w:after="60"/>
              <w:jc w:val="both"/>
              <w:rPr>
                <w:sz w:val="24"/>
                <w:szCs w:val="24"/>
              </w:rPr>
            </w:pPr>
            <w:r w:rsidRPr="00D93BBF">
              <w:rPr>
                <w:sz w:val="24"/>
                <w:szCs w:val="24"/>
              </w:rPr>
              <w:lastRenderedPageBreak/>
              <w:t>Subrangovai / subtiekėjai / subteikėjai</w:t>
            </w:r>
          </w:p>
        </w:tc>
        <w:tc>
          <w:tcPr>
            <w:tcW w:w="4934" w:type="dxa"/>
            <w:shd w:val="clear" w:color="auto" w:fill="auto"/>
            <w:vAlign w:val="center"/>
          </w:tcPr>
          <w:p w:rsidR="005F73D1" w:rsidRDefault="005F73D1" w:rsidP="00F91F93">
            <w:pPr>
              <w:spacing w:before="60" w:after="60"/>
              <w:ind w:firstLine="10"/>
              <w:jc w:val="both"/>
              <w:rPr>
                <w:bCs/>
                <w:sz w:val="24"/>
                <w:szCs w:val="24"/>
              </w:rPr>
            </w:pPr>
            <w:r>
              <w:rPr>
                <w:bCs/>
                <w:sz w:val="24"/>
                <w:szCs w:val="24"/>
              </w:rPr>
              <w:t>-</w:t>
            </w:r>
          </w:p>
        </w:tc>
      </w:tr>
      <w:tr w:rsidR="005F73D1" w:rsidRPr="00FB6394" w:rsidTr="00F91F93">
        <w:tc>
          <w:tcPr>
            <w:tcW w:w="4672" w:type="dxa"/>
            <w:shd w:val="clear" w:color="auto" w:fill="auto"/>
            <w:vAlign w:val="center"/>
          </w:tcPr>
          <w:p w:rsidR="005F73D1" w:rsidRPr="00D93BBF" w:rsidRDefault="005F73D1" w:rsidP="00F91F93">
            <w:pPr>
              <w:spacing w:before="60" w:after="60"/>
              <w:jc w:val="both"/>
              <w:rPr>
                <w:sz w:val="24"/>
                <w:szCs w:val="24"/>
              </w:rPr>
            </w:pPr>
            <w:r w:rsidRPr="00D93BBF">
              <w:rPr>
                <w:sz w:val="24"/>
                <w:szCs w:val="24"/>
              </w:rPr>
              <w:t>Pirkimo</w:t>
            </w:r>
            <w:r>
              <w:rPr>
                <w:sz w:val="24"/>
                <w:szCs w:val="24"/>
              </w:rPr>
              <w:t xml:space="preserve">, kurį įvykdžius sudaryta sutartis, </w:t>
            </w:r>
            <w:r w:rsidRPr="00D93BBF">
              <w:rPr>
                <w:sz w:val="24"/>
                <w:szCs w:val="24"/>
              </w:rPr>
              <w:t xml:space="preserve"> vykdymo teisinis pagrindas (Lietuvos Respublikos viešųjų pirkimų įstatymas, Lietuvos Respublikos pirkimų, atliekamų vandentvarkos, energetikos, transporto ar pašto paslaugų srities perkančiųjų subjektų, įstatymas, supaprastintų pirkimų taisyklių redakcija)</w:t>
            </w:r>
          </w:p>
        </w:tc>
        <w:tc>
          <w:tcPr>
            <w:tcW w:w="4934" w:type="dxa"/>
            <w:shd w:val="clear" w:color="auto" w:fill="auto"/>
            <w:vAlign w:val="center"/>
          </w:tcPr>
          <w:p w:rsidR="005F73D1" w:rsidRPr="00D93BBF" w:rsidRDefault="005F73D1" w:rsidP="00F91F93">
            <w:pPr>
              <w:jc w:val="both"/>
              <w:rPr>
                <w:bCs/>
                <w:sz w:val="24"/>
                <w:szCs w:val="24"/>
              </w:rPr>
            </w:pPr>
            <w:r w:rsidRPr="00D93BBF">
              <w:rPr>
                <w:bCs/>
                <w:sz w:val="24"/>
                <w:szCs w:val="24"/>
              </w:rPr>
              <w:t>Lietuvos Respublikos viešųjų pirkimų įstatymo (redakcija nuo 201</w:t>
            </w:r>
            <w:r>
              <w:rPr>
                <w:bCs/>
                <w:sz w:val="24"/>
                <w:szCs w:val="24"/>
              </w:rPr>
              <w:t>8</w:t>
            </w:r>
            <w:r w:rsidRPr="00D93BBF">
              <w:rPr>
                <w:bCs/>
                <w:sz w:val="24"/>
                <w:szCs w:val="24"/>
              </w:rPr>
              <w:t xml:space="preserve">-01-01) (toliau – Įstatymas) </w:t>
            </w:r>
            <w:r>
              <w:rPr>
                <w:bCs/>
                <w:sz w:val="24"/>
                <w:szCs w:val="24"/>
              </w:rPr>
              <w:t xml:space="preserve">ir </w:t>
            </w:r>
          </w:p>
          <w:p w:rsidR="005F73D1" w:rsidRPr="006B26FE" w:rsidRDefault="005F73D1" w:rsidP="00F91F93">
            <w:pPr>
              <w:spacing w:after="60"/>
              <w:ind w:firstLine="10"/>
              <w:jc w:val="both"/>
              <w:rPr>
                <w:bCs/>
                <w:sz w:val="24"/>
                <w:szCs w:val="24"/>
              </w:rPr>
            </w:pPr>
            <w:r w:rsidRPr="006B26FE">
              <w:rPr>
                <w:bCs/>
                <w:sz w:val="24"/>
                <w:szCs w:val="24"/>
              </w:rPr>
              <w:t>Mažos vertės pirkimų tvarkos aprašo, patvirtinto Tarnybos direktoriaus 2017-06-28 įsakymu Nr. 1S-97 (toliau – Aprašas)</w:t>
            </w:r>
            <w:r>
              <w:rPr>
                <w:bCs/>
                <w:sz w:val="24"/>
                <w:szCs w:val="24"/>
              </w:rPr>
              <w:t>,</w:t>
            </w:r>
            <w:r w:rsidRPr="006B26FE">
              <w:rPr>
                <w:bCs/>
                <w:sz w:val="24"/>
                <w:szCs w:val="24"/>
              </w:rPr>
              <w:t xml:space="preserve"> nuostatos.</w:t>
            </w:r>
          </w:p>
          <w:p w:rsidR="005F73D1" w:rsidRPr="006B26FE" w:rsidRDefault="005F73D1" w:rsidP="00F91F93">
            <w:pPr>
              <w:spacing w:before="60" w:after="60"/>
              <w:ind w:firstLine="10"/>
              <w:jc w:val="both"/>
              <w:rPr>
                <w:bCs/>
                <w:sz w:val="24"/>
                <w:szCs w:val="24"/>
              </w:rPr>
            </w:pPr>
          </w:p>
          <w:p w:rsidR="005F73D1" w:rsidRDefault="005F73D1" w:rsidP="00F91F93">
            <w:pPr>
              <w:spacing w:before="60" w:after="60"/>
              <w:ind w:firstLine="10"/>
              <w:jc w:val="both"/>
              <w:rPr>
                <w:bCs/>
                <w:sz w:val="24"/>
                <w:szCs w:val="24"/>
              </w:rPr>
            </w:pPr>
          </w:p>
        </w:tc>
      </w:tr>
      <w:tr w:rsidR="005F73D1" w:rsidRPr="00FB6394" w:rsidTr="00F91F93">
        <w:tc>
          <w:tcPr>
            <w:tcW w:w="4672" w:type="dxa"/>
            <w:shd w:val="clear" w:color="auto" w:fill="auto"/>
            <w:vAlign w:val="center"/>
          </w:tcPr>
          <w:p w:rsidR="005F73D1" w:rsidRPr="00FB6394" w:rsidRDefault="005F73D1" w:rsidP="00F91F93">
            <w:pPr>
              <w:spacing w:before="60" w:after="60"/>
              <w:jc w:val="both"/>
              <w:rPr>
                <w:sz w:val="24"/>
                <w:szCs w:val="24"/>
              </w:rPr>
            </w:pPr>
            <w:r w:rsidRPr="00FB6394">
              <w:rPr>
                <w:sz w:val="24"/>
                <w:szCs w:val="24"/>
              </w:rPr>
              <w:t>Vertinimo apimtys</w:t>
            </w:r>
            <w:r>
              <w:rPr>
                <w:sz w:val="24"/>
                <w:szCs w:val="24"/>
              </w:rPr>
              <w:t xml:space="preserve"> </w:t>
            </w:r>
            <w:r w:rsidRPr="00FB6394">
              <w:rPr>
                <w:sz w:val="24"/>
                <w:szCs w:val="24"/>
              </w:rPr>
              <w:t>/</w:t>
            </w:r>
            <w:r>
              <w:rPr>
                <w:sz w:val="24"/>
                <w:szCs w:val="24"/>
              </w:rPr>
              <w:t xml:space="preserve"> pirkimo </w:t>
            </w:r>
            <w:r w:rsidRPr="00FB6394">
              <w:rPr>
                <w:sz w:val="24"/>
                <w:szCs w:val="24"/>
              </w:rPr>
              <w:t>etapas</w:t>
            </w:r>
            <w:r>
              <w:rPr>
                <w:sz w:val="24"/>
                <w:szCs w:val="24"/>
              </w:rPr>
              <w:t xml:space="preserve"> / sutarties vykdymo etapas</w:t>
            </w:r>
          </w:p>
        </w:tc>
        <w:tc>
          <w:tcPr>
            <w:tcW w:w="4934" w:type="dxa"/>
            <w:shd w:val="clear" w:color="auto" w:fill="auto"/>
            <w:vAlign w:val="center"/>
          </w:tcPr>
          <w:p w:rsidR="005F73D1" w:rsidRPr="00FB6394" w:rsidRDefault="005F73D1" w:rsidP="00F91F93">
            <w:pPr>
              <w:spacing w:before="60" w:after="60"/>
              <w:ind w:firstLine="10"/>
              <w:jc w:val="both"/>
              <w:rPr>
                <w:sz w:val="24"/>
                <w:szCs w:val="24"/>
              </w:rPr>
            </w:pPr>
            <w:r>
              <w:rPr>
                <w:sz w:val="24"/>
                <w:szCs w:val="24"/>
              </w:rPr>
              <w:t>Išsamus</w:t>
            </w:r>
            <w:r w:rsidRPr="00FB6394">
              <w:rPr>
                <w:sz w:val="24"/>
                <w:szCs w:val="24"/>
              </w:rPr>
              <w:t xml:space="preserve"> </w:t>
            </w:r>
            <w:r>
              <w:rPr>
                <w:sz w:val="24"/>
                <w:szCs w:val="24"/>
              </w:rPr>
              <w:t xml:space="preserve">Pirkimo ir Sutarties </w:t>
            </w:r>
            <w:r w:rsidRPr="00FB6394">
              <w:rPr>
                <w:sz w:val="24"/>
                <w:szCs w:val="24"/>
              </w:rPr>
              <w:t xml:space="preserve">vertinimas / Pirkimo procedūrų vertinimas po </w:t>
            </w:r>
            <w:r>
              <w:rPr>
                <w:sz w:val="24"/>
                <w:szCs w:val="24"/>
              </w:rPr>
              <w:t>S</w:t>
            </w:r>
            <w:r w:rsidRPr="00FB6394">
              <w:rPr>
                <w:sz w:val="24"/>
                <w:szCs w:val="24"/>
              </w:rPr>
              <w:t>utarties sudarymo</w:t>
            </w:r>
            <w:r>
              <w:rPr>
                <w:sz w:val="24"/>
                <w:szCs w:val="24"/>
              </w:rPr>
              <w:t xml:space="preserve"> / Sutartis vykdoma</w:t>
            </w:r>
          </w:p>
        </w:tc>
      </w:tr>
      <w:tr w:rsidR="005F73D1" w:rsidRPr="00FB6394" w:rsidTr="00F91F93">
        <w:tc>
          <w:tcPr>
            <w:tcW w:w="4672" w:type="dxa"/>
            <w:shd w:val="clear" w:color="auto" w:fill="auto"/>
            <w:vAlign w:val="center"/>
          </w:tcPr>
          <w:p w:rsidR="005F73D1" w:rsidRPr="00FB6394" w:rsidRDefault="005F73D1" w:rsidP="00F91F93">
            <w:pPr>
              <w:spacing w:before="60" w:after="60"/>
              <w:jc w:val="both"/>
              <w:rPr>
                <w:sz w:val="24"/>
                <w:szCs w:val="24"/>
              </w:rPr>
            </w:pPr>
            <w:r w:rsidRPr="00FB6394">
              <w:rPr>
                <w:sz w:val="24"/>
                <w:szCs w:val="24"/>
              </w:rPr>
              <w:t xml:space="preserve">Dėl pirkimo </w:t>
            </w:r>
            <w:r>
              <w:rPr>
                <w:sz w:val="24"/>
                <w:szCs w:val="24"/>
              </w:rPr>
              <w:t xml:space="preserve">/ sutarties </w:t>
            </w:r>
            <w:r w:rsidRPr="00FB6394">
              <w:rPr>
                <w:sz w:val="24"/>
                <w:szCs w:val="24"/>
              </w:rPr>
              <w:t>vyksta teismo procesas (nurodyti ieškinio (skundo) dalykus, bylos šalių pavadinimus, ar taikomos laikinosios apsaugos priemonės, teisminio nagrinėjimo stadija, pvz., apygardos, apeliacinis teismas)</w:t>
            </w:r>
          </w:p>
        </w:tc>
        <w:tc>
          <w:tcPr>
            <w:tcW w:w="4934" w:type="dxa"/>
            <w:shd w:val="clear" w:color="auto" w:fill="auto"/>
            <w:vAlign w:val="center"/>
          </w:tcPr>
          <w:p w:rsidR="005F73D1" w:rsidRPr="00FB6394" w:rsidRDefault="005F73D1" w:rsidP="00F91F93">
            <w:pPr>
              <w:spacing w:before="60" w:after="60"/>
              <w:ind w:firstLine="10"/>
              <w:jc w:val="both"/>
              <w:rPr>
                <w:sz w:val="24"/>
                <w:szCs w:val="24"/>
              </w:rPr>
            </w:pPr>
            <w:r>
              <w:rPr>
                <w:sz w:val="24"/>
                <w:szCs w:val="24"/>
              </w:rPr>
              <w:t>-</w:t>
            </w:r>
          </w:p>
        </w:tc>
      </w:tr>
      <w:tr w:rsidR="005F73D1" w:rsidTr="00F91F93">
        <w:tc>
          <w:tcPr>
            <w:tcW w:w="4672" w:type="dxa"/>
            <w:tcBorders>
              <w:top w:val="single" w:sz="4" w:space="0" w:color="auto"/>
              <w:left w:val="single" w:sz="4" w:space="0" w:color="auto"/>
              <w:bottom w:val="single" w:sz="4" w:space="0" w:color="auto"/>
              <w:right w:val="single" w:sz="4" w:space="0" w:color="auto"/>
            </w:tcBorders>
            <w:shd w:val="clear" w:color="auto" w:fill="auto"/>
            <w:vAlign w:val="center"/>
          </w:tcPr>
          <w:p w:rsidR="005F73D1" w:rsidRPr="00D93BBF" w:rsidRDefault="005F73D1" w:rsidP="00F91F93">
            <w:pPr>
              <w:spacing w:before="60" w:after="60"/>
              <w:jc w:val="both"/>
              <w:rPr>
                <w:sz w:val="24"/>
                <w:szCs w:val="24"/>
              </w:rPr>
            </w:pPr>
            <w:r w:rsidRPr="00D93BBF">
              <w:rPr>
                <w:sz w:val="24"/>
                <w:szCs w:val="24"/>
              </w:rPr>
              <w:t>Už sutarties vykdymą atsakingas darbuotojas (-ai) ar kiti asmenys</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rsidR="005F73D1" w:rsidRPr="00650736" w:rsidRDefault="005F73D1" w:rsidP="00F91F93">
            <w:pPr>
              <w:spacing w:before="60" w:after="60"/>
              <w:ind w:firstLine="10"/>
              <w:jc w:val="both"/>
              <w:rPr>
                <w:sz w:val="24"/>
                <w:szCs w:val="24"/>
              </w:rPr>
            </w:pPr>
            <w:r w:rsidRPr="00650736">
              <w:rPr>
                <w:sz w:val="24"/>
                <w:szCs w:val="24"/>
              </w:rPr>
              <w:t>-</w:t>
            </w:r>
          </w:p>
        </w:tc>
      </w:tr>
    </w:tbl>
    <w:p w:rsidR="005F73D1" w:rsidRDefault="005F73D1" w:rsidP="005F73D1">
      <w:pPr>
        <w:rPr>
          <w:sz w:val="24"/>
          <w:szCs w:val="24"/>
        </w:rPr>
      </w:pPr>
    </w:p>
    <w:p w:rsidR="005F73D1" w:rsidRDefault="005F73D1" w:rsidP="005F73D1">
      <w:pPr>
        <w:rPr>
          <w:sz w:val="24"/>
          <w:szCs w:val="24"/>
        </w:rPr>
      </w:pPr>
    </w:p>
    <w:p w:rsidR="005F73D1" w:rsidRDefault="005F73D1" w:rsidP="005F73D1">
      <w:pPr>
        <w:jc w:val="center"/>
        <w:rPr>
          <w:b/>
          <w:sz w:val="24"/>
          <w:szCs w:val="24"/>
        </w:rPr>
      </w:pPr>
      <w:r w:rsidRPr="00674C40">
        <w:rPr>
          <w:b/>
          <w:sz w:val="24"/>
          <w:szCs w:val="24"/>
        </w:rPr>
        <w:t>II dalis. Vertinimo metu nustatyti pažeidimai</w:t>
      </w:r>
    </w:p>
    <w:p w:rsidR="005F73D1" w:rsidRPr="00434A93" w:rsidRDefault="005F73D1" w:rsidP="005F73D1">
      <w:pPr>
        <w:spacing w:before="240"/>
        <w:jc w:val="center"/>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5F73D1" w:rsidRPr="00515F85" w:rsidTr="00F91F93">
        <w:tc>
          <w:tcPr>
            <w:tcW w:w="704" w:type="dxa"/>
            <w:shd w:val="clear" w:color="auto" w:fill="auto"/>
            <w:vAlign w:val="center"/>
          </w:tcPr>
          <w:p w:rsidR="005F73D1" w:rsidRPr="00374977" w:rsidRDefault="005F73D1" w:rsidP="005F73D1">
            <w:pPr>
              <w:pStyle w:val="ListParagraph"/>
              <w:numPr>
                <w:ilvl w:val="0"/>
                <w:numId w:val="7"/>
              </w:numPr>
              <w:jc w:val="center"/>
              <w:rPr>
                <w:sz w:val="24"/>
                <w:szCs w:val="24"/>
              </w:rPr>
            </w:pPr>
          </w:p>
        </w:tc>
        <w:tc>
          <w:tcPr>
            <w:tcW w:w="8930" w:type="dxa"/>
            <w:shd w:val="clear" w:color="auto" w:fill="auto"/>
          </w:tcPr>
          <w:p w:rsidR="005F73D1" w:rsidRDefault="005F73D1" w:rsidP="00F91F93">
            <w:pPr>
              <w:pStyle w:val="ListParagraph"/>
              <w:tabs>
                <w:tab w:val="left" w:pos="0"/>
                <w:tab w:val="left" w:pos="993"/>
                <w:tab w:val="left" w:pos="1276"/>
              </w:tabs>
              <w:ind w:left="0"/>
              <w:jc w:val="both"/>
              <w:rPr>
                <w:sz w:val="24"/>
                <w:szCs w:val="24"/>
              </w:rPr>
            </w:pPr>
            <w:r>
              <w:rPr>
                <w:sz w:val="24"/>
                <w:szCs w:val="24"/>
              </w:rPr>
              <w:t>Įstatymo</w:t>
            </w:r>
            <w:r w:rsidRPr="00571B80">
              <w:rPr>
                <w:sz w:val="24"/>
                <w:szCs w:val="24"/>
              </w:rPr>
              <w:t xml:space="preserve"> </w:t>
            </w:r>
            <w:r>
              <w:rPr>
                <w:sz w:val="24"/>
                <w:szCs w:val="24"/>
              </w:rPr>
              <w:t>25 straipsnio 2 dalis</w:t>
            </w:r>
            <w:r>
              <w:rPr>
                <w:rStyle w:val="FootnoteReference"/>
                <w:sz w:val="24"/>
                <w:szCs w:val="24"/>
              </w:rPr>
              <w:footnoteReference w:id="2"/>
            </w:r>
          </w:p>
          <w:p w:rsidR="005F73D1" w:rsidRDefault="005F73D1" w:rsidP="00F91F93">
            <w:pPr>
              <w:pStyle w:val="ListParagraph"/>
              <w:tabs>
                <w:tab w:val="left" w:pos="0"/>
                <w:tab w:val="left" w:pos="993"/>
                <w:tab w:val="left" w:pos="1276"/>
              </w:tabs>
              <w:ind w:left="0"/>
              <w:jc w:val="both"/>
              <w:rPr>
                <w:sz w:val="24"/>
                <w:szCs w:val="24"/>
              </w:rPr>
            </w:pPr>
            <w:r>
              <w:rPr>
                <w:sz w:val="24"/>
                <w:szCs w:val="24"/>
              </w:rPr>
              <w:t xml:space="preserve">Įstatymo </w:t>
            </w:r>
            <w:r w:rsidRPr="00571B80">
              <w:rPr>
                <w:sz w:val="24"/>
                <w:szCs w:val="24"/>
              </w:rPr>
              <w:t>17 straipsnio 1 dalis</w:t>
            </w:r>
            <w:r w:rsidRPr="00571B80">
              <w:rPr>
                <w:sz w:val="24"/>
                <w:szCs w:val="24"/>
                <w:vertAlign w:val="superscript"/>
              </w:rPr>
              <w:footnoteReference w:id="3"/>
            </w:r>
          </w:p>
          <w:p w:rsidR="005F73D1" w:rsidRPr="00515F85" w:rsidDel="005A6D75" w:rsidRDefault="005F73D1" w:rsidP="00F91F93">
            <w:pPr>
              <w:pStyle w:val="ListParagraph"/>
              <w:tabs>
                <w:tab w:val="left" w:pos="0"/>
                <w:tab w:val="left" w:pos="993"/>
                <w:tab w:val="left" w:pos="1276"/>
              </w:tabs>
              <w:ind w:left="0"/>
              <w:jc w:val="both"/>
              <w:rPr>
                <w:sz w:val="24"/>
                <w:szCs w:val="24"/>
              </w:rPr>
            </w:pPr>
            <w:r>
              <w:rPr>
                <w:sz w:val="24"/>
                <w:szCs w:val="24"/>
              </w:rPr>
              <w:t>Įstatymo 17 straipsnio 3 dalis</w:t>
            </w:r>
            <w:r>
              <w:rPr>
                <w:rStyle w:val="FootnoteReference"/>
                <w:sz w:val="24"/>
                <w:szCs w:val="24"/>
              </w:rPr>
              <w:footnoteReference w:id="4"/>
            </w:r>
          </w:p>
        </w:tc>
      </w:tr>
      <w:tr w:rsidR="005F73D1" w:rsidRPr="00515F85" w:rsidTr="00F91F93">
        <w:tc>
          <w:tcPr>
            <w:tcW w:w="9634" w:type="dxa"/>
            <w:gridSpan w:val="2"/>
            <w:shd w:val="clear" w:color="auto" w:fill="auto"/>
            <w:vAlign w:val="center"/>
          </w:tcPr>
          <w:p w:rsidR="005F73D1" w:rsidRDefault="005F73D1" w:rsidP="00F91F93">
            <w:pPr>
              <w:tabs>
                <w:tab w:val="left" w:pos="885"/>
              </w:tabs>
              <w:autoSpaceDE w:val="0"/>
              <w:autoSpaceDN w:val="0"/>
              <w:adjustRightInd w:val="0"/>
              <w:ind w:left="34" w:firstLine="567"/>
              <w:jc w:val="both"/>
              <w:rPr>
                <w:bCs/>
                <w:sz w:val="24"/>
                <w:szCs w:val="24"/>
              </w:rPr>
            </w:pPr>
            <w:r>
              <w:rPr>
                <w:bCs/>
                <w:sz w:val="24"/>
                <w:szCs w:val="24"/>
              </w:rPr>
              <w:t>Mažos vertės pirkimai atliekami vadovaujantis Apraše nustatytomis taisyklėmis. Mažos vertės pirkimas apie jį neskelbiant viešai gali būti atliekamas Aprašo 21.2.1-21.2.20 punktuose nustatytais atvejais. Vertinamu atveju iš Perkančiosios organizacijos pateiktų dokumentų</w:t>
            </w:r>
            <w:r>
              <w:rPr>
                <w:rStyle w:val="FootnoteReference"/>
                <w:bCs/>
                <w:sz w:val="24"/>
                <w:szCs w:val="24"/>
              </w:rPr>
              <w:footnoteReference w:id="5"/>
            </w:r>
            <w:r>
              <w:rPr>
                <w:bCs/>
                <w:sz w:val="24"/>
                <w:szCs w:val="24"/>
              </w:rPr>
              <w:t>,</w:t>
            </w:r>
            <w:r>
              <w:rPr>
                <w:rStyle w:val="FootnoteReference"/>
                <w:bCs/>
                <w:sz w:val="24"/>
                <w:szCs w:val="24"/>
              </w:rPr>
              <w:footnoteReference w:id="6"/>
            </w:r>
            <w:r>
              <w:rPr>
                <w:bCs/>
                <w:sz w:val="24"/>
                <w:szCs w:val="24"/>
              </w:rPr>
              <w:t xml:space="preserve"> nustatyta, kad Pirkimas vykdytas</w:t>
            </w:r>
            <w:r>
              <w:rPr>
                <w:rStyle w:val="FootnoteReference"/>
                <w:bCs/>
                <w:sz w:val="24"/>
                <w:szCs w:val="24"/>
              </w:rPr>
              <w:footnoteReference w:id="7"/>
            </w:r>
            <w:r>
              <w:rPr>
                <w:bCs/>
                <w:sz w:val="24"/>
                <w:szCs w:val="24"/>
              </w:rPr>
              <w:t xml:space="preserve"> neskelbiamos apklausos būdu pagal Aprašo 21.2.1 punktą</w:t>
            </w:r>
            <w:r>
              <w:rPr>
                <w:rStyle w:val="FootnoteReference"/>
                <w:bCs/>
                <w:sz w:val="24"/>
                <w:szCs w:val="24"/>
              </w:rPr>
              <w:footnoteReference w:id="8"/>
            </w:r>
            <w:r>
              <w:rPr>
                <w:bCs/>
                <w:sz w:val="24"/>
                <w:szCs w:val="24"/>
              </w:rPr>
              <w:t>,</w:t>
            </w:r>
            <w:r>
              <w:rPr>
                <w:rStyle w:val="FootnoteReference"/>
                <w:bCs/>
                <w:sz w:val="24"/>
                <w:szCs w:val="24"/>
              </w:rPr>
              <w:footnoteReference w:id="9"/>
            </w:r>
            <w:r>
              <w:rPr>
                <w:bCs/>
                <w:sz w:val="24"/>
                <w:szCs w:val="24"/>
              </w:rPr>
              <w:t xml:space="preserve"> tačiau Pirkimo paraiškoje</w:t>
            </w:r>
            <w:r>
              <w:rPr>
                <w:rStyle w:val="FootnoteReference"/>
                <w:bCs/>
                <w:sz w:val="24"/>
                <w:szCs w:val="24"/>
              </w:rPr>
              <w:footnoteReference w:id="10"/>
            </w:r>
            <w:r>
              <w:rPr>
                <w:bCs/>
                <w:sz w:val="24"/>
                <w:szCs w:val="24"/>
              </w:rPr>
              <w:t xml:space="preserve"> nurodyta numatoma Pirkimo bei planuojamos sudaryti sutarties vertė – 12 100,00 Eur su PVM (10 000,00 Eur be PVM) </w:t>
            </w:r>
            <w:r w:rsidRPr="004C4696">
              <w:rPr>
                <w:bCs/>
                <w:sz w:val="24"/>
                <w:szCs w:val="24"/>
              </w:rPr>
              <w:t>minimaliai</w:t>
            </w:r>
            <w:r>
              <w:rPr>
                <w:bCs/>
                <w:sz w:val="24"/>
                <w:szCs w:val="24"/>
              </w:rPr>
              <w:t xml:space="preserve"> </w:t>
            </w:r>
            <w:r w:rsidRPr="004C4696">
              <w:rPr>
                <w:bCs/>
                <w:sz w:val="24"/>
                <w:szCs w:val="24"/>
              </w:rPr>
              <w:t>viršij</w:t>
            </w:r>
            <w:r>
              <w:rPr>
                <w:bCs/>
                <w:sz w:val="24"/>
                <w:szCs w:val="24"/>
              </w:rPr>
              <w:t>a nurodytame Apraš</w:t>
            </w:r>
            <w:r w:rsidRPr="004C4696">
              <w:rPr>
                <w:bCs/>
                <w:sz w:val="24"/>
                <w:szCs w:val="24"/>
              </w:rPr>
              <w:t>o</w:t>
            </w:r>
            <w:r>
              <w:rPr>
                <w:bCs/>
                <w:sz w:val="24"/>
                <w:szCs w:val="24"/>
              </w:rPr>
              <w:t xml:space="preserve"> </w:t>
            </w:r>
            <w:r w:rsidRPr="004C4696">
              <w:rPr>
                <w:bCs/>
                <w:sz w:val="24"/>
                <w:szCs w:val="24"/>
              </w:rPr>
              <w:t>punkte nustatytą maksimalią vertę</w:t>
            </w:r>
            <w:r>
              <w:rPr>
                <w:bCs/>
                <w:sz w:val="24"/>
                <w:szCs w:val="24"/>
              </w:rPr>
              <w:t xml:space="preserve">, todėl Pirkimas privalėjo būti vykdomas apie jį skelbiant viešai. </w:t>
            </w:r>
          </w:p>
          <w:p w:rsidR="005F73D1" w:rsidRDefault="005F73D1" w:rsidP="00F91F93">
            <w:pPr>
              <w:tabs>
                <w:tab w:val="left" w:pos="885"/>
              </w:tabs>
              <w:autoSpaceDE w:val="0"/>
              <w:autoSpaceDN w:val="0"/>
              <w:adjustRightInd w:val="0"/>
              <w:ind w:left="34" w:firstLine="567"/>
              <w:jc w:val="both"/>
              <w:rPr>
                <w:bCs/>
                <w:sz w:val="24"/>
                <w:szCs w:val="24"/>
              </w:rPr>
            </w:pPr>
            <w:r>
              <w:rPr>
                <w:bCs/>
                <w:sz w:val="24"/>
                <w:szCs w:val="24"/>
              </w:rPr>
              <w:lastRenderedPageBreak/>
              <w:t xml:space="preserve">Įvertinusi išdėstytą, Tarnyba konstatuoja, kad Perkančioji organizacija, </w:t>
            </w:r>
            <w:r w:rsidRPr="00833995">
              <w:rPr>
                <w:bCs/>
                <w:sz w:val="24"/>
                <w:szCs w:val="24"/>
              </w:rPr>
              <w:t>vykd</w:t>
            </w:r>
            <w:r>
              <w:rPr>
                <w:bCs/>
                <w:sz w:val="24"/>
                <w:szCs w:val="24"/>
              </w:rPr>
              <w:t>ydama</w:t>
            </w:r>
            <w:r w:rsidRPr="00833995">
              <w:rPr>
                <w:bCs/>
                <w:sz w:val="24"/>
                <w:szCs w:val="24"/>
              </w:rPr>
              <w:t xml:space="preserve"> Pirkimą </w:t>
            </w:r>
            <w:r>
              <w:rPr>
                <w:bCs/>
                <w:sz w:val="24"/>
                <w:szCs w:val="24"/>
              </w:rPr>
              <w:t>neskelbiamos apklausos būdu, n</w:t>
            </w:r>
            <w:r w:rsidRPr="00833995">
              <w:rPr>
                <w:bCs/>
                <w:sz w:val="24"/>
                <w:szCs w:val="24"/>
              </w:rPr>
              <w:t>esivadovavo</w:t>
            </w:r>
            <w:r>
              <w:rPr>
                <w:bCs/>
                <w:sz w:val="24"/>
                <w:szCs w:val="24"/>
              </w:rPr>
              <w:t xml:space="preserve"> Aprašu, ir tuo </w:t>
            </w:r>
            <w:r w:rsidRPr="00833995">
              <w:rPr>
                <w:bCs/>
                <w:sz w:val="24"/>
                <w:szCs w:val="24"/>
              </w:rPr>
              <w:t>pažei</w:t>
            </w:r>
            <w:r>
              <w:rPr>
                <w:bCs/>
                <w:sz w:val="24"/>
                <w:szCs w:val="24"/>
              </w:rPr>
              <w:t>dė Įstatymo 2</w:t>
            </w:r>
            <w:r w:rsidRPr="00833995">
              <w:rPr>
                <w:bCs/>
                <w:sz w:val="24"/>
                <w:szCs w:val="24"/>
              </w:rPr>
              <w:t xml:space="preserve">5 straipsnio </w:t>
            </w:r>
            <w:r>
              <w:rPr>
                <w:bCs/>
                <w:sz w:val="24"/>
                <w:szCs w:val="24"/>
              </w:rPr>
              <w:t xml:space="preserve">2 dalies, </w:t>
            </w:r>
            <w:r w:rsidRPr="00833995">
              <w:rPr>
                <w:bCs/>
                <w:sz w:val="24"/>
                <w:szCs w:val="24"/>
              </w:rPr>
              <w:t xml:space="preserve">Įstatymo </w:t>
            </w:r>
            <w:r>
              <w:rPr>
                <w:bCs/>
                <w:sz w:val="24"/>
                <w:szCs w:val="24"/>
              </w:rPr>
              <w:t>17</w:t>
            </w:r>
            <w:r w:rsidRPr="00833995">
              <w:rPr>
                <w:bCs/>
                <w:sz w:val="24"/>
                <w:szCs w:val="24"/>
              </w:rPr>
              <w:t xml:space="preserve"> straipsnio </w:t>
            </w:r>
            <w:r>
              <w:rPr>
                <w:bCs/>
                <w:sz w:val="24"/>
                <w:szCs w:val="24"/>
              </w:rPr>
              <w:t>3</w:t>
            </w:r>
            <w:r w:rsidRPr="00833995">
              <w:rPr>
                <w:bCs/>
                <w:sz w:val="24"/>
                <w:szCs w:val="24"/>
              </w:rPr>
              <w:t xml:space="preserve"> dal</w:t>
            </w:r>
            <w:r>
              <w:rPr>
                <w:bCs/>
                <w:sz w:val="24"/>
                <w:szCs w:val="24"/>
              </w:rPr>
              <w:t xml:space="preserve">ies nuostatas, o viešai </w:t>
            </w:r>
            <w:r w:rsidRPr="00EB2E11">
              <w:rPr>
                <w:bCs/>
                <w:sz w:val="24"/>
                <w:szCs w:val="24"/>
              </w:rPr>
              <w:t>ne</w:t>
            </w:r>
            <w:r>
              <w:rPr>
                <w:bCs/>
                <w:sz w:val="24"/>
                <w:szCs w:val="24"/>
              </w:rPr>
              <w:t xml:space="preserve">paskelbusi </w:t>
            </w:r>
            <w:r w:rsidRPr="00EB2E11">
              <w:rPr>
                <w:bCs/>
                <w:sz w:val="24"/>
                <w:szCs w:val="24"/>
              </w:rPr>
              <w:t>apie Pirkimą</w:t>
            </w:r>
            <w:r>
              <w:rPr>
                <w:bCs/>
                <w:sz w:val="24"/>
                <w:szCs w:val="24"/>
              </w:rPr>
              <w:t>, pažeidė Įstatymo 17 straipsnio 1 dal</w:t>
            </w:r>
            <w:r w:rsidRPr="00833995">
              <w:rPr>
                <w:bCs/>
                <w:sz w:val="24"/>
                <w:szCs w:val="24"/>
              </w:rPr>
              <w:t>yje įtvirtint</w:t>
            </w:r>
            <w:r>
              <w:rPr>
                <w:bCs/>
                <w:sz w:val="24"/>
                <w:szCs w:val="24"/>
              </w:rPr>
              <w:t xml:space="preserve">us </w:t>
            </w:r>
            <w:r w:rsidRPr="00833995">
              <w:rPr>
                <w:bCs/>
                <w:sz w:val="24"/>
                <w:szCs w:val="24"/>
              </w:rPr>
              <w:t>skaidrumo</w:t>
            </w:r>
            <w:r>
              <w:rPr>
                <w:bCs/>
                <w:sz w:val="24"/>
                <w:szCs w:val="24"/>
              </w:rPr>
              <w:t xml:space="preserve"> ir lygiateisiškumo </w:t>
            </w:r>
            <w:r w:rsidRPr="00833995">
              <w:rPr>
                <w:bCs/>
                <w:sz w:val="24"/>
                <w:szCs w:val="24"/>
              </w:rPr>
              <w:t>princip</w:t>
            </w:r>
            <w:r>
              <w:rPr>
                <w:bCs/>
                <w:sz w:val="24"/>
                <w:szCs w:val="24"/>
              </w:rPr>
              <w:t>us bei neužtikrino Įstatymo 17 straipsnio 2</w:t>
            </w:r>
            <w:r w:rsidRPr="00833995">
              <w:rPr>
                <w:bCs/>
                <w:sz w:val="24"/>
                <w:szCs w:val="24"/>
              </w:rPr>
              <w:t xml:space="preserve"> dal</w:t>
            </w:r>
            <w:r>
              <w:rPr>
                <w:bCs/>
                <w:sz w:val="24"/>
                <w:szCs w:val="24"/>
              </w:rPr>
              <w:t>yje</w:t>
            </w:r>
            <w:r>
              <w:rPr>
                <w:rStyle w:val="FootnoteReference"/>
                <w:bCs/>
                <w:sz w:val="24"/>
                <w:szCs w:val="24"/>
              </w:rPr>
              <w:footnoteReference w:id="11"/>
            </w:r>
            <w:r>
              <w:rPr>
                <w:bCs/>
                <w:sz w:val="24"/>
                <w:szCs w:val="24"/>
              </w:rPr>
              <w:t xml:space="preserve"> </w:t>
            </w:r>
            <w:r w:rsidRPr="00833995">
              <w:rPr>
                <w:bCs/>
                <w:sz w:val="24"/>
                <w:szCs w:val="24"/>
              </w:rPr>
              <w:t>nustatyt</w:t>
            </w:r>
            <w:r>
              <w:rPr>
                <w:bCs/>
                <w:sz w:val="24"/>
                <w:szCs w:val="24"/>
              </w:rPr>
              <w:t>o</w:t>
            </w:r>
            <w:r w:rsidRPr="00833995">
              <w:rPr>
                <w:bCs/>
                <w:sz w:val="24"/>
                <w:szCs w:val="24"/>
              </w:rPr>
              <w:t xml:space="preserve"> pirkimų tiksl</w:t>
            </w:r>
            <w:r>
              <w:rPr>
                <w:bCs/>
                <w:sz w:val="24"/>
                <w:szCs w:val="24"/>
              </w:rPr>
              <w:t xml:space="preserve">o siekimo. </w:t>
            </w:r>
          </w:p>
          <w:p w:rsidR="005F73D1" w:rsidRPr="002D4D6D" w:rsidDel="005A6D75" w:rsidRDefault="005F73D1" w:rsidP="00F91F93">
            <w:pPr>
              <w:tabs>
                <w:tab w:val="left" w:pos="885"/>
              </w:tabs>
              <w:autoSpaceDE w:val="0"/>
              <w:autoSpaceDN w:val="0"/>
              <w:adjustRightInd w:val="0"/>
              <w:ind w:left="34" w:firstLine="567"/>
              <w:jc w:val="both"/>
              <w:rPr>
                <w:bCs/>
                <w:sz w:val="24"/>
                <w:szCs w:val="24"/>
              </w:rPr>
            </w:pPr>
            <w:r>
              <w:rPr>
                <w:bCs/>
                <w:sz w:val="24"/>
                <w:szCs w:val="24"/>
              </w:rPr>
              <w:t xml:space="preserve">Atkreipiamas dėmesys į tai, kad sąvoka „numatoma pirkimo vertė“ reiškia pirkimo pradžioje, vadovaujantis </w:t>
            </w:r>
            <w:r w:rsidRPr="008B64A3">
              <w:rPr>
                <w:bCs/>
                <w:sz w:val="24"/>
                <w:szCs w:val="24"/>
              </w:rPr>
              <w:t>Numatomos viešojo pirkimo ir pirkimo vertės skaičiavimo metodikos</w:t>
            </w:r>
            <w:r w:rsidRPr="008B64A3">
              <w:rPr>
                <w:bCs/>
                <w:sz w:val="24"/>
                <w:szCs w:val="24"/>
                <w:vertAlign w:val="superscript"/>
              </w:rPr>
              <w:footnoteReference w:id="12"/>
            </w:r>
            <w:r w:rsidRPr="008B64A3">
              <w:rPr>
                <w:bCs/>
                <w:sz w:val="24"/>
                <w:szCs w:val="24"/>
              </w:rPr>
              <w:t xml:space="preserve"> </w:t>
            </w:r>
            <w:r>
              <w:rPr>
                <w:bCs/>
                <w:sz w:val="24"/>
                <w:szCs w:val="24"/>
              </w:rPr>
              <w:t>nuostatomis, apskaičiuojamą vertę, pagal kurią perkančioji organizacija nustato, kokios vertės pirkimą turi atlikti, norėdamas sudaryti pirkimo sutartį</w:t>
            </w:r>
            <w:r>
              <w:rPr>
                <w:rStyle w:val="FootnoteReference"/>
                <w:bCs/>
                <w:sz w:val="24"/>
                <w:szCs w:val="24"/>
              </w:rPr>
              <w:footnoteReference w:id="13"/>
            </w:r>
            <w:r>
              <w:rPr>
                <w:bCs/>
                <w:sz w:val="24"/>
                <w:szCs w:val="24"/>
              </w:rPr>
              <w:t>.</w:t>
            </w:r>
          </w:p>
        </w:tc>
      </w:tr>
    </w:tbl>
    <w:p w:rsidR="005F73D1" w:rsidRDefault="005F73D1" w:rsidP="005F73D1">
      <w:pPr>
        <w:jc w:val="center"/>
        <w:rPr>
          <w:b/>
          <w:sz w:val="24"/>
          <w:szCs w:val="24"/>
        </w:rPr>
      </w:pPr>
    </w:p>
    <w:p w:rsidR="005F73D1" w:rsidRDefault="005F73D1" w:rsidP="005F73D1">
      <w:pPr>
        <w:jc w:val="center"/>
        <w:rPr>
          <w:b/>
          <w:sz w:val="24"/>
          <w:szCs w:val="24"/>
        </w:rPr>
      </w:pPr>
    </w:p>
    <w:p w:rsidR="005F73D1" w:rsidRDefault="005F73D1" w:rsidP="005F73D1">
      <w:pPr>
        <w:jc w:val="center"/>
        <w:rPr>
          <w:b/>
          <w:sz w:val="24"/>
          <w:szCs w:val="24"/>
        </w:rPr>
      </w:pPr>
      <w:r w:rsidRPr="00674C40">
        <w:rPr>
          <w:b/>
          <w:sz w:val="24"/>
          <w:szCs w:val="24"/>
        </w:rPr>
        <w:t>III dalis</w:t>
      </w:r>
      <w:r>
        <w:rPr>
          <w:b/>
          <w:sz w:val="24"/>
          <w:szCs w:val="24"/>
        </w:rPr>
        <w:t>.</w:t>
      </w:r>
      <w:r w:rsidRPr="00674C40">
        <w:rPr>
          <w:b/>
          <w:sz w:val="24"/>
          <w:szCs w:val="24"/>
        </w:rPr>
        <w:t xml:space="preserve"> Pastabos, į kurias perkančioji organizacija turėtų atsižvelgti vykdydama kitus pirkimus</w:t>
      </w:r>
      <w:r>
        <w:rPr>
          <w:b/>
          <w:sz w:val="24"/>
          <w:szCs w:val="24"/>
        </w:rPr>
        <w:t xml:space="preserve"> bei jų pagrindu sudarydama ir vykdydama sutartis</w:t>
      </w:r>
    </w:p>
    <w:p w:rsidR="005F73D1" w:rsidRDefault="005F73D1" w:rsidP="005F73D1">
      <w:pPr>
        <w:jc w:val="center"/>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5F73D1" w:rsidRPr="005951C3" w:rsidTr="00F91F93">
        <w:tc>
          <w:tcPr>
            <w:tcW w:w="704" w:type="dxa"/>
            <w:shd w:val="clear" w:color="auto" w:fill="auto"/>
            <w:vAlign w:val="center"/>
          </w:tcPr>
          <w:p w:rsidR="005F73D1" w:rsidRPr="005951C3" w:rsidRDefault="005F73D1" w:rsidP="005F73D1">
            <w:pPr>
              <w:pStyle w:val="ListParagraph"/>
              <w:numPr>
                <w:ilvl w:val="0"/>
                <w:numId w:val="6"/>
              </w:numPr>
              <w:ind w:left="0" w:firstLine="0"/>
              <w:jc w:val="both"/>
              <w:rPr>
                <w:sz w:val="24"/>
                <w:szCs w:val="24"/>
              </w:rPr>
            </w:pPr>
          </w:p>
        </w:tc>
        <w:tc>
          <w:tcPr>
            <w:tcW w:w="8930" w:type="dxa"/>
            <w:shd w:val="clear" w:color="auto" w:fill="auto"/>
          </w:tcPr>
          <w:p w:rsidR="005F73D1" w:rsidRPr="005951C3" w:rsidRDefault="005F73D1" w:rsidP="00F91F93">
            <w:pPr>
              <w:pStyle w:val="Normal12pt"/>
              <w:tabs>
                <w:tab w:val="clear" w:pos="737"/>
                <w:tab w:val="left" w:pos="993"/>
              </w:tabs>
              <w:ind w:right="0"/>
              <w:rPr>
                <w:rFonts w:eastAsia="Calibri"/>
              </w:rPr>
            </w:pPr>
          </w:p>
        </w:tc>
      </w:tr>
      <w:tr w:rsidR="005F73D1" w:rsidRPr="005951C3" w:rsidTr="00F91F93">
        <w:tc>
          <w:tcPr>
            <w:tcW w:w="9634" w:type="dxa"/>
            <w:gridSpan w:val="2"/>
            <w:shd w:val="clear" w:color="auto" w:fill="auto"/>
            <w:vAlign w:val="center"/>
          </w:tcPr>
          <w:p w:rsidR="005F73D1" w:rsidRDefault="005F73D1" w:rsidP="00F91F93">
            <w:pPr>
              <w:pStyle w:val="Normal12pt"/>
              <w:tabs>
                <w:tab w:val="left" w:pos="570"/>
                <w:tab w:val="left" w:pos="993"/>
              </w:tabs>
              <w:ind w:right="28"/>
              <w:rPr>
                <w:shd w:val="clear" w:color="auto" w:fill="FFFFFF"/>
              </w:rPr>
            </w:pPr>
            <w:r>
              <w:rPr>
                <w:shd w:val="clear" w:color="auto" w:fill="FFFFFF"/>
              </w:rPr>
              <w:t xml:space="preserve">         </w:t>
            </w:r>
            <w:r w:rsidRPr="008B64A3">
              <w:rPr>
                <w:shd w:val="clear" w:color="auto" w:fill="FFFFFF"/>
              </w:rPr>
              <w:t>Vadovaujantis Sutarties 1.2 punktu, paslaugas sudaro: Perkančiosios organizacijos tvarkomų asmens duomenų apsaugos srityje auditas</w:t>
            </w:r>
            <w:r>
              <w:rPr>
                <w:rStyle w:val="FootnoteReference"/>
                <w:shd w:val="clear" w:color="auto" w:fill="FFFFFF"/>
              </w:rPr>
              <w:footnoteReference w:id="14"/>
            </w:r>
            <w:r w:rsidRPr="008B64A3">
              <w:rPr>
                <w:shd w:val="clear" w:color="auto" w:fill="FFFFFF"/>
              </w:rPr>
              <w:t>, konsultacijos dėl Reglamento (ES) 2016/679 įgyvendinimo</w:t>
            </w:r>
            <w:r>
              <w:rPr>
                <w:rStyle w:val="FootnoteReference"/>
                <w:shd w:val="clear" w:color="auto" w:fill="FFFFFF"/>
              </w:rPr>
              <w:footnoteReference w:id="15"/>
            </w:r>
            <w:r w:rsidRPr="008B64A3">
              <w:rPr>
                <w:shd w:val="clear" w:color="auto" w:fill="FFFFFF"/>
              </w:rPr>
              <w:t xml:space="preserve"> ir </w:t>
            </w:r>
            <w:r>
              <w:rPr>
                <w:shd w:val="clear" w:color="auto" w:fill="FFFFFF"/>
              </w:rPr>
              <w:t>Reglamento (ES) 2016/679 įgyvendinimo priežiūra</w:t>
            </w:r>
            <w:r>
              <w:rPr>
                <w:rStyle w:val="FootnoteReference"/>
                <w:shd w:val="clear" w:color="auto" w:fill="FFFFFF"/>
              </w:rPr>
              <w:footnoteReference w:id="16"/>
            </w:r>
            <w:r w:rsidRPr="008B64A3">
              <w:rPr>
                <w:shd w:val="clear" w:color="auto" w:fill="FFFFFF"/>
              </w:rPr>
              <w:t>.</w:t>
            </w:r>
            <w:r>
              <w:rPr>
                <w:shd w:val="clear" w:color="auto" w:fill="FFFFFF"/>
              </w:rPr>
              <w:t xml:space="preserve"> </w:t>
            </w:r>
            <w:r w:rsidRPr="008B64A3">
              <w:rPr>
                <w:shd w:val="clear" w:color="auto" w:fill="FFFFFF"/>
              </w:rPr>
              <w:t>Sutarties 1.3. punktas reglamentuoja paslaugų atlikimo terminus, t. y. paslaugos nurodytos Sutarties 1.2.1 ir 1.2.2. papunkčiuose turi būti suteiktos iki 2018-08-15</w:t>
            </w:r>
            <w:r>
              <w:rPr>
                <w:rStyle w:val="FootnoteReference"/>
                <w:shd w:val="clear" w:color="auto" w:fill="FFFFFF"/>
              </w:rPr>
              <w:footnoteReference w:id="17"/>
            </w:r>
            <w:r w:rsidRPr="008B64A3">
              <w:rPr>
                <w:shd w:val="clear" w:color="auto" w:fill="FFFFFF"/>
              </w:rPr>
              <w:t>, o paslaugos</w:t>
            </w:r>
            <w:r>
              <w:rPr>
                <w:shd w:val="clear" w:color="auto" w:fill="FFFFFF"/>
              </w:rPr>
              <w:t>,</w:t>
            </w:r>
            <w:r w:rsidRPr="008B64A3">
              <w:rPr>
                <w:shd w:val="clear" w:color="auto" w:fill="FFFFFF"/>
              </w:rPr>
              <w:t xml:space="preserve"> nurodytos </w:t>
            </w:r>
            <w:r>
              <w:rPr>
                <w:shd w:val="clear" w:color="auto" w:fill="FFFFFF"/>
              </w:rPr>
              <w:t xml:space="preserve">Sutarties </w:t>
            </w:r>
            <w:r w:rsidRPr="008B64A3">
              <w:rPr>
                <w:shd w:val="clear" w:color="auto" w:fill="FFFFFF"/>
              </w:rPr>
              <w:t>1.2.3 papunktyje</w:t>
            </w:r>
            <w:r>
              <w:rPr>
                <w:shd w:val="clear" w:color="auto" w:fill="FFFFFF"/>
              </w:rPr>
              <w:t>,</w:t>
            </w:r>
            <w:r w:rsidRPr="008B64A3">
              <w:rPr>
                <w:shd w:val="clear" w:color="auto" w:fill="FFFFFF"/>
              </w:rPr>
              <w:t xml:space="preserve"> turi būti teikiamos iki 2018-12-3</w:t>
            </w:r>
            <w:r>
              <w:rPr>
                <w:shd w:val="clear" w:color="auto" w:fill="FFFFFF"/>
              </w:rPr>
              <w:t>1</w:t>
            </w:r>
            <w:r>
              <w:rPr>
                <w:rStyle w:val="FootnoteReference"/>
                <w:shd w:val="clear" w:color="auto" w:fill="FFFFFF"/>
              </w:rPr>
              <w:footnoteReference w:id="18"/>
            </w:r>
            <w:r w:rsidRPr="008B64A3">
              <w:rPr>
                <w:shd w:val="clear" w:color="auto" w:fill="FFFFFF"/>
              </w:rPr>
              <w:t>.</w:t>
            </w:r>
          </w:p>
          <w:p w:rsidR="005F73D1" w:rsidRDefault="005F73D1" w:rsidP="00F91F93">
            <w:pPr>
              <w:pStyle w:val="Normal12pt"/>
              <w:tabs>
                <w:tab w:val="left" w:pos="993"/>
              </w:tabs>
              <w:ind w:right="28" w:firstLine="589"/>
              <w:rPr>
                <w:shd w:val="clear" w:color="auto" w:fill="FFFFFF"/>
              </w:rPr>
            </w:pPr>
            <w:r w:rsidRPr="008B64A3">
              <w:rPr>
                <w:shd w:val="clear" w:color="auto" w:fill="FFFFFF"/>
              </w:rPr>
              <w:t xml:space="preserve">Sutarties 2.1 punkte įtvirtinta bendra visų </w:t>
            </w:r>
            <w:r>
              <w:rPr>
                <w:shd w:val="clear" w:color="auto" w:fill="FFFFFF"/>
              </w:rPr>
              <w:t xml:space="preserve">pagal </w:t>
            </w:r>
            <w:r w:rsidRPr="008B64A3">
              <w:rPr>
                <w:shd w:val="clear" w:color="auto" w:fill="FFFFFF"/>
              </w:rPr>
              <w:t>Sutart</w:t>
            </w:r>
            <w:r>
              <w:rPr>
                <w:shd w:val="clear" w:color="auto" w:fill="FFFFFF"/>
              </w:rPr>
              <w:t xml:space="preserve">į teikiamų paslaugų </w:t>
            </w:r>
            <w:r w:rsidRPr="008B64A3">
              <w:rPr>
                <w:shd w:val="clear" w:color="auto" w:fill="FFFFFF"/>
              </w:rPr>
              <w:t xml:space="preserve">kaina </w:t>
            </w:r>
            <w:r>
              <w:rPr>
                <w:shd w:val="clear" w:color="auto" w:fill="FFFFFF"/>
              </w:rPr>
              <w:t xml:space="preserve">– 11 858,00 Eur </w:t>
            </w:r>
            <w:r w:rsidRPr="008B64A3">
              <w:rPr>
                <w:shd w:val="clear" w:color="auto" w:fill="FFFFFF"/>
              </w:rPr>
              <w:t>su PVM, o Sutarties 2.3. punkte nustatyta atsiskaitymo tvarka</w:t>
            </w:r>
            <w:r>
              <w:rPr>
                <w:shd w:val="clear" w:color="auto" w:fill="FFFFFF"/>
              </w:rPr>
              <w:t xml:space="preserve">: </w:t>
            </w:r>
            <w:r w:rsidRPr="008B64A3">
              <w:rPr>
                <w:shd w:val="clear" w:color="auto" w:fill="FFFFFF"/>
              </w:rPr>
              <w:t>Perkančioji organizacija už faktiškai ir tinkamai suteiktas paslaugas, nurodytas Sutarties 1.2.1 ir 1.2.2 papunkčiuose, su tiekėju atsiskaito ne vėliau kaip per 30 kalendorinių dienų nuo suteiktų paslaugų perdavimo</w:t>
            </w:r>
            <w:r>
              <w:rPr>
                <w:shd w:val="clear" w:color="auto" w:fill="FFFFFF"/>
              </w:rPr>
              <w:t>-</w:t>
            </w:r>
            <w:r w:rsidRPr="008B64A3">
              <w:rPr>
                <w:shd w:val="clear" w:color="auto" w:fill="FFFFFF"/>
              </w:rPr>
              <w:t>priėmimo akto pasirašymo ir PVM sąskaitos faktūros gavimo dienos</w:t>
            </w:r>
            <w:r>
              <w:rPr>
                <w:rStyle w:val="FootnoteReference"/>
                <w:shd w:val="clear" w:color="auto" w:fill="FFFFFF"/>
              </w:rPr>
              <w:footnoteReference w:id="19"/>
            </w:r>
            <w:r>
              <w:rPr>
                <w:shd w:val="clear" w:color="auto" w:fill="FFFFFF"/>
              </w:rPr>
              <w:t>, o įvykdžius mokėjimą taip, kaip nustatyta Sutarties 2.3.1 papunktyje, paslaugos, nurodytos Sutarties 1.2.3 papunktyje, bus teikiamos neatlygintinai</w:t>
            </w:r>
            <w:r>
              <w:rPr>
                <w:rStyle w:val="FootnoteReference"/>
                <w:shd w:val="clear" w:color="auto" w:fill="FFFFFF"/>
              </w:rPr>
              <w:footnoteReference w:id="20"/>
            </w:r>
            <w:r>
              <w:rPr>
                <w:shd w:val="clear" w:color="auto" w:fill="FFFFFF"/>
              </w:rPr>
              <w:t>.</w:t>
            </w:r>
          </w:p>
          <w:p w:rsidR="005F73D1" w:rsidRDefault="005F73D1" w:rsidP="00F91F93">
            <w:pPr>
              <w:pStyle w:val="Normal12pt"/>
              <w:tabs>
                <w:tab w:val="left" w:pos="993"/>
              </w:tabs>
              <w:ind w:right="28" w:firstLine="589"/>
              <w:rPr>
                <w:shd w:val="clear" w:color="auto" w:fill="FFFFFF"/>
              </w:rPr>
            </w:pPr>
            <w:r w:rsidRPr="008B64A3">
              <w:rPr>
                <w:shd w:val="clear" w:color="auto" w:fill="FFFFFF"/>
              </w:rPr>
              <w:t>Įvertinus aukščiau nurodytas Sutarties nuostatas, galima daryti išvadą, jog Perkančioji organizacija visiškai atsiskaitys su tiekėju iki 2018-09-15, nors paslaugos, taip kaip numatyta Sutartyje, visa apimtimi nebus suteiktos, nes Sutarties 1.2.3 papunktyje nurodyta paslauga (</w:t>
            </w:r>
            <w:r>
              <w:rPr>
                <w:shd w:val="clear" w:color="auto" w:fill="FFFFFF"/>
              </w:rPr>
              <w:t>Reglamento (ES) 2016/679 įgyvendinimo priežiūra)</w:t>
            </w:r>
            <w:r w:rsidRPr="008B64A3">
              <w:rPr>
                <w:shd w:val="clear" w:color="auto" w:fill="FFFFFF"/>
              </w:rPr>
              <w:t xml:space="preserve"> privalės būti teikiama iki 2018-12-31</w:t>
            </w:r>
            <w:r>
              <w:rPr>
                <w:shd w:val="clear" w:color="auto" w:fill="FFFFFF"/>
              </w:rPr>
              <w:t>, todėl tokių sąlygų įtvirtinimas Sutartyje neužtikrina Įstatymo 17 straipsnio 1 dalyje nustatyto skaidrumo principo laikymosi.</w:t>
            </w:r>
          </w:p>
          <w:p w:rsidR="005F73D1" w:rsidRPr="008B64A3" w:rsidRDefault="005F73D1" w:rsidP="00F91F93">
            <w:pPr>
              <w:pStyle w:val="Normal12pt"/>
              <w:tabs>
                <w:tab w:val="left" w:pos="993"/>
              </w:tabs>
              <w:ind w:right="28" w:firstLine="589"/>
              <w:rPr>
                <w:shd w:val="clear" w:color="auto" w:fill="FFFFFF"/>
              </w:rPr>
            </w:pPr>
            <w:r w:rsidRPr="008B64A3">
              <w:rPr>
                <w:shd w:val="clear" w:color="auto" w:fill="FFFFFF"/>
              </w:rPr>
              <w:t>Be to, Sutarties 4.8 punkto nuostatos taikymas, jog šalys sutinka sumokėti po 0.0</w:t>
            </w:r>
            <w:r>
              <w:rPr>
                <w:shd w:val="clear" w:color="auto" w:fill="FFFFFF"/>
              </w:rPr>
              <w:t>2</w:t>
            </w:r>
            <w:r w:rsidRPr="008B64A3">
              <w:rPr>
                <w:shd w:val="clear" w:color="auto" w:fill="FFFFFF"/>
              </w:rPr>
              <w:t xml:space="preserve"> proc</w:t>
            </w:r>
            <w:r>
              <w:rPr>
                <w:shd w:val="clear" w:color="auto" w:fill="FFFFFF"/>
              </w:rPr>
              <w:t>.</w:t>
            </w:r>
            <w:r w:rsidRPr="008B64A3">
              <w:rPr>
                <w:shd w:val="clear" w:color="auto" w:fill="FFFFFF"/>
              </w:rPr>
              <w:t xml:space="preserve"> delspinigių </w:t>
            </w:r>
            <w:r w:rsidRPr="00087505">
              <w:rPr>
                <w:shd w:val="clear" w:color="auto" w:fill="FFFFFF"/>
              </w:rPr>
              <w:t>nuo sumos, kuria neįvykdomi įsipareigojimai, už kiekvieną uždelstą dieną,</w:t>
            </w:r>
            <w:r w:rsidRPr="008B64A3">
              <w:rPr>
                <w:shd w:val="clear" w:color="auto" w:fill="FFFFFF"/>
              </w:rPr>
              <w:t xml:space="preserve"> bet ne daugiau kaip Sutarties kaina</w:t>
            </w:r>
            <w:r>
              <w:rPr>
                <w:shd w:val="clear" w:color="auto" w:fill="FFFFFF"/>
              </w:rPr>
              <w:t>,</w:t>
            </w:r>
            <w:r w:rsidRPr="008B64A3">
              <w:rPr>
                <w:shd w:val="clear" w:color="auto" w:fill="FFFFFF"/>
              </w:rPr>
              <w:t xml:space="preserve"> yra neaiškus, atsižvelgiant į tai, kad visoms skirtingų rūšių paslaugoms taikoma bendra fiksuota kaina (nėra išskirta kiekvienos paslaugos įkainių), todėl nėra </w:t>
            </w:r>
            <w:r w:rsidRPr="008B64A3">
              <w:rPr>
                <w:shd w:val="clear" w:color="auto" w:fill="FFFFFF"/>
              </w:rPr>
              <w:lastRenderedPageBreak/>
              <w:t>aišku</w:t>
            </w:r>
            <w:r>
              <w:rPr>
                <w:shd w:val="clear" w:color="auto" w:fill="FFFFFF"/>
              </w:rPr>
              <w:t>,</w:t>
            </w:r>
            <w:r w:rsidRPr="008B64A3">
              <w:rPr>
                <w:shd w:val="clear" w:color="auto" w:fill="FFFFFF"/>
              </w:rPr>
              <w:t xml:space="preserve"> kaip bus nustatyta neįvykdytų paslaugų įsipareigojimų sumos dalis</w:t>
            </w:r>
            <w:r>
              <w:rPr>
                <w:shd w:val="clear" w:color="auto" w:fill="FFFFFF"/>
              </w:rPr>
              <w:t>,</w:t>
            </w:r>
            <w:r w:rsidRPr="008B64A3">
              <w:rPr>
                <w:shd w:val="clear" w:color="auto" w:fill="FFFFFF"/>
              </w:rPr>
              <w:t xml:space="preserve"> nuo kurios turėtų būti skaičiuojami delspinigiai, esant netinkamam Sutarties vykdymui.</w:t>
            </w:r>
          </w:p>
          <w:p w:rsidR="005F73D1" w:rsidRPr="005951C3" w:rsidRDefault="005F73D1" w:rsidP="00F91F93">
            <w:pPr>
              <w:pStyle w:val="Normal12pt"/>
              <w:tabs>
                <w:tab w:val="left" w:pos="993"/>
              </w:tabs>
              <w:ind w:right="28" w:firstLine="589"/>
              <w:rPr>
                <w:rFonts w:eastAsia="Calibri"/>
              </w:rPr>
            </w:pPr>
            <w:r w:rsidRPr="008B64A3">
              <w:rPr>
                <w:shd w:val="clear" w:color="auto" w:fill="FFFFFF"/>
              </w:rPr>
              <w:t>Tarnybos nuomone, Perkančioji organizacija turi pareigą užtikrinti tinkamą Sutarties vykdymo priežiūrą, o Sutartį vykdyti vadovaujantis Sutarties nuostatomis, todėl turi siekti Sutarties nuostatas surašyti taip, kad Sutarties vykdymo metu nekiltų neaiškumų su tiekėju dėl tinkamo Sutarties vykdymo ir visišk</w:t>
            </w:r>
            <w:r>
              <w:rPr>
                <w:shd w:val="clear" w:color="auto" w:fill="FFFFFF"/>
              </w:rPr>
              <w:t>o sutartinių įsipareigojimų įvykdymo</w:t>
            </w:r>
            <w:r w:rsidRPr="008B64A3">
              <w:rPr>
                <w:shd w:val="clear" w:color="auto" w:fill="FFFFFF"/>
              </w:rPr>
              <w:t>.</w:t>
            </w:r>
          </w:p>
        </w:tc>
      </w:tr>
      <w:tr w:rsidR="005F73D1" w:rsidRPr="00087505" w:rsidTr="00F91F93">
        <w:tc>
          <w:tcPr>
            <w:tcW w:w="704" w:type="dxa"/>
            <w:shd w:val="clear" w:color="auto" w:fill="auto"/>
            <w:vAlign w:val="center"/>
          </w:tcPr>
          <w:p w:rsidR="005F73D1" w:rsidRPr="00087505" w:rsidRDefault="005F73D1" w:rsidP="005F73D1">
            <w:pPr>
              <w:numPr>
                <w:ilvl w:val="0"/>
                <w:numId w:val="6"/>
              </w:numPr>
              <w:ind w:left="0" w:firstLine="0"/>
              <w:contextualSpacing/>
              <w:jc w:val="center"/>
              <w:rPr>
                <w:sz w:val="24"/>
                <w:szCs w:val="24"/>
              </w:rPr>
            </w:pPr>
          </w:p>
        </w:tc>
        <w:tc>
          <w:tcPr>
            <w:tcW w:w="8930" w:type="dxa"/>
            <w:shd w:val="clear" w:color="auto" w:fill="auto"/>
          </w:tcPr>
          <w:p w:rsidR="005F73D1" w:rsidRPr="00087505" w:rsidRDefault="005F73D1" w:rsidP="00F91F93">
            <w:pPr>
              <w:tabs>
                <w:tab w:val="left" w:pos="993"/>
              </w:tabs>
              <w:jc w:val="both"/>
              <w:rPr>
                <w:sz w:val="24"/>
                <w:szCs w:val="24"/>
              </w:rPr>
            </w:pPr>
          </w:p>
        </w:tc>
      </w:tr>
      <w:tr w:rsidR="005F73D1" w:rsidRPr="00087505" w:rsidTr="00F91F93">
        <w:tc>
          <w:tcPr>
            <w:tcW w:w="9634" w:type="dxa"/>
            <w:gridSpan w:val="2"/>
            <w:shd w:val="clear" w:color="auto" w:fill="auto"/>
            <w:vAlign w:val="center"/>
          </w:tcPr>
          <w:p w:rsidR="005F73D1" w:rsidRDefault="005F73D1" w:rsidP="00F91F93">
            <w:pPr>
              <w:tabs>
                <w:tab w:val="left" w:pos="570"/>
                <w:tab w:val="left" w:pos="737"/>
                <w:tab w:val="left" w:pos="993"/>
              </w:tabs>
              <w:ind w:right="28"/>
              <w:jc w:val="both"/>
              <w:rPr>
                <w:sz w:val="24"/>
                <w:szCs w:val="24"/>
                <w:shd w:val="clear" w:color="auto" w:fill="FFFFFF"/>
              </w:rPr>
            </w:pPr>
            <w:r w:rsidRPr="00087505">
              <w:rPr>
                <w:sz w:val="24"/>
                <w:szCs w:val="24"/>
                <w:shd w:val="clear" w:color="auto" w:fill="FFFFFF"/>
              </w:rPr>
              <w:t xml:space="preserve">         </w:t>
            </w:r>
            <w:r>
              <w:rPr>
                <w:sz w:val="24"/>
                <w:szCs w:val="24"/>
                <w:shd w:val="clear" w:color="auto" w:fill="FFFFFF"/>
              </w:rPr>
              <w:t xml:space="preserve">Sutarties 1.3.3 punkte nustatyta, kad bendru Perkančiosios organizacijos ir tiekėjo susitarimu Sutarties 1.3.1 ir 1.3.2 papunkčiuose nurodytos tiekėjo sutartinių įsipareigojimų įvykdymo datos gali būti keičiamos. </w:t>
            </w:r>
          </w:p>
          <w:p w:rsidR="005F73D1" w:rsidRPr="00087505" w:rsidRDefault="005F73D1" w:rsidP="00F91F93">
            <w:pPr>
              <w:tabs>
                <w:tab w:val="left" w:pos="570"/>
                <w:tab w:val="left" w:pos="737"/>
                <w:tab w:val="left" w:pos="993"/>
              </w:tabs>
              <w:ind w:right="28" w:firstLine="589"/>
              <w:jc w:val="both"/>
              <w:rPr>
                <w:sz w:val="24"/>
                <w:szCs w:val="24"/>
              </w:rPr>
            </w:pPr>
            <w:r>
              <w:rPr>
                <w:sz w:val="24"/>
                <w:szCs w:val="24"/>
                <w:shd w:val="clear" w:color="auto" w:fill="FFFFFF"/>
              </w:rPr>
              <w:t xml:space="preserve">Atkreipiamas Perkančiosios organizacijos dėmesys į tai, kad sutartyse nustatant galimybę pratęsti </w:t>
            </w:r>
            <w:r w:rsidRPr="003227F6">
              <w:rPr>
                <w:sz w:val="24"/>
                <w:szCs w:val="24"/>
                <w:shd w:val="clear" w:color="auto" w:fill="FFFFFF"/>
              </w:rPr>
              <w:t>tiekėjo sutartinių įsipareigojimų įvykdymo termin</w:t>
            </w:r>
            <w:r>
              <w:rPr>
                <w:sz w:val="24"/>
                <w:szCs w:val="24"/>
                <w:shd w:val="clear" w:color="auto" w:fill="FFFFFF"/>
              </w:rPr>
              <w:t xml:space="preserve">ą, </w:t>
            </w:r>
            <w:r w:rsidRPr="003227F6">
              <w:rPr>
                <w:sz w:val="24"/>
                <w:szCs w:val="24"/>
                <w:shd w:val="clear" w:color="auto" w:fill="FFFFFF"/>
              </w:rPr>
              <w:t>taip pat</w:t>
            </w:r>
            <w:r>
              <w:rPr>
                <w:sz w:val="24"/>
                <w:szCs w:val="24"/>
                <w:shd w:val="clear" w:color="auto" w:fill="FFFFFF"/>
              </w:rPr>
              <w:t xml:space="preserve"> turi būti nustatytas </w:t>
            </w:r>
            <w:r w:rsidRPr="003227F6">
              <w:rPr>
                <w:sz w:val="24"/>
                <w:szCs w:val="24"/>
                <w:shd w:val="clear" w:color="auto" w:fill="FFFFFF"/>
              </w:rPr>
              <w:t>konkret</w:t>
            </w:r>
            <w:r>
              <w:rPr>
                <w:sz w:val="24"/>
                <w:szCs w:val="24"/>
                <w:shd w:val="clear" w:color="auto" w:fill="FFFFFF"/>
              </w:rPr>
              <w:t>us</w:t>
            </w:r>
            <w:r w:rsidRPr="003227F6">
              <w:rPr>
                <w:sz w:val="24"/>
                <w:szCs w:val="24"/>
                <w:shd w:val="clear" w:color="auto" w:fill="FFFFFF"/>
              </w:rPr>
              <w:t xml:space="preserve"> laikotarp</w:t>
            </w:r>
            <w:r>
              <w:rPr>
                <w:sz w:val="24"/>
                <w:szCs w:val="24"/>
                <w:shd w:val="clear" w:color="auto" w:fill="FFFFFF"/>
              </w:rPr>
              <w:t xml:space="preserve">is, </w:t>
            </w:r>
            <w:r w:rsidRPr="003227F6">
              <w:rPr>
                <w:sz w:val="24"/>
                <w:szCs w:val="24"/>
                <w:shd w:val="clear" w:color="auto" w:fill="FFFFFF"/>
              </w:rPr>
              <w:t>kuriam gali būti pratęstas sutartinių įsipareigojimų vykdymo terminas, išvardintos konkrečios aplinkybės, kurioms esant sutartinių įsipareigojimų įvykdymo gali būti pratęsti, taip pat nustatyta pakeitimų atlikimo tvarka, t. y. pakeitimų inicijavimas, pagrindimas, derinimas bei įforminimas</w:t>
            </w:r>
            <w:r>
              <w:rPr>
                <w:sz w:val="24"/>
                <w:szCs w:val="24"/>
                <w:shd w:val="clear" w:color="auto" w:fill="FFFFFF"/>
              </w:rPr>
              <w:t xml:space="preserve">. </w:t>
            </w:r>
          </w:p>
        </w:tc>
      </w:tr>
    </w:tbl>
    <w:p w:rsidR="005F73D1" w:rsidRDefault="005F73D1" w:rsidP="005F73D1">
      <w:pPr>
        <w:jc w:val="center"/>
        <w:rPr>
          <w:b/>
          <w:sz w:val="24"/>
          <w:szCs w:val="24"/>
        </w:rPr>
      </w:pPr>
    </w:p>
    <w:p w:rsidR="005F73D1" w:rsidRDefault="005F73D1" w:rsidP="005F73D1">
      <w:pPr>
        <w:jc w:val="center"/>
        <w:rPr>
          <w:b/>
          <w:sz w:val="24"/>
          <w:szCs w:val="24"/>
        </w:rPr>
      </w:pPr>
    </w:p>
    <w:p w:rsidR="005F73D1" w:rsidRPr="00674C40" w:rsidRDefault="005F73D1" w:rsidP="005F73D1">
      <w:pPr>
        <w:jc w:val="center"/>
        <w:rPr>
          <w:b/>
          <w:sz w:val="24"/>
          <w:szCs w:val="24"/>
        </w:rPr>
      </w:pPr>
      <w:r w:rsidRPr="00674C40">
        <w:rPr>
          <w:b/>
          <w:sz w:val="24"/>
          <w:szCs w:val="24"/>
        </w:rPr>
        <w:t>IV dalis. SPRENDIMAS</w:t>
      </w:r>
    </w:p>
    <w:p w:rsidR="005F73D1" w:rsidRDefault="005F73D1" w:rsidP="005F73D1">
      <w:pPr>
        <w:jc w:val="both"/>
        <w:rPr>
          <w:b/>
          <w:sz w:val="24"/>
          <w:szCs w:val="24"/>
        </w:rPr>
      </w:pPr>
    </w:p>
    <w:p w:rsidR="005F73D1" w:rsidRPr="00160202" w:rsidRDefault="005F73D1" w:rsidP="005F73D1">
      <w:pPr>
        <w:tabs>
          <w:tab w:val="left" w:pos="993"/>
        </w:tabs>
        <w:ind w:firstLine="567"/>
        <w:jc w:val="both"/>
        <w:rPr>
          <w:bCs/>
          <w:sz w:val="24"/>
          <w:szCs w:val="24"/>
        </w:rPr>
      </w:pPr>
      <w:r>
        <w:rPr>
          <w:bCs/>
          <w:sz w:val="24"/>
          <w:szCs w:val="24"/>
        </w:rPr>
        <w:t xml:space="preserve">Atsižvelgiant į tai, kad Pirkimo pagrindu </w:t>
      </w:r>
      <w:r w:rsidRPr="00C207C3">
        <w:rPr>
          <w:bCs/>
          <w:sz w:val="24"/>
          <w:szCs w:val="24"/>
        </w:rPr>
        <w:t xml:space="preserve">2018-06-01 </w:t>
      </w:r>
      <w:r>
        <w:rPr>
          <w:bCs/>
          <w:sz w:val="24"/>
          <w:szCs w:val="24"/>
        </w:rPr>
        <w:t xml:space="preserve">sudaryta </w:t>
      </w:r>
      <w:r w:rsidRPr="00C207C3">
        <w:rPr>
          <w:bCs/>
          <w:sz w:val="24"/>
          <w:szCs w:val="24"/>
        </w:rPr>
        <w:t>Įstaigos tvarkomų asmens duomenų audito ir konsultacijų, susijusių su pasirengimu taikyti Bendrųjų duomenų apsaugos reglamentą, paslaugų sutartis Nr. ST-</w:t>
      </w:r>
      <w:r>
        <w:rPr>
          <w:bCs/>
          <w:sz w:val="24"/>
          <w:szCs w:val="24"/>
        </w:rPr>
        <w:t>175 sudaryta pažeidžiant imperatyvias Įstatymo nuostatas (vertinimo išvados II dalies 1 punktas), Tarnyba rekomenduoja S</w:t>
      </w:r>
      <w:r w:rsidRPr="00160202">
        <w:rPr>
          <w:bCs/>
          <w:sz w:val="24"/>
          <w:szCs w:val="24"/>
        </w:rPr>
        <w:t>utart</w:t>
      </w:r>
      <w:r>
        <w:rPr>
          <w:bCs/>
          <w:sz w:val="24"/>
          <w:szCs w:val="24"/>
        </w:rPr>
        <w:t>į</w:t>
      </w:r>
      <w:r w:rsidRPr="00160202">
        <w:rPr>
          <w:bCs/>
          <w:sz w:val="24"/>
          <w:szCs w:val="24"/>
        </w:rPr>
        <w:t xml:space="preserve"> </w:t>
      </w:r>
      <w:r>
        <w:rPr>
          <w:bCs/>
          <w:sz w:val="24"/>
          <w:szCs w:val="24"/>
        </w:rPr>
        <w:t xml:space="preserve">nutraukti ir esant poreikiui šias </w:t>
      </w:r>
      <w:r w:rsidRPr="00C207C3">
        <w:rPr>
          <w:bCs/>
          <w:sz w:val="24"/>
          <w:szCs w:val="24"/>
        </w:rPr>
        <w:t>pa</w:t>
      </w:r>
      <w:r>
        <w:rPr>
          <w:bCs/>
          <w:sz w:val="24"/>
          <w:szCs w:val="24"/>
        </w:rPr>
        <w:t xml:space="preserve">slaugas įsigyti vykdant naujas procedūras. </w:t>
      </w:r>
    </w:p>
    <w:p w:rsidR="005F73D1" w:rsidRPr="00160202" w:rsidRDefault="005F73D1" w:rsidP="005F73D1">
      <w:pPr>
        <w:tabs>
          <w:tab w:val="left" w:pos="993"/>
        </w:tabs>
        <w:ind w:firstLine="567"/>
        <w:jc w:val="both"/>
        <w:rPr>
          <w:bCs/>
          <w:sz w:val="24"/>
          <w:szCs w:val="24"/>
        </w:rPr>
      </w:pPr>
      <w:r w:rsidRPr="00160202">
        <w:rPr>
          <w:bCs/>
          <w:sz w:val="24"/>
          <w:szCs w:val="24"/>
        </w:rPr>
        <w:t xml:space="preserve">Prašome ne vėliau kaip per 10 darbo dienų, nuo šios </w:t>
      </w:r>
      <w:r>
        <w:rPr>
          <w:bCs/>
          <w:sz w:val="24"/>
          <w:szCs w:val="24"/>
        </w:rPr>
        <w:t>v</w:t>
      </w:r>
      <w:r w:rsidRPr="00160202">
        <w:rPr>
          <w:bCs/>
          <w:sz w:val="24"/>
          <w:szCs w:val="24"/>
        </w:rPr>
        <w:t xml:space="preserve">ertinimo išvados gavimo dienos, raštu informuoti </w:t>
      </w:r>
      <w:r>
        <w:rPr>
          <w:bCs/>
          <w:sz w:val="24"/>
          <w:szCs w:val="24"/>
        </w:rPr>
        <w:t xml:space="preserve">Tarnybą </w:t>
      </w:r>
      <w:r w:rsidRPr="00160202">
        <w:rPr>
          <w:bCs/>
          <w:sz w:val="24"/>
          <w:szCs w:val="24"/>
        </w:rPr>
        <w:t xml:space="preserve">apie priimtą sprendimą dėl </w:t>
      </w:r>
      <w:r>
        <w:rPr>
          <w:bCs/>
          <w:sz w:val="24"/>
          <w:szCs w:val="24"/>
        </w:rPr>
        <w:t xml:space="preserve">Tarnybos </w:t>
      </w:r>
      <w:r w:rsidRPr="00160202">
        <w:rPr>
          <w:bCs/>
          <w:sz w:val="24"/>
          <w:szCs w:val="24"/>
        </w:rPr>
        <w:t>rekomendacijos nutraukti Sutartį.</w:t>
      </w:r>
    </w:p>
    <w:p w:rsidR="005F73D1" w:rsidRPr="00160202" w:rsidRDefault="005F73D1" w:rsidP="005F73D1">
      <w:pPr>
        <w:tabs>
          <w:tab w:val="left" w:pos="993"/>
        </w:tabs>
        <w:ind w:firstLine="567"/>
        <w:jc w:val="both"/>
        <w:rPr>
          <w:sz w:val="24"/>
          <w:szCs w:val="24"/>
        </w:rPr>
      </w:pPr>
      <w:r w:rsidRPr="00160202">
        <w:rPr>
          <w:bCs/>
          <w:sz w:val="24"/>
          <w:szCs w:val="24"/>
        </w:rPr>
        <w:t xml:space="preserve">Vadovaujantis Lietuvos Respublikos administracinių bylų teisenos įstatymo 5 ir 17 straipsniais, nesutikę su </w:t>
      </w:r>
      <w:r>
        <w:rPr>
          <w:bCs/>
          <w:sz w:val="24"/>
          <w:szCs w:val="24"/>
        </w:rPr>
        <w:t>Tarnybos</w:t>
      </w:r>
      <w:r w:rsidRPr="00160202">
        <w:rPr>
          <w:bCs/>
          <w:sz w:val="24"/>
          <w:szCs w:val="24"/>
        </w:rPr>
        <w:t xml:space="preserve"> išvada, Jūs galite ją apskųsti teismui šio įstatymo nustatyta tvarka.</w:t>
      </w:r>
    </w:p>
    <w:p w:rsidR="005F73D1" w:rsidRDefault="005F73D1" w:rsidP="005F73D1">
      <w:pPr>
        <w:jc w:val="both"/>
        <w:rPr>
          <w:sz w:val="24"/>
          <w:szCs w:val="24"/>
        </w:rPr>
      </w:pPr>
    </w:p>
    <w:p w:rsidR="005F73D1" w:rsidRDefault="005F73D1" w:rsidP="005F73D1">
      <w:pPr>
        <w:jc w:val="both"/>
        <w:rPr>
          <w:sz w:val="24"/>
          <w:szCs w:val="24"/>
        </w:rPr>
      </w:pPr>
    </w:p>
    <w:p w:rsidR="00D03A7E" w:rsidRPr="00D03A7E" w:rsidRDefault="00D03A7E" w:rsidP="00D03A7E">
      <w:pPr>
        <w:tabs>
          <w:tab w:val="left" w:pos="900"/>
        </w:tabs>
        <w:rPr>
          <w:sz w:val="24"/>
          <w:szCs w:val="24"/>
        </w:rPr>
      </w:pPr>
    </w:p>
    <w:p w:rsidR="006C33A6" w:rsidRPr="00791ED2" w:rsidRDefault="006C33A6" w:rsidP="006C33A6">
      <w:pPr>
        <w:tabs>
          <w:tab w:val="left" w:pos="900"/>
        </w:tabs>
        <w:rPr>
          <w:sz w:val="24"/>
          <w:szCs w:val="24"/>
        </w:rPr>
      </w:pPr>
    </w:p>
    <w:tbl>
      <w:tblPr>
        <w:tblW w:w="0" w:type="auto"/>
        <w:tblLook w:val="01E0" w:firstRow="1" w:lastRow="1" w:firstColumn="1" w:lastColumn="1" w:noHBand="0" w:noVBand="0"/>
      </w:tblPr>
      <w:tblGrid>
        <w:gridCol w:w="4337"/>
        <w:gridCol w:w="5301"/>
      </w:tblGrid>
      <w:tr w:rsidR="006C33A6" w:rsidTr="00D03A7E">
        <w:tc>
          <w:tcPr>
            <w:tcW w:w="4337" w:type="dxa"/>
            <w:hideMark/>
          </w:tcPr>
          <w:p w:rsidR="006C33A6" w:rsidRDefault="0064465E">
            <w:pPr>
              <w:tabs>
                <w:tab w:val="left" w:pos="900"/>
              </w:tabs>
              <w:rPr>
                <w:sz w:val="24"/>
                <w:szCs w:val="24"/>
              </w:rPr>
            </w:pPr>
            <w:r>
              <w:rPr>
                <w:sz w:val="24"/>
                <w:szCs w:val="24"/>
              </w:rPr>
              <w:t>Direktorė</w:t>
            </w:r>
          </w:p>
        </w:tc>
        <w:tc>
          <w:tcPr>
            <w:tcW w:w="5301" w:type="dxa"/>
            <w:hideMark/>
          </w:tcPr>
          <w:p w:rsidR="006C33A6" w:rsidRDefault="0064465E">
            <w:pPr>
              <w:tabs>
                <w:tab w:val="left" w:pos="900"/>
              </w:tabs>
              <w:jc w:val="right"/>
              <w:rPr>
                <w:sz w:val="24"/>
                <w:szCs w:val="24"/>
              </w:rPr>
            </w:pPr>
            <w:r>
              <w:rPr>
                <w:sz w:val="24"/>
                <w:szCs w:val="24"/>
              </w:rPr>
              <w:t>Diana Vilytė</w:t>
            </w:r>
          </w:p>
        </w:tc>
      </w:tr>
    </w:tbl>
    <w:p w:rsidR="006C33A6" w:rsidRDefault="006C33A6" w:rsidP="006C33A6">
      <w:pPr>
        <w:tabs>
          <w:tab w:val="left" w:pos="900"/>
        </w:tabs>
        <w:rPr>
          <w:sz w:val="24"/>
          <w:szCs w:val="24"/>
        </w:rPr>
      </w:pPr>
    </w:p>
    <w:p w:rsidR="006C33A6" w:rsidRDefault="006C33A6" w:rsidP="006C33A6">
      <w:pPr>
        <w:tabs>
          <w:tab w:val="left" w:pos="900"/>
        </w:tabs>
        <w:rPr>
          <w:sz w:val="24"/>
          <w:szCs w:val="24"/>
        </w:rPr>
      </w:pPr>
    </w:p>
    <w:p w:rsidR="005A480F" w:rsidRDefault="005A480F" w:rsidP="006C33A6">
      <w:pPr>
        <w:tabs>
          <w:tab w:val="left" w:pos="900"/>
        </w:tabs>
        <w:rPr>
          <w:sz w:val="24"/>
          <w:szCs w:val="24"/>
        </w:rPr>
      </w:pPr>
    </w:p>
    <w:p w:rsidR="005A480F" w:rsidRDefault="005A480F" w:rsidP="006C33A6">
      <w:pPr>
        <w:tabs>
          <w:tab w:val="left" w:pos="900"/>
        </w:tabs>
        <w:rPr>
          <w:sz w:val="24"/>
          <w:szCs w:val="24"/>
        </w:rPr>
      </w:pPr>
    </w:p>
    <w:p w:rsidR="00791ED2" w:rsidRDefault="00791ED2" w:rsidP="006C33A6">
      <w:pPr>
        <w:tabs>
          <w:tab w:val="left" w:pos="900"/>
        </w:tabs>
        <w:rPr>
          <w:sz w:val="24"/>
          <w:szCs w:val="24"/>
        </w:rPr>
      </w:pPr>
    </w:p>
    <w:p w:rsidR="00791ED2" w:rsidRDefault="00791ED2" w:rsidP="006C33A6">
      <w:pPr>
        <w:tabs>
          <w:tab w:val="left" w:pos="900"/>
        </w:tabs>
        <w:rPr>
          <w:sz w:val="24"/>
          <w:szCs w:val="24"/>
        </w:rPr>
      </w:pPr>
    </w:p>
    <w:p w:rsidR="00791ED2" w:rsidRDefault="00791ED2" w:rsidP="006C33A6">
      <w:pPr>
        <w:tabs>
          <w:tab w:val="left" w:pos="900"/>
        </w:tabs>
        <w:rPr>
          <w:sz w:val="24"/>
          <w:szCs w:val="24"/>
        </w:rPr>
      </w:pPr>
    </w:p>
    <w:p w:rsidR="00D80F65" w:rsidRDefault="00D80F65" w:rsidP="006C33A6">
      <w:pPr>
        <w:tabs>
          <w:tab w:val="left" w:pos="900"/>
        </w:tabs>
        <w:rPr>
          <w:sz w:val="24"/>
          <w:szCs w:val="24"/>
        </w:rPr>
      </w:pPr>
    </w:p>
    <w:p w:rsidR="00D80F65" w:rsidRDefault="00D80F65" w:rsidP="006C33A6">
      <w:pPr>
        <w:tabs>
          <w:tab w:val="left" w:pos="900"/>
        </w:tabs>
        <w:rPr>
          <w:sz w:val="24"/>
          <w:szCs w:val="24"/>
        </w:rPr>
      </w:pPr>
    </w:p>
    <w:p w:rsidR="00D80F65" w:rsidRDefault="00D80F65" w:rsidP="006C33A6">
      <w:pPr>
        <w:tabs>
          <w:tab w:val="left" w:pos="900"/>
        </w:tabs>
        <w:rPr>
          <w:sz w:val="24"/>
          <w:szCs w:val="24"/>
        </w:rPr>
      </w:pPr>
    </w:p>
    <w:p w:rsidR="00D03A7E" w:rsidRDefault="00D03A7E" w:rsidP="006C33A6">
      <w:pPr>
        <w:tabs>
          <w:tab w:val="left" w:pos="900"/>
        </w:tabs>
        <w:rPr>
          <w:sz w:val="24"/>
          <w:szCs w:val="24"/>
        </w:rPr>
      </w:pPr>
    </w:p>
    <w:p w:rsidR="00D03A7E" w:rsidRDefault="00D03A7E" w:rsidP="006C33A6">
      <w:pPr>
        <w:tabs>
          <w:tab w:val="left" w:pos="900"/>
        </w:tabs>
        <w:rPr>
          <w:sz w:val="24"/>
          <w:szCs w:val="24"/>
        </w:rPr>
      </w:pPr>
    </w:p>
    <w:p w:rsidR="00D03A7E" w:rsidRDefault="00D03A7E" w:rsidP="006C33A6">
      <w:pPr>
        <w:tabs>
          <w:tab w:val="left" w:pos="900"/>
        </w:tabs>
        <w:rPr>
          <w:sz w:val="24"/>
          <w:szCs w:val="24"/>
        </w:rPr>
      </w:pPr>
    </w:p>
    <w:p w:rsidR="00D03A7E" w:rsidRDefault="00D03A7E" w:rsidP="006C33A6">
      <w:pPr>
        <w:tabs>
          <w:tab w:val="left" w:pos="900"/>
        </w:tabs>
        <w:rPr>
          <w:sz w:val="24"/>
          <w:szCs w:val="24"/>
        </w:rPr>
      </w:pPr>
    </w:p>
    <w:p w:rsidR="00D03A7E" w:rsidRDefault="00D03A7E" w:rsidP="006C33A6">
      <w:pPr>
        <w:tabs>
          <w:tab w:val="left" w:pos="900"/>
        </w:tabs>
        <w:rPr>
          <w:sz w:val="24"/>
          <w:szCs w:val="24"/>
        </w:rPr>
      </w:pPr>
    </w:p>
    <w:p w:rsidR="00D03A7E" w:rsidRDefault="00D03A7E" w:rsidP="006C33A6">
      <w:pPr>
        <w:tabs>
          <w:tab w:val="left" w:pos="900"/>
        </w:tabs>
        <w:rPr>
          <w:sz w:val="24"/>
          <w:szCs w:val="24"/>
        </w:rPr>
      </w:pPr>
    </w:p>
    <w:p w:rsidR="00D03A7E" w:rsidRDefault="00D03A7E" w:rsidP="006C33A6">
      <w:pPr>
        <w:tabs>
          <w:tab w:val="left" w:pos="900"/>
        </w:tabs>
        <w:rPr>
          <w:sz w:val="24"/>
          <w:szCs w:val="24"/>
        </w:rPr>
      </w:pPr>
    </w:p>
    <w:p w:rsidR="00D80F65" w:rsidRDefault="00D03A7E" w:rsidP="006C33A6">
      <w:pPr>
        <w:tabs>
          <w:tab w:val="left" w:pos="900"/>
        </w:tabs>
        <w:rPr>
          <w:sz w:val="24"/>
          <w:szCs w:val="24"/>
        </w:rPr>
      </w:pPr>
      <w:r w:rsidRPr="00D03A7E">
        <w:rPr>
          <w:bCs/>
          <w:sz w:val="24"/>
          <w:szCs w:val="24"/>
        </w:rPr>
        <w:t>H. Šileikė, tel. (8 5) 219 7034, el. p. Henrika.Sileike@vpt.lt</w:t>
      </w:r>
    </w:p>
    <w:sectPr w:rsidR="00D80F65" w:rsidSect="00791ED2">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3A6" w:rsidRDefault="006C33A6" w:rsidP="006C33A6">
      <w:r>
        <w:separator/>
      </w:r>
    </w:p>
  </w:endnote>
  <w:endnote w:type="continuationSeparator" w:id="0">
    <w:p w:rsidR="006C33A6" w:rsidRDefault="006C33A6" w:rsidP="006C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4A0" w:firstRow="1" w:lastRow="0" w:firstColumn="1" w:lastColumn="0" w:noHBand="0" w:noVBand="1"/>
    </w:tblPr>
    <w:tblGrid>
      <w:gridCol w:w="3214"/>
      <w:gridCol w:w="3212"/>
      <w:gridCol w:w="3212"/>
    </w:tblGrid>
    <w:tr w:rsidR="006C33A6" w:rsidRPr="008F10BE" w:rsidTr="00EC1232">
      <w:tc>
        <w:tcPr>
          <w:tcW w:w="3225" w:type="dxa"/>
        </w:tcPr>
        <w:p w:rsidR="006C33A6" w:rsidRPr="008F10BE" w:rsidRDefault="006C33A6" w:rsidP="006C33A6">
          <w:pPr>
            <w:pStyle w:val="Footer"/>
          </w:pPr>
          <w:r w:rsidRPr="008F10BE">
            <w:t>Biudžetinė įstaiga</w:t>
          </w:r>
        </w:p>
        <w:p w:rsidR="006C33A6" w:rsidRPr="008F10BE" w:rsidRDefault="006C33A6" w:rsidP="006C33A6">
          <w:pPr>
            <w:pStyle w:val="Footer"/>
          </w:pPr>
          <w:r w:rsidRPr="008F10BE">
            <w:t>Kareivių g. 1, 08221 Vilnius</w:t>
          </w:r>
        </w:p>
        <w:p w:rsidR="006C33A6" w:rsidRPr="008F10BE" w:rsidRDefault="006C33A6" w:rsidP="006C33A6">
          <w:pPr>
            <w:pStyle w:val="Footer"/>
          </w:pPr>
          <w:r w:rsidRPr="008F10BE">
            <w:t>http://www.vpt.lt</w:t>
          </w:r>
        </w:p>
      </w:tc>
      <w:tc>
        <w:tcPr>
          <w:tcW w:w="3225" w:type="dxa"/>
        </w:tcPr>
        <w:p w:rsidR="006C33A6" w:rsidRPr="008F10BE" w:rsidRDefault="006C33A6" w:rsidP="006C33A6">
          <w:pPr>
            <w:pStyle w:val="Footer"/>
          </w:pPr>
          <w:r w:rsidRPr="008F10BE">
            <w:t>Tel. (8 5) 219 7001</w:t>
          </w:r>
        </w:p>
        <w:p w:rsidR="006C33A6" w:rsidRPr="008F10BE" w:rsidRDefault="006C33A6" w:rsidP="006C33A6">
          <w:pPr>
            <w:pStyle w:val="Footer"/>
          </w:pPr>
          <w:r w:rsidRPr="008F10BE">
            <w:t>Faks. (8 5) 213 6213</w:t>
          </w:r>
        </w:p>
        <w:p w:rsidR="006C33A6" w:rsidRPr="008F10BE" w:rsidRDefault="006C33A6" w:rsidP="006C33A6">
          <w:pPr>
            <w:pStyle w:val="Footer"/>
          </w:pPr>
          <w:r w:rsidRPr="008F10BE">
            <w:t>El. p. info@vpt.lt</w:t>
          </w:r>
        </w:p>
      </w:tc>
      <w:tc>
        <w:tcPr>
          <w:tcW w:w="3225" w:type="dxa"/>
        </w:tcPr>
        <w:p w:rsidR="006C33A6" w:rsidRPr="008F10BE" w:rsidRDefault="006C33A6" w:rsidP="006C33A6">
          <w:pPr>
            <w:pStyle w:val="Footer"/>
          </w:pPr>
          <w:r w:rsidRPr="008F10BE">
            <w:t>Duomenys kaupiami ir saugomi</w:t>
          </w:r>
        </w:p>
        <w:p w:rsidR="006C33A6" w:rsidRPr="008F10BE" w:rsidRDefault="006C33A6" w:rsidP="006C33A6">
          <w:pPr>
            <w:pStyle w:val="Footer"/>
          </w:pPr>
          <w:r w:rsidRPr="008F10BE">
            <w:t>Juridinių asmenų registre</w:t>
          </w:r>
        </w:p>
        <w:p w:rsidR="006C33A6" w:rsidRPr="008F10BE" w:rsidRDefault="006C33A6" w:rsidP="006C33A6">
          <w:pPr>
            <w:pStyle w:val="Footer"/>
          </w:pPr>
          <w:r w:rsidRPr="008F10BE">
            <w:t>Kodas 188656261</w:t>
          </w:r>
        </w:p>
      </w:tc>
    </w:tr>
  </w:tbl>
  <w:p w:rsidR="006C33A6" w:rsidRDefault="006C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3A6" w:rsidRDefault="006C33A6" w:rsidP="006C33A6">
      <w:r>
        <w:separator/>
      </w:r>
    </w:p>
  </w:footnote>
  <w:footnote w:type="continuationSeparator" w:id="0">
    <w:p w:rsidR="006C33A6" w:rsidRDefault="006C33A6" w:rsidP="006C33A6">
      <w:r>
        <w:continuationSeparator/>
      </w:r>
    </w:p>
  </w:footnote>
  <w:footnote w:id="1">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Numatoma Pirkimo vertė, nurodyta 2018-05-24 Paraiškoje-užduotyje viešajam pirkimui  Nr. PVP-66;</w:t>
      </w:r>
    </w:p>
    <w:p w:rsidR="005F73D1" w:rsidRPr="00D55B56" w:rsidRDefault="005F73D1" w:rsidP="005F73D1">
      <w:pPr>
        <w:pStyle w:val="FootnoteText"/>
        <w:rPr>
          <w:rFonts w:ascii="Times New Roman" w:hAnsi="Times New Roman"/>
        </w:rPr>
      </w:pPr>
    </w:p>
  </w:footnote>
  <w:footnote w:id="2">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„Atliekant mažos vertės pirkimus, taikomos šio įstatymo I skyriaus, &lt;...&gt; ir Viešųjų pirkimų tarnybos patvirtintame mažos vertės pirkimų tvarkos apraše nustatytos taisyklės. &lt;...&gt;“;</w:t>
      </w:r>
    </w:p>
  </w:footnote>
  <w:footnote w:id="3">
    <w:p w:rsidR="005F73D1" w:rsidRPr="00D55B56" w:rsidRDefault="005F73D1" w:rsidP="005F73D1">
      <w:pPr>
        <w:pStyle w:val="FootnoteText"/>
        <w:jc w:val="both"/>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„Perkančioji organizacija užtikrina, kad vykdant pirkimą būtų laikomasi lygiateisiškumo, nediskriminavimo, abipusio pripažinimo, proporcingumo, skaidrumo principų“;</w:t>
      </w:r>
    </w:p>
  </w:footnote>
  <w:footnote w:id="4">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„Planuojant pirkimus ir jiems rengiantis negali būti siekiama išvengti šiame įstatyme nustatytos tvarkos taikymo ar dirbtinai sumažinti konkurenciją &lt;...&gt;“;</w:t>
      </w:r>
    </w:p>
  </w:footnote>
  <w:footnote w:id="5">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Macikų socialinės globos namai 2018-07-09 rašte Nr. 1-113 „Dėl dokumentų pateikimo“ nurodė, kad</w:t>
      </w:r>
      <w:r w:rsidRPr="00D55B56">
        <w:rPr>
          <w:rFonts w:ascii="Times New Roman" w:hAnsi="Times New Roman"/>
          <w:bCs/>
        </w:rPr>
        <w:t xml:space="preserve"> vadovaujantis Aprašo 21.1.1, 21.1.2, 21.2.1 punktais buvo pasirinkta neskelbiama apklausa raštu</w:t>
      </w:r>
      <w:r w:rsidRPr="00D55B56">
        <w:rPr>
          <w:rFonts w:ascii="Times New Roman" w:hAnsi="Times New Roman"/>
        </w:rPr>
        <w:t>;</w:t>
      </w:r>
    </w:p>
  </w:footnote>
  <w:footnote w:id="6">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2018-05-25 Mažos vertės pirkimo „Įstaigos tvarkomų asmens duomenų auditas ir konsultacijos“ neskelbiamos apklausos būdu dokumentai, kai pirkimas vykdomas raštu</w:t>
      </w:r>
      <w:r w:rsidRPr="00D55B56">
        <w:rPr>
          <w:rFonts w:ascii="Times New Roman" w:hAnsi="Times New Roman"/>
          <w:bCs/>
        </w:rPr>
        <w:t>;</w:t>
      </w:r>
    </w:p>
  </w:footnote>
  <w:footnote w:id="7">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w:t>
      </w:r>
      <w:r w:rsidRPr="00D55B56">
        <w:rPr>
          <w:rFonts w:ascii="Times New Roman" w:hAnsi="Times New Roman"/>
          <w:bCs/>
        </w:rPr>
        <w:t>Pirkimą vykdė Macikų socialinės globos namų direktoriaus 2018-01-03 įsakymas Nr. V-4 „Dėl Macikų socialinės globos namų viešųjų pirkimų organizavimo ir vykdymo tvarkos aprašo patvirtinimo“ paskirtas viešųjų pirkimų organizatorius – viešųjų pirkimų specialistas R. V.;</w:t>
      </w:r>
    </w:p>
  </w:footnote>
  <w:footnote w:id="8">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P</w:t>
      </w:r>
      <w:r w:rsidRPr="00D55B56">
        <w:rPr>
          <w:rFonts w:ascii="Times New Roman" w:hAnsi="Times New Roman"/>
          <w:bCs/>
        </w:rPr>
        <w:t>irkimas neskelbiamos apklausos būdu gali būti vykdomas, kai pirkimo sutarties vertė yra mažesnė kaip 10 000,00 Eur be PVM;</w:t>
      </w:r>
    </w:p>
  </w:footnote>
  <w:footnote w:id="9">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Kvietimai pateikti pasiūlymus elektroniniu paštu išsiųsti 2018-05-23 tiekėjams – Advokatų kontorai Martinkus ir partneriai, Advokato J. Arlausko kontorai ir MB „Conversio“. Pasiūlymus pateikė 2 tiekėjai</w:t>
      </w:r>
      <w:r>
        <w:rPr>
          <w:rFonts w:ascii="Times New Roman" w:hAnsi="Times New Roman"/>
        </w:rPr>
        <w:t>;</w:t>
      </w:r>
    </w:p>
  </w:footnote>
  <w:footnote w:id="10">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2018-05-24 Paraiška-užduotis viešajam pirkimui  Nr. PVP-66;</w:t>
      </w:r>
    </w:p>
  </w:footnote>
  <w:footnote w:id="11">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„Perkančioji organizacija turi siekti, kad prekėms, paslaugoms ar darbams įsigyti skirtos lėšos būtų naudojamos racionaliai“;</w:t>
      </w:r>
    </w:p>
  </w:footnote>
  <w:footnote w:id="12">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w:t>
      </w:r>
      <w:r w:rsidRPr="00D55B56">
        <w:rPr>
          <w:rFonts w:ascii="Times New Roman" w:hAnsi="Times New Roman"/>
          <w:bCs/>
        </w:rPr>
        <w:t>Numatomos viešojo pirkimo ir pirkimo vertės skaičiavimo metodika, patvirtinta Viešųjų pirkimų tarnybos direktoriaus 2017-06-27 įsakymu Nr. 1S-94 „Dėl</w:t>
      </w:r>
      <w:r w:rsidRPr="00D55B56">
        <w:rPr>
          <w:rFonts w:ascii="Times New Roman" w:hAnsi="Times New Roman"/>
          <w:bCs/>
          <w:sz w:val="24"/>
          <w:szCs w:val="24"/>
        </w:rPr>
        <w:t xml:space="preserve"> </w:t>
      </w:r>
      <w:r w:rsidRPr="00D55B56">
        <w:rPr>
          <w:rFonts w:ascii="Times New Roman" w:hAnsi="Times New Roman"/>
          <w:bCs/>
        </w:rPr>
        <w:t>numatomos viešojo pirkimo ir pirkimo vertės skaičiavimo metodikos patvirtinimo“;</w:t>
      </w:r>
    </w:p>
  </w:footnote>
  <w:footnote w:id="13">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bCs/>
        </w:rPr>
        <w:t>Numatomos viešojo pirkimo ir pirkimo vertės skaičiavimo metodikos</w:t>
      </w:r>
      <w:r w:rsidRPr="00D55B56">
        <w:rPr>
          <w:rFonts w:ascii="Times New Roman" w:hAnsi="Times New Roman"/>
        </w:rPr>
        <w:t xml:space="preserve"> </w:t>
      </w:r>
      <w:r w:rsidRPr="00D55B56">
        <w:rPr>
          <w:rFonts w:ascii="Times New Roman" w:hAnsi="Times New Roman"/>
          <w:bCs/>
        </w:rPr>
        <w:t>2.3 punktas;</w:t>
      </w:r>
    </w:p>
  </w:footnote>
  <w:footnote w:id="14">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Sutarties 1.2.1 papunktis;</w:t>
      </w:r>
    </w:p>
  </w:footnote>
  <w:footnote w:id="15">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Sutarties 1.2.2. papunktis;</w:t>
      </w:r>
    </w:p>
  </w:footnote>
  <w:footnote w:id="16">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Sutarties 1.2.3. papunktis;</w:t>
      </w:r>
    </w:p>
  </w:footnote>
  <w:footnote w:id="17">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Sutarties 1.3.1. papunktis;</w:t>
      </w:r>
    </w:p>
  </w:footnote>
  <w:footnote w:id="18">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Sutarties 1.3.2 papunktis;</w:t>
      </w:r>
    </w:p>
  </w:footnote>
  <w:footnote w:id="19">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Sutarties 2.3.1 papunktis;</w:t>
      </w:r>
    </w:p>
  </w:footnote>
  <w:footnote w:id="20">
    <w:p w:rsidR="005F73D1" w:rsidRPr="00D55B56" w:rsidRDefault="005F73D1" w:rsidP="005F73D1">
      <w:pPr>
        <w:pStyle w:val="FootnoteText"/>
        <w:rPr>
          <w:rFonts w:ascii="Times New Roman" w:hAnsi="Times New Roman"/>
        </w:rPr>
      </w:pPr>
      <w:r w:rsidRPr="00D55B56">
        <w:rPr>
          <w:rStyle w:val="FootnoteReference"/>
          <w:rFonts w:ascii="Times New Roman" w:hAnsi="Times New Roman"/>
        </w:rPr>
        <w:footnoteRef/>
      </w:r>
      <w:r w:rsidRPr="00D55B56">
        <w:rPr>
          <w:rFonts w:ascii="Times New Roman" w:hAnsi="Times New Roman"/>
        </w:rPr>
        <w:t xml:space="preserve"> Sutarties 2.3.2 papunktis.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D29"/>
    <w:multiLevelType w:val="hybridMultilevel"/>
    <w:tmpl w:val="7DD86E60"/>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529CD"/>
    <w:multiLevelType w:val="hybridMultilevel"/>
    <w:tmpl w:val="0E5E6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BE6A45"/>
    <w:multiLevelType w:val="hybridMultilevel"/>
    <w:tmpl w:val="4E8A557A"/>
    <w:lvl w:ilvl="0" w:tplc="83561B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D5623DE"/>
    <w:multiLevelType w:val="hybridMultilevel"/>
    <w:tmpl w:val="B23AEEDA"/>
    <w:lvl w:ilvl="0" w:tplc="94920E58">
      <w:start w:val="1"/>
      <w:numFmt w:val="upperLetter"/>
      <w:lvlText w:val="%1."/>
      <w:lvlJc w:val="left"/>
      <w:pPr>
        <w:ind w:left="415" w:hanging="360"/>
      </w:pPr>
      <w:rPr>
        <w:rFonts w:hint="default"/>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4" w15:restartNumberingAfterBreak="0">
    <w:nsid w:val="6C7105C8"/>
    <w:multiLevelType w:val="hybridMultilevel"/>
    <w:tmpl w:val="A4EECFE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EF1F17"/>
    <w:multiLevelType w:val="hybridMultilevel"/>
    <w:tmpl w:val="444A46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DF7255"/>
    <w:multiLevelType w:val="hybridMultilevel"/>
    <w:tmpl w:val="A0B6E73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A6"/>
    <w:rsid w:val="00145047"/>
    <w:rsid w:val="001D3D78"/>
    <w:rsid w:val="001F6ED2"/>
    <w:rsid w:val="002C1B09"/>
    <w:rsid w:val="003600C1"/>
    <w:rsid w:val="003B2AA1"/>
    <w:rsid w:val="00415381"/>
    <w:rsid w:val="00445C9D"/>
    <w:rsid w:val="00447A35"/>
    <w:rsid w:val="004D5DC2"/>
    <w:rsid w:val="004F7A50"/>
    <w:rsid w:val="005464BB"/>
    <w:rsid w:val="00553123"/>
    <w:rsid w:val="005A480F"/>
    <w:rsid w:val="005F73D1"/>
    <w:rsid w:val="00635606"/>
    <w:rsid w:val="0064465E"/>
    <w:rsid w:val="006C33A6"/>
    <w:rsid w:val="00791ED2"/>
    <w:rsid w:val="008C5F1C"/>
    <w:rsid w:val="009005E6"/>
    <w:rsid w:val="00933B83"/>
    <w:rsid w:val="00A80F7B"/>
    <w:rsid w:val="00A8201A"/>
    <w:rsid w:val="00AB232A"/>
    <w:rsid w:val="00B156EB"/>
    <w:rsid w:val="00BB4A4B"/>
    <w:rsid w:val="00C15471"/>
    <w:rsid w:val="00C372C1"/>
    <w:rsid w:val="00C65D0A"/>
    <w:rsid w:val="00CE4C69"/>
    <w:rsid w:val="00D03A7E"/>
    <w:rsid w:val="00D739FF"/>
    <w:rsid w:val="00D80F65"/>
    <w:rsid w:val="00DA1D79"/>
    <w:rsid w:val="00E30929"/>
    <w:rsid w:val="00E96D24"/>
    <w:rsid w:val="00E97945"/>
    <w:rsid w:val="00EA2AF8"/>
    <w:rsid w:val="00F16F2C"/>
    <w:rsid w:val="00F51D08"/>
    <w:rsid w:val="00FD22E4"/>
    <w:rsid w:val="00FF60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D3EEDD"/>
  <w15:docId w15:val="{FE8F872B-F7CB-472B-B13C-06DA7EEC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3A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C33A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33A6"/>
    <w:rPr>
      <w:rFonts w:ascii="Times New Roman" w:eastAsia="Times New Roman" w:hAnsi="Times New Roman" w:cs="Times New Roman"/>
      <w:b/>
      <w:bCs/>
      <w:sz w:val="32"/>
      <w:szCs w:val="32"/>
    </w:rPr>
  </w:style>
  <w:style w:type="character" w:styleId="Hyperlink">
    <w:name w:val="Hyperlink"/>
    <w:unhideWhenUsed/>
    <w:rsid w:val="006C33A6"/>
    <w:rPr>
      <w:color w:val="0000FF"/>
      <w:u w:val="single"/>
    </w:rPr>
  </w:style>
  <w:style w:type="paragraph" w:styleId="Header">
    <w:name w:val="header"/>
    <w:basedOn w:val="Normal"/>
    <w:link w:val="HeaderChar"/>
    <w:uiPriority w:val="99"/>
    <w:unhideWhenUsed/>
    <w:rsid w:val="006C33A6"/>
    <w:pPr>
      <w:tabs>
        <w:tab w:val="center" w:pos="4819"/>
        <w:tab w:val="right" w:pos="9638"/>
      </w:tabs>
    </w:pPr>
  </w:style>
  <w:style w:type="character" w:customStyle="1" w:styleId="HeaderChar">
    <w:name w:val="Header Char"/>
    <w:basedOn w:val="DefaultParagraphFont"/>
    <w:link w:val="Header"/>
    <w:uiPriority w:val="99"/>
    <w:rsid w:val="006C33A6"/>
    <w:rPr>
      <w:rFonts w:ascii="Times New Roman" w:eastAsia="Times New Roman" w:hAnsi="Times New Roman" w:cs="Times New Roman"/>
      <w:sz w:val="20"/>
      <w:szCs w:val="20"/>
    </w:rPr>
  </w:style>
  <w:style w:type="paragraph" w:styleId="Footer">
    <w:name w:val="footer"/>
    <w:basedOn w:val="Normal"/>
    <w:link w:val="FooterChar"/>
    <w:unhideWhenUsed/>
    <w:rsid w:val="006C33A6"/>
    <w:pPr>
      <w:tabs>
        <w:tab w:val="center" w:pos="4819"/>
        <w:tab w:val="right" w:pos="9638"/>
      </w:tabs>
    </w:pPr>
  </w:style>
  <w:style w:type="character" w:customStyle="1" w:styleId="FooterChar">
    <w:name w:val="Footer Char"/>
    <w:basedOn w:val="DefaultParagraphFont"/>
    <w:link w:val="Footer"/>
    <w:rsid w:val="006C33A6"/>
    <w:rPr>
      <w:rFonts w:ascii="Times New Roman" w:eastAsia="Times New Roman" w:hAnsi="Times New Roman" w:cs="Times New Roman"/>
      <w:sz w:val="20"/>
      <w:szCs w:val="20"/>
    </w:rPr>
  </w:style>
  <w:style w:type="paragraph" w:styleId="ListParagraph">
    <w:name w:val="List Paragraph"/>
    <w:basedOn w:val="Normal"/>
    <w:uiPriority w:val="34"/>
    <w:qFormat/>
    <w:rsid w:val="0064465E"/>
    <w:pPr>
      <w:ind w:left="720"/>
      <w:contextualSpacing/>
    </w:pPr>
  </w:style>
  <w:style w:type="character" w:styleId="UnresolvedMention">
    <w:name w:val="Unresolved Mention"/>
    <w:basedOn w:val="DefaultParagraphFont"/>
    <w:uiPriority w:val="99"/>
    <w:semiHidden/>
    <w:unhideWhenUsed/>
    <w:rsid w:val="00D03A7E"/>
    <w:rPr>
      <w:color w:val="605E5C"/>
      <w:shd w:val="clear" w:color="auto" w:fill="E1DFDD"/>
    </w:rPr>
  </w:style>
  <w:style w:type="paragraph" w:styleId="FootnoteText">
    <w:name w:val="footnote text"/>
    <w:basedOn w:val="Normal"/>
    <w:link w:val="FootnoteTextChar"/>
    <w:uiPriority w:val="99"/>
    <w:semiHidden/>
    <w:unhideWhenUsed/>
    <w:rsid w:val="00D03A7E"/>
    <w:rPr>
      <w:rFonts w:ascii="Calibri" w:eastAsia="Calibri" w:hAnsi="Calibri"/>
    </w:rPr>
  </w:style>
  <w:style w:type="character" w:customStyle="1" w:styleId="FootnoteTextChar">
    <w:name w:val="Footnote Text Char"/>
    <w:basedOn w:val="DefaultParagraphFont"/>
    <w:link w:val="FootnoteText"/>
    <w:uiPriority w:val="99"/>
    <w:semiHidden/>
    <w:rsid w:val="00D03A7E"/>
    <w:rPr>
      <w:rFonts w:ascii="Calibri" w:eastAsia="Calibri" w:hAnsi="Calibri" w:cs="Times New Roman"/>
      <w:sz w:val="20"/>
      <w:szCs w:val="20"/>
    </w:rPr>
  </w:style>
  <w:style w:type="character" w:styleId="FootnoteReference">
    <w:name w:val="footnote reference"/>
    <w:uiPriority w:val="99"/>
    <w:unhideWhenUsed/>
    <w:rsid w:val="00D03A7E"/>
    <w:rPr>
      <w:vertAlign w:val="superscript"/>
    </w:rPr>
  </w:style>
  <w:style w:type="paragraph" w:customStyle="1" w:styleId="Normal12pt">
    <w:name w:val="Normal + 12 pt"/>
    <w:basedOn w:val="Normal"/>
    <w:link w:val="Normal12ptChar"/>
    <w:rsid w:val="005F73D1"/>
    <w:pPr>
      <w:tabs>
        <w:tab w:val="left" w:pos="737"/>
      </w:tabs>
      <w:ind w:right="-283"/>
      <w:jc w:val="both"/>
    </w:pPr>
    <w:rPr>
      <w:sz w:val="24"/>
      <w:szCs w:val="24"/>
    </w:rPr>
  </w:style>
  <w:style w:type="character" w:customStyle="1" w:styleId="Normal12ptChar">
    <w:name w:val="Normal + 12 pt Char"/>
    <w:link w:val="Normal12pt"/>
    <w:rsid w:val="005F73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4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udiskes.p@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5363</Words>
  <Characters>3058</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Juškauskaitė</dc:creator>
  <cp:lastModifiedBy>Henrika Šileikė</cp:lastModifiedBy>
  <cp:revision>3</cp:revision>
  <cp:lastPrinted>2018-07-18T11:31:00Z</cp:lastPrinted>
  <dcterms:created xsi:type="dcterms:W3CDTF">2018-07-18T11:32:00Z</dcterms:created>
  <dcterms:modified xsi:type="dcterms:W3CDTF">2018-07-19T12:05:00Z</dcterms:modified>
</cp:coreProperties>
</file>