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83" w:rsidRPr="009D6C3E" w:rsidRDefault="004A5583" w:rsidP="004A5583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1B872B4" wp14:editId="4C15475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83" w:rsidRPr="009D6C3E" w:rsidRDefault="00E10C6B" w:rsidP="004A5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VIEŠŲJŲ PIRKIMŲ TARNYBA</w:t>
      </w:r>
    </w:p>
    <w:p w:rsidR="004A5583" w:rsidRPr="009D6C3E" w:rsidRDefault="004A5583" w:rsidP="004A5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583" w:rsidRPr="009D6C3E" w:rsidRDefault="004A5583" w:rsidP="004A5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C3E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4A5583" w:rsidRPr="009D6C3E" w:rsidRDefault="004A5583" w:rsidP="004A5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C3E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4A5583" w:rsidRPr="009D6C3E" w:rsidRDefault="004A5583" w:rsidP="004A5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583" w:rsidRPr="009D6C3E" w:rsidRDefault="004A5583" w:rsidP="004A55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9D6C3E">
        <w:rPr>
          <w:rFonts w:ascii="Times New Roman" w:hAnsi="Times New Roman" w:cs="Times New Roman"/>
          <w:sz w:val="24"/>
          <w:szCs w:val="24"/>
        </w:rPr>
        <w:t>2018-0</w:t>
      </w:r>
      <w:r w:rsidR="00A83254">
        <w:rPr>
          <w:rFonts w:ascii="Times New Roman" w:hAnsi="Times New Roman" w:cs="Times New Roman"/>
          <w:sz w:val="24"/>
          <w:szCs w:val="24"/>
        </w:rPr>
        <w:t>5</w:t>
      </w:r>
      <w:r w:rsidRPr="009D6C3E">
        <w:rPr>
          <w:rFonts w:ascii="Times New Roman" w:hAnsi="Times New Roman" w:cs="Times New Roman"/>
          <w:sz w:val="24"/>
          <w:szCs w:val="24"/>
        </w:rPr>
        <w:t xml:space="preserve">-   Nr. 4S-    </w:t>
      </w:r>
    </w:p>
    <w:p w:rsidR="004A5583" w:rsidRPr="009D6C3E" w:rsidRDefault="004A5583" w:rsidP="004A5583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C3E">
        <w:rPr>
          <w:rFonts w:ascii="Times New Roman" w:hAnsi="Times New Roman" w:cs="Times New Roman"/>
          <w:sz w:val="24"/>
          <w:szCs w:val="24"/>
        </w:rPr>
        <w:t>Vilnius</w:t>
      </w:r>
    </w:p>
    <w:p w:rsidR="00186EF5" w:rsidRDefault="00186EF5" w:rsidP="004A5583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583" w:rsidRPr="009D6C3E" w:rsidRDefault="004A5583" w:rsidP="004A5583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844ED6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 m. gruodžio 21 d. Pirkimo – pardavimo sutartis Nr. 18/14-119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Sutartis</w:t>
            </w:r>
            <w:r w:rsidR="004A5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83" w:rsidRPr="009D6C3E" w:rsidRDefault="004A5583" w:rsidP="005D1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sudaryta, atlikus mažos vertės pirkimą „</w:t>
            </w:r>
            <w:r w:rsidR="005D1C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Biuro baldų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pirkimas“ </w:t>
            </w:r>
            <w:r w:rsidR="005D1C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skelbiamos 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apklausos būdu</w:t>
            </w:r>
            <w:r w:rsidR="005D1C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Pirkimas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vykdytojas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294536" w:rsidP="00294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vaiko teisių apsaugos ir įvaikinimo tarnyba prie Socialinės apsaugos ir darbo ministerijos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88752021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Vivulskio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03221 Vilnius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294536" w:rsidP="00294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„Šiaulių Gilija“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44803425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Išradėjų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78148 Šiauliai</w:t>
            </w:r>
            <w:r w:rsidR="004A5583"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Subrangovai / subtiekėjai / </w:t>
            </w:r>
            <w:proofErr w:type="spellStart"/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subteikėjai</w:t>
            </w:r>
            <w:proofErr w:type="spellEnd"/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</w:t>
            </w:r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viešųjų pirkimų įstatymas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pirkimų, atliekamų </w:t>
            </w:r>
            <w:proofErr w:type="spellStart"/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vandentvarkos</w:t>
            </w:r>
            <w:proofErr w:type="spellEnd"/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energetikos, transporto ar pašto paslaugų srities perkančiųjų subjektų, įstatymas (toliau – Įstatymas)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viešųjų pirkimų įstatymas (aktuali redakcija nuo </w:t>
            </w:r>
            <w:r w:rsidR="00887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887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d.);</w:t>
            </w:r>
          </w:p>
          <w:p w:rsidR="004A5583" w:rsidRPr="009D6C3E" w:rsidRDefault="00887EE5" w:rsidP="00E10C6B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</w:t>
            </w:r>
            <w:r w:rsidR="00E10C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vertės pirkimų tvarkos aprašas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patvirtint</w:t>
            </w:r>
            <w:r w:rsidR="00E10C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Viešųjų pirkimų tarnybos direktoriaus 2017 m. birželio 28 d. įsakymu </w:t>
            </w:r>
            <w:r w:rsidR="00E10C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1S-97 „Dėl Mažos vertės pirkimų tvarkos aprašo patvirtinimo“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 / sutarties vykdymo 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E42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Dalinis vertinimas / </w:t>
            </w:r>
            <w:r w:rsidR="00E42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vykdoma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 taip, nurodyti: ieškinio (skundo) dalyką, bylos šalių pavadinimus, </w:t>
            </w:r>
          </w:p>
          <w:p w:rsidR="004A5583" w:rsidRPr="009D6C3E" w:rsidRDefault="004A5583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</w:p>
        </w:tc>
      </w:tr>
      <w:tr w:rsidR="004A5583" w:rsidRPr="009D6C3E" w:rsidTr="005A23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Už sutarties vykdymą atsakingas Perkančiosios organizacijos darbuotojas (-ai) ar kiti asmenys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Pr="009D6C3E" w:rsidRDefault="004A5583" w:rsidP="006A6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</w:t>
            </w:r>
            <w:r w:rsidR="00E10C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10C6B" w:rsidRPr="00E10C6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Bendrųjų reikalų skyriaus vyriausiasis specialistas </w:t>
            </w:r>
            <w:r w:rsidR="006A6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D. V.</w:t>
            </w:r>
          </w:p>
        </w:tc>
      </w:tr>
    </w:tbl>
    <w:p w:rsidR="00186EF5" w:rsidRDefault="00186EF5" w:rsidP="004A5583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583" w:rsidRPr="009D6C3E" w:rsidRDefault="004A5583" w:rsidP="004A5583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964"/>
        <w:gridCol w:w="8642"/>
      </w:tblGrid>
      <w:tr w:rsidR="004A5583" w:rsidRPr="009D6C3E" w:rsidTr="0072639A">
        <w:trPr>
          <w:trHeight w:val="2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83" w:rsidRPr="009D6C3E" w:rsidRDefault="004A5583" w:rsidP="005A23A8">
            <w:pPr>
              <w:pStyle w:val="Sraopastraipa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A" w:rsidRPr="00BC4C83" w:rsidRDefault="00E54F21" w:rsidP="005A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17 straipsnio 1 dalis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</w:p>
        </w:tc>
      </w:tr>
      <w:tr w:rsidR="004A5583" w:rsidRPr="009D6C3E" w:rsidTr="005A23A8">
        <w:trPr>
          <w:trHeight w:val="2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7" w:rsidRDefault="00F94C7D" w:rsidP="00406A8A">
            <w:pPr>
              <w:spacing w:after="16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4.1 punkte</w:t>
            </w:r>
            <w:r w:rsidR="00F1161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A0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statyta, kad prekės turi būti pagamintos iki 2017 m. gruodžio 29 d., o 4.3 punkte</w:t>
            </w:r>
            <w:r w:rsidR="00F1161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nurodyta, kad baldai į nurodytas įstaigas turi būti pristatyti ir surinkti</w:t>
            </w:r>
            <w:r w:rsidR="000A0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 </w:t>
            </w:r>
            <w:r w:rsidR="000A0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35 kalendorines dienas po 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vykdytojo</w:t>
            </w:r>
            <w:r w:rsidR="000A0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nurodymo.</w:t>
            </w:r>
            <w:r w:rsidR="00E42F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5 punkte</w:t>
            </w:r>
            <w:r w:rsidR="00F1161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nustatyta, kad sąskaitos</w:t>
            </w:r>
            <w:r w:rsid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faktūros</w:t>
            </w:r>
            <w:r w:rsid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apmokamos per 30 dienų nuo sąskaitų – faktūrų gavimo dienos. </w:t>
            </w:r>
            <w:r w:rsidR="003924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6 punkte</w:t>
            </w:r>
            <w:r w:rsidR="00F1161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3924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nustatyta, </w:t>
            </w:r>
            <w:r w:rsidR="003924CE" w:rsidRP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</w:t>
            </w:r>
            <w:r w:rsidR="00F11612" w:rsidRP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924CE" w:rsidRP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1612" w:rsidRP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baldai turi būti pagaminti ne</w:t>
            </w:r>
            <w:r w:rsidR="00815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1612" w:rsidRP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vėliau kaip iki 2017 m. gruodžio 29 d., o pristatytos ne vėliau kaip 4.3 punkte nurodytu terminu.</w:t>
            </w:r>
            <w:r w:rsidR="00F1161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F1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7 punkte nustatyta:</w:t>
            </w:r>
            <w:r w:rsidR="003924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924CE" w:rsidRPr="003924C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</w:t>
            </w:r>
            <w:r w:rsidR="003924CE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Apmokėjimai už pateiktas Prekes</w:t>
            </w:r>
            <w:r w:rsidR="003924CE" w:rsidRPr="00406A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Pardavėjui atliekami pavedimu </w:t>
            </w:r>
            <w:r w:rsidR="00F7312B" w:rsidRPr="00406A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į </w:t>
            </w:r>
            <w:r w:rsidR="003924CE" w:rsidRPr="00406A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šioje Sutartyje nurodytą Pardavėjo atsiskaitomąją sąskaitą, vadovaujantis 5 punkte nurodytu terminu, </w:t>
            </w:r>
            <w:r w:rsidR="003924CE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po to, kai Pardavėjas įvykdys 4.1 punkte nurodytus reikalavimus</w:t>
            </w:r>
            <w:r w:rsidR="00F7312B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bei </w:t>
            </w:r>
            <w:r w:rsidR="003924CE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</w:t>
            </w:r>
            <w:r w:rsidR="00F7312B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</w:t>
            </w:r>
            <w:r w:rsidR="003924CE" w:rsidRPr="00E37E3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teiks PVM sąskaitą faktūrą</w:t>
            </w:r>
            <w:r w:rsidR="003924CE" w:rsidRPr="00406A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“</w:t>
            </w:r>
            <w:r w:rsidR="00C34E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t. y. kai bus pagaminti baldai.</w:t>
            </w:r>
          </w:p>
          <w:p w:rsidR="00406A8A" w:rsidRDefault="000A0D83" w:rsidP="00406A8A">
            <w:pPr>
              <w:spacing w:after="16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kitų Pirkimo vykdytojo pateiktų dokumentų nustatyta, kad 2017 m. gruodžio 19 d. Pirkimo vykdytojui buvo pateikta sąskaita išankstiniam apmokėjimui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t. y. dar tada, kai Sutartis nebuvo pasirašyta. Taip pat nustatyta, kad mokėjimą Pirkimo vykdytojas Tiekėjui atliko 2017 m. gruodžio 22 d.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kitą dieną po Sutarties sudarymo, o PVM sąskaita faktūra išrašyta 2017 m. gruodžio </w:t>
            </w:r>
            <w:r w:rsidR="00257B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257B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to, pažymėtina, kad mokėjimas buvo atliktas neįsitikinus, kad visi baldai yra pagaminti.</w:t>
            </w:r>
          </w:p>
          <w:p w:rsidR="00837D43" w:rsidRPr="009D6C3E" w:rsidRDefault="003544D1" w:rsidP="00186EF5">
            <w:pPr>
              <w:spacing w:after="16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</w:t>
            </w:r>
            <w:r w:rsidR="00406A8A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rtinus tai, kad</w:t>
            </w:r>
            <w:r w:rsidR="00E37E39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Sutartyje nebuvo numatytas</w:t>
            </w:r>
            <w:r w:rsidR="00406A8A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</w:t>
            </w:r>
            <w:r w:rsidR="00E37E39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406A8A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7E39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apmokėjimas Tiekėju</w:t>
            </w:r>
            <w:r w:rsidR="00AF48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E37E39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6F5F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9777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F5F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vadovaujantis Sutarties nuostatomis</w:t>
            </w:r>
            <w:r w:rsidR="009777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F5F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7E39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PVM sąskaitą – faktūrą Tiekėjas galėjo pateikti, o Pirkimo vykdytojas ją priimti tik įsitikinęs, kad užsakyti baldai jau pagaminti, </w:t>
            </w:r>
            <w:r w:rsidR="00406A8A"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Tarnyba konstatuoja</w:t>
            </w:r>
            <w:r w:rsidRPr="008D52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Pirkimo vykdytojas</w:t>
            </w:r>
            <w:r w:rsidR="00C34E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nesivadovavo Sutarties sąlygomis ir faktiškai pakeitė Sutartį.</w:t>
            </w:r>
            <w:r w:rsidR="00186E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Pažymėtina, kad pakeitimas dėl atsiskaitymo tvarkos</w:t>
            </w:r>
            <w:r w:rsidR="009377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keitimo gali būti atliktas </w:t>
            </w:r>
            <w:r w:rsidR="00186E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89 straipsnio 1 dalies 5 punkte nurodytu atveju, t. y.</w:t>
            </w:r>
            <w:r w:rsidR="00C34E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sutartis gali būti keičiama, kai pakeitimas nėra e</w:t>
            </w:r>
            <w:r w:rsidR="00186E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sminis, kaip tai nustatyta šio s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traipsnio 4 dalyje. </w:t>
            </w:r>
            <w:r w:rsidR="00573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 nagrinėjamu atveju, atlikus išankstinį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apmokėjim</w:t>
            </w:r>
            <w:r w:rsidR="00573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ą, kuris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nebuvo nu</w:t>
            </w:r>
            <w:r w:rsidR="00573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matytas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Sutartyje, ekonominė Sutarties pusiausvyra pasikeitė Tiekėjo naudai taip, kaip tai nebuvo numatyta, </w:t>
            </w:r>
            <w:r w:rsidR="00A624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todėl 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 konstatuoja, </w:t>
            </w:r>
            <w:r w:rsidR="009777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jog</w:t>
            </w:r>
            <w:r w:rsidR="009F6A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buvo atliktas esminis</w:t>
            </w:r>
            <w:r w:rsidR="00A624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pakeitimas ir tokiu būdu buvo</w:t>
            </w:r>
            <w:r w:rsidR="005F22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pažeistas</w:t>
            </w:r>
            <w:r w:rsidR="00A624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17 straipsnio 1 dalyje </w:t>
            </w:r>
            <w:r w:rsidR="000767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įtvirtint</w:t>
            </w:r>
            <w:r w:rsidR="00573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0767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skaidrumo princip</w:t>
            </w:r>
            <w:r w:rsidR="00573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A624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4A5583" w:rsidRPr="009D6C3E" w:rsidRDefault="004A5583" w:rsidP="004A5583">
      <w:pPr>
        <w:spacing w:after="160" w:line="256" w:lineRule="auto"/>
        <w:rPr>
          <w:rFonts w:ascii="Times New Roman" w:hAnsi="Times New Roman" w:cs="Times New Roman"/>
          <w:b/>
          <w:sz w:val="23"/>
          <w:szCs w:val="23"/>
        </w:rPr>
      </w:pPr>
      <w:r w:rsidRPr="009D6C3E">
        <w:rPr>
          <w:rFonts w:ascii="Times New Roman" w:hAnsi="Times New Roman" w:cs="Times New Roman"/>
          <w:b/>
          <w:sz w:val="23"/>
          <w:szCs w:val="23"/>
        </w:rPr>
        <w:t>*kiekvienos sutarties vertinimas aprašomas atskirai.</w:t>
      </w:r>
    </w:p>
    <w:p w:rsidR="00186EF5" w:rsidRDefault="00186EF5" w:rsidP="004A5583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583" w:rsidRPr="009D6C3E" w:rsidRDefault="004A5583" w:rsidP="004A5583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lastRenderedPageBreak/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4A5583" w:rsidRPr="009D6C3E" w:rsidTr="005A23A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83" w:rsidRPr="009D6C3E" w:rsidRDefault="004A5583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83" w:rsidRPr="009D6C3E" w:rsidRDefault="004A5583" w:rsidP="005A23A8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</w:p>
        </w:tc>
      </w:tr>
    </w:tbl>
    <w:p w:rsidR="004A5583" w:rsidRPr="009D6C3E" w:rsidRDefault="004A5583" w:rsidP="004A5583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9638" w:type="dxa"/>
        <w:tblInd w:w="-5" w:type="dxa"/>
        <w:tblLook w:val="04A0" w:firstRow="1" w:lastRow="0" w:firstColumn="1" w:lastColumn="0" w:noHBand="0" w:noVBand="1"/>
      </w:tblPr>
      <w:tblGrid>
        <w:gridCol w:w="3567"/>
        <w:gridCol w:w="287"/>
        <w:gridCol w:w="1934"/>
        <w:gridCol w:w="289"/>
        <w:gridCol w:w="3529"/>
        <w:gridCol w:w="32"/>
      </w:tblGrid>
      <w:tr w:rsidR="004A5583" w:rsidRPr="009D6C3E" w:rsidTr="00046FF4">
        <w:trPr>
          <w:gridAfter w:val="1"/>
          <w:wAfter w:w="27" w:type="dxa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83" w:rsidRDefault="004A5583" w:rsidP="005A23A8">
            <w:pPr>
              <w:pStyle w:val="Sraopastraipa"/>
              <w:tabs>
                <w:tab w:val="left" w:pos="28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Pirkimo vykdytojas pažeidė Įstatymo </w:t>
            </w:r>
            <w:bookmarkStart w:id="0" w:name="_GoBack"/>
            <w:bookmarkEnd w:id="0"/>
            <w:r w:rsidR="002C26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</w:t>
            </w:r>
            <w:r w:rsidR="005B71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5732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straipsnio 1 dalies</w:t>
            </w:r>
            <w:r w:rsidRPr="009D6C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nuostatas.</w:t>
            </w:r>
          </w:p>
          <w:p w:rsidR="00E10C6B" w:rsidRPr="00046FF4" w:rsidRDefault="00E52A0E" w:rsidP="00E52A0E">
            <w:pPr>
              <w:pStyle w:val="Sraopastraipa"/>
              <w:tabs>
                <w:tab w:val="left" w:pos="28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2A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Vadovaujantis Lietuvos Respublikos administracinių bylų teisenos įstatymo 5 ir 17 straipsniais, nesutikę su Vertinimo išvada, galite ją apskųsti teismui šio įstatymo nustatyta tvarka.</w:t>
            </w:r>
          </w:p>
        </w:tc>
      </w:tr>
      <w:tr w:rsidR="004A5583" w:rsidRPr="009D6C3E" w:rsidTr="00046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6019D" w:rsidRDefault="00C6019D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F33B9" w:rsidRDefault="00DF33B9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F33B9" w:rsidRDefault="00DF33B9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C6019D" w:rsidRDefault="00C6019D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A5583" w:rsidRPr="009D6C3E" w:rsidRDefault="004A5583" w:rsidP="00C60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 skyriaus</w:t>
            </w:r>
          </w:p>
          <w:p w:rsidR="004A5583" w:rsidRPr="009D6C3E" w:rsidRDefault="004A5583" w:rsidP="005A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vyriausioji specialistė</w:t>
            </w:r>
          </w:p>
        </w:tc>
        <w:tc>
          <w:tcPr>
            <w:tcW w:w="287" w:type="dxa"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5583" w:rsidRPr="009D6C3E" w:rsidRDefault="004A5583" w:rsidP="005A23A8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9" w:type="dxa"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5583" w:rsidRPr="009D6C3E" w:rsidRDefault="004A5583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A5583" w:rsidRDefault="004A5583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F33B9" w:rsidRDefault="00DF33B9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F33B9" w:rsidRPr="009D6C3E" w:rsidRDefault="00DF33B9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C6019D" w:rsidRDefault="00C6019D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A5583" w:rsidRPr="009D6C3E" w:rsidRDefault="004A5583" w:rsidP="005A23A8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Lina Klingienė</w:t>
            </w:r>
          </w:p>
        </w:tc>
      </w:tr>
      <w:tr w:rsidR="004A5583" w:rsidRPr="009D6C3E" w:rsidTr="00046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(išvados rengėjo pareigų pavadinimas)</w:t>
            </w:r>
          </w:p>
        </w:tc>
        <w:tc>
          <w:tcPr>
            <w:tcW w:w="287" w:type="dxa"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9" w:type="dxa"/>
          </w:tcPr>
          <w:p w:rsidR="004A5583" w:rsidRPr="009D6C3E" w:rsidRDefault="004A5583" w:rsidP="005A23A8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A5583" w:rsidRPr="009D6C3E" w:rsidRDefault="004A5583" w:rsidP="005A23A8">
            <w:pPr>
              <w:spacing w:after="160" w:line="25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</w:tr>
    </w:tbl>
    <w:p w:rsidR="002C26C5" w:rsidRDefault="002C26C5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DF33B9" w:rsidRDefault="00DF33B9" w:rsidP="002C26C5">
      <w:pPr>
        <w:spacing w:after="0" w:line="240" w:lineRule="auto"/>
        <w:ind w:right="-544"/>
        <w:jc w:val="both"/>
        <w:rPr>
          <w:rFonts w:ascii="Times New Roman" w:hAnsi="Times New Roman" w:cs="Times New Roman"/>
          <w:sz w:val="20"/>
          <w:szCs w:val="20"/>
        </w:rPr>
      </w:pPr>
    </w:p>
    <w:p w:rsidR="000367AC" w:rsidRDefault="004A5583" w:rsidP="002C26C5">
      <w:pPr>
        <w:spacing w:after="0" w:line="240" w:lineRule="auto"/>
        <w:ind w:right="-544"/>
        <w:jc w:val="both"/>
      </w:pPr>
      <w:r w:rsidRPr="009D6C3E">
        <w:rPr>
          <w:rFonts w:ascii="Times New Roman" w:hAnsi="Times New Roman" w:cs="Times New Roman"/>
          <w:sz w:val="20"/>
          <w:szCs w:val="20"/>
        </w:rPr>
        <w:t xml:space="preserve">Lina Klingienė, tel. (8 5) 219 7050, faks. (85) 213 6213, el. p. </w:t>
      </w:r>
      <w:hyperlink r:id="rId9" w:history="1">
        <w:r w:rsidRPr="009D6C3E">
          <w:rPr>
            <w:rStyle w:val="Hipersaitas"/>
            <w:rFonts w:ascii="Times New Roman" w:hAnsi="Times New Roman" w:cs="Times New Roman"/>
            <w:color w:val="auto"/>
          </w:rPr>
          <w:t>Lina.Klingiene</w:t>
        </w:r>
        <w:r w:rsidRPr="009D6C3E">
          <w:rPr>
            <w:rStyle w:val="Hipersaitas"/>
            <w:rFonts w:ascii="Times New Roman" w:hAnsi="Times New Roman" w:cs="Times New Roman"/>
            <w:color w:val="auto"/>
            <w:lang w:val="en-GB"/>
          </w:rPr>
          <w:t>@</w:t>
        </w:r>
        <w:proofErr w:type="spellStart"/>
        <w:r w:rsidRPr="009D6C3E">
          <w:rPr>
            <w:rStyle w:val="Hipersaitas"/>
            <w:rFonts w:ascii="Times New Roman" w:hAnsi="Times New Roman" w:cs="Times New Roman"/>
            <w:color w:val="auto"/>
          </w:rPr>
          <w:t>vpt.lt</w:t>
        </w:r>
        <w:proofErr w:type="spellEnd"/>
      </w:hyperlink>
    </w:p>
    <w:sectPr w:rsidR="000367AC" w:rsidSect="00D82601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D3" w:rsidRDefault="003202D3" w:rsidP="004A5583">
      <w:pPr>
        <w:spacing w:after="0" w:line="240" w:lineRule="auto"/>
      </w:pPr>
      <w:r>
        <w:separator/>
      </w:r>
    </w:p>
  </w:endnote>
  <w:endnote w:type="continuationSeparator" w:id="0">
    <w:p w:rsidR="003202D3" w:rsidRDefault="003202D3" w:rsidP="004A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D3" w:rsidRDefault="003202D3" w:rsidP="004A5583">
      <w:pPr>
        <w:spacing w:after="0" w:line="240" w:lineRule="auto"/>
      </w:pPr>
      <w:r>
        <w:separator/>
      </w:r>
    </w:p>
  </w:footnote>
  <w:footnote w:type="continuationSeparator" w:id="0">
    <w:p w:rsidR="003202D3" w:rsidRDefault="003202D3" w:rsidP="004A5583">
      <w:pPr>
        <w:spacing w:after="0" w:line="240" w:lineRule="auto"/>
      </w:pPr>
      <w:r>
        <w:continuationSeparator/>
      </w:r>
    </w:p>
  </w:footnote>
  <w:footnote w:id="1">
    <w:p w:rsidR="00E54F21" w:rsidRPr="000A0D83" w:rsidRDefault="00E54F21" w:rsidP="000A0D83">
      <w:pPr>
        <w:pStyle w:val="Puslapioinaostekstas"/>
        <w:jc w:val="both"/>
        <w:rPr>
          <w:rFonts w:ascii="Times New Roman" w:hAnsi="Times New Roman" w:cs="Times New Roman"/>
        </w:rPr>
      </w:pPr>
      <w:r w:rsidRPr="000A0D83">
        <w:rPr>
          <w:rStyle w:val="Puslapioinaosnuoroda"/>
          <w:rFonts w:ascii="Times New Roman" w:hAnsi="Times New Roman" w:cs="Times New Roman"/>
        </w:rPr>
        <w:footnoteRef/>
      </w:r>
      <w:r w:rsidRPr="000A0D83">
        <w:rPr>
          <w:rFonts w:ascii="Times New Roman" w:hAnsi="Times New Roman" w:cs="Times New Roman"/>
        </w:rPr>
        <w:t xml:space="preserve"> </w:t>
      </w:r>
      <w:r w:rsidR="00F11612">
        <w:rPr>
          <w:rFonts w:ascii="Times New Roman" w:hAnsi="Times New Roman" w:cs="Times New Roman"/>
        </w:rPr>
        <w:t>„</w:t>
      </w:r>
      <w:r w:rsidRPr="000A0D83">
        <w:rPr>
          <w:rFonts w:ascii="Times New Roman" w:hAnsi="Times New Roman" w:cs="Times New Roman"/>
        </w:rPr>
        <w:t>Perkančioji organizacija užtikrina, kad vykdant pirkimą būtų laikomasi lygiateisiškumo, nediskriminavimo, abipusio pripažinimo, pr</w:t>
      </w:r>
      <w:r w:rsidR="00F11612">
        <w:rPr>
          <w:rFonts w:ascii="Times New Roman" w:hAnsi="Times New Roman" w:cs="Times New Roman"/>
        </w:rPr>
        <w:t>oporcingumo, skaidrumo principų“</w:t>
      </w:r>
    </w:p>
  </w:footnote>
  <w:footnote w:id="2">
    <w:p w:rsidR="00F11612" w:rsidRDefault="00F116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F11612">
        <w:rPr>
          <w:rFonts w:ascii="Times New Roman" w:hAnsi="Times New Roman" w:cs="Times New Roman"/>
        </w:rPr>
        <w:t>„Pagaminti Prekes iki 2017 m. gruodžio 29 d.“</w:t>
      </w:r>
    </w:p>
  </w:footnote>
  <w:footnote w:id="3">
    <w:p w:rsidR="00F11612" w:rsidRPr="00F11612" w:rsidRDefault="00F11612">
      <w:pPr>
        <w:pStyle w:val="Puslapioinaostekstas"/>
        <w:rPr>
          <w:rFonts w:ascii="Times New Roman" w:hAnsi="Times New Roman" w:cs="Times New Roman"/>
        </w:rPr>
      </w:pPr>
      <w:r w:rsidRPr="00F11612">
        <w:rPr>
          <w:rStyle w:val="Puslapioinaosnuoroda"/>
          <w:rFonts w:ascii="Times New Roman" w:hAnsi="Times New Roman" w:cs="Times New Roman"/>
        </w:rPr>
        <w:footnoteRef/>
      </w:r>
      <w:r w:rsidRPr="00F11612">
        <w:rPr>
          <w:rFonts w:ascii="Times New Roman" w:hAnsi="Times New Roman" w:cs="Times New Roman"/>
        </w:rPr>
        <w:t xml:space="preserve"> </w:t>
      </w:r>
      <w:r w:rsidRPr="00F11612">
        <w:rPr>
          <w:rFonts w:ascii="Times New Roman" w:hAnsi="Times New Roman" w:cs="Times New Roman"/>
        </w:rPr>
        <w:t>„Per 35 kalendorines dienas po Pirkėjo nurodymo pristatyti baldus į Pirkėjo nurodytas įstaigas ir surinkti juos“</w:t>
      </w:r>
    </w:p>
  </w:footnote>
  <w:footnote w:id="4">
    <w:p w:rsidR="00F11612" w:rsidRPr="00F11612" w:rsidRDefault="00F11612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„Pirkėjas įsipareigoja apmokėti Pardavėjo išrašytas sąskaitas – faktūras per 30 dienų nuo sąskaitų – faktūrų gavimo dienos“</w:t>
      </w:r>
    </w:p>
  </w:footnote>
  <w:footnote w:id="5">
    <w:p w:rsidR="00F11612" w:rsidRPr="00F11612" w:rsidRDefault="00F11612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„Prekės turi būti pagamintos ne vėliau kaip 4.1 punkte nurodytu terminu, pristatytos ne vėliau kaip 4.3 punkte nurodytu terminu“</w:t>
      </w:r>
    </w:p>
  </w:footnote>
  <w:footnote w:id="6">
    <w:p w:rsidR="000A0D83" w:rsidRPr="000A0D83" w:rsidRDefault="000A0D83" w:rsidP="000A0D83">
      <w:pPr>
        <w:pStyle w:val="Puslapioinaostekstas"/>
        <w:jc w:val="both"/>
        <w:rPr>
          <w:rFonts w:ascii="Times New Roman" w:hAnsi="Times New Roman" w:cs="Times New Roman"/>
        </w:rPr>
      </w:pPr>
      <w:r w:rsidRPr="000A0D83">
        <w:rPr>
          <w:rStyle w:val="Puslapioinaosnuoroda"/>
          <w:rFonts w:ascii="Times New Roman" w:hAnsi="Times New Roman" w:cs="Times New Roman"/>
        </w:rPr>
        <w:footnoteRef/>
      </w:r>
      <w:r w:rsidRPr="000A0D83">
        <w:rPr>
          <w:rFonts w:ascii="Times New Roman" w:hAnsi="Times New Roman" w:cs="Times New Roman"/>
        </w:rPr>
        <w:t xml:space="preserve"> </w:t>
      </w:r>
      <w:r w:rsidRPr="000A0D83">
        <w:rPr>
          <w:rFonts w:ascii="Times New Roman" w:hAnsi="Times New Roman" w:cs="Times New Roman"/>
        </w:rPr>
        <w:t>2017 m. gruodžio 19 d. Sąskaita išankstiniam apmokėjimui; gavimo žymos Nr. G-11965.</w:t>
      </w:r>
    </w:p>
  </w:footnote>
  <w:footnote w:id="7">
    <w:p w:rsidR="000A0D83" w:rsidRPr="000A0D83" w:rsidRDefault="000A0D83" w:rsidP="000A0D83">
      <w:pPr>
        <w:pStyle w:val="Puslapioinaostekstas"/>
        <w:jc w:val="both"/>
        <w:rPr>
          <w:rFonts w:ascii="Times New Roman" w:hAnsi="Times New Roman" w:cs="Times New Roman"/>
        </w:rPr>
      </w:pPr>
      <w:r w:rsidRPr="000A0D83">
        <w:rPr>
          <w:rStyle w:val="Puslapioinaosnuoroda"/>
          <w:rFonts w:ascii="Times New Roman" w:hAnsi="Times New Roman" w:cs="Times New Roman"/>
        </w:rPr>
        <w:footnoteRef/>
      </w:r>
      <w:r w:rsidRPr="000A0D83">
        <w:rPr>
          <w:rFonts w:ascii="Times New Roman" w:hAnsi="Times New Roman" w:cs="Times New Roman"/>
        </w:rPr>
        <w:t xml:space="preserve"> </w:t>
      </w:r>
      <w:r w:rsidRPr="000A0D83">
        <w:rPr>
          <w:rFonts w:ascii="Times New Roman" w:hAnsi="Times New Roman" w:cs="Times New Roman"/>
        </w:rPr>
        <w:t>2018 m. balandžio 23 d. Pirkimo vykdytojo išrašas iš Valstybės iždo mokėjimų pagal mokėjimo paraiškas; mokėjimo pavedimo Nr. VB1712220455485.</w:t>
      </w:r>
    </w:p>
  </w:footnote>
  <w:footnote w:id="8">
    <w:p w:rsidR="000A0D83" w:rsidRPr="000A0D83" w:rsidRDefault="000A0D83" w:rsidP="000A0D83">
      <w:pPr>
        <w:pStyle w:val="Puslapioinaostekstas"/>
        <w:jc w:val="both"/>
        <w:rPr>
          <w:rFonts w:ascii="Times New Roman" w:hAnsi="Times New Roman" w:cs="Times New Roman"/>
        </w:rPr>
      </w:pPr>
      <w:r w:rsidRPr="000A0D83">
        <w:rPr>
          <w:rStyle w:val="Puslapioinaosnuoroda"/>
          <w:rFonts w:ascii="Times New Roman" w:hAnsi="Times New Roman" w:cs="Times New Roman"/>
        </w:rPr>
        <w:footnoteRef/>
      </w:r>
      <w:r w:rsidRPr="000A0D83">
        <w:rPr>
          <w:rFonts w:ascii="Times New Roman" w:hAnsi="Times New Roman" w:cs="Times New Roman"/>
        </w:rPr>
        <w:t xml:space="preserve"> </w:t>
      </w:r>
      <w:r w:rsidRPr="000A0D83">
        <w:rPr>
          <w:rFonts w:ascii="Times New Roman" w:hAnsi="Times New Roman" w:cs="Times New Roman"/>
        </w:rPr>
        <w:t>UAB „Šiaulių Gilija“ 2017 m. gruodžio 29 d. PVM są</w:t>
      </w:r>
      <w:r w:rsidR="00F11612">
        <w:rPr>
          <w:rFonts w:ascii="Times New Roman" w:hAnsi="Times New Roman" w:cs="Times New Roman"/>
        </w:rPr>
        <w:t>sk</w:t>
      </w:r>
      <w:r w:rsidRPr="000A0D83">
        <w:rPr>
          <w:rFonts w:ascii="Times New Roman" w:hAnsi="Times New Roman" w:cs="Times New Roman"/>
        </w:rPr>
        <w:t>a</w:t>
      </w:r>
      <w:r w:rsidR="00F11612">
        <w:rPr>
          <w:rFonts w:ascii="Times New Roman" w:hAnsi="Times New Roman" w:cs="Times New Roman"/>
        </w:rPr>
        <w:t>i</w:t>
      </w:r>
      <w:r w:rsidRPr="000A0D83">
        <w:rPr>
          <w:rFonts w:ascii="Times New Roman" w:hAnsi="Times New Roman" w:cs="Times New Roman"/>
        </w:rPr>
        <w:t>ta faktūra Nr. 17464.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471687"/>
      <w:docPartObj>
        <w:docPartGallery w:val="Page Numbers (Top of Page)"/>
        <w:docPartUnique/>
      </w:docPartObj>
    </w:sdtPr>
    <w:sdtEndPr/>
    <w:sdtContent>
      <w:p w:rsidR="00D82601" w:rsidRDefault="00FB4F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4D">
          <w:rPr>
            <w:noProof/>
          </w:rPr>
          <w:t>3</w:t>
        </w:r>
        <w:r>
          <w:fldChar w:fldCharType="end"/>
        </w:r>
      </w:p>
    </w:sdtContent>
  </w:sdt>
  <w:p w:rsidR="00D82601" w:rsidRDefault="003202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543FF"/>
    <w:multiLevelType w:val="hybridMultilevel"/>
    <w:tmpl w:val="0FD4A81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83"/>
    <w:rsid w:val="00004610"/>
    <w:rsid w:val="00046FF4"/>
    <w:rsid w:val="000767AD"/>
    <w:rsid w:val="000A0D83"/>
    <w:rsid w:val="00186EF5"/>
    <w:rsid w:val="00257BAC"/>
    <w:rsid w:val="00263AC7"/>
    <w:rsid w:val="0029269C"/>
    <w:rsid w:val="00294536"/>
    <w:rsid w:val="002C26C5"/>
    <w:rsid w:val="00313BCB"/>
    <w:rsid w:val="003202D3"/>
    <w:rsid w:val="00351D71"/>
    <w:rsid w:val="003544D1"/>
    <w:rsid w:val="003924CE"/>
    <w:rsid w:val="003A5605"/>
    <w:rsid w:val="003D6F11"/>
    <w:rsid w:val="00406A8A"/>
    <w:rsid w:val="004534A6"/>
    <w:rsid w:val="0049494D"/>
    <w:rsid w:val="004A5583"/>
    <w:rsid w:val="00551A17"/>
    <w:rsid w:val="005732A3"/>
    <w:rsid w:val="005B712B"/>
    <w:rsid w:val="005C0CBC"/>
    <w:rsid w:val="005D1CAC"/>
    <w:rsid w:val="005F2202"/>
    <w:rsid w:val="00695E46"/>
    <w:rsid w:val="006A6943"/>
    <w:rsid w:val="006F5FF2"/>
    <w:rsid w:val="0072639A"/>
    <w:rsid w:val="00733150"/>
    <w:rsid w:val="00815AC5"/>
    <w:rsid w:val="00837D43"/>
    <w:rsid w:val="00844ED6"/>
    <w:rsid w:val="00846E70"/>
    <w:rsid w:val="00880FC2"/>
    <w:rsid w:val="00887EE5"/>
    <w:rsid w:val="008C0A7D"/>
    <w:rsid w:val="008D2715"/>
    <w:rsid w:val="008D4260"/>
    <w:rsid w:val="008D5234"/>
    <w:rsid w:val="00935CCC"/>
    <w:rsid w:val="00937723"/>
    <w:rsid w:val="009777BC"/>
    <w:rsid w:val="009F6AE1"/>
    <w:rsid w:val="00A337EF"/>
    <w:rsid w:val="00A624CA"/>
    <w:rsid w:val="00A7464C"/>
    <w:rsid w:val="00A83254"/>
    <w:rsid w:val="00AC7664"/>
    <w:rsid w:val="00AF48AD"/>
    <w:rsid w:val="00BC4C83"/>
    <w:rsid w:val="00BF173E"/>
    <w:rsid w:val="00C2173E"/>
    <w:rsid w:val="00C34E6F"/>
    <w:rsid w:val="00C6019D"/>
    <w:rsid w:val="00CB6430"/>
    <w:rsid w:val="00D30C6D"/>
    <w:rsid w:val="00DF33B9"/>
    <w:rsid w:val="00E04D1B"/>
    <w:rsid w:val="00E10C6B"/>
    <w:rsid w:val="00E1433E"/>
    <w:rsid w:val="00E37E39"/>
    <w:rsid w:val="00E42F07"/>
    <w:rsid w:val="00E52A0E"/>
    <w:rsid w:val="00E54F21"/>
    <w:rsid w:val="00F11612"/>
    <w:rsid w:val="00F561C7"/>
    <w:rsid w:val="00F7312B"/>
    <w:rsid w:val="00F94C7D"/>
    <w:rsid w:val="00FB4F9F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B32E2-C3E9-416D-A474-B156D32B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558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4A558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A5583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5583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4A5583"/>
    <w:rPr>
      <w:vertAlign w:val="superscript"/>
    </w:rPr>
  </w:style>
  <w:style w:type="table" w:styleId="Lentelstinklelis">
    <w:name w:val="Table Grid"/>
    <w:basedOn w:val="prastojilentel"/>
    <w:uiPriority w:val="39"/>
    <w:rsid w:val="004A55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4A5583"/>
    <w:rPr>
      <w:strike w:val="0"/>
      <w:dstrike w:val="0"/>
      <w:color w:val="6E717F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4A5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5583"/>
  </w:style>
  <w:style w:type="paragraph" w:customStyle="1" w:styleId="centrbold">
    <w:name w:val="centrbold"/>
    <w:basedOn w:val="prastasis"/>
    <w:rsid w:val="004A5583"/>
    <w:pPr>
      <w:autoSpaceDE w:val="0"/>
      <w:autoSpaceDN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57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4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4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8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na.Klingiene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E576-3B5E-415C-965A-023EAAB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40</cp:revision>
  <cp:lastPrinted>2018-05-14T06:50:00Z</cp:lastPrinted>
  <dcterms:created xsi:type="dcterms:W3CDTF">2018-04-17T06:44:00Z</dcterms:created>
  <dcterms:modified xsi:type="dcterms:W3CDTF">2018-05-14T12:59:00Z</dcterms:modified>
</cp:coreProperties>
</file>