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DB5BD" w14:textId="77777777" w:rsidR="00355E37" w:rsidRDefault="00355E37" w:rsidP="00355E37">
      <w:pPr>
        <w:suppressAutoHyphens/>
        <w:textAlignment w:val="center"/>
        <w:rPr>
          <w:rFonts w:eastAsia="Calibri"/>
          <w:b/>
          <w:szCs w:val="24"/>
        </w:rPr>
      </w:pPr>
    </w:p>
    <w:p w14:paraId="54C1E6D4" w14:textId="77777777" w:rsidR="00355E37" w:rsidRDefault="00355E37" w:rsidP="00355E37">
      <w:pPr>
        <w:spacing w:line="254" w:lineRule="auto"/>
        <w:ind w:right="49"/>
        <w:jc w:val="center"/>
        <w:rPr>
          <w:b/>
          <w:szCs w:val="24"/>
        </w:rPr>
      </w:pPr>
      <w:r>
        <w:rPr>
          <w:rFonts w:eastAsia="Calibri"/>
          <w:noProof/>
          <w:szCs w:val="24"/>
          <w:lang w:eastAsia="lt-LT"/>
        </w:rPr>
        <w:drawing>
          <wp:inline distT="0" distB="0" distL="0" distR="0" wp14:anchorId="1757B0A5" wp14:editId="1A20771F">
            <wp:extent cx="561975" cy="5619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2DC144AF" w14:textId="77777777" w:rsidR="00355E37" w:rsidRDefault="00355E37" w:rsidP="00355E37">
      <w:pPr>
        <w:spacing w:line="254" w:lineRule="auto"/>
        <w:ind w:right="49"/>
        <w:jc w:val="center"/>
        <w:rPr>
          <w:b/>
          <w:szCs w:val="24"/>
        </w:rPr>
      </w:pPr>
    </w:p>
    <w:p w14:paraId="6A74B61A" w14:textId="77777777" w:rsidR="00355E37" w:rsidRPr="00F64AD0" w:rsidRDefault="00355E37" w:rsidP="00355E37">
      <w:pPr>
        <w:tabs>
          <w:tab w:val="left" w:pos="709"/>
        </w:tabs>
        <w:spacing w:line="259" w:lineRule="auto"/>
        <w:ind w:right="3" w:firstLine="426"/>
        <w:jc w:val="center"/>
        <w:rPr>
          <w:szCs w:val="24"/>
        </w:rPr>
      </w:pPr>
      <w:r w:rsidRPr="00F64AD0">
        <w:rPr>
          <w:b/>
          <w:szCs w:val="24"/>
        </w:rPr>
        <w:t>VIEŠŲJŲ PIRKIMŲ TARNYBA</w:t>
      </w:r>
    </w:p>
    <w:p w14:paraId="1A7AFD0E" w14:textId="77777777" w:rsidR="00355E37" w:rsidRDefault="00355E37" w:rsidP="00355E37">
      <w:pPr>
        <w:spacing w:line="254" w:lineRule="auto"/>
        <w:ind w:right="49"/>
        <w:rPr>
          <w:b/>
          <w:szCs w:val="24"/>
        </w:rPr>
      </w:pPr>
    </w:p>
    <w:p w14:paraId="7B4AD45B" w14:textId="77777777" w:rsidR="00355E37" w:rsidRDefault="00355E37" w:rsidP="00355E37">
      <w:pPr>
        <w:rPr>
          <w:sz w:val="14"/>
          <w:szCs w:val="14"/>
        </w:rPr>
      </w:pPr>
    </w:p>
    <w:tbl>
      <w:tblPr>
        <w:tblW w:w="12060" w:type="dxa"/>
        <w:tblInd w:w="-142" w:type="dxa"/>
        <w:tblLayout w:type="fixed"/>
        <w:tblLook w:val="0000" w:firstRow="0" w:lastRow="0" w:firstColumn="0" w:lastColumn="0" w:noHBand="0" w:noVBand="0"/>
      </w:tblPr>
      <w:tblGrid>
        <w:gridCol w:w="5387"/>
        <w:gridCol w:w="1559"/>
        <w:gridCol w:w="567"/>
        <w:gridCol w:w="4547"/>
      </w:tblGrid>
      <w:tr w:rsidR="00355E37" w:rsidRPr="00F86BCF" w14:paraId="4319661E" w14:textId="77777777" w:rsidTr="00693521">
        <w:trPr>
          <w:cantSplit/>
          <w:trHeight w:val="2459"/>
        </w:trPr>
        <w:tc>
          <w:tcPr>
            <w:tcW w:w="5387" w:type="dxa"/>
          </w:tcPr>
          <w:p w14:paraId="00C191D6" w14:textId="77777777" w:rsidR="00355E37" w:rsidRPr="006063E8" w:rsidRDefault="00355E37" w:rsidP="00693521">
            <w:pPr>
              <w:shd w:val="clear" w:color="auto" w:fill="FFFFFF"/>
              <w:spacing w:line="300" w:lineRule="atLeast"/>
              <w:rPr>
                <w:rFonts w:ascii="Calibri" w:hAnsi="Calibri" w:cs="Calibri"/>
                <w:szCs w:val="24"/>
                <w:lang w:eastAsia="lt-LT"/>
              </w:rPr>
            </w:pPr>
          </w:p>
          <w:p w14:paraId="1D046C14" w14:textId="0398049F" w:rsidR="00355E37" w:rsidRPr="0018233B" w:rsidRDefault="0037733C" w:rsidP="00693521">
            <w:pPr>
              <w:shd w:val="clear" w:color="auto" w:fill="FFFFFF"/>
              <w:spacing w:line="300" w:lineRule="atLeast"/>
              <w:rPr>
                <w:szCs w:val="24"/>
                <w:lang w:eastAsia="lt-LT"/>
              </w:rPr>
            </w:pPr>
            <w:r>
              <w:rPr>
                <w:szCs w:val="24"/>
                <w:lang w:eastAsia="lt-LT"/>
              </w:rPr>
              <w:t>AB Vilniaus šilumos tinkla</w:t>
            </w:r>
            <w:r w:rsidR="00CB34F3">
              <w:rPr>
                <w:szCs w:val="24"/>
                <w:lang w:eastAsia="lt-LT"/>
              </w:rPr>
              <w:t>ms</w:t>
            </w:r>
          </w:p>
          <w:p w14:paraId="4DB2EA9F" w14:textId="27995FFB" w:rsidR="00355E37" w:rsidRPr="0018233B" w:rsidRDefault="0037733C" w:rsidP="00693521">
            <w:pPr>
              <w:shd w:val="clear" w:color="auto" w:fill="FFFFFF"/>
              <w:spacing w:line="300" w:lineRule="atLeast"/>
              <w:rPr>
                <w:szCs w:val="24"/>
                <w:lang w:eastAsia="lt-LT"/>
              </w:rPr>
            </w:pPr>
            <w:r>
              <w:rPr>
                <w:szCs w:val="24"/>
                <w:lang w:eastAsia="lt-LT"/>
              </w:rPr>
              <w:t>Spaudos g. 6-1</w:t>
            </w:r>
            <w:r w:rsidR="00355E37" w:rsidRPr="0018233B">
              <w:rPr>
                <w:szCs w:val="24"/>
                <w:lang w:eastAsia="lt-LT"/>
              </w:rPr>
              <w:t>,</w:t>
            </w:r>
          </w:p>
          <w:p w14:paraId="63DFB34F" w14:textId="77F65457" w:rsidR="00355E37" w:rsidRPr="004E47B2" w:rsidRDefault="0037733C" w:rsidP="00693521">
            <w:pPr>
              <w:shd w:val="clear" w:color="auto" w:fill="FFFFFF"/>
              <w:spacing w:line="300" w:lineRule="atLeast"/>
              <w:rPr>
                <w:szCs w:val="24"/>
                <w:lang w:eastAsia="lt-LT"/>
              </w:rPr>
            </w:pPr>
            <w:r>
              <w:rPr>
                <w:szCs w:val="24"/>
                <w:lang w:eastAsia="lt-LT"/>
              </w:rPr>
              <w:t>05132 Vilnius</w:t>
            </w:r>
          </w:p>
          <w:p w14:paraId="17EEC241" w14:textId="305BD131" w:rsidR="00355E37" w:rsidRDefault="00355E37" w:rsidP="00693521">
            <w:pPr>
              <w:rPr>
                <w:rStyle w:val="Hyperlink"/>
                <w:color w:val="auto"/>
                <w:szCs w:val="24"/>
              </w:rPr>
            </w:pPr>
            <w:r w:rsidRPr="004E47B2">
              <w:rPr>
                <w:szCs w:val="24"/>
              </w:rPr>
              <w:t xml:space="preserve">El. p. </w:t>
            </w:r>
            <w:r w:rsidR="0037733C">
              <w:rPr>
                <w:szCs w:val="24"/>
                <w:u w:val="single"/>
              </w:rPr>
              <w:t>info</w:t>
            </w:r>
            <w:hyperlink r:id="rId9" w:history="1">
              <w:r w:rsidRPr="004E47B2">
                <w:rPr>
                  <w:rStyle w:val="Hyperlink"/>
                  <w:color w:val="auto"/>
                  <w:szCs w:val="24"/>
                </w:rPr>
                <w:t>@</w:t>
              </w:r>
              <w:r w:rsidR="0037733C">
                <w:rPr>
                  <w:rStyle w:val="Hyperlink"/>
                  <w:color w:val="auto"/>
                  <w:szCs w:val="24"/>
                </w:rPr>
                <w:t>chc</w:t>
              </w:r>
              <w:r w:rsidRPr="004E47B2">
                <w:rPr>
                  <w:rStyle w:val="Hyperlink"/>
                  <w:color w:val="auto"/>
                  <w:szCs w:val="24"/>
                </w:rPr>
                <w:t>.lt</w:t>
              </w:r>
            </w:hyperlink>
          </w:p>
          <w:p w14:paraId="3D9F0850" w14:textId="642AD922" w:rsidR="00355E37" w:rsidRPr="004E47B2" w:rsidRDefault="00355E37" w:rsidP="00693521">
            <w:pPr>
              <w:rPr>
                <w:szCs w:val="24"/>
                <w:u w:val="single"/>
              </w:rPr>
            </w:pPr>
          </w:p>
          <w:p w14:paraId="190EB098" w14:textId="77777777" w:rsidR="00355E37" w:rsidRPr="006063E8" w:rsidRDefault="00355E37" w:rsidP="00693521">
            <w:pPr>
              <w:rPr>
                <w:rStyle w:val="Hyperlink"/>
                <w:color w:val="auto"/>
                <w:szCs w:val="24"/>
                <w:u w:val="none"/>
                <w:lang w:eastAsia="lt-LT"/>
              </w:rPr>
            </w:pPr>
            <w:r w:rsidRPr="006063E8">
              <w:rPr>
                <w:rStyle w:val="Hyperlink"/>
                <w:color w:val="auto"/>
                <w:szCs w:val="24"/>
                <w:u w:val="none"/>
                <w:lang w:eastAsia="lt-LT"/>
              </w:rPr>
              <w:t>Lietuvos Respublikos finansų ministerijai</w:t>
            </w:r>
          </w:p>
          <w:p w14:paraId="63996E4A" w14:textId="77777777" w:rsidR="00355E37" w:rsidRPr="006063E8" w:rsidRDefault="00355E37" w:rsidP="00693521">
            <w:pPr>
              <w:rPr>
                <w:szCs w:val="24"/>
              </w:rPr>
            </w:pPr>
            <w:r w:rsidRPr="006063E8">
              <w:rPr>
                <w:szCs w:val="24"/>
              </w:rPr>
              <w:t xml:space="preserve">Lukiškių g. 2, </w:t>
            </w:r>
          </w:p>
          <w:p w14:paraId="1028FA22" w14:textId="77777777" w:rsidR="00355E37" w:rsidRDefault="00355E37" w:rsidP="00693521">
            <w:pPr>
              <w:rPr>
                <w:rStyle w:val="Hyperlink"/>
                <w:color w:val="auto"/>
                <w:u w:val="none"/>
                <w:lang w:eastAsia="lt-LT"/>
              </w:rPr>
            </w:pPr>
            <w:r w:rsidRPr="006063E8">
              <w:rPr>
                <w:szCs w:val="24"/>
              </w:rPr>
              <w:t>01512 Vilnius</w:t>
            </w:r>
          </w:p>
          <w:p w14:paraId="0F109763" w14:textId="77777777" w:rsidR="00355E37" w:rsidRDefault="00355E37" w:rsidP="00693521">
            <w:pPr>
              <w:ind w:right="-143"/>
              <w:rPr>
                <w:szCs w:val="24"/>
              </w:rPr>
            </w:pPr>
            <w:r w:rsidRPr="006063E8">
              <w:rPr>
                <w:szCs w:val="24"/>
              </w:rPr>
              <w:t xml:space="preserve">El. p. </w:t>
            </w:r>
            <w:r w:rsidRPr="00E6607B">
              <w:rPr>
                <w:szCs w:val="24"/>
                <w:u w:val="single"/>
              </w:rPr>
              <w:t>finmin@finmin.lt</w:t>
            </w:r>
            <w:r w:rsidRPr="006063E8">
              <w:rPr>
                <w:szCs w:val="24"/>
              </w:rPr>
              <w:t xml:space="preserve"> </w:t>
            </w:r>
          </w:p>
          <w:p w14:paraId="0A8C6AD0" w14:textId="77777777" w:rsidR="00355E37" w:rsidRPr="004E47B2" w:rsidRDefault="00355E37" w:rsidP="00693521">
            <w:pPr>
              <w:rPr>
                <w:rStyle w:val="Hyperlink"/>
                <w:color w:val="auto"/>
                <w:u w:val="none"/>
                <w:lang w:eastAsia="lt-LT"/>
              </w:rPr>
            </w:pPr>
          </w:p>
          <w:p w14:paraId="47EA69BB" w14:textId="2AC610BE" w:rsidR="00355E37" w:rsidRPr="006C75CC" w:rsidRDefault="005D2CA5" w:rsidP="00693521">
            <w:pPr>
              <w:rPr>
                <w:szCs w:val="24"/>
              </w:rPr>
            </w:pPr>
            <w:r>
              <w:rPr>
                <w:szCs w:val="24"/>
              </w:rPr>
              <w:t xml:space="preserve">VšĮ </w:t>
            </w:r>
            <w:r w:rsidR="0037733C">
              <w:rPr>
                <w:szCs w:val="24"/>
              </w:rPr>
              <w:t>Inovacijų</w:t>
            </w:r>
            <w:r w:rsidR="00355E37" w:rsidRPr="006C75CC">
              <w:rPr>
                <w:szCs w:val="24"/>
              </w:rPr>
              <w:t xml:space="preserve"> agentūrai</w:t>
            </w:r>
          </w:p>
          <w:p w14:paraId="06E6FF4F" w14:textId="3F075B53" w:rsidR="00355E37" w:rsidRPr="005E3434" w:rsidRDefault="0037733C" w:rsidP="00693521">
            <w:pPr>
              <w:rPr>
                <w:szCs w:val="24"/>
                <w:shd w:val="clear" w:color="auto" w:fill="FFFFFF"/>
              </w:rPr>
            </w:pPr>
            <w:r w:rsidRPr="005E3434">
              <w:rPr>
                <w:szCs w:val="24"/>
                <w:shd w:val="clear" w:color="auto" w:fill="FFFFFF"/>
              </w:rPr>
              <w:t xml:space="preserve">J. Balčikonio </w:t>
            </w:r>
            <w:r w:rsidR="00355E37" w:rsidRPr="005E3434">
              <w:rPr>
                <w:szCs w:val="24"/>
                <w:shd w:val="clear" w:color="auto" w:fill="FFFFFF"/>
              </w:rPr>
              <w:t>g. 3,</w:t>
            </w:r>
          </w:p>
          <w:p w14:paraId="66DD1B0A" w14:textId="49D697E4" w:rsidR="00355E37" w:rsidRPr="005E3434" w:rsidRDefault="00355E37" w:rsidP="00693521">
            <w:pPr>
              <w:rPr>
                <w:szCs w:val="24"/>
                <w:shd w:val="clear" w:color="auto" w:fill="FFFFFF"/>
              </w:rPr>
            </w:pPr>
            <w:r w:rsidRPr="005E3434">
              <w:rPr>
                <w:szCs w:val="24"/>
                <w:shd w:val="clear" w:color="auto" w:fill="FFFFFF"/>
              </w:rPr>
              <w:t>0</w:t>
            </w:r>
            <w:r w:rsidR="0037733C" w:rsidRPr="005E3434">
              <w:rPr>
                <w:szCs w:val="24"/>
                <w:shd w:val="clear" w:color="auto" w:fill="FFFFFF"/>
              </w:rPr>
              <w:t>8247</w:t>
            </w:r>
            <w:r w:rsidRPr="005E3434">
              <w:rPr>
                <w:szCs w:val="24"/>
                <w:shd w:val="clear" w:color="auto" w:fill="FFFFFF"/>
              </w:rPr>
              <w:t xml:space="preserve"> Vilnius</w:t>
            </w:r>
          </w:p>
          <w:p w14:paraId="4B634851" w14:textId="254332B6" w:rsidR="00355E37" w:rsidRDefault="00355E37" w:rsidP="00693521">
            <w:pPr>
              <w:rPr>
                <w:rStyle w:val="Hyperlink"/>
                <w:color w:val="auto"/>
                <w:szCs w:val="24"/>
              </w:rPr>
            </w:pPr>
            <w:r w:rsidRPr="00E6607B">
              <w:rPr>
                <w:szCs w:val="24"/>
              </w:rPr>
              <w:t xml:space="preserve">El. p. </w:t>
            </w:r>
            <w:r w:rsidRPr="006C75CC">
              <w:rPr>
                <w:szCs w:val="24"/>
                <w:u w:val="single"/>
              </w:rPr>
              <w:t>info</w:t>
            </w:r>
            <w:hyperlink r:id="rId10" w:history="1">
              <w:r w:rsidRPr="006C75CC">
                <w:rPr>
                  <w:rStyle w:val="Hyperlink"/>
                  <w:color w:val="auto"/>
                  <w:szCs w:val="24"/>
                </w:rPr>
                <w:t>@</w:t>
              </w:r>
              <w:r w:rsidR="0037733C">
                <w:rPr>
                  <w:rStyle w:val="Hyperlink"/>
                  <w:color w:val="auto"/>
                  <w:szCs w:val="24"/>
                </w:rPr>
                <w:t>inovacijuagentura</w:t>
              </w:r>
              <w:r w:rsidRPr="006C75CC">
                <w:rPr>
                  <w:rStyle w:val="Hyperlink"/>
                  <w:color w:val="auto"/>
                  <w:szCs w:val="24"/>
                </w:rPr>
                <w:t>.lt</w:t>
              </w:r>
            </w:hyperlink>
          </w:p>
          <w:p w14:paraId="1DFD3CFF" w14:textId="2584C915" w:rsidR="00CB1B08" w:rsidRDefault="00CB1B08" w:rsidP="00693521">
            <w:pPr>
              <w:rPr>
                <w:rStyle w:val="Hyperlink"/>
              </w:rPr>
            </w:pPr>
          </w:p>
          <w:p w14:paraId="7222E286" w14:textId="277B46ED" w:rsidR="00CB1B08" w:rsidRPr="005E3434" w:rsidRDefault="00CB1B08" w:rsidP="00693521">
            <w:pPr>
              <w:rPr>
                <w:rStyle w:val="Hyperlink"/>
                <w:color w:val="auto"/>
                <w:u w:val="none"/>
              </w:rPr>
            </w:pPr>
            <w:r w:rsidRPr="005E3434">
              <w:rPr>
                <w:rStyle w:val="Hyperlink"/>
                <w:color w:val="auto"/>
                <w:u w:val="none"/>
              </w:rPr>
              <w:t>Vi</w:t>
            </w:r>
            <w:r w:rsidR="00BB767E" w:rsidRPr="005E3434">
              <w:rPr>
                <w:rStyle w:val="Hyperlink"/>
                <w:color w:val="auto"/>
                <w:u w:val="none"/>
              </w:rPr>
              <w:t>lniaus miesto savivaldybės administracijai</w:t>
            </w:r>
          </w:p>
          <w:p w14:paraId="3F5CB90E" w14:textId="3A91F3BB" w:rsidR="00BB767E" w:rsidRPr="005E3434" w:rsidRDefault="00D42317" w:rsidP="00693521">
            <w:pPr>
              <w:rPr>
                <w:rStyle w:val="Hyperlink"/>
                <w:color w:val="auto"/>
                <w:u w:val="none"/>
              </w:rPr>
            </w:pPr>
            <w:r w:rsidRPr="005E3434">
              <w:rPr>
                <w:rStyle w:val="Hyperlink"/>
                <w:color w:val="auto"/>
                <w:u w:val="none"/>
              </w:rPr>
              <w:t>Konstitucijos pr. 3</w:t>
            </w:r>
          </w:p>
          <w:p w14:paraId="3E169E47" w14:textId="0AA278D2" w:rsidR="00D42317" w:rsidRPr="005E3434" w:rsidRDefault="00D42317" w:rsidP="00693521">
            <w:pPr>
              <w:rPr>
                <w:rStyle w:val="Hyperlink"/>
                <w:color w:val="auto"/>
                <w:u w:val="none"/>
              </w:rPr>
            </w:pPr>
            <w:r w:rsidRPr="005E3434">
              <w:rPr>
                <w:rStyle w:val="Hyperlink"/>
                <w:color w:val="auto"/>
                <w:u w:val="none"/>
              </w:rPr>
              <w:t>09601 Vilnius</w:t>
            </w:r>
          </w:p>
          <w:p w14:paraId="1601D573" w14:textId="31DEC58F" w:rsidR="005E3434" w:rsidRPr="005E3434" w:rsidRDefault="005E3434" w:rsidP="00693521">
            <w:pPr>
              <w:rPr>
                <w:szCs w:val="24"/>
                <w:u w:val="single"/>
              </w:rPr>
            </w:pPr>
            <w:r w:rsidRPr="005E3434">
              <w:rPr>
                <w:rStyle w:val="Hyperlink"/>
                <w:color w:val="auto"/>
              </w:rPr>
              <w:t>El. p. savivaldybe@vilnius.lt</w:t>
            </w:r>
          </w:p>
          <w:p w14:paraId="3ADA24AB" w14:textId="77777777" w:rsidR="00355E37" w:rsidRPr="006C75CC" w:rsidRDefault="00355E37" w:rsidP="00693521">
            <w:pPr>
              <w:rPr>
                <w:szCs w:val="24"/>
              </w:rPr>
            </w:pPr>
          </w:p>
          <w:p w14:paraId="5DBD7468" w14:textId="77777777" w:rsidR="00355E37" w:rsidRPr="00A17551" w:rsidRDefault="00355E37" w:rsidP="00693521">
            <w:pPr>
              <w:rPr>
                <w:szCs w:val="24"/>
              </w:rPr>
            </w:pPr>
          </w:p>
        </w:tc>
        <w:tc>
          <w:tcPr>
            <w:tcW w:w="1559" w:type="dxa"/>
          </w:tcPr>
          <w:p w14:paraId="4827B424" w14:textId="77777777" w:rsidR="00355E37" w:rsidRPr="001C329F" w:rsidRDefault="00355E37" w:rsidP="00693521">
            <w:pPr>
              <w:ind w:firstLine="324"/>
              <w:rPr>
                <w:szCs w:val="24"/>
              </w:rPr>
            </w:pPr>
          </w:p>
          <w:p w14:paraId="3636944F" w14:textId="1A4F7926" w:rsidR="00355E37" w:rsidRPr="001C329F" w:rsidRDefault="00355E37" w:rsidP="00693521">
            <w:pPr>
              <w:ind w:left="-1330" w:firstLine="1330"/>
              <w:rPr>
                <w:szCs w:val="24"/>
              </w:rPr>
            </w:pPr>
            <w:r w:rsidRPr="001C329F">
              <w:rPr>
                <w:szCs w:val="24"/>
              </w:rPr>
              <w:t>202</w:t>
            </w:r>
            <w:r>
              <w:rPr>
                <w:szCs w:val="24"/>
              </w:rPr>
              <w:t>3</w:t>
            </w:r>
            <w:r w:rsidRPr="001C329F">
              <w:rPr>
                <w:szCs w:val="24"/>
              </w:rPr>
              <w:t>-</w:t>
            </w:r>
            <w:r>
              <w:rPr>
                <w:szCs w:val="24"/>
              </w:rPr>
              <w:t>0</w:t>
            </w:r>
            <w:r w:rsidR="00FB7044">
              <w:rPr>
                <w:szCs w:val="24"/>
              </w:rPr>
              <w:t>2</w:t>
            </w:r>
            <w:r w:rsidR="004D0917">
              <w:rPr>
                <w:szCs w:val="24"/>
              </w:rPr>
              <w:t>-</w:t>
            </w:r>
            <w:r w:rsidR="005D032A">
              <w:rPr>
                <w:szCs w:val="24"/>
              </w:rPr>
              <w:t>09</w:t>
            </w:r>
          </w:p>
          <w:p w14:paraId="66E45C42" w14:textId="3D01BC51" w:rsidR="00355E37" w:rsidRDefault="00355E37" w:rsidP="00693521">
            <w:pPr>
              <w:ind w:right="-108"/>
              <w:rPr>
                <w:szCs w:val="24"/>
              </w:rPr>
            </w:pPr>
            <w:r>
              <w:rPr>
                <w:szCs w:val="24"/>
              </w:rPr>
              <w:t>Į 202</w:t>
            </w:r>
            <w:r w:rsidR="0037733C">
              <w:rPr>
                <w:szCs w:val="24"/>
              </w:rPr>
              <w:t>3-01-</w:t>
            </w:r>
            <w:r w:rsidR="004D0917">
              <w:rPr>
                <w:szCs w:val="24"/>
              </w:rPr>
              <w:t>17</w:t>
            </w:r>
          </w:p>
          <w:p w14:paraId="61B44DB4" w14:textId="77777777" w:rsidR="00355E37" w:rsidRDefault="00355E37" w:rsidP="00693521">
            <w:pPr>
              <w:ind w:right="-108"/>
              <w:rPr>
                <w:szCs w:val="24"/>
              </w:rPr>
            </w:pPr>
          </w:p>
          <w:p w14:paraId="5D15EAA6" w14:textId="77777777" w:rsidR="00355E37" w:rsidRDefault="00355E37" w:rsidP="00693521">
            <w:pPr>
              <w:ind w:right="-108"/>
              <w:rPr>
                <w:szCs w:val="24"/>
              </w:rPr>
            </w:pPr>
          </w:p>
          <w:p w14:paraId="2CD7D09A" w14:textId="77777777" w:rsidR="00355E37" w:rsidRPr="001C329F" w:rsidRDefault="00355E37" w:rsidP="00693521">
            <w:pPr>
              <w:ind w:right="-108"/>
              <w:rPr>
                <w:szCs w:val="24"/>
              </w:rPr>
            </w:pPr>
          </w:p>
          <w:p w14:paraId="6E6A65CE" w14:textId="77777777" w:rsidR="00355E37" w:rsidRPr="001C329F" w:rsidRDefault="00355E37" w:rsidP="00693521">
            <w:pPr>
              <w:rPr>
                <w:szCs w:val="24"/>
              </w:rPr>
            </w:pPr>
            <w:r w:rsidRPr="001C329F">
              <w:rPr>
                <w:szCs w:val="24"/>
              </w:rPr>
              <w:t>Į 2022-</w:t>
            </w:r>
            <w:r>
              <w:rPr>
                <w:szCs w:val="24"/>
              </w:rPr>
              <w:t>10-10</w:t>
            </w:r>
          </w:p>
          <w:p w14:paraId="02D08314" w14:textId="77777777" w:rsidR="00355E37" w:rsidRPr="001C329F" w:rsidRDefault="00355E37" w:rsidP="00693521">
            <w:pPr>
              <w:ind w:right="-108"/>
              <w:rPr>
                <w:szCs w:val="24"/>
              </w:rPr>
            </w:pPr>
          </w:p>
          <w:p w14:paraId="144157D5" w14:textId="77777777" w:rsidR="00355E37" w:rsidRPr="001C329F" w:rsidRDefault="00355E37" w:rsidP="00693521">
            <w:pPr>
              <w:ind w:right="-108"/>
              <w:rPr>
                <w:szCs w:val="24"/>
              </w:rPr>
            </w:pPr>
          </w:p>
          <w:p w14:paraId="29D33763" w14:textId="77777777" w:rsidR="00355E37" w:rsidRPr="001C329F" w:rsidRDefault="00355E37" w:rsidP="00693521">
            <w:pPr>
              <w:ind w:right="-108"/>
              <w:rPr>
                <w:szCs w:val="24"/>
              </w:rPr>
            </w:pPr>
          </w:p>
        </w:tc>
        <w:tc>
          <w:tcPr>
            <w:tcW w:w="567" w:type="dxa"/>
          </w:tcPr>
          <w:p w14:paraId="27009381" w14:textId="77777777" w:rsidR="00355E37" w:rsidRPr="001C329F" w:rsidRDefault="00355E37" w:rsidP="00693521">
            <w:pPr>
              <w:ind w:right="-108"/>
              <w:rPr>
                <w:szCs w:val="24"/>
              </w:rPr>
            </w:pPr>
          </w:p>
          <w:p w14:paraId="5C277ABA" w14:textId="77777777" w:rsidR="00355E37" w:rsidRPr="001C329F" w:rsidRDefault="00355E37" w:rsidP="00693521">
            <w:pPr>
              <w:ind w:left="-108" w:right="-108"/>
              <w:rPr>
                <w:szCs w:val="24"/>
              </w:rPr>
            </w:pPr>
            <w:r w:rsidRPr="001C329F">
              <w:rPr>
                <w:szCs w:val="24"/>
              </w:rPr>
              <w:t>Nr.</w:t>
            </w:r>
          </w:p>
          <w:p w14:paraId="719C1A9E" w14:textId="77777777" w:rsidR="00355E37" w:rsidRPr="001C329F" w:rsidRDefault="00355E37" w:rsidP="00693521">
            <w:pPr>
              <w:ind w:left="-108" w:right="-108"/>
              <w:rPr>
                <w:szCs w:val="24"/>
              </w:rPr>
            </w:pPr>
            <w:r w:rsidRPr="001C329F">
              <w:rPr>
                <w:szCs w:val="24"/>
              </w:rPr>
              <w:t>Nr.</w:t>
            </w:r>
          </w:p>
          <w:p w14:paraId="0CB61291" w14:textId="77777777" w:rsidR="00355E37" w:rsidRPr="001C329F" w:rsidRDefault="00355E37" w:rsidP="00693521">
            <w:pPr>
              <w:ind w:left="-108" w:right="-108"/>
              <w:rPr>
                <w:szCs w:val="24"/>
              </w:rPr>
            </w:pPr>
          </w:p>
          <w:p w14:paraId="3FF2FF32" w14:textId="77777777" w:rsidR="00355E37" w:rsidRDefault="00355E37" w:rsidP="00693521">
            <w:pPr>
              <w:ind w:right="-108"/>
              <w:rPr>
                <w:szCs w:val="24"/>
              </w:rPr>
            </w:pPr>
          </w:p>
          <w:p w14:paraId="6834F5AE" w14:textId="77777777" w:rsidR="00355E37" w:rsidRDefault="00355E37" w:rsidP="00693521">
            <w:pPr>
              <w:ind w:right="-108"/>
              <w:rPr>
                <w:szCs w:val="24"/>
              </w:rPr>
            </w:pPr>
          </w:p>
          <w:p w14:paraId="52C21037" w14:textId="77777777" w:rsidR="00355E37" w:rsidRPr="001C329F" w:rsidRDefault="00355E37" w:rsidP="00693521">
            <w:pPr>
              <w:ind w:left="-108" w:right="-108"/>
              <w:rPr>
                <w:szCs w:val="24"/>
              </w:rPr>
            </w:pPr>
            <w:r>
              <w:rPr>
                <w:szCs w:val="24"/>
              </w:rPr>
              <w:t>Nr.</w:t>
            </w:r>
          </w:p>
          <w:p w14:paraId="79F4FF6B" w14:textId="77777777" w:rsidR="00355E37" w:rsidRPr="001C329F" w:rsidRDefault="00355E37" w:rsidP="00693521">
            <w:pPr>
              <w:ind w:right="-108"/>
              <w:rPr>
                <w:szCs w:val="24"/>
              </w:rPr>
            </w:pPr>
          </w:p>
          <w:p w14:paraId="46F7AC39" w14:textId="77777777" w:rsidR="00355E37" w:rsidRPr="001C329F" w:rsidRDefault="00355E37" w:rsidP="00693521">
            <w:pPr>
              <w:ind w:right="-108"/>
              <w:rPr>
                <w:szCs w:val="24"/>
              </w:rPr>
            </w:pPr>
          </w:p>
        </w:tc>
        <w:tc>
          <w:tcPr>
            <w:tcW w:w="4547" w:type="dxa"/>
          </w:tcPr>
          <w:p w14:paraId="2696E664" w14:textId="77777777" w:rsidR="00355E37" w:rsidRPr="001C329F" w:rsidRDefault="00355E37" w:rsidP="00693521">
            <w:pPr>
              <w:rPr>
                <w:szCs w:val="24"/>
              </w:rPr>
            </w:pPr>
          </w:p>
          <w:p w14:paraId="06116273" w14:textId="0DE64D0E" w:rsidR="00355E37" w:rsidRPr="001C329F" w:rsidRDefault="00355E37" w:rsidP="00693521">
            <w:pPr>
              <w:rPr>
                <w:szCs w:val="24"/>
              </w:rPr>
            </w:pPr>
            <w:r w:rsidRPr="001C329F">
              <w:rPr>
                <w:szCs w:val="24"/>
              </w:rPr>
              <w:t>4S-</w:t>
            </w:r>
            <w:r w:rsidR="005D032A">
              <w:rPr>
                <w:szCs w:val="24"/>
              </w:rPr>
              <w:t>151</w:t>
            </w:r>
            <w:r>
              <w:rPr>
                <w:szCs w:val="24"/>
              </w:rPr>
              <w:t xml:space="preserve">  </w:t>
            </w:r>
            <w:r w:rsidRPr="001C329F">
              <w:rPr>
                <w:szCs w:val="24"/>
              </w:rPr>
              <w:t xml:space="preserve"> (7.4Mr)</w:t>
            </w:r>
          </w:p>
          <w:p w14:paraId="1B316E27" w14:textId="5B9078AA" w:rsidR="00355E37" w:rsidRDefault="004D0917" w:rsidP="00693521">
            <w:pPr>
              <w:rPr>
                <w:szCs w:val="24"/>
              </w:rPr>
            </w:pPr>
            <w:r>
              <w:rPr>
                <w:szCs w:val="24"/>
              </w:rPr>
              <w:t>SD-242</w:t>
            </w:r>
          </w:p>
          <w:p w14:paraId="525B93C7" w14:textId="77777777" w:rsidR="00355E37" w:rsidRDefault="00355E37" w:rsidP="00693521">
            <w:pPr>
              <w:rPr>
                <w:szCs w:val="24"/>
              </w:rPr>
            </w:pPr>
          </w:p>
          <w:p w14:paraId="1E410952" w14:textId="77777777" w:rsidR="00355E37" w:rsidRPr="001C329F" w:rsidRDefault="00355E37" w:rsidP="00693521">
            <w:pPr>
              <w:rPr>
                <w:szCs w:val="24"/>
              </w:rPr>
            </w:pPr>
          </w:p>
          <w:p w14:paraId="24BAC602" w14:textId="77777777" w:rsidR="0037733C" w:rsidRDefault="0037733C" w:rsidP="00693521">
            <w:pPr>
              <w:rPr>
                <w:szCs w:val="24"/>
              </w:rPr>
            </w:pPr>
          </w:p>
          <w:p w14:paraId="400F41F7" w14:textId="66F6CA46" w:rsidR="00355E37" w:rsidRPr="001C329F" w:rsidRDefault="00355E37" w:rsidP="00693521">
            <w:pPr>
              <w:rPr>
                <w:szCs w:val="24"/>
              </w:rPr>
            </w:pPr>
            <w:r>
              <w:rPr>
                <w:szCs w:val="24"/>
              </w:rPr>
              <w:t>(24.78Mr-07)-6k-2206022</w:t>
            </w:r>
          </w:p>
          <w:p w14:paraId="24627CE5" w14:textId="77777777" w:rsidR="00355E37" w:rsidRDefault="00355E37" w:rsidP="00693521">
            <w:pPr>
              <w:rPr>
                <w:szCs w:val="24"/>
              </w:rPr>
            </w:pPr>
          </w:p>
          <w:p w14:paraId="715E20B3" w14:textId="77777777" w:rsidR="00355E37" w:rsidRPr="001C329F" w:rsidRDefault="00355E37" w:rsidP="00693521">
            <w:pPr>
              <w:rPr>
                <w:szCs w:val="24"/>
              </w:rPr>
            </w:pPr>
          </w:p>
        </w:tc>
      </w:tr>
    </w:tbl>
    <w:p w14:paraId="406F66BD" w14:textId="77777777" w:rsidR="00355E37" w:rsidRPr="00CD6198" w:rsidRDefault="00355E37" w:rsidP="00355E37">
      <w:pPr>
        <w:tabs>
          <w:tab w:val="center" w:pos="4153"/>
          <w:tab w:val="right" w:pos="8306"/>
        </w:tabs>
        <w:jc w:val="center"/>
        <w:rPr>
          <w:sz w:val="16"/>
          <w:szCs w:val="16"/>
        </w:rPr>
      </w:pPr>
      <w:r>
        <w:rPr>
          <w:b/>
          <w:color w:val="000000"/>
          <w:szCs w:val="24"/>
          <w:lang w:eastAsia="lt-LT"/>
        </w:rPr>
        <w:t xml:space="preserve">VERTINIMO IŠVADA </w:t>
      </w:r>
    </w:p>
    <w:p w14:paraId="0CC53256" w14:textId="77777777" w:rsidR="00355E37" w:rsidRPr="006E5750" w:rsidRDefault="00355E37" w:rsidP="00355E37">
      <w:pPr>
        <w:spacing w:line="360" w:lineRule="auto"/>
        <w:jc w:val="center"/>
        <w:rPr>
          <w:b/>
          <w:color w:val="000000"/>
          <w:szCs w:val="24"/>
          <w:lang w:eastAsia="lt-LT"/>
        </w:rPr>
      </w:pPr>
    </w:p>
    <w:p w14:paraId="0428C046" w14:textId="5E6945CE" w:rsidR="00355E37" w:rsidRPr="00462B2C" w:rsidRDefault="00355E37" w:rsidP="00355E37">
      <w:pPr>
        <w:shd w:val="clear" w:color="auto" w:fill="FFFFFF"/>
        <w:spacing w:line="300" w:lineRule="atLeast"/>
        <w:ind w:firstLine="851"/>
        <w:jc w:val="both"/>
        <w:rPr>
          <w:rStyle w:val="Hyperlink"/>
          <w:color w:val="auto"/>
          <w:szCs w:val="24"/>
          <w:u w:val="none"/>
          <w:lang w:eastAsia="lt-LT"/>
        </w:rPr>
      </w:pPr>
      <w:r w:rsidRPr="00736B20">
        <w:rPr>
          <w:bCs/>
          <w:szCs w:val="24"/>
        </w:rPr>
        <w:t>Viešųjų pirkimų tarnyba (toliau – Tarnyba), vadovaudamasi Lietuvos Respublikos pirkimų</w:t>
      </w:r>
      <w:r w:rsidR="0037733C">
        <w:rPr>
          <w:bCs/>
          <w:szCs w:val="24"/>
        </w:rPr>
        <w:t>, atliekamų vandentvarkos, energetikos, transporto ar pašto paslaugų srities perkančiųjų subjektų,</w:t>
      </w:r>
      <w:r w:rsidRPr="00736B20">
        <w:rPr>
          <w:bCs/>
          <w:szCs w:val="24"/>
        </w:rPr>
        <w:t xml:space="preserve"> įstatymo</w:t>
      </w:r>
      <w:r>
        <w:rPr>
          <w:bCs/>
          <w:szCs w:val="24"/>
        </w:rPr>
        <w:t xml:space="preserve"> </w:t>
      </w:r>
      <w:r w:rsidRPr="0062406E">
        <w:rPr>
          <w:bCs/>
          <w:szCs w:val="24"/>
        </w:rPr>
        <w:t xml:space="preserve">(toliau – </w:t>
      </w:r>
      <w:r w:rsidR="0048477D">
        <w:rPr>
          <w:bCs/>
          <w:szCs w:val="24"/>
        </w:rPr>
        <w:t>Į</w:t>
      </w:r>
      <w:r w:rsidR="005D1EA1">
        <w:rPr>
          <w:bCs/>
          <w:szCs w:val="24"/>
        </w:rPr>
        <w:t>statymas</w:t>
      </w:r>
      <w:r w:rsidRPr="0062406E">
        <w:rPr>
          <w:bCs/>
          <w:szCs w:val="24"/>
        </w:rPr>
        <w:t>)</w:t>
      </w:r>
      <w:r w:rsidRPr="00736B20">
        <w:rPr>
          <w:bCs/>
          <w:szCs w:val="24"/>
        </w:rPr>
        <w:t xml:space="preserve"> </w:t>
      </w:r>
      <w:r w:rsidR="0037733C">
        <w:rPr>
          <w:bCs/>
          <w:szCs w:val="24"/>
        </w:rPr>
        <w:t>101</w:t>
      </w:r>
      <w:r w:rsidRPr="00736B20">
        <w:rPr>
          <w:bCs/>
          <w:szCs w:val="24"/>
        </w:rPr>
        <w:t xml:space="preserve"> straipsnio 1 dalies 2 punktu</w:t>
      </w:r>
      <w:r>
        <w:rPr>
          <w:bCs/>
          <w:szCs w:val="24"/>
        </w:rPr>
        <w:t xml:space="preserve"> </w:t>
      </w:r>
      <w:r w:rsidRPr="00071DE9">
        <w:rPr>
          <w:bCs/>
          <w:szCs w:val="24"/>
        </w:rPr>
        <w:t>ir Pirkimų ir koncesijų priežiūros taisyklėmis, patvirtintomis Tarnybos direktoriaus 2019 m. vasario 1 d. įsakymu Nr. 1S-25,</w:t>
      </w:r>
      <w:r w:rsidRPr="00736B20">
        <w:rPr>
          <w:bCs/>
          <w:szCs w:val="24"/>
        </w:rPr>
        <w:t xml:space="preserve"> </w:t>
      </w:r>
      <w:r w:rsidRPr="002877AC">
        <w:rPr>
          <w:bCs/>
          <w:szCs w:val="24"/>
        </w:rPr>
        <w:t xml:space="preserve">atliko </w:t>
      </w:r>
      <w:r w:rsidR="0037733C">
        <w:rPr>
          <w:bCs/>
          <w:szCs w:val="24"/>
        </w:rPr>
        <w:t>AB Vilniaus šilumos tinkl</w:t>
      </w:r>
      <w:r w:rsidR="00CB34F3">
        <w:rPr>
          <w:bCs/>
          <w:szCs w:val="24"/>
        </w:rPr>
        <w:t>ų</w:t>
      </w:r>
      <w:r w:rsidRPr="000746CE">
        <w:rPr>
          <w:szCs w:val="24"/>
          <w:lang w:eastAsia="lt-LT"/>
        </w:rPr>
        <w:t xml:space="preserve"> </w:t>
      </w:r>
      <w:r w:rsidRPr="00736B20">
        <w:rPr>
          <w:szCs w:val="24"/>
          <w:lang w:eastAsia="lt-LT"/>
        </w:rPr>
        <w:t xml:space="preserve">(toliau – </w:t>
      </w:r>
      <w:r w:rsidR="0037733C">
        <w:rPr>
          <w:szCs w:val="24"/>
          <w:lang w:eastAsia="lt-LT"/>
        </w:rPr>
        <w:t>Perkantysis subjektas</w:t>
      </w:r>
      <w:r w:rsidRPr="00736B20">
        <w:rPr>
          <w:szCs w:val="24"/>
          <w:lang w:eastAsia="lt-LT"/>
        </w:rPr>
        <w:t xml:space="preserve">) </w:t>
      </w:r>
      <w:r w:rsidRPr="00736B20">
        <w:rPr>
          <w:bCs/>
          <w:szCs w:val="24"/>
        </w:rPr>
        <w:t>v</w:t>
      </w:r>
      <w:r w:rsidRPr="00736B20">
        <w:rPr>
          <w:szCs w:val="24"/>
        </w:rPr>
        <w:t>ykd</w:t>
      </w:r>
      <w:r>
        <w:rPr>
          <w:szCs w:val="24"/>
        </w:rPr>
        <w:t>yto</w:t>
      </w:r>
      <w:r w:rsidRPr="00736B20">
        <w:rPr>
          <w:szCs w:val="24"/>
        </w:rPr>
        <w:t xml:space="preserve"> pirkimo vertinimą</w:t>
      </w:r>
      <w:r>
        <w:rPr>
          <w:szCs w:val="24"/>
        </w:rPr>
        <w:t xml:space="preserve"> pagal Lietuvos Respublikos finansų ministerijos </w:t>
      </w:r>
      <w:r>
        <w:rPr>
          <w:rStyle w:val="Hyperlink"/>
          <w:color w:val="auto"/>
          <w:u w:val="none"/>
          <w:lang w:eastAsia="lt-LT"/>
        </w:rPr>
        <w:t>(toliau – Finansų ministerija) prašymą</w:t>
      </w:r>
      <w:r>
        <w:rPr>
          <w:rStyle w:val="FootnoteReference"/>
          <w:lang w:eastAsia="lt-LT"/>
        </w:rPr>
        <w:footnoteReference w:id="1"/>
      </w:r>
      <w:r>
        <w:rPr>
          <w:rStyle w:val="Hyperlink"/>
          <w:color w:val="auto"/>
          <w:u w:val="none"/>
          <w:lang w:eastAsia="lt-LT"/>
        </w:rPr>
        <w:t xml:space="preserve">. </w:t>
      </w:r>
    </w:p>
    <w:p w14:paraId="2A64E54B" w14:textId="77777777" w:rsidR="00355E37" w:rsidRDefault="00355E37" w:rsidP="00355E37">
      <w:pPr>
        <w:rPr>
          <w:szCs w:val="24"/>
          <w:lang w:eastAsia="lt-LT"/>
        </w:rPr>
      </w:pPr>
    </w:p>
    <w:p w14:paraId="7BBD39FF" w14:textId="77777777" w:rsidR="00355E37" w:rsidRPr="00BD312E" w:rsidRDefault="00355E37" w:rsidP="00355E37">
      <w:pPr>
        <w:jc w:val="center"/>
        <w:rPr>
          <w:szCs w:val="24"/>
          <w:lang w:eastAsia="lt-LT"/>
        </w:rPr>
      </w:pPr>
      <w:r w:rsidRPr="00BD312E">
        <w:rPr>
          <w:b/>
          <w:szCs w:val="24"/>
          <w:lang w:eastAsia="lt-LT"/>
        </w:rPr>
        <w:t>I dalis. Bendra informacija</w:t>
      </w:r>
    </w:p>
    <w:p w14:paraId="2566DDFB" w14:textId="77777777" w:rsidR="00355E37" w:rsidRPr="00BD312E" w:rsidRDefault="00355E37" w:rsidP="00355E37">
      <w:pPr>
        <w:ind w:firstLine="720"/>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02"/>
        <w:gridCol w:w="5026"/>
      </w:tblGrid>
      <w:tr w:rsidR="00355E37" w:rsidRPr="00BD312E" w14:paraId="6A0BAD37" w14:textId="77777777" w:rsidTr="00693521">
        <w:tc>
          <w:tcPr>
            <w:tcW w:w="2390" w:type="pct"/>
            <w:tcBorders>
              <w:top w:val="single" w:sz="4" w:space="0" w:color="auto"/>
              <w:left w:val="single" w:sz="4" w:space="0" w:color="auto"/>
              <w:bottom w:val="single" w:sz="4" w:space="0" w:color="auto"/>
              <w:right w:val="single" w:sz="4" w:space="0" w:color="auto"/>
            </w:tcBorders>
            <w:shd w:val="clear" w:color="auto" w:fill="auto"/>
          </w:tcPr>
          <w:p w14:paraId="765EA0D9" w14:textId="77777777" w:rsidR="00355E37" w:rsidRPr="00BD312E" w:rsidRDefault="00355E37" w:rsidP="00693521">
            <w:pPr>
              <w:ind w:left="137" w:right="71"/>
              <w:jc w:val="both"/>
              <w:rPr>
                <w:szCs w:val="24"/>
                <w:lang w:eastAsia="lt-LT"/>
              </w:rPr>
            </w:pPr>
            <w:r w:rsidRPr="00BD312E">
              <w:rPr>
                <w:rFonts w:eastAsia="Calibri"/>
                <w:szCs w:val="24"/>
                <w:lang w:eastAsia="lt-LT"/>
              </w:rPr>
              <w:t>Pirkimo</w:t>
            </w:r>
            <w:r w:rsidRPr="00BD312E">
              <w:rPr>
                <w:szCs w:val="24"/>
                <w:lang w:eastAsia="lt-LT"/>
              </w:rPr>
              <w:t>*</w:t>
            </w:r>
            <w:r w:rsidRPr="00BD312E">
              <w:rPr>
                <w:rFonts w:eastAsia="Calibri"/>
                <w:szCs w:val="24"/>
                <w:lang w:eastAsia="lt-LT"/>
              </w:rPr>
              <w:t xml:space="preserve"> pavadinimas, numeris (jeigu skelbtas), pirkimo paskelbimo (kvietimo pateikti paraišką/pasiūlymą) data/sutarties pavadinimas, data, numeris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19AE2A4" w14:textId="4441B927" w:rsidR="00355E37" w:rsidRDefault="004D0917" w:rsidP="00693521">
            <w:pPr>
              <w:shd w:val="clear" w:color="auto" w:fill="FFFFFF"/>
              <w:spacing w:line="300" w:lineRule="atLeast"/>
              <w:ind w:left="71" w:right="132"/>
              <w:jc w:val="both"/>
              <w:rPr>
                <w:szCs w:val="24"/>
              </w:rPr>
            </w:pPr>
            <w:r>
              <w:rPr>
                <w:szCs w:val="24"/>
              </w:rPr>
              <w:t xml:space="preserve">Konkretus pirkimas </w:t>
            </w:r>
            <w:r w:rsidR="00355E37" w:rsidRPr="00BD312E">
              <w:rPr>
                <w:szCs w:val="24"/>
              </w:rPr>
              <w:t>„</w:t>
            </w:r>
            <w:r w:rsidR="0037733C">
              <w:rPr>
                <w:szCs w:val="24"/>
              </w:rPr>
              <w:t>Šilumos tiekimo tinklų nuo ŠK 92537 (Laisvės pr.) iki ŠK 08332 (Laisvės pr.) rekonstravimo darbai</w:t>
            </w:r>
            <w:r w:rsidR="00355E37" w:rsidRPr="00BD312E">
              <w:rPr>
                <w:szCs w:val="24"/>
                <w:lang w:eastAsia="lt-LT"/>
              </w:rPr>
              <w:t xml:space="preserve">“ </w:t>
            </w:r>
            <w:r w:rsidR="00355E37" w:rsidRPr="00BD312E">
              <w:rPr>
                <w:szCs w:val="24"/>
              </w:rPr>
              <w:t>(</w:t>
            </w:r>
            <w:r w:rsidR="0037733C">
              <w:rPr>
                <w:szCs w:val="24"/>
              </w:rPr>
              <w:t xml:space="preserve">Kvietimas teikti pasiūlymus </w:t>
            </w:r>
            <w:r w:rsidR="00355E37" w:rsidRPr="00BD312E">
              <w:rPr>
                <w:szCs w:val="24"/>
              </w:rPr>
              <w:t>Centrinėje viešųjų pirkimų informacinėje sistemoje</w:t>
            </w:r>
            <w:r w:rsidR="00355E37">
              <w:rPr>
                <w:szCs w:val="24"/>
              </w:rPr>
              <w:t xml:space="preserve"> (toliau – CVP IS)</w:t>
            </w:r>
            <w:r w:rsidR="00355E37" w:rsidRPr="00BD312E">
              <w:rPr>
                <w:szCs w:val="24"/>
              </w:rPr>
              <w:t xml:space="preserve"> </w:t>
            </w:r>
            <w:r w:rsidR="0037733C">
              <w:rPr>
                <w:szCs w:val="24"/>
              </w:rPr>
              <w:t>išsiųstas 2021 m. balandžio 23 d.</w:t>
            </w:r>
            <w:r w:rsidR="00355E37" w:rsidRPr="00BD312E">
              <w:rPr>
                <w:szCs w:val="24"/>
              </w:rPr>
              <w:t>, pirkimo Nr.</w:t>
            </w:r>
            <w:r w:rsidR="00CB34F3">
              <w:rPr>
                <w:szCs w:val="24"/>
              </w:rPr>
              <w:t> </w:t>
            </w:r>
            <w:r w:rsidR="00355E37">
              <w:rPr>
                <w:szCs w:val="24"/>
              </w:rPr>
              <w:t>5</w:t>
            </w:r>
            <w:r w:rsidR="0037733C">
              <w:rPr>
                <w:szCs w:val="24"/>
              </w:rPr>
              <w:t>4288</w:t>
            </w:r>
            <w:r w:rsidR="001017B7">
              <w:rPr>
                <w:szCs w:val="24"/>
              </w:rPr>
              <w:t>5</w:t>
            </w:r>
            <w:r w:rsidR="00355E37" w:rsidRPr="00BD312E">
              <w:rPr>
                <w:bCs/>
                <w:szCs w:val="24"/>
              </w:rPr>
              <w:t xml:space="preserve"> (toliau – </w:t>
            </w:r>
            <w:r w:rsidR="006B310B">
              <w:rPr>
                <w:bCs/>
                <w:szCs w:val="24"/>
              </w:rPr>
              <w:t>Konkretus p</w:t>
            </w:r>
            <w:r w:rsidR="00355E37" w:rsidRPr="00BD312E">
              <w:rPr>
                <w:bCs/>
                <w:szCs w:val="24"/>
              </w:rPr>
              <w:t>irkimas)</w:t>
            </w:r>
            <w:r w:rsidR="00355E37" w:rsidRPr="00BD312E">
              <w:rPr>
                <w:szCs w:val="24"/>
              </w:rPr>
              <w:t>.</w:t>
            </w:r>
          </w:p>
          <w:p w14:paraId="274DADA7" w14:textId="1C052DC9" w:rsidR="00BE6852" w:rsidRPr="00BD312E" w:rsidRDefault="00BE6852" w:rsidP="00693521">
            <w:pPr>
              <w:shd w:val="clear" w:color="auto" w:fill="FFFFFF"/>
              <w:spacing w:line="300" w:lineRule="atLeast"/>
              <w:ind w:left="71" w:right="132"/>
              <w:jc w:val="both"/>
              <w:rPr>
                <w:szCs w:val="24"/>
                <w:lang w:eastAsia="lt-LT"/>
              </w:rPr>
            </w:pPr>
            <w:r>
              <w:rPr>
                <w:szCs w:val="24"/>
              </w:rPr>
              <w:lastRenderedPageBreak/>
              <w:t>2021 m. gegužės 28 d. sutartis Nr. SUT-331</w:t>
            </w:r>
            <w:r w:rsidR="00437EA2">
              <w:rPr>
                <w:szCs w:val="24"/>
              </w:rPr>
              <w:t xml:space="preserve"> (toliau – Sutartis)</w:t>
            </w:r>
            <w:r>
              <w:rPr>
                <w:szCs w:val="24"/>
              </w:rPr>
              <w:t>.</w:t>
            </w:r>
          </w:p>
        </w:tc>
      </w:tr>
      <w:tr w:rsidR="00355E37" w:rsidRPr="00BD312E" w14:paraId="729809E2" w14:textId="77777777" w:rsidTr="00693521">
        <w:tc>
          <w:tcPr>
            <w:tcW w:w="2390" w:type="pct"/>
            <w:tcBorders>
              <w:top w:val="single" w:sz="4" w:space="0" w:color="auto"/>
              <w:left w:val="single" w:sz="4" w:space="0" w:color="auto"/>
              <w:bottom w:val="single" w:sz="4" w:space="0" w:color="auto"/>
              <w:right w:val="single" w:sz="4" w:space="0" w:color="auto"/>
            </w:tcBorders>
            <w:shd w:val="clear" w:color="auto" w:fill="auto"/>
          </w:tcPr>
          <w:p w14:paraId="5D01171B" w14:textId="77777777" w:rsidR="00355E37" w:rsidRPr="00BD312E" w:rsidRDefault="00355E37" w:rsidP="00693521">
            <w:pPr>
              <w:ind w:left="137" w:right="71"/>
              <w:jc w:val="both"/>
              <w:rPr>
                <w:szCs w:val="24"/>
                <w:lang w:eastAsia="lt-LT"/>
              </w:rPr>
            </w:pPr>
            <w:r w:rsidRPr="00BD312E">
              <w:rPr>
                <w:rFonts w:eastAsia="Calibri"/>
                <w:szCs w:val="24"/>
                <w:lang w:eastAsia="lt-LT"/>
              </w:rPr>
              <w:lastRenderedPageBreak/>
              <w:t>Pirkimo vykdymo/sutarties sudarymo teisinis pagrindas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0DE057E1" w14:textId="0150C27F" w:rsidR="00355E37" w:rsidRPr="00BD312E" w:rsidRDefault="0048477D" w:rsidP="00693521">
            <w:pPr>
              <w:ind w:left="71" w:right="132"/>
              <w:jc w:val="both"/>
              <w:rPr>
                <w:szCs w:val="24"/>
                <w:lang w:eastAsia="lt-LT"/>
              </w:rPr>
            </w:pPr>
            <w:r>
              <w:rPr>
                <w:bCs/>
                <w:szCs w:val="24"/>
              </w:rPr>
              <w:t>Į</w:t>
            </w:r>
            <w:r w:rsidR="005D1EA1">
              <w:rPr>
                <w:bCs/>
                <w:szCs w:val="24"/>
              </w:rPr>
              <w:t>statymas</w:t>
            </w:r>
            <w:r w:rsidR="00355E37" w:rsidRPr="00BD312E">
              <w:rPr>
                <w:bCs/>
                <w:szCs w:val="24"/>
              </w:rPr>
              <w:t xml:space="preserve"> (</w:t>
            </w:r>
            <w:r w:rsidR="00355E37" w:rsidRPr="005E66F7">
              <w:rPr>
                <w:bCs/>
                <w:szCs w:val="24"/>
              </w:rPr>
              <w:t xml:space="preserve">redakcija nuo </w:t>
            </w:r>
            <w:r w:rsidR="005E66F7" w:rsidRPr="005E66F7">
              <w:rPr>
                <w:bCs/>
                <w:szCs w:val="24"/>
              </w:rPr>
              <w:t>2020</w:t>
            </w:r>
            <w:r w:rsidR="00355E37" w:rsidRPr="005E66F7">
              <w:rPr>
                <w:bCs/>
                <w:szCs w:val="24"/>
              </w:rPr>
              <w:t xml:space="preserve"> m. </w:t>
            </w:r>
            <w:r w:rsidR="005E66F7" w:rsidRPr="005E66F7">
              <w:rPr>
                <w:bCs/>
                <w:szCs w:val="24"/>
              </w:rPr>
              <w:t>rugpjūčio</w:t>
            </w:r>
            <w:r w:rsidR="00355E37" w:rsidRPr="005E66F7">
              <w:rPr>
                <w:bCs/>
                <w:szCs w:val="24"/>
              </w:rPr>
              <w:t xml:space="preserve"> 1 d. iki 202</w:t>
            </w:r>
            <w:r w:rsidR="005E66F7" w:rsidRPr="005E66F7">
              <w:rPr>
                <w:bCs/>
                <w:szCs w:val="24"/>
              </w:rPr>
              <w:t>1</w:t>
            </w:r>
            <w:r w:rsidR="00355E37" w:rsidRPr="005E66F7">
              <w:rPr>
                <w:bCs/>
                <w:szCs w:val="24"/>
              </w:rPr>
              <w:t xml:space="preserve"> m. </w:t>
            </w:r>
            <w:r w:rsidR="005E66F7" w:rsidRPr="005E66F7">
              <w:rPr>
                <w:bCs/>
                <w:szCs w:val="24"/>
              </w:rPr>
              <w:t>lapkričio 30</w:t>
            </w:r>
            <w:r w:rsidR="00355E37" w:rsidRPr="005E66F7">
              <w:rPr>
                <w:bCs/>
                <w:szCs w:val="24"/>
              </w:rPr>
              <w:t xml:space="preserve"> d.).</w:t>
            </w:r>
          </w:p>
        </w:tc>
      </w:tr>
      <w:tr w:rsidR="00355E37" w:rsidRPr="00BD312E" w14:paraId="2CF38C7B" w14:textId="77777777" w:rsidTr="00693521">
        <w:tc>
          <w:tcPr>
            <w:tcW w:w="2390" w:type="pct"/>
            <w:tcBorders>
              <w:top w:val="single" w:sz="4" w:space="0" w:color="auto"/>
              <w:left w:val="single" w:sz="4" w:space="0" w:color="auto"/>
              <w:bottom w:val="single" w:sz="4" w:space="0" w:color="auto"/>
              <w:right w:val="single" w:sz="4" w:space="0" w:color="auto"/>
            </w:tcBorders>
            <w:shd w:val="clear" w:color="auto" w:fill="auto"/>
          </w:tcPr>
          <w:p w14:paraId="4DC01751" w14:textId="77777777" w:rsidR="00355E37" w:rsidRPr="00BD312E" w:rsidRDefault="00355E37" w:rsidP="00693521">
            <w:pPr>
              <w:ind w:left="137" w:right="71"/>
              <w:jc w:val="both"/>
              <w:rPr>
                <w:rFonts w:eastAsia="Calibri"/>
                <w:szCs w:val="24"/>
                <w:lang w:eastAsia="lt-LT"/>
              </w:rPr>
            </w:pPr>
            <w:r w:rsidRPr="00BD312E">
              <w:rPr>
                <w:rFonts w:eastAsia="Calibri"/>
                <w:szCs w:val="24"/>
                <w:lang w:eastAsia="lt-LT"/>
              </w:rPr>
              <w:t>Pirkimo rūšis pagal vertės ribas ir pirkimo būdas</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D4B4DC6" w14:textId="781A3BF8" w:rsidR="00355E37" w:rsidRPr="007C2A65" w:rsidRDefault="00BF14F5" w:rsidP="00693521">
            <w:pPr>
              <w:ind w:left="71" w:right="132"/>
              <w:jc w:val="both"/>
              <w:rPr>
                <w:szCs w:val="24"/>
                <w:lang w:eastAsia="lt-LT"/>
              </w:rPr>
            </w:pPr>
            <w:r>
              <w:rPr>
                <w:szCs w:val="24"/>
                <w:lang w:eastAsia="lt-LT"/>
              </w:rPr>
              <w:t>Tarptautinis pirkimas r</w:t>
            </w:r>
            <w:r w:rsidR="0037733C">
              <w:rPr>
                <w:szCs w:val="24"/>
                <w:lang w:eastAsia="lt-LT"/>
              </w:rPr>
              <w:t>ibot</w:t>
            </w:r>
            <w:r>
              <w:rPr>
                <w:szCs w:val="24"/>
                <w:lang w:eastAsia="lt-LT"/>
              </w:rPr>
              <w:t>o</w:t>
            </w:r>
            <w:r w:rsidR="0037733C">
              <w:rPr>
                <w:szCs w:val="24"/>
                <w:lang w:eastAsia="lt-LT"/>
              </w:rPr>
              <w:t xml:space="preserve"> konkurs</w:t>
            </w:r>
            <w:r w:rsidR="005211CF">
              <w:rPr>
                <w:szCs w:val="24"/>
                <w:lang w:eastAsia="lt-LT"/>
              </w:rPr>
              <w:t>o būdu</w:t>
            </w:r>
            <w:r w:rsidR="0037733C">
              <w:rPr>
                <w:szCs w:val="24"/>
                <w:lang w:eastAsia="lt-LT"/>
              </w:rPr>
              <w:t xml:space="preserve">, </w:t>
            </w:r>
            <w:r w:rsidR="0009751C">
              <w:rPr>
                <w:szCs w:val="24"/>
                <w:lang w:eastAsia="lt-LT"/>
              </w:rPr>
              <w:t>taikant</w:t>
            </w:r>
            <w:r w:rsidR="0037733C">
              <w:rPr>
                <w:szCs w:val="24"/>
                <w:lang w:eastAsia="lt-LT"/>
              </w:rPr>
              <w:t xml:space="preserve"> dinamin</w:t>
            </w:r>
            <w:r w:rsidR="0009751C">
              <w:rPr>
                <w:szCs w:val="24"/>
                <w:lang w:eastAsia="lt-LT"/>
              </w:rPr>
              <w:t>ę</w:t>
            </w:r>
            <w:r w:rsidR="00E81F75">
              <w:rPr>
                <w:szCs w:val="24"/>
                <w:lang w:eastAsia="lt-LT"/>
              </w:rPr>
              <w:t xml:space="preserve"> pirkimų</w:t>
            </w:r>
            <w:r w:rsidR="0037733C">
              <w:rPr>
                <w:szCs w:val="24"/>
                <w:lang w:eastAsia="lt-LT"/>
              </w:rPr>
              <w:t xml:space="preserve"> sistem</w:t>
            </w:r>
            <w:r w:rsidR="00E81F75">
              <w:rPr>
                <w:szCs w:val="24"/>
                <w:lang w:eastAsia="lt-LT"/>
              </w:rPr>
              <w:t>ą</w:t>
            </w:r>
            <w:r w:rsidR="00355E37" w:rsidRPr="007C2A65">
              <w:rPr>
                <w:szCs w:val="24"/>
                <w:lang w:eastAsia="lt-LT"/>
              </w:rPr>
              <w:t>.</w:t>
            </w:r>
          </w:p>
        </w:tc>
      </w:tr>
      <w:tr w:rsidR="00355E37" w:rsidRPr="00BD312E" w14:paraId="3B3A050F" w14:textId="77777777" w:rsidTr="00693521">
        <w:tc>
          <w:tcPr>
            <w:tcW w:w="2390" w:type="pct"/>
            <w:tcBorders>
              <w:top w:val="single" w:sz="4" w:space="0" w:color="auto"/>
              <w:left w:val="single" w:sz="4" w:space="0" w:color="auto"/>
              <w:bottom w:val="single" w:sz="4" w:space="0" w:color="auto"/>
              <w:right w:val="single" w:sz="4" w:space="0" w:color="auto"/>
            </w:tcBorders>
            <w:shd w:val="clear" w:color="auto" w:fill="auto"/>
          </w:tcPr>
          <w:p w14:paraId="16612593" w14:textId="77777777" w:rsidR="00355E37" w:rsidRPr="00BD312E" w:rsidRDefault="00355E37" w:rsidP="00693521">
            <w:pPr>
              <w:ind w:left="137" w:right="71"/>
              <w:jc w:val="both"/>
              <w:rPr>
                <w:rFonts w:eastAsia="Calibri"/>
                <w:szCs w:val="24"/>
                <w:lang w:eastAsia="lt-LT"/>
              </w:rPr>
            </w:pPr>
            <w:r w:rsidRPr="00BD312E">
              <w:rPr>
                <w:rFonts w:eastAsia="Calibri"/>
                <w:szCs w:val="24"/>
                <w:lang w:eastAsia="lt-LT"/>
              </w:rPr>
              <w:t>Planuota (nenurodoma, jeigu pirkimas vertinamas iki vokų su pasiūlymais atplėšimo procedūros) ir faktinė pirkimo/sutarties vertė Eur be PVM</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27EB388B" w14:textId="40897046" w:rsidR="00355E37" w:rsidRPr="007C2A65" w:rsidRDefault="00355E37" w:rsidP="00693521">
            <w:pPr>
              <w:pStyle w:val="Default"/>
              <w:ind w:left="71" w:right="132"/>
              <w:jc w:val="both"/>
              <w:rPr>
                <w:color w:val="auto"/>
              </w:rPr>
            </w:pPr>
            <w:r w:rsidRPr="007C2A65">
              <w:rPr>
                <w:color w:val="auto"/>
              </w:rPr>
              <w:t xml:space="preserve">Planuota </w:t>
            </w:r>
            <w:r w:rsidR="006B310B">
              <w:rPr>
                <w:color w:val="auto"/>
              </w:rPr>
              <w:t>Konkretaus p</w:t>
            </w:r>
            <w:r w:rsidRPr="007C2A65">
              <w:rPr>
                <w:color w:val="auto"/>
              </w:rPr>
              <w:t xml:space="preserve">irkimo vertė </w:t>
            </w:r>
            <w:r w:rsidR="0037733C">
              <w:t>2 940 000,00</w:t>
            </w:r>
            <w:r w:rsidRPr="007C2A65">
              <w:rPr>
                <w:color w:val="auto"/>
              </w:rPr>
              <w:t xml:space="preserve"> Eur be PVM (</w:t>
            </w:r>
            <w:r w:rsidR="0037733C">
              <w:rPr>
                <w:color w:val="auto"/>
              </w:rPr>
              <w:t>3 557 400,00</w:t>
            </w:r>
            <w:r w:rsidRPr="007C2A65">
              <w:t xml:space="preserve"> </w:t>
            </w:r>
            <w:r w:rsidRPr="007C2A65">
              <w:rPr>
                <w:color w:val="auto"/>
              </w:rPr>
              <w:t>Eur su PVM).</w:t>
            </w:r>
          </w:p>
          <w:p w14:paraId="05E4F28F" w14:textId="0AAA7D84" w:rsidR="00355E37" w:rsidRPr="007C2A65" w:rsidRDefault="006B310B" w:rsidP="00693521">
            <w:pPr>
              <w:ind w:left="71" w:right="132"/>
              <w:jc w:val="both"/>
              <w:rPr>
                <w:szCs w:val="24"/>
                <w:lang w:eastAsia="lt-LT"/>
              </w:rPr>
            </w:pPr>
            <w:r>
              <w:rPr>
                <w:szCs w:val="24"/>
              </w:rPr>
              <w:t>S</w:t>
            </w:r>
            <w:r w:rsidR="00355E37" w:rsidRPr="007C2A65">
              <w:rPr>
                <w:szCs w:val="24"/>
              </w:rPr>
              <w:t xml:space="preserve">utarties vertė </w:t>
            </w:r>
            <w:r w:rsidR="002F396E" w:rsidRPr="002F396E">
              <w:rPr>
                <w:szCs w:val="24"/>
              </w:rPr>
              <w:t>1 081 295,31</w:t>
            </w:r>
            <w:r w:rsidR="00355E37" w:rsidRPr="002F396E">
              <w:rPr>
                <w:szCs w:val="24"/>
              </w:rPr>
              <w:t xml:space="preserve"> Eur be PVM (</w:t>
            </w:r>
            <w:r w:rsidR="002F396E" w:rsidRPr="002F396E">
              <w:rPr>
                <w:szCs w:val="24"/>
              </w:rPr>
              <w:t>1 308 367,32</w:t>
            </w:r>
            <w:r w:rsidR="00355E37" w:rsidRPr="002F396E">
              <w:rPr>
                <w:szCs w:val="24"/>
              </w:rPr>
              <w:t xml:space="preserve"> Eur su PVM).</w:t>
            </w:r>
          </w:p>
        </w:tc>
      </w:tr>
      <w:tr w:rsidR="00355E37" w14:paraId="7E08FB51" w14:textId="77777777" w:rsidTr="00693521">
        <w:tc>
          <w:tcPr>
            <w:tcW w:w="2390" w:type="pct"/>
            <w:tcBorders>
              <w:top w:val="single" w:sz="4" w:space="0" w:color="auto"/>
              <w:left w:val="single" w:sz="4" w:space="0" w:color="auto"/>
              <w:bottom w:val="single" w:sz="4" w:space="0" w:color="auto"/>
              <w:right w:val="single" w:sz="4" w:space="0" w:color="auto"/>
            </w:tcBorders>
            <w:shd w:val="clear" w:color="auto" w:fill="auto"/>
          </w:tcPr>
          <w:p w14:paraId="3BE0D143" w14:textId="77777777" w:rsidR="00355E37" w:rsidRDefault="00355E37" w:rsidP="00693521">
            <w:pPr>
              <w:ind w:left="137" w:right="71"/>
              <w:jc w:val="both"/>
              <w:rPr>
                <w:szCs w:val="24"/>
                <w:lang w:eastAsia="lt-LT"/>
              </w:rPr>
            </w:pPr>
            <w:r>
              <w:rPr>
                <w:rFonts w:eastAsia="Calibri"/>
                <w:szCs w:val="24"/>
                <w:lang w:eastAsia="lt-LT"/>
              </w:rPr>
              <w:t xml:space="preserve">Tiekėjas/koncesijos dalyvis/koncesininkas, juridinio asmens (su kuriuo sudaryta sutartis) kodas </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3AC8D5C0" w14:textId="6AA8EF43" w:rsidR="00355E37" w:rsidRPr="00A17551" w:rsidRDefault="00355E37" w:rsidP="00693521">
            <w:pPr>
              <w:shd w:val="clear" w:color="auto" w:fill="FFFFFF"/>
              <w:spacing w:line="300" w:lineRule="atLeast"/>
              <w:ind w:left="71" w:right="132"/>
              <w:jc w:val="both"/>
              <w:rPr>
                <w:szCs w:val="24"/>
                <w:lang w:eastAsia="lt-LT"/>
              </w:rPr>
            </w:pPr>
            <w:r>
              <w:rPr>
                <w:szCs w:val="24"/>
                <w:lang w:eastAsia="lt-LT"/>
              </w:rPr>
              <w:t xml:space="preserve">UAB </w:t>
            </w:r>
            <w:r w:rsidR="007521A8">
              <w:rPr>
                <w:szCs w:val="24"/>
                <w:lang w:eastAsia="lt-LT"/>
              </w:rPr>
              <w:t>„Ukmergės inžinerija“</w:t>
            </w:r>
            <w:r w:rsidRPr="00A17551">
              <w:rPr>
                <w:szCs w:val="24"/>
                <w:lang w:eastAsia="lt-LT"/>
              </w:rPr>
              <w:t xml:space="preserve"> (juridinio asmens kodas </w:t>
            </w:r>
            <w:r>
              <w:rPr>
                <w:szCs w:val="24"/>
                <w:lang w:eastAsia="lt-LT"/>
              </w:rPr>
              <w:t>– 30</w:t>
            </w:r>
            <w:r w:rsidR="007521A8">
              <w:rPr>
                <w:szCs w:val="24"/>
                <w:lang w:eastAsia="lt-LT"/>
              </w:rPr>
              <w:t>3108379</w:t>
            </w:r>
            <w:r w:rsidRPr="00A17551">
              <w:rPr>
                <w:szCs w:val="24"/>
                <w:lang w:eastAsia="lt-LT"/>
              </w:rPr>
              <w:t>)</w:t>
            </w:r>
            <w:r w:rsidR="00BE6852">
              <w:rPr>
                <w:szCs w:val="24"/>
                <w:lang w:eastAsia="lt-LT"/>
              </w:rPr>
              <w:t>.</w:t>
            </w:r>
          </w:p>
          <w:p w14:paraId="45BCFB7E" w14:textId="77777777" w:rsidR="00355E37" w:rsidRDefault="00355E37" w:rsidP="00693521">
            <w:pPr>
              <w:ind w:left="71" w:right="132"/>
              <w:jc w:val="both"/>
              <w:rPr>
                <w:szCs w:val="24"/>
                <w:lang w:eastAsia="lt-LT"/>
              </w:rPr>
            </w:pPr>
          </w:p>
        </w:tc>
      </w:tr>
      <w:tr w:rsidR="00355E37" w14:paraId="7FFF0CB0" w14:textId="77777777" w:rsidTr="00693521">
        <w:tc>
          <w:tcPr>
            <w:tcW w:w="2390" w:type="pct"/>
            <w:tcBorders>
              <w:top w:val="single" w:sz="4" w:space="0" w:color="auto"/>
              <w:left w:val="single" w:sz="4" w:space="0" w:color="auto"/>
              <w:bottom w:val="single" w:sz="4" w:space="0" w:color="auto"/>
              <w:right w:val="single" w:sz="4" w:space="0" w:color="auto"/>
            </w:tcBorders>
            <w:shd w:val="clear" w:color="auto" w:fill="auto"/>
          </w:tcPr>
          <w:p w14:paraId="399E5DDE" w14:textId="77777777" w:rsidR="00355E37" w:rsidRDefault="00355E37" w:rsidP="00693521">
            <w:pPr>
              <w:ind w:left="137" w:right="71"/>
              <w:jc w:val="both"/>
              <w:rPr>
                <w:rFonts w:eastAsia="Calibri"/>
                <w:szCs w:val="24"/>
                <w:lang w:eastAsia="lt-LT"/>
              </w:rPr>
            </w:pPr>
            <w:r>
              <w:rPr>
                <w:rFonts w:eastAsia="Calibri"/>
                <w:szCs w:val="24"/>
                <w:lang w:eastAsia="lt-LT"/>
              </w:rPr>
              <w:t>Pirkimo/sutarties vertinimo apimtys/etapas</w:t>
            </w:r>
          </w:p>
          <w:p w14:paraId="0B83E8D7" w14:textId="77777777" w:rsidR="00355E37" w:rsidRDefault="00355E37" w:rsidP="00693521">
            <w:pPr>
              <w:ind w:left="137" w:right="71"/>
              <w:jc w:val="both"/>
              <w:rPr>
                <w:szCs w:val="24"/>
                <w:lang w:eastAsia="lt-LT"/>
              </w:rPr>
            </w:pP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5E8835C1" w14:textId="07C7E043" w:rsidR="00355E37" w:rsidRDefault="00355E37" w:rsidP="00693521">
            <w:pPr>
              <w:pStyle w:val="ListParagraph"/>
              <w:spacing w:line="254" w:lineRule="auto"/>
              <w:ind w:left="71" w:right="132"/>
              <w:jc w:val="both"/>
              <w:rPr>
                <w:szCs w:val="24"/>
              </w:rPr>
            </w:pPr>
            <w:r>
              <w:rPr>
                <w:szCs w:val="24"/>
              </w:rPr>
              <w:t xml:space="preserve">Išsamus </w:t>
            </w:r>
            <w:r w:rsidR="006B310B">
              <w:rPr>
                <w:szCs w:val="24"/>
              </w:rPr>
              <w:t>Konkretaus p</w:t>
            </w:r>
            <w:r>
              <w:rPr>
                <w:szCs w:val="24"/>
              </w:rPr>
              <w:t xml:space="preserve">irkimo </w:t>
            </w:r>
            <w:r w:rsidRPr="009C3F61">
              <w:rPr>
                <w:szCs w:val="24"/>
              </w:rPr>
              <w:t xml:space="preserve">vertinimas </w:t>
            </w:r>
            <w:r>
              <w:rPr>
                <w:szCs w:val="24"/>
              </w:rPr>
              <w:t>/ p</w:t>
            </w:r>
            <w:r w:rsidRPr="0090778E">
              <w:rPr>
                <w:szCs w:val="24"/>
              </w:rPr>
              <w:t xml:space="preserve">o </w:t>
            </w:r>
            <w:r w:rsidR="006B310B">
              <w:rPr>
                <w:szCs w:val="24"/>
              </w:rPr>
              <w:t>S</w:t>
            </w:r>
            <w:r w:rsidRPr="0090778E">
              <w:rPr>
                <w:szCs w:val="24"/>
              </w:rPr>
              <w:t xml:space="preserve">utarties </w:t>
            </w:r>
            <w:r>
              <w:rPr>
                <w:szCs w:val="24"/>
              </w:rPr>
              <w:t>sudarymo.</w:t>
            </w:r>
          </w:p>
          <w:p w14:paraId="2A83090D" w14:textId="77777777" w:rsidR="00355E37" w:rsidRDefault="00355E37" w:rsidP="00693521">
            <w:pPr>
              <w:ind w:left="71" w:right="132"/>
              <w:jc w:val="both"/>
              <w:rPr>
                <w:szCs w:val="24"/>
                <w:lang w:eastAsia="lt-LT"/>
              </w:rPr>
            </w:pPr>
          </w:p>
        </w:tc>
      </w:tr>
      <w:tr w:rsidR="00355E37" w14:paraId="79153009" w14:textId="77777777" w:rsidTr="00693521">
        <w:tc>
          <w:tcPr>
            <w:tcW w:w="2390" w:type="pct"/>
            <w:tcBorders>
              <w:top w:val="single" w:sz="4" w:space="0" w:color="auto"/>
              <w:left w:val="single" w:sz="4" w:space="0" w:color="auto"/>
              <w:bottom w:val="single" w:sz="4" w:space="0" w:color="auto"/>
              <w:right w:val="single" w:sz="4" w:space="0" w:color="auto"/>
            </w:tcBorders>
            <w:shd w:val="clear" w:color="auto" w:fill="auto"/>
          </w:tcPr>
          <w:p w14:paraId="7696BB63" w14:textId="77777777" w:rsidR="00355E37" w:rsidRDefault="00355E37" w:rsidP="00693521">
            <w:pPr>
              <w:ind w:left="137" w:right="71"/>
              <w:jc w:val="both"/>
              <w:rPr>
                <w:b/>
                <w:szCs w:val="24"/>
                <w:lang w:eastAsia="lt-LT"/>
              </w:rPr>
            </w:pPr>
            <w:r>
              <w:rPr>
                <w:szCs w:val="24"/>
                <w:lang w:eastAsia="lt-LT"/>
              </w:rPr>
              <w:t>Jei pirkimas finansuojamas Europos Sąjungos lėšomis – projekto pavadinimas, projektą administruojanti institucija</w:t>
            </w:r>
          </w:p>
        </w:tc>
        <w:tc>
          <w:tcPr>
            <w:tcW w:w="2610" w:type="pct"/>
            <w:tcBorders>
              <w:top w:val="single" w:sz="4" w:space="0" w:color="auto"/>
              <w:left w:val="single" w:sz="4" w:space="0" w:color="auto"/>
              <w:bottom w:val="single" w:sz="4" w:space="0" w:color="auto"/>
              <w:right w:val="single" w:sz="4" w:space="0" w:color="auto"/>
            </w:tcBorders>
            <w:shd w:val="clear" w:color="auto" w:fill="auto"/>
          </w:tcPr>
          <w:p w14:paraId="7F35FC8F" w14:textId="159D1D0D" w:rsidR="007521A8" w:rsidRDefault="00355E37" w:rsidP="007521A8">
            <w:pPr>
              <w:widowControl w:val="0"/>
              <w:tabs>
                <w:tab w:val="left" w:pos="709"/>
              </w:tabs>
              <w:suppressAutoHyphens/>
              <w:overflowPunct w:val="0"/>
              <w:autoSpaceDE w:val="0"/>
              <w:autoSpaceDN w:val="0"/>
              <w:adjustRightInd w:val="0"/>
              <w:ind w:right="132"/>
              <w:jc w:val="both"/>
              <w:textAlignment w:val="baseline"/>
            </w:pPr>
            <w:r w:rsidRPr="008A0963">
              <w:t>„</w:t>
            </w:r>
            <w:r w:rsidR="00F85FFE">
              <w:t>Šilumos tiekimo tinklų nuo taško 92535R1 iki ŠK 08332 rekonstravimas</w:t>
            </w:r>
            <w:r w:rsidRPr="008A0963">
              <w:t>“</w:t>
            </w:r>
            <w:r>
              <w:t xml:space="preserve"> </w:t>
            </w:r>
            <w:r w:rsidRPr="008A0963">
              <w:t xml:space="preserve">Nr. </w:t>
            </w:r>
            <w:r>
              <w:t>04.</w:t>
            </w:r>
            <w:r w:rsidR="007521A8">
              <w:t>3</w:t>
            </w:r>
            <w:r>
              <w:t>.</w:t>
            </w:r>
            <w:r w:rsidR="007521A8">
              <w:t>2</w:t>
            </w:r>
            <w:r>
              <w:t>-</w:t>
            </w:r>
            <w:r w:rsidR="007521A8">
              <w:t>LVPA</w:t>
            </w:r>
            <w:r>
              <w:t>-</w:t>
            </w:r>
            <w:r w:rsidR="007521A8">
              <w:t>K</w:t>
            </w:r>
            <w:r>
              <w:t>-</w:t>
            </w:r>
            <w:r w:rsidR="007521A8">
              <w:t>102-06-0027.</w:t>
            </w:r>
          </w:p>
          <w:p w14:paraId="517491A4" w14:textId="77777777" w:rsidR="007521A8" w:rsidRDefault="007521A8" w:rsidP="007521A8">
            <w:pPr>
              <w:widowControl w:val="0"/>
              <w:tabs>
                <w:tab w:val="left" w:pos="709"/>
              </w:tabs>
              <w:suppressAutoHyphens/>
              <w:overflowPunct w:val="0"/>
              <w:autoSpaceDE w:val="0"/>
              <w:autoSpaceDN w:val="0"/>
              <w:adjustRightInd w:val="0"/>
              <w:ind w:right="132"/>
              <w:jc w:val="both"/>
              <w:textAlignment w:val="baseline"/>
              <w:rPr>
                <w:iCs/>
                <w:lang w:eastAsia="lt-LT"/>
              </w:rPr>
            </w:pPr>
          </w:p>
          <w:p w14:paraId="7F33962D" w14:textId="6CFA3A96" w:rsidR="00355E37" w:rsidRDefault="00355E37" w:rsidP="007521A8">
            <w:pPr>
              <w:widowControl w:val="0"/>
              <w:tabs>
                <w:tab w:val="left" w:pos="709"/>
              </w:tabs>
              <w:suppressAutoHyphens/>
              <w:overflowPunct w:val="0"/>
              <w:autoSpaceDE w:val="0"/>
              <w:autoSpaceDN w:val="0"/>
              <w:adjustRightInd w:val="0"/>
              <w:ind w:right="132"/>
              <w:jc w:val="both"/>
              <w:textAlignment w:val="baseline"/>
              <w:rPr>
                <w:szCs w:val="24"/>
                <w:lang w:eastAsia="lt-LT"/>
              </w:rPr>
            </w:pPr>
            <w:r>
              <w:rPr>
                <w:iCs/>
                <w:szCs w:val="24"/>
                <w:lang w:eastAsia="lt-LT"/>
              </w:rPr>
              <w:t xml:space="preserve">Įgyvendinančioji institucija – </w:t>
            </w:r>
            <w:r w:rsidR="00CB34F3">
              <w:rPr>
                <w:iCs/>
                <w:szCs w:val="24"/>
                <w:lang w:eastAsia="lt-LT"/>
              </w:rPr>
              <w:t xml:space="preserve">viešoji įstaiga </w:t>
            </w:r>
            <w:r w:rsidR="007521A8">
              <w:rPr>
                <w:iCs/>
                <w:szCs w:val="24"/>
                <w:lang w:eastAsia="lt-LT"/>
              </w:rPr>
              <w:t>Inovacijų</w:t>
            </w:r>
            <w:r>
              <w:rPr>
                <w:iCs/>
                <w:szCs w:val="24"/>
                <w:lang w:eastAsia="lt-LT"/>
              </w:rPr>
              <w:t xml:space="preserve"> agentūra.</w:t>
            </w:r>
          </w:p>
        </w:tc>
      </w:tr>
      <w:tr w:rsidR="00355E37" w14:paraId="2857205D" w14:textId="77777777" w:rsidTr="00693521">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CE0B47E" w14:textId="77777777" w:rsidR="00355E37" w:rsidRDefault="00355E37" w:rsidP="00693521">
            <w:pPr>
              <w:ind w:left="132" w:right="132"/>
              <w:jc w:val="both"/>
              <w:rPr>
                <w:rFonts w:eastAsia="Calibri"/>
                <w:szCs w:val="24"/>
                <w:lang w:eastAsia="lt-LT"/>
              </w:rPr>
            </w:pPr>
            <w:r>
              <w:rPr>
                <w:rFonts w:eastAsia="Calibri"/>
                <w:szCs w:val="24"/>
                <w:lang w:eastAsia="lt-LT"/>
              </w:rPr>
              <w:t>Jei dėl pirkimo/sutarties vyksta teismo procesas, nurodyti ieškinio (skundo) dalyką, bylos šalių pavadinimus, ar taikomos laikinosios apsaugos priemonės, teisminio nagrinėjimo stadiją.</w:t>
            </w:r>
          </w:p>
          <w:p w14:paraId="13791CEB" w14:textId="77777777" w:rsidR="00355E37" w:rsidRDefault="00355E37" w:rsidP="00693521">
            <w:pPr>
              <w:jc w:val="both"/>
              <w:rPr>
                <w:szCs w:val="24"/>
                <w:lang w:eastAsia="lt-LT"/>
              </w:rPr>
            </w:pPr>
            <w:r>
              <w:rPr>
                <w:szCs w:val="24"/>
                <w:lang w:eastAsia="lt-LT"/>
              </w:rPr>
              <w:t xml:space="preserve"> –</w:t>
            </w:r>
          </w:p>
        </w:tc>
      </w:tr>
    </w:tbl>
    <w:p w14:paraId="31816415" w14:textId="77777777" w:rsidR="00355E37" w:rsidRDefault="00355E37" w:rsidP="00355E37"/>
    <w:p w14:paraId="4BE93A5E" w14:textId="77777777" w:rsidR="00355E37" w:rsidRDefault="00355E37" w:rsidP="00355E37">
      <w:pPr>
        <w:ind w:firstLine="720"/>
        <w:jc w:val="both"/>
        <w:rPr>
          <w:sz w:val="20"/>
          <w:lang w:eastAsia="lt-LT"/>
        </w:rPr>
      </w:pPr>
      <w:r>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4D70FF97" w14:textId="77777777" w:rsidR="00355E37" w:rsidRPr="002A07F4" w:rsidRDefault="00355E37" w:rsidP="00355E37">
      <w:pPr>
        <w:rPr>
          <w:b/>
          <w:szCs w:val="24"/>
        </w:rPr>
      </w:pPr>
    </w:p>
    <w:p w14:paraId="030A1CB9" w14:textId="77777777" w:rsidR="00355E37" w:rsidRPr="002A07F4" w:rsidRDefault="00355E37" w:rsidP="00355E37">
      <w:pPr>
        <w:jc w:val="center"/>
        <w:rPr>
          <w:b/>
          <w:szCs w:val="24"/>
        </w:rPr>
      </w:pPr>
      <w:r w:rsidRPr="002A07F4">
        <w:rPr>
          <w:b/>
          <w:szCs w:val="24"/>
        </w:rPr>
        <w:t>II dalis. Vertinimo apimtyje nustatyti pažeidimai</w:t>
      </w:r>
    </w:p>
    <w:p w14:paraId="35FCA905" w14:textId="77777777" w:rsidR="00355E37" w:rsidRDefault="00355E37" w:rsidP="00355E37">
      <w:pP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016D3F" w:rsidRPr="002A07F4" w14:paraId="0DC3C186" w14:textId="77777777" w:rsidTr="00693521">
        <w:tc>
          <w:tcPr>
            <w:tcW w:w="1333" w:type="dxa"/>
            <w:tcBorders>
              <w:top w:val="single" w:sz="4" w:space="0" w:color="auto"/>
              <w:left w:val="single" w:sz="4" w:space="0" w:color="auto"/>
              <w:bottom w:val="single" w:sz="4" w:space="0" w:color="auto"/>
              <w:right w:val="single" w:sz="4" w:space="0" w:color="auto"/>
            </w:tcBorders>
          </w:tcPr>
          <w:p w14:paraId="38ECE70E" w14:textId="77777777" w:rsidR="00355E37" w:rsidRPr="002A07F4" w:rsidRDefault="00355E37" w:rsidP="00693521">
            <w:pPr>
              <w:jc w:val="center"/>
              <w:rPr>
                <w:szCs w:val="24"/>
              </w:rPr>
            </w:pPr>
            <w:r>
              <w:rPr>
                <w:szCs w:val="24"/>
              </w:rPr>
              <w:t>1.</w:t>
            </w:r>
          </w:p>
        </w:tc>
        <w:tc>
          <w:tcPr>
            <w:tcW w:w="8443" w:type="dxa"/>
            <w:tcBorders>
              <w:top w:val="single" w:sz="4" w:space="0" w:color="auto"/>
              <w:left w:val="single" w:sz="4" w:space="0" w:color="auto"/>
              <w:bottom w:val="single" w:sz="4" w:space="0" w:color="auto"/>
              <w:right w:val="single" w:sz="4" w:space="0" w:color="auto"/>
            </w:tcBorders>
          </w:tcPr>
          <w:p w14:paraId="1A10B385" w14:textId="14836FF9" w:rsidR="00B27484" w:rsidRPr="00B93740" w:rsidRDefault="00E81F75" w:rsidP="00D36343">
            <w:pPr>
              <w:rPr>
                <w:szCs w:val="24"/>
              </w:rPr>
            </w:pPr>
            <w:r>
              <w:rPr>
                <w:szCs w:val="24"/>
              </w:rPr>
              <w:t>Įstatymo 50 straipsnio 4 dalies 2 punktas</w:t>
            </w:r>
            <w:r w:rsidR="00E41858">
              <w:rPr>
                <w:rStyle w:val="FootnoteReference"/>
                <w:szCs w:val="24"/>
              </w:rPr>
              <w:footnoteReference w:id="2"/>
            </w:r>
            <w:r>
              <w:rPr>
                <w:szCs w:val="24"/>
              </w:rPr>
              <w:t>.</w:t>
            </w:r>
          </w:p>
        </w:tc>
      </w:tr>
      <w:tr w:rsidR="00016D3F" w:rsidRPr="002A07F4" w14:paraId="18D4F321" w14:textId="77777777" w:rsidTr="00693521">
        <w:tc>
          <w:tcPr>
            <w:tcW w:w="9776" w:type="dxa"/>
            <w:gridSpan w:val="2"/>
            <w:tcBorders>
              <w:top w:val="single" w:sz="4" w:space="0" w:color="auto"/>
              <w:left w:val="single" w:sz="4" w:space="0" w:color="auto"/>
              <w:bottom w:val="single" w:sz="4" w:space="0" w:color="auto"/>
              <w:right w:val="single" w:sz="4" w:space="0" w:color="auto"/>
            </w:tcBorders>
          </w:tcPr>
          <w:p w14:paraId="3948FF8D" w14:textId="50D59D75" w:rsidR="001816E5" w:rsidRDefault="006B310B" w:rsidP="001816E5">
            <w:pPr>
              <w:ind w:firstLine="599"/>
              <w:jc w:val="both"/>
              <w:rPr>
                <w:szCs w:val="24"/>
              </w:rPr>
            </w:pPr>
            <w:r>
              <w:rPr>
                <w:szCs w:val="24"/>
              </w:rPr>
              <w:t>Konkretų p</w:t>
            </w:r>
            <w:r w:rsidR="008E7D3D">
              <w:rPr>
                <w:szCs w:val="24"/>
              </w:rPr>
              <w:t xml:space="preserve">irkimą vykdė </w:t>
            </w:r>
            <w:r w:rsidR="001816E5">
              <w:rPr>
                <w:szCs w:val="24"/>
              </w:rPr>
              <w:t xml:space="preserve">pirkimo </w:t>
            </w:r>
            <w:r w:rsidR="008E7D3D">
              <w:rPr>
                <w:szCs w:val="24"/>
              </w:rPr>
              <w:t>organizatorius</w:t>
            </w:r>
            <w:r w:rsidR="001816E5">
              <w:rPr>
                <w:szCs w:val="24"/>
              </w:rPr>
              <w:t>, kuris paskirtas</w:t>
            </w:r>
            <w:r w:rsidR="002D69CA">
              <w:rPr>
                <w:szCs w:val="24"/>
              </w:rPr>
              <w:t>, vadovaujantis AB Vilniaus šilumos tinklai generalinio direktoriaus 2021 m. kovo 9 d. įsakymu Nr. V1-47 „Dėl pirkimo organizatorių ir pirkimo per CPO vykdytojų paskyrimo“.</w:t>
            </w:r>
            <w:r w:rsidR="00345B65">
              <w:rPr>
                <w:szCs w:val="24"/>
              </w:rPr>
              <w:t xml:space="preserve"> </w:t>
            </w:r>
            <w:r w:rsidR="00581D1A">
              <w:rPr>
                <w:szCs w:val="24"/>
              </w:rPr>
              <w:t>Dinaminės pirki</w:t>
            </w:r>
            <w:r w:rsidR="00874FB2">
              <w:rPr>
                <w:szCs w:val="24"/>
              </w:rPr>
              <w:t>mų sistemos</w:t>
            </w:r>
            <w:r w:rsidR="00581D1A">
              <w:rPr>
                <w:szCs w:val="24"/>
              </w:rPr>
              <w:t xml:space="preserve"> sąlygos</w:t>
            </w:r>
            <w:r w:rsidR="00C946E0">
              <w:rPr>
                <w:szCs w:val="24"/>
              </w:rPr>
              <w:t>, kurių pagrindu buvo atliktas Konkretus pirkimas,</w:t>
            </w:r>
            <w:r w:rsidR="00581D1A">
              <w:rPr>
                <w:szCs w:val="24"/>
              </w:rPr>
              <w:t xml:space="preserve"> patvirtintos 2020</w:t>
            </w:r>
            <w:r w:rsidR="00874FB2">
              <w:rPr>
                <w:szCs w:val="24"/>
              </w:rPr>
              <w:t xml:space="preserve"> m. gruodžio 7 d.</w:t>
            </w:r>
            <w:r w:rsidR="00581D1A">
              <w:rPr>
                <w:szCs w:val="24"/>
              </w:rPr>
              <w:t xml:space="preserve"> posėdžio metu</w:t>
            </w:r>
            <w:r w:rsidR="00874FB2">
              <w:rPr>
                <w:szCs w:val="24"/>
              </w:rPr>
              <w:t xml:space="preserve"> (protokolas Nr. VPP-1457).</w:t>
            </w:r>
          </w:p>
          <w:p w14:paraId="1CC68043" w14:textId="15283058" w:rsidR="00C85DD3" w:rsidRPr="001816E5" w:rsidRDefault="00C85DD3" w:rsidP="001816E5">
            <w:pPr>
              <w:ind w:firstLine="599"/>
              <w:jc w:val="both"/>
              <w:rPr>
                <w:szCs w:val="24"/>
              </w:rPr>
            </w:pPr>
            <w:r w:rsidRPr="001816E5">
              <w:rPr>
                <w:szCs w:val="24"/>
              </w:rPr>
              <w:t xml:space="preserve">Techninės specifikacijos </w:t>
            </w:r>
            <w:r w:rsidR="00D37C0F" w:rsidRPr="001816E5">
              <w:rPr>
                <w:szCs w:val="24"/>
              </w:rPr>
              <w:t xml:space="preserve">3.2.1 punkte nustatyta: </w:t>
            </w:r>
            <w:r w:rsidR="00D37C0F" w:rsidRPr="00C27D8E">
              <w:rPr>
                <w:szCs w:val="24"/>
              </w:rPr>
              <w:t>„</w:t>
            </w:r>
            <w:r w:rsidR="003D53B5" w:rsidRPr="00C27D8E">
              <w:rPr>
                <w:i/>
                <w:iCs/>
                <w:szCs w:val="24"/>
              </w:rPr>
              <w:t>&lt;...&gt;Visi gaminiai, konstrukcijos ir medžiagos privalo būti naujos ir geros kokybės, atitikti Užsakovo reikalavimus ir Rangovo dokumentus.</w:t>
            </w:r>
            <w:r w:rsidR="00D37C0F" w:rsidRPr="00C27D8E">
              <w:rPr>
                <w:i/>
                <w:iCs/>
                <w:szCs w:val="24"/>
              </w:rPr>
              <w:t xml:space="preserve"> Visa įranga ir medžiagos turi atitikti LR teisės aktų reikalavimus</w:t>
            </w:r>
            <w:r w:rsidR="00852E1D" w:rsidRPr="00C27D8E">
              <w:rPr>
                <w:i/>
                <w:iCs/>
                <w:szCs w:val="24"/>
              </w:rPr>
              <w:t>, Europos Sąjungos teisės aktų reikalavimus ir standartus. Medžiagos, kurioms reikalingas atitikties sertifikatas, turi būti pateiktos su reikiamais sertifikatais</w:t>
            </w:r>
            <w:r w:rsidR="00852E1D" w:rsidRPr="001816E5">
              <w:rPr>
                <w:szCs w:val="24"/>
              </w:rPr>
              <w:t>“</w:t>
            </w:r>
            <w:r w:rsidR="00D62041" w:rsidRPr="001816E5">
              <w:rPr>
                <w:szCs w:val="24"/>
              </w:rPr>
              <w:t xml:space="preserve">; </w:t>
            </w:r>
            <w:r w:rsidRPr="001816E5">
              <w:rPr>
                <w:szCs w:val="24"/>
              </w:rPr>
              <w:t>3.5.1 punkte nustatyta: „</w:t>
            </w:r>
            <w:r w:rsidRPr="001816E5">
              <w:rPr>
                <w:i/>
                <w:iCs/>
                <w:szCs w:val="24"/>
              </w:rPr>
              <w:t>Šilumos tiekimo tinklų rekonstravimo darbams turi būti naudojami nauji plieniniai vamzdžiai (izoliuoti pramoniniu būdu), taip pat ir jų sudedamosios dalys (movos, jungtys, intarpai) bei įrenginiai (uždaromoji armatūra ir fasoninės dalys) privalo būti ne prastesnės kokybės negu vamzdžiai. Visi aukščiau išvardinti komponentai turi atitikti Centralizuoto šilumos tiekimo tinklų technologinio proceso reikalavimus bei</w:t>
            </w:r>
            <w:r w:rsidRPr="001816E5">
              <w:rPr>
                <w:b/>
                <w:bCs/>
                <w:i/>
                <w:iCs/>
                <w:szCs w:val="24"/>
              </w:rPr>
              <w:t xml:space="preserve"> projektinėje dokumentacijoje nurodytas technines savybes, markes bei standartus</w:t>
            </w:r>
            <w:r w:rsidRPr="001816E5">
              <w:rPr>
                <w:szCs w:val="24"/>
              </w:rPr>
              <w:t>“</w:t>
            </w:r>
            <w:r w:rsidR="006E78E6">
              <w:rPr>
                <w:szCs w:val="24"/>
              </w:rPr>
              <w:t>;</w:t>
            </w:r>
            <w:r w:rsidRPr="001816E5">
              <w:rPr>
                <w:szCs w:val="24"/>
              </w:rPr>
              <w:t xml:space="preserve"> 3.6.2 punkte nustatyta: </w:t>
            </w:r>
            <w:r w:rsidRPr="001816E5">
              <w:rPr>
                <w:szCs w:val="24"/>
              </w:rPr>
              <w:lastRenderedPageBreak/>
              <w:t>„</w:t>
            </w:r>
            <w:r w:rsidRPr="001816E5">
              <w:rPr>
                <w:i/>
                <w:iCs/>
                <w:szCs w:val="24"/>
              </w:rPr>
              <w:t>Visoms suvirinimo siūlėms prieš darbų pradžią turi būti sudaryti suvirinimo procedūrų aprašai (SPA) pagal LST EN ISO 15609-1 reikalavimus ir pateikti Užsakovui tvirtinimui</w:t>
            </w:r>
            <w:r w:rsidRPr="001816E5">
              <w:rPr>
                <w:szCs w:val="24"/>
              </w:rPr>
              <w:t>“. Taip pat nustatyta, kad Techninės specifikacijos priedas Nr. 1 – Techninis projektas (Bendroji dalis, Statinio konstrukcijos, Pasirengimo statybai ir Statybos Darbų organizavimo dalis, Šilumos Tiekimo dalis). Techninio projekto dalyje „</w:t>
            </w:r>
            <w:r w:rsidRPr="001816E5">
              <w:rPr>
                <w:b/>
                <w:bCs/>
                <w:szCs w:val="24"/>
              </w:rPr>
              <w:t>Statinio konstrukcijos</w:t>
            </w:r>
            <w:r w:rsidRPr="001816E5">
              <w:rPr>
                <w:szCs w:val="24"/>
              </w:rPr>
              <w:t>“ 3 dalies Betono ir gelžbetonio darbai 3.1.1 papunktyje nustatyta: „</w:t>
            </w:r>
            <w:r w:rsidRPr="001816E5">
              <w:rPr>
                <w:i/>
                <w:iCs/>
                <w:szCs w:val="24"/>
              </w:rPr>
              <w:t>Visos betono armavimui naudojamo armatūrinio plieno savybės turi atitikti LST EN ISO 15630-1:2003; LST EN ISO 15630-2:2003 reikalavimus. Monolitinių gelžbetoninių konstrukcijų betonavimo darbai turi būti vykdomi pagal LST EN 206-1:2002; LST ISO 1920:1995 ir RSN 91-85 bei techninių specifikacijų reikalavimus</w:t>
            </w:r>
            <w:r w:rsidRPr="001816E5">
              <w:rPr>
                <w:szCs w:val="24"/>
              </w:rPr>
              <w:t>“</w:t>
            </w:r>
            <w:r w:rsidR="001765DE">
              <w:rPr>
                <w:szCs w:val="24"/>
              </w:rPr>
              <w:t>;</w:t>
            </w:r>
            <w:r w:rsidRPr="001816E5">
              <w:rPr>
                <w:szCs w:val="24"/>
              </w:rPr>
              <w:t xml:space="preserve"> 3.2 papunktyje nustatyta: „</w:t>
            </w:r>
            <w:r w:rsidRPr="001816E5">
              <w:rPr>
                <w:i/>
                <w:iCs/>
                <w:szCs w:val="24"/>
              </w:rPr>
              <w:t>Betonavimo darbams naudojamas betonas turi atitikti LST EN 206-1 reikalavimus ir techninių specifikacijų reikalavimus</w:t>
            </w:r>
            <w:r w:rsidRPr="001816E5">
              <w:rPr>
                <w:szCs w:val="24"/>
              </w:rPr>
              <w:t>“</w:t>
            </w:r>
            <w:r w:rsidR="001765DE">
              <w:rPr>
                <w:szCs w:val="24"/>
              </w:rPr>
              <w:t>;</w:t>
            </w:r>
            <w:r w:rsidRPr="001816E5">
              <w:rPr>
                <w:szCs w:val="24"/>
              </w:rPr>
              <w:t xml:space="preserve"> 3.2.4 papunktyje nustatyta: „</w:t>
            </w:r>
            <w:r w:rsidRPr="001816E5">
              <w:rPr>
                <w:i/>
                <w:iCs/>
                <w:szCs w:val="24"/>
              </w:rPr>
              <w:t>Betono kokybės kontrolė turi būti vykdoma pagal LST 1330:1995</w:t>
            </w:r>
            <w:r w:rsidRPr="001816E5">
              <w:rPr>
                <w:szCs w:val="24"/>
              </w:rPr>
              <w:t>“</w:t>
            </w:r>
            <w:r w:rsidR="001765DE">
              <w:rPr>
                <w:szCs w:val="24"/>
              </w:rPr>
              <w:t>;</w:t>
            </w:r>
            <w:r w:rsidRPr="001816E5">
              <w:rPr>
                <w:szCs w:val="24"/>
              </w:rPr>
              <w:t xml:space="preserve"> 3.3.1.3 papunktyje nustatyta: „</w:t>
            </w:r>
            <w:r w:rsidRPr="001816E5">
              <w:rPr>
                <w:i/>
                <w:iCs/>
                <w:szCs w:val="24"/>
              </w:rPr>
              <w:t>Turi būti naudojami užpildai atitinkantys LST 1342 reikalavimus</w:t>
            </w:r>
            <w:r w:rsidRPr="001816E5">
              <w:rPr>
                <w:szCs w:val="24"/>
              </w:rPr>
              <w:t>“</w:t>
            </w:r>
            <w:r w:rsidR="001765DE">
              <w:rPr>
                <w:szCs w:val="24"/>
              </w:rPr>
              <w:t>;</w:t>
            </w:r>
            <w:r w:rsidRPr="001816E5">
              <w:rPr>
                <w:szCs w:val="24"/>
              </w:rPr>
              <w:t xml:space="preserve"> 3.3.1.6 papunktyje nustatyta: „</w:t>
            </w:r>
            <w:r w:rsidRPr="001816E5">
              <w:rPr>
                <w:i/>
                <w:iCs/>
                <w:szCs w:val="24"/>
              </w:rPr>
              <w:t>Betono mišiniai turi atitikti LST EN 206-1:2002 reikalavimus. &lt;...&gt; Nesukietėjusio betono klojumas turi būti nustatomas pagal LST ISO 4109</w:t>
            </w:r>
            <w:r w:rsidR="006E5C17">
              <w:rPr>
                <w:i/>
                <w:iCs/>
                <w:szCs w:val="24"/>
              </w:rPr>
              <w:t>. &lt;...&gt; Monolitinio betono klojumas &lt;...&gt; turi atitikti LST ISO 4109 reikalavimus &lt;...&gt;</w:t>
            </w:r>
            <w:r w:rsidRPr="001816E5">
              <w:rPr>
                <w:szCs w:val="24"/>
              </w:rPr>
              <w:t xml:space="preserve">“. </w:t>
            </w:r>
            <w:r w:rsidR="001765DE">
              <w:rPr>
                <w:szCs w:val="24"/>
              </w:rPr>
              <w:t>Techninio</w:t>
            </w:r>
            <w:r w:rsidR="00066501">
              <w:rPr>
                <w:szCs w:val="24"/>
              </w:rPr>
              <w:t xml:space="preserve"> p</w:t>
            </w:r>
            <w:r w:rsidRPr="001816E5">
              <w:rPr>
                <w:szCs w:val="24"/>
              </w:rPr>
              <w:t>rojekto dalyje „</w:t>
            </w:r>
            <w:r w:rsidRPr="001816E5">
              <w:rPr>
                <w:b/>
                <w:bCs/>
                <w:szCs w:val="24"/>
              </w:rPr>
              <w:t>Pasirengimo statybai ir statybos darbų organizavimo dalis</w:t>
            </w:r>
            <w:r w:rsidRPr="001816E5">
              <w:rPr>
                <w:szCs w:val="24"/>
              </w:rPr>
              <w:t>“ 2.16.1 papunktyje nustatyta: „</w:t>
            </w:r>
            <w:r w:rsidRPr="001816E5">
              <w:rPr>
                <w:i/>
                <w:iCs/>
                <w:szCs w:val="24"/>
              </w:rPr>
              <w:t>Prieš užkasant rekonstruojamų šiluminių trasų vamzdynai turi atlikti mechaninio stiprio ir sandarumo hidrauliniai išbandymai pagal LST EN 13941 standarto 7.6 skyriaus reikalavimus</w:t>
            </w:r>
            <w:r w:rsidRPr="001816E5">
              <w:rPr>
                <w:szCs w:val="24"/>
              </w:rPr>
              <w:t>“</w:t>
            </w:r>
            <w:r w:rsidR="00066501">
              <w:rPr>
                <w:szCs w:val="24"/>
              </w:rPr>
              <w:t>.</w:t>
            </w:r>
            <w:r w:rsidRPr="001816E5">
              <w:rPr>
                <w:szCs w:val="24"/>
              </w:rPr>
              <w:t xml:space="preserve"> </w:t>
            </w:r>
            <w:r w:rsidR="00066501">
              <w:rPr>
                <w:szCs w:val="24"/>
              </w:rPr>
              <w:t>Techninio p</w:t>
            </w:r>
            <w:r w:rsidRPr="001816E5">
              <w:rPr>
                <w:szCs w:val="24"/>
              </w:rPr>
              <w:t>rojekto dalyje „</w:t>
            </w:r>
            <w:r w:rsidRPr="001816E5">
              <w:rPr>
                <w:b/>
                <w:bCs/>
                <w:szCs w:val="24"/>
              </w:rPr>
              <w:t>Šilumos tiekimo dalis</w:t>
            </w:r>
            <w:r w:rsidRPr="001816E5">
              <w:rPr>
                <w:szCs w:val="24"/>
              </w:rPr>
              <w:t>“ 4.2.1 papunktyje nustatyta: „</w:t>
            </w:r>
            <w:r w:rsidRPr="001816E5">
              <w:rPr>
                <w:i/>
                <w:iCs/>
                <w:szCs w:val="24"/>
              </w:rPr>
              <w:t>Plieniniai vamzdynai turi atitikti LST EN 13941-2 standartą. &lt;...&gt; Vamzdynų izoliacija turi atitikti LST EN 253:2019 reikalavimus. &lt;...&gt; Fasoninės dalys, uždarymo ir reguliavimo įtaisai, jungtys atitinkamai turi atitikti standartų LST EN 253:2019, LST EN 448:2019, LST EN 488:2019, LST EN 489-1:2019 reikalavimus</w:t>
            </w:r>
            <w:r w:rsidRPr="001816E5">
              <w:rPr>
                <w:szCs w:val="24"/>
              </w:rPr>
              <w:t>“; 4.2.2 papunktyje nustatyta: „</w:t>
            </w:r>
            <w:r w:rsidRPr="001816E5">
              <w:rPr>
                <w:i/>
                <w:iCs/>
                <w:szCs w:val="24"/>
              </w:rPr>
              <w:t>Bekanalių karšto vandens tinklų iš anksto neardomi izoliuotų vamzdžių sistemos turi atitikti standartą LST EN 14419:2019</w:t>
            </w:r>
            <w:r w:rsidRPr="001816E5">
              <w:rPr>
                <w:szCs w:val="24"/>
              </w:rPr>
              <w:t>“; 4.2.6 papunktis: „</w:t>
            </w:r>
            <w:r w:rsidRPr="001816E5">
              <w:rPr>
                <w:i/>
                <w:iCs/>
                <w:szCs w:val="24"/>
              </w:rPr>
              <w:t>Plieno kokybei keliami tokie patys reikalavimai kaip ir šio dokumento 4.2.1 punkte ir turi atitikti LST EN 10217 standartą</w:t>
            </w:r>
            <w:r w:rsidRPr="001816E5">
              <w:rPr>
                <w:szCs w:val="24"/>
              </w:rPr>
              <w:t>“; 4.2.13 papunkt</w:t>
            </w:r>
            <w:r w:rsidR="00066501">
              <w:rPr>
                <w:szCs w:val="24"/>
              </w:rPr>
              <w:t>yje nustatyta</w:t>
            </w:r>
            <w:r w:rsidRPr="001816E5">
              <w:rPr>
                <w:szCs w:val="24"/>
              </w:rPr>
              <w:t>: „</w:t>
            </w:r>
            <w:r w:rsidRPr="001816E5">
              <w:rPr>
                <w:i/>
                <w:iCs/>
                <w:szCs w:val="24"/>
              </w:rPr>
              <w:t>Visi šuliniai statomi iš surenkamų gelžbetonio elementų turi atitikti LST EN 1917 reikalavimus</w:t>
            </w:r>
            <w:r w:rsidRPr="001816E5">
              <w:rPr>
                <w:szCs w:val="24"/>
              </w:rPr>
              <w:t>“; 4.3.5 papunkt</w:t>
            </w:r>
            <w:r w:rsidR="00066501">
              <w:rPr>
                <w:szCs w:val="24"/>
              </w:rPr>
              <w:t>yje nustatyta</w:t>
            </w:r>
            <w:r w:rsidRPr="001816E5">
              <w:rPr>
                <w:szCs w:val="24"/>
              </w:rPr>
              <w:t>: „</w:t>
            </w:r>
            <w:r w:rsidRPr="001816E5">
              <w:rPr>
                <w:i/>
                <w:iCs/>
                <w:szCs w:val="24"/>
              </w:rPr>
              <w:t>Prieš užkasant rekonstruojamų šiluminių trasų vamzdynai turi būti atlikti mechaninio stiprio ir sandarumo hidrauliniai išbandymai pagal „Slėginių įrenginių techninio reglamento“, Slėginių vamzdynų naudojimo taisyklių, LST EN 13941 standarto 7.6 skyriaus reikalavimus</w:t>
            </w:r>
            <w:r w:rsidRPr="001816E5">
              <w:rPr>
                <w:szCs w:val="24"/>
              </w:rPr>
              <w:t>“; 4.3.6 papunkt</w:t>
            </w:r>
            <w:r w:rsidR="00066501">
              <w:rPr>
                <w:szCs w:val="24"/>
              </w:rPr>
              <w:t>yje nustatyta</w:t>
            </w:r>
            <w:r w:rsidRPr="001816E5">
              <w:rPr>
                <w:szCs w:val="24"/>
              </w:rPr>
              <w:t>: „</w:t>
            </w:r>
            <w:r w:rsidRPr="001816E5">
              <w:rPr>
                <w:i/>
                <w:iCs/>
                <w:szCs w:val="24"/>
              </w:rPr>
              <w:t>Bandymų metodikos turi atitikti EN ISO 17635:2017 keliamus reikalavimus</w:t>
            </w:r>
            <w:r w:rsidRPr="001816E5">
              <w:rPr>
                <w:szCs w:val="24"/>
              </w:rPr>
              <w:t>“.</w:t>
            </w:r>
          </w:p>
          <w:p w14:paraId="131FAC32" w14:textId="20F88379" w:rsidR="009F3BEE" w:rsidRDefault="004740BE" w:rsidP="00C85DD3">
            <w:pPr>
              <w:tabs>
                <w:tab w:val="left" w:pos="851"/>
              </w:tabs>
              <w:ind w:firstLine="567"/>
              <w:jc w:val="both"/>
              <w:textAlignment w:val="baseline"/>
              <w:rPr>
                <w:szCs w:val="24"/>
              </w:rPr>
            </w:pPr>
            <w:r>
              <w:rPr>
                <w:rStyle w:val="wysiwyg-font-size-medium"/>
                <w:color w:val="000000"/>
                <w:spacing w:val="2"/>
                <w:szCs w:val="24"/>
                <w:shd w:val="clear" w:color="auto" w:fill="FFFFFF"/>
              </w:rPr>
              <w:t>Pažymėtina,</w:t>
            </w:r>
            <w:r w:rsidR="00C85DD3" w:rsidRPr="005E6D54">
              <w:rPr>
                <w:rStyle w:val="wysiwyg-font-size-medium"/>
                <w:color w:val="000000"/>
                <w:spacing w:val="2"/>
                <w:szCs w:val="24"/>
                <w:shd w:val="clear" w:color="auto" w:fill="FFFFFF"/>
              </w:rPr>
              <w:t xml:space="preserve"> kad Į</w:t>
            </w:r>
            <w:r w:rsidR="0048477D">
              <w:rPr>
                <w:rStyle w:val="wysiwyg-font-size-medium"/>
                <w:color w:val="000000"/>
                <w:spacing w:val="2"/>
                <w:szCs w:val="24"/>
                <w:shd w:val="clear" w:color="auto" w:fill="FFFFFF"/>
              </w:rPr>
              <w:t>statymo</w:t>
            </w:r>
            <w:r w:rsidR="00C85DD3" w:rsidRPr="005E6D54">
              <w:rPr>
                <w:rStyle w:val="wysiwyg-font-size-medium"/>
                <w:color w:val="000000"/>
                <w:spacing w:val="2"/>
                <w:szCs w:val="24"/>
                <w:shd w:val="clear" w:color="auto" w:fill="FFFFFF"/>
              </w:rPr>
              <w:t xml:space="preserve"> </w:t>
            </w:r>
            <w:r w:rsidR="00C85DD3" w:rsidRPr="004E2202">
              <w:rPr>
                <w:rStyle w:val="wysiwyg-font-size-medium"/>
                <w:color w:val="000000"/>
                <w:spacing w:val="2"/>
                <w:szCs w:val="24"/>
                <w:shd w:val="clear" w:color="auto" w:fill="FFFFFF"/>
              </w:rPr>
              <w:t>50 straipsnio 4 dalies 2 punkte</w:t>
            </w:r>
            <w:r w:rsidR="00C85DD3" w:rsidRPr="005E6D54">
              <w:rPr>
                <w:rStyle w:val="wysiwyg-font-size-medium"/>
                <w:color w:val="000000"/>
                <w:spacing w:val="2"/>
                <w:szCs w:val="24"/>
                <w:shd w:val="clear" w:color="auto" w:fill="FFFFFF"/>
              </w:rPr>
              <w:t xml:space="preserve"> yra nustatyta, jog nurodant </w:t>
            </w:r>
            <w:r w:rsidR="00C85DD3" w:rsidRPr="005E6D54">
              <w:rPr>
                <w:szCs w:val="24"/>
              </w:rPr>
              <w:t>standartą, techninį liudijimą ar bendrąsias technines specifikacijas, kiekviena nuoroda turi būti pateikiama kartu su žodžiais „arba lygiavertis“</w:t>
            </w:r>
            <w:r>
              <w:rPr>
                <w:szCs w:val="24"/>
              </w:rPr>
              <w:t xml:space="preserve">. </w:t>
            </w:r>
            <w:r w:rsidR="00916AEC">
              <w:rPr>
                <w:szCs w:val="24"/>
              </w:rPr>
              <w:t xml:space="preserve">Šiuo atveju </w:t>
            </w:r>
            <w:r w:rsidR="009F44FD">
              <w:rPr>
                <w:szCs w:val="24"/>
              </w:rPr>
              <w:t>nustatyta, kad Konkretaus pirkimo sąlygose prie nurodytų konkrečių standartų nebuvo nurodyt</w:t>
            </w:r>
            <w:r w:rsidR="0083529C">
              <w:rPr>
                <w:szCs w:val="24"/>
              </w:rPr>
              <w:t>i žodžiai</w:t>
            </w:r>
            <w:r w:rsidR="009F44FD">
              <w:rPr>
                <w:szCs w:val="24"/>
              </w:rPr>
              <w:t xml:space="preserve"> „arba lygiavertis“. </w:t>
            </w:r>
            <w:r>
              <w:rPr>
                <w:szCs w:val="24"/>
              </w:rPr>
              <w:t xml:space="preserve">Perkantysis subjektas nurodė, kad </w:t>
            </w:r>
            <w:r w:rsidR="00D16505" w:rsidRPr="00E828D0">
              <w:rPr>
                <w:i/>
                <w:iCs/>
                <w:szCs w:val="24"/>
              </w:rPr>
              <w:t>konkretūs standartai be žodžių „arba lygiavertis“</w:t>
            </w:r>
            <w:r w:rsidR="00E828D0" w:rsidRPr="00E828D0">
              <w:rPr>
                <w:i/>
                <w:iCs/>
                <w:szCs w:val="24"/>
              </w:rPr>
              <w:t xml:space="preserve"> nurodyti dėl žmogiškosios / techninės klaidos</w:t>
            </w:r>
            <w:r w:rsidR="00E828D0">
              <w:rPr>
                <w:szCs w:val="24"/>
              </w:rPr>
              <w:t>.</w:t>
            </w:r>
            <w:r w:rsidR="009D1EE0">
              <w:rPr>
                <w:szCs w:val="24"/>
              </w:rPr>
              <w:t xml:space="preserve"> Taip pat Perkantysis subjektas paaiškino, kad</w:t>
            </w:r>
            <w:r w:rsidR="005E0C0F">
              <w:rPr>
                <w:szCs w:val="24"/>
              </w:rPr>
              <w:t xml:space="preserve"> </w:t>
            </w:r>
            <w:r w:rsidR="005E0C0F" w:rsidRPr="00CE2A16">
              <w:rPr>
                <w:i/>
                <w:iCs/>
                <w:szCs w:val="24"/>
              </w:rPr>
              <w:t>dėl minėtos situacijos, kad nustatyti konkretūs standartai be žodžių „arba lygiavertis“, nebuvo gauta tiekėjų prašymų paaiškinti Pirkimo dokumentus ir /</w:t>
            </w:r>
            <w:r w:rsidR="00D6766E">
              <w:rPr>
                <w:i/>
                <w:iCs/>
                <w:szCs w:val="24"/>
              </w:rPr>
              <w:t xml:space="preserve"> ar</w:t>
            </w:r>
            <w:r w:rsidR="005E0C0F" w:rsidRPr="00CE2A16">
              <w:rPr>
                <w:i/>
                <w:iCs/>
                <w:szCs w:val="24"/>
              </w:rPr>
              <w:t xml:space="preserve"> pretenzijų</w:t>
            </w:r>
            <w:r w:rsidR="00066501">
              <w:rPr>
                <w:i/>
                <w:iCs/>
                <w:szCs w:val="24"/>
              </w:rPr>
              <w:t>.</w:t>
            </w:r>
            <w:r w:rsidR="005E0C0F">
              <w:rPr>
                <w:szCs w:val="24"/>
              </w:rPr>
              <w:t xml:space="preserve"> </w:t>
            </w:r>
            <w:r w:rsidR="00066501">
              <w:rPr>
                <w:szCs w:val="24"/>
              </w:rPr>
              <w:t>Tarnyba nustatė</w:t>
            </w:r>
            <w:r w:rsidR="004E2202">
              <w:rPr>
                <w:szCs w:val="24"/>
              </w:rPr>
              <w:t xml:space="preserve">, kad </w:t>
            </w:r>
            <w:r w:rsidR="00CE2A16">
              <w:rPr>
                <w:szCs w:val="24"/>
              </w:rPr>
              <w:t>Pirkimui pasiūlymus</w:t>
            </w:r>
            <w:r w:rsidR="004E2202">
              <w:rPr>
                <w:szCs w:val="24"/>
              </w:rPr>
              <w:t xml:space="preserve"> pateikė 15 tiekėjų</w:t>
            </w:r>
            <w:r w:rsidR="00CE2A16">
              <w:rPr>
                <w:szCs w:val="24"/>
              </w:rPr>
              <w:t xml:space="preserve">. </w:t>
            </w:r>
          </w:p>
          <w:p w14:paraId="582EDCAE" w14:textId="146F9092" w:rsidR="007D1E22" w:rsidRPr="002A413A" w:rsidRDefault="00CE2A16" w:rsidP="00116595">
            <w:pPr>
              <w:tabs>
                <w:tab w:val="left" w:pos="851"/>
              </w:tabs>
              <w:ind w:firstLine="567"/>
              <w:jc w:val="both"/>
              <w:textAlignment w:val="baseline"/>
              <w:rPr>
                <w:szCs w:val="24"/>
              </w:rPr>
            </w:pPr>
            <w:r>
              <w:rPr>
                <w:szCs w:val="24"/>
              </w:rPr>
              <w:t xml:space="preserve">Atsižvelgiant į </w:t>
            </w:r>
            <w:r w:rsidR="00C36931">
              <w:rPr>
                <w:szCs w:val="24"/>
              </w:rPr>
              <w:t xml:space="preserve">pirmiau nustatytą, </w:t>
            </w:r>
            <w:r w:rsidR="00BE446C">
              <w:rPr>
                <w:szCs w:val="24"/>
              </w:rPr>
              <w:t xml:space="preserve">Tarnyba </w:t>
            </w:r>
            <w:r w:rsidR="00C36931">
              <w:rPr>
                <w:szCs w:val="24"/>
              </w:rPr>
              <w:t>konstatu</w:t>
            </w:r>
            <w:r w:rsidR="00BE446C">
              <w:rPr>
                <w:szCs w:val="24"/>
              </w:rPr>
              <w:t>oja</w:t>
            </w:r>
            <w:r>
              <w:rPr>
                <w:szCs w:val="24"/>
              </w:rPr>
              <w:t xml:space="preserve">, </w:t>
            </w:r>
            <w:r w:rsidR="004468C4">
              <w:rPr>
                <w:szCs w:val="24"/>
              </w:rPr>
              <w:t>kad</w:t>
            </w:r>
            <w:r w:rsidR="00C36931">
              <w:rPr>
                <w:szCs w:val="24"/>
              </w:rPr>
              <w:t xml:space="preserve"> </w:t>
            </w:r>
            <w:r w:rsidR="006D5864">
              <w:rPr>
                <w:szCs w:val="24"/>
              </w:rPr>
              <w:t xml:space="preserve">Perkantysis subjektas </w:t>
            </w:r>
            <w:r w:rsidR="00B83129">
              <w:rPr>
                <w:szCs w:val="24"/>
              </w:rPr>
              <w:t>T</w:t>
            </w:r>
            <w:r w:rsidR="00B83129">
              <w:t>echninio p</w:t>
            </w:r>
            <w:r w:rsidR="00BF14F5" w:rsidRPr="005E6D54">
              <w:rPr>
                <w:rStyle w:val="wysiwyg-font-size-medium"/>
                <w:color w:val="000000"/>
                <w:spacing w:val="2"/>
                <w:szCs w:val="24"/>
                <w:shd w:val="clear" w:color="auto" w:fill="FFFFFF"/>
              </w:rPr>
              <w:t>rojekto dalyse „Statinio konstrukcijos“, „Pasirengimo statybai ir statybos darbų organizavimo dalis“ ir „Šilumos tiekimo dalis“</w:t>
            </w:r>
            <w:r w:rsidR="00BF14F5">
              <w:rPr>
                <w:rStyle w:val="wysiwyg-font-size-medium"/>
                <w:color w:val="000000"/>
                <w:spacing w:val="2"/>
                <w:szCs w:val="24"/>
                <w:shd w:val="clear" w:color="auto" w:fill="FFFFFF"/>
              </w:rPr>
              <w:t xml:space="preserve"> </w:t>
            </w:r>
            <w:r w:rsidR="00255C03">
              <w:rPr>
                <w:szCs w:val="24"/>
              </w:rPr>
              <w:t>nurod</w:t>
            </w:r>
            <w:r w:rsidR="006D5864">
              <w:rPr>
                <w:szCs w:val="24"/>
              </w:rPr>
              <w:t>ę</w:t>
            </w:r>
            <w:r w:rsidR="00255C03">
              <w:rPr>
                <w:szCs w:val="24"/>
              </w:rPr>
              <w:t>s konkrečius standartus be žodžių „arba lygiavertis“</w:t>
            </w:r>
            <w:r w:rsidR="006D5864">
              <w:rPr>
                <w:szCs w:val="24"/>
              </w:rPr>
              <w:t>, pažeidė Įstatymo 50 straipsnio 4 dalies 2 punkto reikalavimus.</w:t>
            </w:r>
            <w:r w:rsidR="0074367F">
              <w:rPr>
                <w:szCs w:val="24"/>
              </w:rPr>
              <w:t xml:space="preserve"> Atsižvelgiant į tai, kad Pirkimui pasiūlymus pateikė 15 tiekėjų</w:t>
            </w:r>
            <w:r w:rsidR="006F541C">
              <w:rPr>
                <w:szCs w:val="24"/>
              </w:rPr>
              <w:t>,</w:t>
            </w:r>
            <w:r w:rsidR="008437BB">
              <w:rPr>
                <w:szCs w:val="24"/>
              </w:rPr>
              <w:t xml:space="preserve"> kurie atitiko Konkretaus pirkimo sąlygose keltus reikalavimus,</w:t>
            </w:r>
            <w:r w:rsidR="006F541C">
              <w:rPr>
                <w:szCs w:val="24"/>
              </w:rPr>
              <w:t xml:space="preserve"> nebuvo gauta paklausimų, pretenzijų dėl </w:t>
            </w:r>
            <w:r w:rsidR="0083529C">
              <w:rPr>
                <w:szCs w:val="24"/>
              </w:rPr>
              <w:t>Konkretaus p</w:t>
            </w:r>
            <w:r w:rsidR="006F541C">
              <w:rPr>
                <w:szCs w:val="24"/>
              </w:rPr>
              <w:t>irkimo sąlygose nurodytų konkrečių standartų be žodžių „arba lygiavertis“</w:t>
            </w:r>
            <w:r w:rsidR="00563C75">
              <w:rPr>
                <w:szCs w:val="24"/>
              </w:rPr>
              <w:t xml:space="preserve">, vertintina, kad Perkančiojo subjekto parengtos </w:t>
            </w:r>
            <w:r w:rsidR="002D0B9D">
              <w:rPr>
                <w:szCs w:val="24"/>
              </w:rPr>
              <w:t>Konkretaus p</w:t>
            </w:r>
            <w:r w:rsidR="00563C75">
              <w:rPr>
                <w:szCs w:val="24"/>
              </w:rPr>
              <w:t>irkimo sąlygos neturėjo įtakos tiekėjų</w:t>
            </w:r>
            <w:r w:rsidR="009246E1">
              <w:rPr>
                <w:szCs w:val="24"/>
              </w:rPr>
              <w:t xml:space="preserve"> dalyvavimui pirkime, todėl šį pažeidimą Tarnyba laiko </w:t>
            </w:r>
            <w:r w:rsidR="00D2038E">
              <w:rPr>
                <w:szCs w:val="24"/>
              </w:rPr>
              <w:t xml:space="preserve">neturėjusiu įtakos galutiniam </w:t>
            </w:r>
            <w:r w:rsidR="008437BB">
              <w:rPr>
                <w:szCs w:val="24"/>
              </w:rPr>
              <w:t>Konkretaus p</w:t>
            </w:r>
            <w:r w:rsidR="00D2038E">
              <w:rPr>
                <w:szCs w:val="24"/>
              </w:rPr>
              <w:t>irkimo rezultatui.</w:t>
            </w:r>
          </w:p>
        </w:tc>
      </w:tr>
      <w:tr w:rsidR="00D36343" w:rsidRPr="002A07F4" w14:paraId="02226EE9" w14:textId="77777777" w:rsidTr="00D06983">
        <w:tc>
          <w:tcPr>
            <w:tcW w:w="1333" w:type="dxa"/>
            <w:tcBorders>
              <w:top w:val="single" w:sz="4" w:space="0" w:color="auto"/>
              <w:left w:val="single" w:sz="4" w:space="0" w:color="auto"/>
              <w:bottom w:val="single" w:sz="4" w:space="0" w:color="auto"/>
              <w:right w:val="single" w:sz="4" w:space="0" w:color="auto"/>
            </w:tcBorders>
          </w:tcPr>
          <w:p w14:paraId="411AFD3D" w14:textId="3DAC5DAC" w:rsidR="00D36343" w:rsidRPr="002A07F4" w:rsidRDefault="00D36343" w:rsidP="00D06983">
            <w:pPr>
              <w:jc w:val="center"/>
              <w:rPr>
                <w:szCs w:val="24"/>
              </w:rPr>
            </w:pPr>
            <w:r>
              <w:rPr>
                <w:szCs w:val="24"/>
              </w:rPr>
              <w:lastRenderedPageBreak/>
              <w:t>2.</w:t>
            </w:r>
          </w:p>
        </w:tc>
        <w:tc>
          <w:tcPr>
            <w:tcW w:w="8443" w:type="dxa"/>
            <w:tcBorders>
              <w:top w:val="single" w:sz="4" w:space="0" w:color="auto"/>
              <w:left w:val="single" w:sz="4" w:space="0" w:color="auto"/>
              <w:bottom w:val="single" w:sz="4" w:space="0" w:color="auto"/>
              <w:right w:val="single" w:sz="4" w:space="0" w:color="auto"/>
            </w:tcBorders>
          </w:tcPr>
          <w:p w14:paraId="4371DC6F" w14:textId="12266D2B" w:rsidR="00D36343" w:rsidRPr="00B93740" w:rsidRDefault="0048477D" w:rsidP="00D06983">
            <w:pPr>
              <w:rPr>
                <w:szCs w:val="24"/>
              </w:rPr>
            </w:pPr>
            <w:r>
              <w:rPr>
                <w:szCs w:val="24"/>
              </w:rPr>
              <w:t>Į</w:t>
            </w:r>
            <w:r w:rsidR="00D36343">
              <w:rPr>
                <w:szCs w:val="24"/>
              </w:rPr>
              <w:t>statymo 94 straipsnio 9 dalis</w:t>
            </w:r>
            <w:r w:rsidR="00D36343">
              <w:rPr>
                <w:rStyle w:val="FootnoteReference"/>
                <w:szCs w:val="24"/>
              </w:rPr>
              <w:footnoteReference w:id="3"/>
            </w:r>
            <w:r w:rsidR="00D36343">
              <w:rPr>
                <w:szCs w:val="24"/>
              </w:rPr>
              <w:t>.</w:t>
            </w:r>
          </w:p>
        </w:tc>
      </w:tr>
      <w:tr w:rsidR="00D36343" w:rsidRPr="002A07F4" w14:paraId="6FAC5300" w14:textId="77777777" w:rsidTr="00693521">
        <w:tc>
          <w:tcPr>
            <w:tcW w:w="9776" w:type="dxa"/>
            <w:gridSpan w:val="2"/>
            <w:tcBorders>
              <w:top w:val="single" w:sz="4" w:space="0" w:color="auto"/>
              <w:left w:val="single" w:sz="4" w:space="0" w:color="auto"/>
              <w:bottom w:val="single" w:sz="4" w:space="0" w:color="auto"/>
              <w:right w:val="single" w:sz="4" w:space="0" w:color="auto"/>
            </w:tcBorders>
          </w:tcPr>
          <w:p w14:paraId="51100C15" w14:textId="4CEECE07" w:rsidR="00D36343" w:rsidRPr="00D36343" w:rsidRDefault="002D0B9D" w:rsidP="00D36343">
            <w:pPr>
              <w:ind w:firstLine="599"/>
              <w:jc w:val="both"/>
              <w:rPr>
                <w:szCs w:val="24"/>
              </w:rPr>
            </w:pPr>
            <w:r>
              <w:rPr>
                <w:iCs/>
                <w:szCs w:val="24"/>
              </w:rPr>
              <w:lastRenderedPageBreak/>
              <w:t>Konkretaus p</w:t>
            </w:r>
            <w:r w:rsidR="00D36343">
              <w:rPr>
                <w:iCs/>
                <w:szCs w:val="24"/>
              </w:rPr>
              <w:t xml:space="preserve">irkimo pagrindu Sutartis buvo sudaryta 2021 m. gegužės 28 d. Vertinimo metu nustatyta, kad Sutartis CVP IS sutarčių viešinimo dalyje paviešinta tik 2021 m. rugsėjo 17 d. Pažymėtina, kad </w:t>
            </w:r>
            <w:r w:rsidR="0048477D">
              <w:rPr>
                <w:iCs/>
                <w:szCs w:val="24"/>
              </w:rPr>
              <w:t>Į</w:t>
            </w:r>
            <w:r w:rsidR="00D36343">
              <w:rPr>
                <w:iCs/>
                <w:szCs w:val="24"/>
              </w:rPr>
              <w:t xml:space="preserve">statymo 94 straipsnio 9 dalyje nustatyta, jog sudarytą pirkimo sutartį Perkantysis subjektas turi paskelbti CVP IS ne vėliau kaip per 15 dienų nuo pirkimo sutarties sudarymo. Atsižvelgiant į tai, kad Sutartis CVP IS paviešinta praleidus </w:t>
            </w:r>
            <w:r w:rsidR="0048477D">
              <w:rPr>
                <w:iCs/>
                <w:szCs w:val="24"/>
              </w:rPr>
              <w:t>Į</w:t>
            </w:r>
            <w:r w:rsidR="00D36343">
              <w:rPr>
                <w:iCs/>
                <w:szCs w:val="24"/>
              </w:rPr>
              <w:t xml:space="preserve">statymo 94 straipsnio 9 dalyje nustatytą terminą, konstatuotina, jog Perkantysis subjektas </w:t>
            </w:r>
            <w:r w:rsidR="00D36343" w:rsidRPr="0041445D">
              <w:rPr>
                <w:iCs/>
                <w:szCs w:val="24"/>
              </w:rPr>
              <w:t xml:space="preserve">pažeidė </w:t>
            </w:r>
            <w:r w:rsidR="0048477D" w:rsidRPr="0041445D">
              <w:rPr>
                <w:iCs/>
                <w:szCs w:val="24"/>
              </w:rPr>
              <w:t>Į</w:t>
            </w:r>
            <w:r w:rsidR="00D36343" w:rsidRPr="0041445D">
              <w:rPr>
                <w:iCs/>
                <w:szCs w:val="24"/>
              </w:rPr>
              <w:t>statymo 94 straipsnio 9 dalies nuostatas.</w:t>
            </w:r>
            <w:r w:rsidR="00D36343">
              <w:rPr>
                <w:b/>
                <w:bCs/>
                <w:iCs/>
                <w:szCs w:val="24"/>
              </w:rPr>
              <w:t xml:space="preserve"> </w:t>
            </w:r>
          </w:p>
        </w:tc>
      </w:tr>
      <w:tr w:rsidR="00DF6394" w:rsidRPr="002A07F4" w14:paraId="3452DB1C" w14:textId="77777777" w:rsidTr="00145E3D">
        <w:tc>
          <w:tcPr>
            <w:tcW w:w="1333" w:type="dxa"/>
            <w:tcBorders>
              <w:top w:val="single" w:sz="4" w:space="0" w:color="auto"/>
              <w:left w:val="single" w:sz="4" w:space="0" w:color="auto"/>
              <w:bottom w:val="single" w:sz="4" w:space="0" w:color="auto"/>
              <w:right w:val="single" w:sz="4" w:space="0" w:color="auto"/>
            </w:tcBorders>
          </w:tcPr>
          <w:p w14:paraId="46CE6787" w14:textId="2403B104" w:rsidR="00DF6394" w:rsidRPr="002A07F4" w:rsidRDefault="00DF6394" w:rsidP="00145E3D">
            <w:pPr>
              <w:jc w:val="center"/>
              <w:rPr>
                <w:szCs w:val="24"/>
              </w:rPr>
            </w:pPr>
            <w:r>
              <w:rPr>
                <w:szCs w:val="24"/>
              </w:rPr>
              <w:t>3.</w:t>
            </w:r>
          </w:p>
        </w:tc>
        <w:tc>
          <w:tcPr>
            <w:tcW w:w="8443" w:type="dxa"/>
            <w:tcBorders>
              <w:top w:val="single" w:sz="4" w:space="0" w:color="auto"/>
              <w:left w:val="single" w:sz="4" w:space="0" w:color="auto"/>
              <w:bottom w:val="single" w:sz="4" w:space="0" w:color="auto"/>
              <w:right w:val="single" w:sz="4" w:space="0" w:color="auto"/>
            </w:tcBorders>
          </w:tcPr>
          <w:p w14:paraId="77668D97" w14:textId="7B7DEE30" w:rsidR="00DF6394" w:rsidRPr="00B93740" w:rsidRDefault="00DF6394" w:rsidP="00145E3D">
            <w:pPr>
              <w:rPr>
                <w:szCs w:val="24"/>
              </w:rPr>
            </w:pPr>
            <w:r>
              <w:rPr>
                <w:szCs w:val="24"/>
              </w:rPr>
              <w:t>Įstatymo 46 straipsnio 2 dalis</w:t>
            </w:r>
            <w:r>
              <w:rPr>
                <w:rStyle w:val="FootnoteReference"/>
                <w:szCs w:val="24"/>
              </w:rPr>
              <w:footnoteReference w:id="4"/>
            </w:r>
            <w:r>
              <w:rPr>
                <w:szCs w:val="24"/>
              </w:rPr>
              <w:t>.</w:t>
            </w:r>
          </w:p>
        </w:tc>
      </w:tr>
      <w:tr w:rsidR="00DF6394" w:rsidRPr="002A07F4" w14:paraId="6E4183D2" w14:textId="77777777" w:rsidTr="00693521">
        <w:tc>
          <w:tcPr>
            <w:tcW w:w="9776" w:type="dxa"/>
            <w:gridSpan w:val="2"/>
            <w:tcBorders>
              <w:top w:val="single" w:sz="4" w:space="0" w:color="auto"/>
              <w:left w:val="single" w:sz="4" w:space="0" w:color="auto"/>
              <w:bottom w:val="single" w:sz="4" w:space="0" w:color="auto"/>
              <w:right w:val="single" w:sz="4" w:space="0" w:color="auto"/>
            </w:tcBorders>
          </w:tcPr>
          <w:p w14:paraId="6F67BF96" w14:textId="4F8EB182" w:rsidR="00252B48" w:rsidRDefault="00252B48" w:rsidP="00252B48">
            <w:pPr>
              <w:pStyle w:val="CommentText"/>
              <w:ind w:firstLine="599"/>
              <w:jc w:val="both"/>
              <w:rPr>
                <w:sz w:val="24"/>
                <w:szCs w:val="24"/>
              </w:rPr>
            </w:pPr>
            <w:r>
              <w:rPr>
                <w:sz w:val="24"/>
                <w:szCs w:val="24"/>
              </w:rPr>
              <w:t>Pažymėtina, kad Įstatymo 46 straipsnio 2 dal</w:t>
            </w:r>
            <w:r w:rsidR="00B3003A">
              <w:rPr>
                <w:sz w:val="24"/>
                <w:szCs w:val="24"/>
              </w:rPr>
              <w:t>yje</w:t>
            </w:r>
            <w:r>
              <w:rPr>
                <w:sz w:val="24"/>
                <w:szCs w:val="24"/>
              </w:rPr>
              <w:t xml:space="preserve"> nustat</w:t>
            </w:r>
            <w:r w:rsidR="00B3003A">
              <w:rPr>
                <w:sz w:val="24"/>
                <w:szCs w:val="24"/>
              </w:rPr>
              <w:t>yta</w:t>
            </w:r>
            <w:r>
              <w:rPr>
                <w:sz w:val="24"/>
                <w:szCs w:val="24"/>
              </w:rPr>
              <w:t xml:space="preserve">, jog skelbimas apie </w:t>
            </w:r>
            <w:r w:rsidR="00714BB6">
              <w:rPr>
                <w:sz w:val="24"/>
                <w:szCs w:val="24"/>
              </w:rPr>
              <w:t xml:space="preserve">pirkimo </w:t>
            </w:r>
            <w:r>
              <w:rPr>
                <w:sz w:val="24"/>
                <w:szCs w:val="24"/>
              </w:rPr>
              <w:t xml:space="preserve">sutarties sudarymą turi būti paskelbtas ne vėliau kaip per 30 dienų </w:t>
            </w:r>
            <w:r w:rsidR="00714BB6">
              <w:rPr>
                <w:sz w:val="24"/>
                <w:szCs w:val="24"/>
              </w:rPr>
              <w:t>po pirkimo</w:t>
            </w:r>
            <w:r>
              <w:rPr>
                <w:sz w:val="24"/>
                <w:szCs w:val="24"/>
              </w:rPr>
              <w:t xml:space="preserve"> sutarties sudarymo. Taip pat, </w:t>
            </w:r>
            <w:r w:rsidRPr="009E4A5C">
              <w:rPr>
                <w:sz w:val="24"/>
                <w:szCs w:val="24"/>
              </w:rPr>
              <w:t xml:space="preserve">vadovaujantis Įstatymo 46 straipsnio 2 dalimi, Perkantysis subjektas gali </w:t>
            </w:r>
            <w:r w:rsidR="009A3E99">
              <w:rPr>
                <w:sz w:val="24"/>
                <w:szCs w:val="24"/>
              </w:rPr>
              <w:t xml:space="preserve">sugrupuoti skelbimus ir </w:t>
            </w:r>
            <w:r w:rsidRPr="009E4A5C">
              <w:rPr>
                <w:sz w:val="24"/>
                <w:szCs w:val="24"/>
              </w:rPr>
              <w:t xml:space="preserve">paskelbti </w:t>
            </w:r>
            <w:r w:rsidR="009A3E99">
              <w:rPr>
                <w:sz w:val="24"/>
                <w:szCs w:val="24"/>
              </w:rPr>
              <w:t xml:space="preserve">vieną </w:t>
            </w:r>
            <w:r w:rsidRPr="009E4A5C">
              <w:rPr>
                <w:sz w:val="24"/>
                <w:szCs w:val="24"/>
              </w:rPr>
              <w:t xml:space="preserve">skelbimą apie per ketvirtį sudarytas </w:t>
            </w:r>
            <w:r w:rsidR="00504C19">
              <w:rPr>
                <w:sz w:val="24"/>
                <w:szCs w:val="24"/>
              </w:rPr>
              <w:t xml:space="preserve">pirkimo </w:t>
            </w:r>
            <w:r w:rsidRPr="009E4A5C">
              <w:rPr>
                <w:sz w:val="24"/>
                <w:szCs w:val="24"/>
              </w:rPr>
              <w:t>sutartis</w:t>
            </w:r>
            <w:r w:rsidR="00CE196B">
              <w:rPr>
                <w:sz w:val="24"/>
                <w:szCs w:val="24"/>
              </w:rPr>
              <w:t xml:space="preserve"> taikant dinaminę pirkim</w:t>
            </w:r>
            <w:r w:rsidR="00996681">
              <w:rPr>
                <w:sz w:val="24"/>
                <w:szCs w:val="24"/>
              </w:rPr>
              <w:t>o</w:t>
            </w:r>
            <w:r w:rsidR="00CE196B">
              <w:rPr>
                <w:sz w:val="24"/>
                <w:szCs w:val="24"/>
              </w:rPr>
              <w:t xml:space="preserve"> sistemą</w:t>
            </w:r>
            <w:r w:rsidR="00F06ED9">
              <w:rPr>
                <w:sz w:val="24"/>
                <w:szCs w:val="24"/>
              </w:rPr>
              <w:t xml:space="preserve"> </w:t>
            </w:r>
            <w:r w:rsidR="00996681">
              <w:rPr>
                <w:sz w:val="24"/>
                <w:szCs w:val="24"/>
              </w:rPr>
              <w:t xml:space="preserve">ne vėliau kaip </w:t>
            </w:r>
            <w:r w:rsidRPr="009E4A5C">
              <w:rPr>
                <w:sz w:val="24"/>
                <w:szCs w:val="24"/>
              </w:rPr>
              <w:t xml:space="preserve">per 30 dienų ketvirčiui pasibaigus, priešingu atveju, skelbimas apie </w:t>
            </w:r>
            <w:r w:rsidR="00504C19">
              <w:rPr>
                <w:sz w:val="24"/>
                <w:szCs w:val="24"/>
              </w:rPr>
              <w:t xml:space="preserve">pirkimo </w:t>
            </w:r>
            <w:r w:rsidRPr="009E4A5C">
              <w:rPr>
                <w:sz w:val="24"/>
                <w:szCs w:val="24"/>
              </w:rPr>
              <w:t xml:space="preserve">sutarties </w:t>
            </w:r>
            <w:r w:rsidR="00504C19">
              <w:rPr>
                <w:sz w:val="24"/>
                <w:szCs w:val="24"/>
              </w:rPr>
              <w:t>sudarym</w:t>
            </w:r>
            <w:r w:rsidRPr="009E4A5C">
              <w:rPr>
                <w:sz w:val="24"/>
                <w:szCs w:val="24"/>
              </w:rPr>
              <w:t>ą turi būti skelbiamas per 30 dienų nuo</w:t>
            </w:r>
            <w:r w:rsidR="00711EAC">
              <w:rPr>
                <w:sz w:val="24"/>
                <w:szCs w:val="24"/>
              </w:rPr>
              <w:t xml:space="preserve"> pirkimo</w:t>
            </w:r>
            <w:r w:rsidRPr="009E4A5C">
              <w:rPr>
                <w:sz w:val="24"/>
                <w:szCs w:val="24"/>
              </w:rPr>
              <w:t xml:space="preserve"> sutarties sudarymo.</w:t>
            </w:r>
            <w:r>
              <w:rPr>
                <w:sz w:val="24"/>
                <w:szCs w:val="24"/>
              </w:rPr>
              <w:t xml:space="preserve"> </w:t>
            </w:r>
          </w:p>
          <w:p w14:paraId="536B2A69" w14:textId="2BC5CB9A" w:rsidR="004F2D26" w:rsidRDefault="00252B48" w:rsidP="00252B48">
            <w:pPr>
              <w:pStyle w:val="CommentText"/>
              <w:ind w:firstLine="599"/>
              <w:jc w:val="both"/>
              <w:rPr>
                <w:sz w:val="24"/>
                <w:szCs w:val="24"/>
              </w:rPr>
            </w:pPr>
            <w:r>
              <w:rPr>
                <w:sz w:val="24"/>
                <w:szCs w:val="24"/>
              </w:rPr>
              <w:t>Šiuo atveju nustatyta, kad</w:t>
            </w:r>
            <w:r>
              <w:rPr>
                <w:szCs w:val="24"/>
              </w:rPr>
              <w:t xml:space="preserve"> </w:t>
            </w:r>
            <w:r w:rsidRPr="009F7FBF">
              <w:rPr>
                <w:sz w:val="24"/>
                <w:szCs w:val="24"/>
              </w:rPr>
              <w:t xml:space="preserve">skelbimas apie Konkretaus pirkimo pagrindu </w:t>
            </w:r>
            <w:r>
              <w:rPr>
                <w:sz w:val="24"/>
                <w:szCs w:val="24"/>
              </w:rPr>
              <w:t xml:space="preserve">2021 m. gegužės 28 d. </w:t>
            </w:r>
            <w:r w:rsidRPr="009F7FBF">
              <w:rPr>
                <w:sz w:val="24"/>
                <w:szCs w:val="24"/>
              </w:rPr>
              <w:t xml:space="preserve">sudarytą </w:t>
            </w:r>
            <w:r>
              <w:rPr>
                <w:sz w:val="24"/>
                <w:szCs w:val="24"/>
              </w:rPr>
              <w:t>S</w:t>
            </w:r>
            <w:r w:rsidRPr="009F7FBF">
              <w:rPr>
                <w:sz w:val="24"/>
                <w:szCs w:val="24"/>
              </w:rPr>
              <w:t xml:space="preserve">utartį </w:t>
            </w:r>
            <w:r w:rsidR="00611289">
              <w:rPr>
                <w:sz w:val="24"/>
                <w:szCs w:val="24"/>
              </w:rPr>
              <w:t xml:space="preserve">Nr. SUT-331 </w:t>
            </w:r>
            <w:r w:rsidRPr="009F7FBF">
              <w:rPr>
                <w:sz w:val="24"/>
                <w:szCs w:val="24"/>
              </w:rPr>
              <w:t>buvo paskelbtas 2021 m. liepos 1 d.</w:t>
            </w:r>
            <w:r>
              <w:rPr>
                <w:sz w:val="24"/>
                <w:szCs w:val="24"/>
              </w:rPr>
              <w:t xml:space="preserve"> Taip pat nustatyta, kad</w:t>
            </w:r>
            <w:r w:rsidR="00CE196B">
              <w:rPr>
                <w:sz w:val="24"/>
                <w:szCs w:val="24"/>
              </w:rPr>
              <w:t>, taikant dinaminę</w:t>
            </w:r>
            <w:r>
              <w:rPr>
                <w:sz w:val="24"/>
                <w:szCs w:val="24"/>
              </w:rPr>
              <w:t xml:space="preserve"> pirkimų sistem</w:t>
            </w:r>
            <w:r w:rsidR="00CE196B">
              <w:rPr>
                <w:sz w:val="24"/>
                <w:szCs w:val="24"/>
              </w:rPr>
              <w:t>ą</w:t>
            </w:r>
            <w:r w:rsidR="0016311E">
              <w:rPr>
                <w:sz w:val="24"/>
                <w:szCs w:val="24"/>
              </w:rPr>
              <w:t>,</w:t>
            </w:r>
            <w:r w:rsidR="00144361">
              <w:rPr>
                <w:rStyle w:val="FootnoteReference"/>
                <w:sz w:val="24"/>
                <w:szCs w:val="24"/>
              </w:rPr>
              <w:footnoteReference w:id="5"/>
            </w:r>
            <w:r>
              <w:rPr>
                <w:sz w:val="24"/>
                <w:szCs w:val="24"/>
              </w:rPr>
              <w:t xml:space="preserve"> </w:t>
            </w:r>
            <w:r w:rsidR="00573118">
              <w:rPr>
                <w:sz w:val="24"/>
                <w:szCs w:val="24"/>
              </w:rPr>
              <w:t>per</w:t>
            </w:r>
            <w:r w:rsidR="00365C74">
              <w:rPr>
                <w:sz w:val="24"/>
                <w:szCs w:val="24"/>
              </w:rPr>
              <w:t xml:space="preserve"> 2021 m. </w:t>
            </w:r>
            <w:r w:rsidR="00573118">
              <w:rPr>
                <w:sz w:val="24"/>
                <w:szCs w:val="24"/>
              </w:rPr>
              <w:t>antrą</w:t>
            </w:r>
            <w:r w:rsidR="0086249C">
              <w:rPr>
                <w:sz w:val="24"/>
                <w:szCs w:val="24"/>
              </w:rPr>
              <w:t>jį</w:t>
            </w:r>
            <w:r w:rsidR="00573118">
              <w:rPr>
                <w:sz w:val="24"/>
                <w:szCs w:val="24"/>
              </w:rPr>
              <w:t xml:space="preserve"> </w:t>
            </w:r>
            <w:r w:rsidR="00365C74">
              <w:rPr>
                <w:sz w:val="24"/>
                <w:szCs w:val="24"/>
              </w:rPr>
              <w:t>ketvirt</w:t>
            </w:r>
            <w:r w:rsidR="00573118">
              <w:rPr>
                <w:sz w:val="24"/>
                <w:szCs w:val="24"/>
              </w:rPr>
              <w:t>į</w:t>
            </w:r>
            <w:r w:rsidR="00365C74">
              <w:rPr>
                <w:sz w:val="24"/>
                <w:szCs w:val="24"/>
              </w:rPr>
              <w:t xml:space="preserve"> </w:t>
            </w:r>
            <w:r>
              <w:rPr>
                <w:sz w:val="24"/>
                <w:szCs w:val="24"/>
              </w:rPr>
              <w:t>buvo sudaryt</w:t>
            </w:r>
            <w:r w:rsidR="00365C74">
              <w:rPr>
                <w:sz w:val="24"/>
                <w:szCs w:val="24"/>
              </w:rPr>
              <w:t>a</w:t>
            </w:r>
            <w:r w:rsidR="004439E0">
              <w:rPr>
                <w:sz w:val="24"/>
                <w:szCs w:val="24"/>
              </w:rPr>
              <w:t xml:space="preserve"> ir</w:t>
            </w:r>
            <w:r w:rsidR="00365C74">
              <w:rPr>
                <w:sz w:val="24"/>
                <w:szCs w:val="24"/>
              </w:rPr>
              <w:t xml:space="preserve"> daugiau sutarčių:</w:t>
            </w:r>
            <w:r>
              <w:rPr>
                <w:sz w:val="24"/>
                <w:szCs w:val="24"/>
              </w:rPr>
              <w:t xml:space="preserve"> 2021 m. gegužės 27 d.</w:t>
            </w:r>
            <w:r w:rsidR="009B46F7">
              <w:rPr>
                <w:sz w:val="24"/>
                <w:szCs w:val="24"/>
              </w:rPr>
              <w:t xml:space="preserve"> sutartis Nr. </w:t>
            </w:r>
            <w:r w:rsidR="0050661A">
              <w:rPr>
                <w:sz w:val="24"/>
                <w:szCs w:val="24"/>
              </w:rPr>
              <w:t>SUT-333</w:t>
            </w:r>
            <w:r w:rsidR="009B46F7">
              <w:rPr>
                <w:sz w:val="24"/>
                <w:szCs w:val="24"/>
              </w:rPr>
              <w:t xml:space="preserve"> su UAB „DS-1“,</w:t>
            </w:r>
            <w:r>
              <w:rPr>
                <w:sz w:val="24"/>
                <w:szCs w:val="24"/>
              </w:rPr>
              <w:t xml:space="preserve"> </w:t>
            </w:r>
            <w:r w:rsidR="0050661A">
              <w:rPr>
                <w:sz w:val="24"/>
                <w:szCs w:val="24"/>
              </w:rPr>
              <w:t>gegužės</w:t>
            </w:r>
            <w:r>
              <w:rPr>
                <w:sz w:val="24"/>
                <w:szCs w:val="24"/>
              </w:rPr>
              <w:t xml:space="preserve"> 28 d.</w:t>
            </w:r>
            <w:r w:rsidR="0050661A">
              <w:t xml:space="preserve"> </w:t>
            </w:r>
            <w:r w:rsidR="0050661A" w:rsidRPr="00CB7565">
              <w:rPr>
                <w:sz w:val="24"/>
                <w:szCs w:val="24"/>
              </w:rPr>
              <w:t>sutartis</w:t>
            </w:r>
            <w:r w:rsidR="0050661A">
              <w:rPr>
                <w:sz w:val="24"/>
                <w:szCs w:val="24"/>
              </w:rPr>
              <w:t xml:space="preserve"> Nr. SUT</w:t>
            </w:r>
            <w:r w:rsidR="00A76487">
              <w:rPr>
                <w:sz w:val="24"/>
                <w:szCs w:val="24"/>
              </w:rPr>
              <w:t>-334 su UAB „Caterva“, birželio 1 d. sutartis Nr. SUT-343</w:t>
            </w:r>
            <w:r w:rsidR="004439E0">
              <w:rPr>
                <w:sz w:val="24"/>
                <w:szCs w:val="24"/>
              </w:rPr>
              <w:t xml:space="preserve"> su UAB „KRS“</w:t>
            </w:r>
            <w:r w:rsidR="00395672">
              <w:rPr>
                <w:sz w:val="24"/>
                <w:szCs w:val="24"/>
              </w:rPr>
              <w:t xml:space="preserve">. </w:t>
            </w:r>
            <w:r w:rsidR="002A5D01">
              <w:rPr>
                <w:sz w:val="24"/>
                <w:szCs w:val="24"/>
              </w:rPr>
              <w:t>Nustatyta, kad s</w:t>
            </w:r>
            <w:r w:rsidR="00395672">
              <w:rPr>
                <w:sz w:val="24"/>
                <w:szCs w:val="24"/>
              </w:rPr>
              <w:t>kelbimai apie šių sutarčių sudarymą buvo paskelbti</w:t>
            </w:r>
            <w:r w:rsidR="002A5D01">
              <w:rPr>
                <w:sz w:val="24"/>
                <w:szCs w:val="24"/>
              </w:rPr>
              <w:t xml:space="preserve"> </w:t>
            </w:r>
            <w:r w:rsidR="0079523F">
              <w:rPr>
                <w:sz w:val="24"/>
                <w:szCs w:val="24"/>
              </w:rPr>
              <w:t xml:space="preserve">atskirai, t. y. </w:t>
            </w:r>
            <w:r w:rsidR="00701756">
              <w:rPr>
                <w:sz w:val="24"/>
                <w:szCs w:val="24"/>
              </w:rPr>
              <w:t>jų</w:t>
            </w:r>
            <w:r w:rsidR="0079523F">
              <w:rPr>
                <w:sz w:val="24"/>
                <w:szCs w:val="24"/>
              </w:rPr>
              <w:t xml:space="preserve"> nesugrupavus</w:t>
            </w:r>
            <w:r w:rsidR="00594A56">
              <w:rPr>
                <w:rStyle w:val="FootnoteReference"/>
                <w:sz w:val="24"/>
                <w:szCs w:val="24"/>
              </w:rPr>
              <w:footnoteReference w:id="6"/>
            </w:r>
            <w:r w:rsidR="00594A56">
              <w:rPr>
                <w:sz w:val="24"/>
                <w:szCs w:val="24"/>
              </w:rPr>
              <w:t>.</w:t>
            </w:r>
            <w:r w:rsidR="00395672">
              <w:rPr>
                <w:sz w:val="24"/>
                <w:szCs w:val="24"/>
              </w:rPr>
              <w:t xml:space="preserve"> </w:t>
            </w:r>
          </w:p>
          <w:p w14:paraId="3DD6A33F" w14:textId="45C2BB63" w:rsidR="00DF6394" w:rsidRPr="00CB7565" w:rsidRDefault="00252B48" w:rsidP="00CB7565">
            <w:pPr>
              <w:pStyle w:val="CommentText"/>
              <w:ind w:firstLine="599"/>
              <w:jc w:val="both"/>
              <w:rPr>
                <w:sz w:val="24"/>
                <w:szCs w:val="24"/>
              </w:rPr>
            </w:pPr>
            <w:r>
              <w:rPr>
                <w:sz w:val="24"/>
                <w:szCs w:val="24"/>
              </w:rPr>
              <w:t>Įvertinus tai, kad Perkantysis subjektas skelbė atskirus skelbimus apie</w:t>
            </w:r>
            <w:r w:rsidR="00831A2A">
              <w:rPr>
                <w:sz w:val="24"/>
                <w:szCs w:val="24"/>
              </w:rPr>
              <w:t xml:space="preserve"> taikant tą pačią</w:t>
            </w:r>
            <w:r>
              <w:rPr>
                <w:sz w:val="24"/>
                <w:szCs w:val="24"/>
              </w:rPr>
              <w:t xml:space="preserve"> dinamin</w:t>
            </w:r>
            <w:r w:rsidR="00894B83">
              <w:rPr>
                <w:sz w:val="24"/>
                <w:szCs w:val="24"/>
              </w:rPr>
              <w:t>ę</w:t>
            </w:r>
            <w:r w:rsidR="00831A2A">
              <w:rPr>
                <w:sz w:val="24"/>
                <w:szCs w:val="24"/>
              </w:rPr>
              <w:t xml:space="preserve"> pirkimų</w:t>
            </w:r>
            <w:r>
              <w:rPr>
                <w:sz w:val="24"/>
                <w:szCs w:val="24"/>
              </w:rPr>
              <w:t xml:space="preserve"> sistem</w:t>
            </w:r>
            <w:r w:rsidR="00831A2A">
              <w:rPr>
                <w:sz w:val="24"/>
                <w:szCs w:val="24"/>
              </w:rPr>
              <w:t>ą</w:t>
            </w:r>
            <w:r w:rsidR="00894B83">
              <w:rPr>
                <w:sz w:val="24"/>
                <w:szCs w:val="24"/>
              </w:rPr>
              <w:t xml:space="preserve"> sudarytas sutartis</w:t>
            </w:r>
            <w:r>
              <w:rPr>
                <w:sz w:val="24"/>
                <w:szCs w:val="24"/>
              </w:rPr>
              <w:t xml:space="preserve">, t. y. </w:t>
            </w:r>
            <w:r w:rsidR="006C1AC9">
              <w:rPr>
                <w:sz w:val="24"/>
                <w:szCs w:val="24"/>
              </w:rPr>
              <w:t>jų</w:t>
            </w:r>
            <w:r>
              <w:rPr>
                <w:sz w:val="24"/>
                <w:szCs w:val="24"/>
              </w:rPr>
              <w:t xml:space="preserve"> nesugrupavo, </w:t>
            </w:r>
            <w:r w:rsidR="007D0DF3">
              <w:rPr>
                <w:sz w:val="24"/>
                <w:szCs w:val="24"/>
              </w:rPr>
              <w:t>šie skelbimai turėjo būti paskelbti per 30 dienų nuo pirkimo sutarčių sudarymo</w:t>
            </w:r>
            <w:r w:rsidR="00496DFE">
              <w:rPr>
                <w:sz w:val="24"/>
                <w:szCs w:val="24"/>
              </w:rPr>
              <w:t xml:space="preserve">. Atsižvelgus į tai, kad Perkantysis subjektas skelbimus apie sutarčių </w:t>
            </w:r>
            <w:r w:rsidR="00611289">
              <w:rPr>
                <w:sz w:val="24"/>
                <w:szCs w:val="24"/>
              </w:rPr>
              <w:t xml:space="preserve">Nr. SUT-331, </w:t>
            </w:r>
            <w:r w:rsidR="004A23C2">
              <w:rPr>
                <w:sz w:val="24"/>
                <w:szCs w:val="24"/>
              </w:rPr>
              <w:t xml:space="preserve">Nr. </w:t>
            </w:r>
            <w:r w:rsidR="00937C7B">
              <w:rPr>
                <w:sz w:val="24"/>
                <w:szCs w:val="24"/>
              </w:rPr>
              <w:t>SUT-333, Nr. SUT-334</w:t>
            </w:r>
            <w:r w:rsidR="00611289">
              <w:rPr>
                <w:sz w:val="24"/>
                <w:szCs w:val="24"/>
              </w:rPr>
              <w:t xml:space="preserve"> </w:t>
            </w:r>
            <w:r w:rsidR="00496DFE">
              <w:rPr>
                <w:sz w:val="24"/>
                <w:szCs w:val="24"/>
              </w:rPr>
              <w:t>sudarymą paskelbė praleidęs 30 dienų terminą</w:t>
            </w:r>
            <w:r w:rsidR="001E2202">
              <w:rPr>
                <w:sz w:val="24"/>
                <w:szCs w:val="24"/>
              </w:rPr>
              <w:t>, konstatuotina, kad</w:t>
            </w:r>
            <w:r>
              <w:rPr>
                <w:sz w:val="24"/>
                <w:szCs w:val="24"/>
              </w:rPr>
              <w:t xml:space="preserve"> tuo Perkantysis subjektas pažeidė Įstatymo 46 straipsnio 2 dalį</w:t>
            </w:r>
            <w:r w:rsidR="001E2202">
              <w:rPr>
                <w:sz w:val="24"/>
                <w:szCs w:val="24"/>
              </w:rPr>
              <w:t>.</w:t>
            </w:r>
          </w:p>
        </w:tc>
      </w:tr>
    </w:tbl>
    <w:p w14:paraId="390BE33A" w14:textId="77777777" w:rsidR="00355E37" w:rsidRDefault="00355E37" w:rsidP="00355E37">
      <w:pPr>
        <w:ind w:left="-113"/>
        <w:jc w:val="center"/>
        <w:rPr>
          <w:b/>
          <w:szCs w:val="24"/>
        </w:rPr>
      </w:pPr>
    </w:p>
    <w:p w14:paraId="1818F3E7" w14:textId="77777777" w:rsidR="00355E37" w:rsidRPr="002A07F4" w:rsidRDefault="00355E37" w:rsidP="00355E37">
      <w:pPr>
        <w:ind w:left="-113"/>
        <w:jc w:val="center"/>
        <w:rPr>
          <w:b/>
          <w:color w:val="000000"/>
          <w:szCs w:val="24"/>
          <w:lang w:eastAsia="lt-LT"/>
        </w:rPr>
      </w:pPr>
      <w:r w:rsidRPr="002A07F4">
        <w:rPr>
          <w:b/>
          <w:szCs w:val="24"/>
        </w:rPr>
        <w:t xml:space="preserve">III dalis. </w:t>
      </w:r>
      <w:r w:rsidRPr="002A07F4">
        <w:rPr>
          <w:b/>
          <w:color w:val="000000"/>
          <w:szCs w:val="24"/>
          <w:lang w:eastAsia="lt-LT"/>
        </w:rPr>
        <w:t>Kiti nustatyti pažeidimai</w:t>
      </w:r>
    </w:p>
    <w:p w14:paraId="1051A882" w14:textId="77777777" w:rsidR="00355E37" w:rsidRPr="002A07F4" w:rsidRDefault="00355E37" w:rsidP="00355E37">
      <w:pPr>
        <w:ind w:left="-113"/>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8443"/>
      </w:tblGrid>
      <w:tr w:rsidR="00355E37" w:rsidRPr="002A07F4" w14:paraId="032A792C" w14:textId="77777777" w:rsidTr="00693521">
        <w:tc>
          <w:tcPr>
            <w:tcW w:w="1333" w:type="dxa"/>
            <w:tcBorders>
              <w:top w:val="single" w:sz="4" w:space="0" w:color="auto"/>
              <w:left w:val="single" w:sz="4" w:space="0" w:color="auto"/>
              <w:bottom w:val="single" w:sz="4" w:space="0" w:color="auto"/>
              <w:right w:val="single" w:sz="4" w:space="0" w:color="auto"/>
            </w:tcBorders>
            <w:hideMark/>
          </w:tcPr>
          <w:p w14:paraId="27BA308F" w14:textId="77777777" w:rsidR="00355E37" w:rsidRPr="002A07F4" w:rsidRDefault="00355E37" w:rsidP="00693521">
            <w:pPr>
              <w:jc w:val="center"/>
              <w:rPr>
                <w:szCs w:val="24"/>
              </w:rPr>
            </w:pPr>
          </w:p>
        </w:tc>
        <w:tc>
          <w:tcPr>
            <w:tcW w:w="8443" w:type="dxa"/>
            <w:tcBorders>
              <w:top w:val="single" w:sz="4" w:space="0" w:color="auto"/>
              <w:left w:val="single" w:sz="4" w:space="0" w:color="auto"/>
              <w:bottom w:val="single" w:sz="4" w:space="0" w:color="auto"/>
              <w:right w:val="single" w:sz="4" w:space="0" w:color="auto"/>
            </w:tcBorders>
          </w:tcPr>
          <w:p w14:paraId="2CE5B3AB" w14:textId="77777777" w:rsidR="00355E37" w:rsidRPr="002A07F4" w:rsidRDefault="00355E37" w:rsidP="00693521">
            <w:pPr>
              <w:jc w:val="both"/>
              <w:rPr>
                <w:i/>
                <w:szCs w:val="24"/>
              </w:rPr>
            </w:pPr>
          </w:p>
        </w:tc>
      </w:tr>
      <w:tr w:rsidR="00355E37" w:rsidRPr="002A07F4" w14:paraId="6C586765" w14:textId="77777777" w:rsidTr="00693521">
        <w:tc>
          <w:tcPr>
            <w:tcW w:w="9776" w:type="dxa"/>
            <w:gridSpan w:val="2"/>
            <w:tcBorders>
              <w:top w:val="single" w:sz="4" w:space="0" w:color="auto"/>
              <w:left w:val="single" w:sz="4" w:space="0" w:color="auto"/>
              <w:bottom w:val="single" w:sz="4" w:space="0" w:color="auto"/>
              <w:right w:val="single" w:sz="4" w:space="0" w:color="auto"/>
            </w:tcBorders>
            <w:hideMark/>
          </w:tcPr>
          <w:p w14:paraId="0F773C7E" w14:textId="77777777" w:rsidR="00355E37" w:rsidRPr="002C383C" w:rsidRDefault="00355E37" w:rsidP="00693521">
            <w:pPr>
              <w:ind w:firstLine="851"/>
              <w:jc w:val="both"/>
              <w:rPr>
                <w:iCs/>
                <w:szCs w:val="24"/>
              </w:rPr>
            </w:pPr>
            <w:r>
              <w:rPr>
                <w:iCs/>
                <w:szCs w:val="24"/>
              </w:rPr>
              <w:t>–</w:t>
            </w:r>
          </w:p>
        </w:tc>
      </w:tr>
    </w:tbl>
    <w:p w14:paraId="16837253" w14:textId="77777777" w:rsidR="00355E37" w:rsidRPr="002A07F4" w:rsidRDefault="00355E37" w:rsidP="00355E37">
      <w:pPr>
        <w:rPr>
          <w:b/>
          <w:szCs w:val="24"/>
        </w:rPr>
      </w:pPr>
    </w:p>
    <w:p w14:paraId="4BC58B88" w14:textId="77777777" w:rsidR="00355E37" w:rsidRPr="004D04C1" w:rsidRDefault="00355E37" w:rsidP="00355E37">
      <w:pPr>
        <w:jc w:val="center"/>
        <w:rPr>
          <w:b/>
          <w:szCs w:val="24"/>
        </w:rPr>
      </w:pPr>
      <w:r w:rsidRPr="004D04C1">
        <w:rPr>
          <w:b/>
          <w:szCs w:val="24"/>
        </w:rPr>
        <w:t>IV dalis. Sprendimas</w:t>
      </w:r>
    </w:p>
    <w:p w14:paraId="7486AEC7" w14:textId="77777777" w:rsidR="00355E37" w:rsidRPr="004D04C1" w:rsidRDefault="00355E37" w:rsidP="00355E37">
      <w:pPr>
        <w:jc w:val="center"/>
        <w:rPr>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355E37" w:rsidRPr="003E2C5F" w14:paraId="13090225" w14:textId="77777777" w:rsidTr="00693521">
        <w:tc>
          <w:tcPr>
            <w:tcW w:w="9634" w:type="dxa"/>
            <w:tcBorders>
              <w:top w:val="single" w:sz="4" w:space="0" w:color="auto"/>
              <w:left w:val="single" w:sz="4" w:space="0" w:color="auto"/>
              <w:bottom w:val="single" w:sz="4" w:space="0" w:color="auto"/>
              <w:right w:val="single" w:sz="4" w:space="0" w:color="auto"/>
            </w:tcBorders>
            <w:hideMark/>
          </w:tcPr>
          <w:p w14:paraId="6DEC0858" w14:textId="6AC695A3" w:rsidR="003C7FD9" w:rsidRPr="003E2C5F" w:rsidRDefault="00355E37" w:rsidP="00B97AFB">
            <w:pPr>
              <w:pStyle w:val="CommentText"/>
              <w:ind w:right="32" w:firstLine="457"/>
              <w:jc w:val="both"/>
              <w:rPr>
                <w:sz w:val="24"/>
                <w:szCs w:val="24"/>
              </w:rPr>
            </w:pPr>
            <w:r w:rsidRPr="00310775">
              <w:rPr>
                <w:sz w:val="24"/>
                <w:szCs w:val="24"/>
              </w:rPr>
              <w:t xml:space="preserve">Tarnyba, įvertinusi </w:t>
            </w:r>
            <w:r w:rsidR="00310775" w:rsidRPr="00310775">
              <w:rPr>
                <w:sz w:val="24"/>
                <w:szCs w:val="24"/>
              </w:rPr>
              <w:t>AB Vilniaus šilumos tinklų</w:t>
            </w:r>
            <w:r w:rsidR="00310775">
              <w:rPr>
                <w:sz w:val="24"/>
                <w:szCs w:val="24"/>
              </w:rPr>
              <w:t xml:space="preserve"> </w:t>
            </w:r>
            <w:r w:rsidR="004905C8">
              <w:rPr>
                <w:sz w:val="24"/>
                <w:szCs w:val="24"/>
              </w:rPr>
              <w:t>2021 m. balandžio 9 d. Konkretaus pirkimo paraišką Nr. PPK-7</w:t>
            </w:r>
            <w:r w:rsidR="007C25D9">
              <w:rPr>
                <w:sz w:val="24"/>
                <w:szCs w:val="24"/>
              </w:rPr>
              <w:t>;</w:t>
            </w:r>
            <w:r w:rsidR="004905C8">
              <w:rPr>
                <w:sz w:val="24"/>
                <w:szCs w:val="24"/>
              </w:rPr>
              <w:t xml:space="preserve"> </w:t>
            </w:r>
            <w:r w:rsidR="00F67585">
              <w:rPr>
                <w:sz w:val="24"/>
                <w:szCs w:val="24"/>
              </w:rPr>
              <w:t>Techninę specifikaciją</w:t>
            </w:r>
            <w:r w:rsidR="007C25D9">
              <w:rPr>
                <w:sz w:val="24"/>
                <w:szCs w:val="24"/>
              </w:rPr>
              <w:t>;</w:t>
            </w:r>
            <w:r w:rsidR="00F67585">
              <w:rPr>
                <w:sz w:val="24"/>
                <w:szCs w:val="24"/>
              </w:rPr>
              <w:t xml:space="preserve"> </w:t>
            </w:r>
            <w:r w:rsidR="003C6465">
              <w:rPr>
                <w:sz w:val="24"/>
                <w:szCs w:val="24"/>
              </w:rPr>
              <w:t>Šilumos tiekimo tinklų nuo ŠK 92537 (Laisvės pr.) iki ŠK</w:t>
            </w:r>
            <w:r w:rsidR="000F398B">
              <w:rPr>
                <w:sz w:val="24"/>
                <w:szCs w:val="24"/>
              </w:rPr>
              <w:t xml:space="preserve"> 08332 (Laisvės pr.), Vilniuje, rekonstravimo projektą</w:t>
            </w:r>
            <w:r w:rsidR="007C25D9">
              <w:rPr>
                <w:sz w:val="24"/>
                <w:szCs w:val="24"/>
              </w:rPr>
              <w:t>;</w:t>
            </w:r>
            <w:r w:rsidR="000F398B">
              <w:rPr>
                <w:sz w:val="24"/>
                <w:szCs w:val="24"/>
              </w:rPr>
              <w:t xml:space="preserve"> </w:t>
            </w:r>
            <w:r w:rsidR="007E5182">
              <w:rPr>
                <w:sz w:val="24"/>
                <w:szCs w:val="24"/>
              </w:rPr>
              <w:t>Konkretaus pirkimo specialiąsias ir bendrąsias sąlygas</w:t>
            </w:r>
            <w:r w:rsidR="007C25D9">
              <w:rPr>
                <w:sz w:val="24"/>
                <w:szCs w:val="24"/>
              </w:rPr>
              <w:t>;</w:t>
            </w:r>
            <w:r w:rsidR="007E5182">
              <w:rPr>
                <w:sz w:val="24"/>
                <w:szCs w:val="24"/>
              </w:rPr>
              <w:t xml:space="preserve"> </w:t>
            </w:r>
            <w:r w:rsidR="007C25D9">
              <w:rPr>
                <w:sz w:val="24"/>
                <w:szCs w:val="24"/>
              </w:rPr>
              <w:t>tiekėjų pasiūlymus; Perkančiojo subjekto susirašinėjimo su tiekėjais duomenis bei informaciją</w:t>
            </w:r>
            <w:r w:rsidR="002D0B9D">
              <w:rPr>
                <w:rStyle w:val="FootnoteReference"/>
                <w:sz w:val="24"/>
                <w:szCs w:val="24"/>
              </w:rPr>
              <w:footnoteReference w:id="7"/>
            </w:r>
            <w:r w:rsidR="007C25D9">
              <w:rPr>
                <w:sz w:val="24"/>
                <w:szCs w:val="24"/>
              </w:rPr>
              <w:t xml:space="preserve">; </w:t>
            </w:r>
            <w:r w:rsidR="005B2F0E">
              <w:rPr>
                <w:sz w:val="24"/>
                <w:szCs w:val="24"/>
              </w:rPr>
              <w:t>Inovacijų agentūros</w:t>
            </w:r>
            <w:r w:rsidR="00310775">
              <w:rPr>
                <w:sz w:val="24"/>
                <w:szCs w:val="24"/>
              </w:rPr>
              <w:t xml:space="preserve"> 2021 m. gegužės 10 d. eksperto išvados lapą</w:t>
            </w:r>
            <w:r w:rsidR="00D469B8">
              <w:rPr>
                <w:sz w:val="24"/>
                <w:szCs w:val="24"/>
              </w:rPr>
              <w:t>;</w:t>
            </w:r>
            <w:r w:rsidR="00310775">
              <w:rPr>
                <w:sz w:val="24"/>
                <w:szCs w:val="24"/>
              </w:rPr>
              <w:t xml:space="preserve"> </w:t>
            </w:r>
            <w:r w:rsidR="00C50E35">
              <w:rPr>
                <w:sz w:val="24"/>
                <w:szCs w:val="24"/>
              </w:rPr>
              <w:t>2021 m. birželio 22 d.</w:t>
            </w:r>
            <w:r w:rsidR="00A65C8B">
              <w:rPr>
                <w:sz w:val="24"/>
                <w:szCs w:val="24"/>
              </w:rPr>
              <w:t xml:space="preserve"> Inovacijų agentūros Pranešimą apie pirkimo 1.002 išankstinės patikros rezultatus</w:t>
            </w:r>
            <w:r w:rsidR="0034161A">
              <w:rPr>
                <w:sz w:val="24"/>
                <w:szCs w:val="24"/>
              </w:rPr>
              <w:t xml:space="preserve"> </w:t>
            </w:r>
            <w:r w:rsidR="00C23BF3">
              <w:rPr>
                <w:sz w:val="24"/>
                <w:szCs w:val="24"/>
              </w:rPr>
              <w:t>bei</w:t>
            </w:r>
            <w:r w:rsidR="0034161A">
              <w:rPr>
                <w:sz w:val="24"/>
                <w:szCs w:val="24"/>
              </w:rPr>
              <w:t xml:space="preserve"> Inovacijų agentūros rašt</w:t>
            </w:r>
            <w:r w:rsidR="00C23BF3">
              <w:rPr>
                <w:sz w:val="24"/>
                <w:szCs w:val="24"/>
              </w:rPr>
              <w:t>ą</w:t>
            </w:r>
            <w:r w:rsidR="0034161A">
              <w:rPr>
                <w:sz w:val="24"/>
                <w:szCs w:val="24"/>
              </w:rPr>
              <w:t xml:space="preserve"> „Dėl „Šilumos tiekimo tinklų nuo taško 92535R1 iki ŠK 08332 </w:t>
            </w:r>
            <w:r w:rsidR="0034161A">
              <w:rPr>
                <w:sz w:val="24"/>
                <w:szCs w:val="24"/>
              </w:rPr>
              <w:lastRenderedPageBreak/>
              <w:t xml:space="preserve">rekonstravimas“ pirkimo dokumentų vertinimo (projekto Nr. 04.3.2-LVPA-K-102-06-0027)“; </w:t>
            </w:r>
            <w:r w:rsidR="00B83BC7">
              <w:rPr>
                <w:sz w:val="24"/>
                <w:szCs w:val="24"/>
              </w:rPr>
              <w:t>Pirkimo sutartį</w:t>
            </w:r>
            <w:r w:rsidR="005759B9">
              <w:rPr>
                <w:sz w:val="24"/>
                <w:szCs w:val="24"/>
              </w:rPr>
              <w:t>, ataskaitą Atn-1</w:t>
            </w:r>
            <w:r w:rsidR="009B6975">
              <w:rPr>
                <w:rStyle w:val="FootnoteReference"/>
                <w:sz w:val="24"/>
                <w:szCs w:val="24"/>
              </w:rPr>
              <w:footnoteReference w:id="8"/>
            </w:r>
            <w:r w:rsidR="005759B9">
              <w:rPr>
                <w:sz w:val="24"/>
                <w:szCs w:val="24"/>
              </w:rPr>
              <w:t>; Perkančiojo subjekto paaiškinimus</w:t>
            </w:r>
            <w:r w:rsidR="005759B9">
              <w:rPr>
                <w:rStyle w:val="FootnoteReference"/>
                <w:sz w:val="24"/>
                <w:szCs w:val="24"/>
              </w:rPr>
              <w:footnoteReference w:id="9"/>
            </w:r>
            <w:r w:rsidR="005759B9">
              <w:rPr>
                <w:sz w:val="24"/>
                <w:szCs w:val="24"/>
              </w:rPr>
              <w:t>, nustatė</w:t>
            </w:r>
            <w:r w:rsidR="00274C8D">
              <w:rPr>
                <w:sz w:val="24"/>
                <w:szCs w:val="24"/>
              </w:rPr>
              <w:t xml:space="preserve"> Įstatymo 50 straipsnio 2 dalies 4 punkto</w:t>
            </w:r>
            <w:r w:rsidR="00AD7B24">
              <w:rPr>
                <w:sz w:val="24"/>
                <w:szCs w:val="24"/>
              </w:rPr>
              <w:t>, Įstatymo</w:t>
            </w:r>
            <w:r w:rsidR="00274C8D">
              <w:rPr>
                <w:sz w:val="24"/>
                <w:szCs w:val="24"/>
              </w:rPr>
              <w:t xml:space="preserve"> </w:t>
            </w:r>
            <w:r w:rsidR="003C7FD9">
              <w:rPr>
                <w:sz w:val="24"/>
                <w:szCs w:val="24"/>
              </w:rPr>
              <w:t>94 straipsnio 9 dalies</w:t>
            </w:r>
            <w:r w:rsidR="00CB7565">
              <w:rPr>
                <w:sz w:val="24"/>
                <w:szCs w:val="24"/>
              </w:rPr>
              <w:t xml:space="preserve"> bei </w:t>
            </w:r>
            <w:r w:rsidR="00AD7B24">
              <w:rPr>
                <w:sz w:val="24"/>
                <w:szCs w:val="24"/>
              </w:rPr>
              <w:t xml:space="preserve">Įstatymo </w:t>
            </w:r>
            <w:r w:rsidR="00CB7565">
              <w:rPr>
                <w:sz w:val="24"/>
                <w:szCs w:val="24"/>
              </w:rPr>
              <w:t>46 straipsnio 2 dalies</w:t>
            </w:r>
            <w:r w:rsidR="003C7FD9">
              <w:rPr>
                <w:sz w:val="24"/>
                <w:szCs w:val="24"/>
              </w:rPr>
              <w:t xml:space="preserve"> pažeidimus.</w:t>
            </w:r>
          </w:p>
        </w:tc>
      </w:tr>
    </w:tbl>
    <w:p w14:paraId="5BA407C0" w14:textId="77777777" w:rsidR="00355E37" w:rsidRPr="006823B9" w:rsidRDefault="00355E37" w:rsidP="00355E37">
      <w:pPr>
        <w:rPr>
          <w:bCs/>
          <w:szCs w:val="24"/>
        </w:rPr>
      </w:pPr>
    </w:p>
    <w:p w14:paraId="3ECA4770" w14:textId="77777777" w:rsidR="00355E37" w:rsidRPr="004D04C1" w:rsidRDefault="00355E37" w:rsidP="00355E37">
      <w:pPr>
        <w:jc w:val="center"/>
        <w:rPr>
          <w:b/>
          <w:szCs w:val="24"/>
        </w:rPr>
      </w:pPr>
      <w:r w:rsidRPr="004D04C1">
        <w:rPr>
          <w:b/>
          <w:szCs w:val="24"/>
        </w:rPr>
        <w:t>Pastabos</w:t>
      </w:r>
    </w:p>
    <w:p w14:paraId="712362BC" w14:textId="77777777" w:rsidR="00355E37" w:rsidRPr="004D04C1" w:rsidRDefault="00355E37" w:rsidP="00355E37">
      <w:pPr>
        <w:jc w:val="center"/>
        <w:rPr>
          <w:b/>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355E37" w:rsidRPr="004D04C1" w14:paraId="65D918F3" w14:textId="77777777" w:rsidTr="00693521">
        <w:tc>
          <w:tcPr>
            <w:tcW w:w="9776" w:type="dxa"/>
            <w:tcBorders>
              <w:top w:val="single" w:sz="4" w:space="0" w:color="auto"/>
              <w:left w:val="single" w:sz="4" w:space="0" w:color="auto"/>
              <w:bottom w:val="single" w:sz="4" w:space="0" w:color="auto"/>
              <w:right w:val="single" w:sz="4" w:space="0" w:color="auto"/>
            </w:tcBorders>
          </w:tcPr>
          <w:p w14:paraId="2E509E63" w14:textId="236C466D" w:rsidR="00355E37" w:rsidRPr="00AA2DCB" w:rsidRDefault="00355E37" w:rsidP="000E6250">
            <w:pPr>
              <w:pStyle w:val="CommentText"/>
              <w:ind w:firstLine="599"/>
              <w:jc w:val="both"/>
              <w:rPr>
                <w:sz w:val="24"/>
                <w:szCs w:val="24"/>
              </w:rPr>
            </w:pPr>
          </w:p>
        </w:tc>
      </w:tr>
    </w:tbl>
    <w:p w14:paraId="749F2105" w14:textId="77777777" w:rsidR="00355E37" w:rsidRDefault="00355E37" w:rsidP="00355E37">
      <w:pPr>
        <w:tabs>
          <w:tab w:val="left" w:pos="900"/>
        </w:tabs>
        <w:jc w:val="both"/>
        <w:rPr>
          <w:color w:val="000000"/>
        </w:rPr>
      </w:pPr>
    </w:p>
    <w:p w14:paraId="17C2C124" w14:textId="710C4B7E" w:rsidR="00355E37" w:rsidRDefault="00355E37" w:rsidP="00355E37">
      <w:pPr>
        <w:tabs>
          <w:tab w:val="left" w:pos="900"/>
        </w:tabs>
        <w:jc w:val="both"/>
        <w:rPr>
          <w:color w:val="000000"/>
        </w:rPr>
      </w:pPr>
    </w:p>
    <w:p w14:paraId="7FB91BCD" w14:textId="77777777" w:rsidR="00AA2DCB" w:rsidRDefault="00AA2DCB" w:rsidP="00355E37">
      <w:pPr>
        <w:tabs>
          <w:tab w:val="left" w:pos="900"/>
        </w:tabs>
        <w:jc w:val="both"/>
        <w:rPr>
          <w:color w:val="000000"/>
        </w:rPr>
      </w:pPr>
    </w:p>
    <w:p w14:paraId="25785387" w14:textId="77777777" w:rsidR="00355E37" w:rsidRDefault="00355E37" w:rsidP="00355E37">
      <w:pPr>
        <w:tabs>
          <w:tab w:val="left" w:pos="900"/>
        </w:tabs>
        <w:jc w:val="both"/>
        <w:rPr>
          <w:sz w:val="20"/>
        </w:rPr>
      </w:pPr>
      <w:r>
        <w:rPr>
          <w:color w:val="000000"/>
        </w:rPr>
        <w:t>Direktori</w:t>
      </w:r>
      <w:r>
        <w:t>us</w:t>
      </w:r>
      <w:r>
        <w:rPr>
          <w:color w:val="000000"/>
        </w:rPr>
        <w:t xml:space="preserve">                                                                                                                  Darius Vedrickas</w:t>
      </w:r>
    </w:p>
    <w:p w14:paraId="14292688" w14:textId="77777777" w:rsidR="00355E37" w:rsidRDefault="00355E37" w:rsidP="00355E37">
      <w:pPr>
        <w:tabs>
          <w:tab w:val="left" w:pos="900"/>
        </w:tabs>
        <w:jc w:val="both"/>
        <w:rPr>
          <w:sz w:val="20"/>
        </w:rPr>
      </w:pPr>
    </w:p>
    <w:p w14:paraId="13D0FCE3" w14:textId="57B64363" w:rsidR="0032019B" w:rsidRDefault="0032019B" w:rsidP="00675778">
      <w:pPr>
        <w:tabs>
          <w:tab w:val="left" w:pos="900"/>
        </w:tabs>
        <w:jc w:val="both"/>
        <w:rPr>
          <w:sz w:val="20"/>
        </w:rPr>
      </w:pPr>
    </w:p>
    <w:p w14:paraId="7FABE92E" w14:textId="4B68E804" w:rsidR="00AA2DCB" w:rsidRDefault="00AA2DCB" w:rsidP="00675778">
      <w:pPr>
        <w:tabs>
          <w:tab w:val="left" w:pos="900"/>
        </w:tabs>
        <w:jc w:val="both"/>
        <w:rPr>
          <w:sz w:val="20"/>
        </w:rPr>
      </w:pPr>
    </w:p>
    <w:p w14:paraId="1299C5B6" w14:textId="49DD3CE5" w:rsidR="00713F1B" w:rsidRDefault="00713F1B" w:rsidP="00675778">
      <w:pPr>
        <w:tabs>
          <w:tab w:val="left" w:pos="900"/>
        </w:tabs>
        <w:jc w:val="both"/>
        <w:rPr>
          <w:sz w:val="20"/>
        </w:rPr>
      </w:pPr>
    </w:p>
    <w:p w14:paraId="4776051E" w14:textId="77777777" w:rsidR="00713F1B" w:rsidRDefault="00713F1B" w:rsidP="00675778">
      <w:pPr>
        <w:tabs>
          <w:tab w:val="left" w:pos="900"/>
        </w:tabs>
        <w:jc w:val="both"/>
        <w:rPr>
          <w:sz w:val="20"/>
        </w:rPr>
      </w:pPr>
    </w:p>
    <w:p w14:paraId="6535C0E5" w14:textId="7C65E30D" w:rsidR="00AA2DCB" w:rsidRDefault="00AA2DCB" w:rsidP="00675778">
      <w:pPr>
        <w:tabs>
          <w:tab w:val="left" w:pos="900"/>
        </w:tabs>
        <w:jc w:val="both"/>
        <w:rPr>
          <w:sz w:val="20"/>
        </w:rPr>
      </w:pPr>
    </w:p>
    <w:p w14:paraId="6BC471F1" w14:textId="354C9E1A" w:rsidR="00611289" w:rsidRDefault="00611289" w:rsidP="00675778">
      <w:pPr>
        <w:tabs>
          <w:tab w:val="left" w:pos="900"/>
        </w:tabs>
        <w:jc w:val="both"/>
        <w:rPr>
          <w:sz w:val="20"/>
        </w:rPr>
      </w:pPr>
    </w:p>
    <w:p w14:paraId="575A0AD5" w14:textId="2AB9518A" w:rsidR="00611289" w:rsidRDefault="00611289" w:rsidP="00675778">
      <w:pPr>
        <w:tabs>
          <w:tab w:val="left" w:pos="900"/>
        </w:tabs>
        <w:jc w:val="both"/>
        <w:rPr>
          <w:sz w:val="20"/>
        </w:rPr>
      </w:pPr>
    </w:p>
    <w:p w14:paraId="2279F0B4" w14:textId="6851C28B" w:rsidR="00611289" w:rsidRDefault="00611289" w:rsidP="00675778">
      <w:pPr>
        <w:tabs>
          <w:tab w:val="left" w:pos="900"/>
        </w:tabs>
        <w:jc w:val="both"/>
        <w:rPr>
          <w:sz w:val="20"/>
        </w:rPr>
      </w:pPr>
    </w:p>
    <w:p w14:paraId="23A14350" w14:textId="4E2061F8" w:rsidR="00611289" w:rsidRDefault="00611289" w:rsidP="00675778">
      <w:pPr>
        <w:tabs>
          <w:tab w:val="left" w:pos="900"/>
        </w:tabs>
        <w:jc w:val="both"/>
        <w:rPr>
          <w:sz w:val="20"/>
        </w:rPr>
      </w:pPr>
    </w:p>
    <w:p w14:paraId="4B5B4F3E" w14:textId="09F0F1C9" w:rsidR="00611289" w:rsidRDefault="00611289" w:rsidP="00675778">
      <w:pPr>
        <w:tabs>
          <w:tab w:val="left" w:pos="900"/>
        </w:tabs>
        <w:jc w:val="both"/>
        <w:rPr>
          <w:sz w:val="20"/>
        </w:rPr>
      </w:pPr>
    </w:p>
    <w:p w14:paraId="7B785946" w14:textId="4FEB6D41" w:rsidR="00611289" w:rsidRDefault="00611289" w:rsidP="00675778">
      <w:pPr>
        <w:tabs>
          <w:tab w:val="left" w:pos="900"/>
        </w:tabs>
        <w:jc w:val="both"/>
        <w:rPr>
          <w:sz w:val="20"/>
        </w:rPr>
      </w:pPr>
    </w:p>
    <w:p w14:paraId="15CB2F8E" w14:textId="040E9556" w:rsidR="00611289" w:rsidRDefault="00611289" w:rsidP="00675778">
      <w:pPr>
        <w:tabs>
          <w:tab w:val="left" w:pos="900"/>
        </w:tabs>
        <w:jc w:val="both"/>
        <w:rPr>
          <w:sz w:val="20"/>
        </w:rPr>
      </w:pPr>
    </w:p>
    <w:p w14:paraId="3E83C787" w14:textId="696A4F3F" w:rsidR="00611289" w:rsidRDefault="00611289" w:rsidP="00675778">
      <w:pPr>
        <w:tabs>
          <w:tab w:val="left" w:pos="900"/>
        </w:tabs>
        <w:jc w:val="both"/>
        <w:rPr>
          <w:sz w:val="20"/>
        </w:rPr>
      </w:pPr>
    </w:p>
    <w:p w14:paraId="2E6F00E0" w14:textId="3D5E4B63" w:rsidR="00611289" w:rsidRDefault="00611289" w:rsidP="00675778">
      <w:pPr>
        <w:tabs>
          <w:tab w:val="left" w:pos="900"/>
        </w:tabs>
        <w:jc w:val="both"/>
        <w:rPr>
          <w:sz w:val="20"/>
        </w:rPr>
      </w:pPr>
    </w:p>
    <w:p w14:paraId="657EF3E6" w14:textId="30F6B8FD" w:rsidR="00611289" w:rsidRDefault="00611289" w:rsidP="00675778">
      <w:pPr>
        <w:tabs>
          <w:tab w:val="left" w:pos="900"/>
        </w:tabs>
        <w:jc w:val="both"/>
        <w:rPr>
          <w:sz w:val="20"/>
        </w:rPr>
      </w:pPr>
    </w:p>
    <w:p w14:paraId="042394B6" w14:textId="6105CA07" w:rsidR="00611289" w:rsidRDefault="00611289" w:rsidP="00675778">
      <w:pPr>
        <w:tabs>
          <w:tab w:val="left" w:pos="900"/>
        </w:tabs>
        <w:jc w:val="both"/>
        <w:rPr>
          <w:sz w:val="20"/>
        </w:rPr>
      </w:pPr>
    </w:p>
    <w:p w14:paraId="36244ED4" w14:textId="709FD3F5" w:rsidR="00611289" w:rsidRDefault="00611289" w:rsidP="00675778">
      <w:pPr>
        <w:tabs>
          <w:tab w:val="left" w:pos="900"/>
        </w:tabs>
        <w:jc w:val="both"/>
        <w:rPr>
          <w:sz w:val="20"/>
        </w:rPr>
      </w:pPr>
    </w:p>
    <w:p w14:paraId="3E935D88" w14:textId="3E9BFB05" w:rsidR="00611289" w:rsidRDefault="00611289" w:rsidP="00675778">
      <w:pPr>
        <w:tabs>
          <w:tab w:val="left" w:pos="900"/>
        </w:tabs>
        <w:jc w:val="both"/>
        <w:rPr>
          <w:sz w:val="20"/>
        </w:rPr>
      </w:pPr>
    </w:p>
    <w:p w14:paraId="00F9C60A" w14:textId="75D2C397" w:rsidR="00611289" w:rsidRDefault="00611289" w:rsidP="00675778">
      <w:pPr>
        <w:tabs>
          <w:tab w:val="left" w:pos="900"/>
        </w:tabs>
        <w:jc w:val="both"/>
        <w:rPr>
          <w:sz w:val="20"/>
        </w:rPr>
      </w:pPr>
    </w:p>
    <w:p w14:paraId="31A66FE4" w14:textId="4993D9E5" w:rsidR="00611289" w:rsidRDefault="00611289" w:rsidP="00675778">
      <w:pPr>
        <w:tabs>
          <w:tab w:val="left" w:pos="900"/>
        </w:tabs>
        <w:jc w:val="both"/>
        <w:rPr>
          <w:sz w:val="20"/>
        </w:rPr>
      </w:pPr>
    </w:p>
    <w:p w14:paraId="481B03DA" w14:textId="6844A23E" w:rsidR="00611289" w:rsidRDefault="00611289" w:rsidP="00675778">
      <w:pPr>
        <w:tabs>
          <w:tab w:val="left" w:pos="900"/>
        </w:tabs>
        <w:jc w:val="both"/>
        <w:rPr>
          <w:sz w:val="20"/>
        </w:rPr>
      </w:pPr>
    </w:p>
    <w:p w14:paraId="2C110A47" w14:textId="67D78368" w:rsidR="00611289" w:rsidRDefault="00611289" w:rsidP="00675778">
      <w:pPr>
        <w:tabs>
          <w:tab w:val="left" w:pos="900"/>
        </w:tabs>
        <w:jc w:val="both"/>
        <w:rPr>
          <w:sz w:val="20"/>
        </w:rPr>
      </w:pPr>
    </w:p>
    <w:p w14:paraId="51D91E26" w14:textId="2A7368A1" w:rsidR="00611289" w:rsidRDefault="00611289" w:rsidP="00675778">
      <w:pPr>
        <w:tabs>
          <w:tab w:val="left" w:pos="900"/>
        </w:tabs>
        <w:jc w:val="both"/>
        <w:rPr>
          <w:sz w:val="20"/>
        </w:rPr>
      </w:pPr>
    </w:p>
    <w:p w14:paraId="2881C1F4" w14:textId="61BA2F6C" w:rsidR="00611289" w:rsidRDefault="00611289" w:rsidP="00675778">
      <w:pPr>
        <w:tabs>
          <w:tab w:val="left" w:pos="900"/>
        </w:tabs>
        <w:jc w:val="both"/>
        <w:rPr>
          <w:sz w:val="20"/>
        </w:rPr>
      </w:pPr>
    </w:p>
    <w:p w14:paraId="3EBA3BD8" w14:textId="17F4B584" w:rsidR="00611289" w:rsidRDefault="00611289" w:rsidP="00675778">
      <w:pPr>
        <w:tabs>
          <w:tab w:val="left" w:pos="900"/>
        </w:tabs>
        <w:jc w:val="both"/>
        <w:rPr>
          <w:sz w:val="20"/>
        </w:rPr>
      </w:pPr>
    </w:p>
    <w:p w14:paraId="21E45289" w14:textId="00CB9657" w:rsidR="00611289" w:rsidRDefault="00611289" w:rsidP="00675778">
      <w:pPr>
        <w:tabs>
          <w:tab w:val="left" w:pos="900"/>
        </w:tabs>
        <w:jc w:val="both"/>
        <w:rPr>
          <w:sz w:val="20"/>
        </w:rPr>
      </w:pPr>
    </w:p>
    <w:p w14:paraId="1D533A2F" w14:textId="7213CABA" w:rsidR="00611289" w:rsidRDefault="00611289" w:rsidP="00675778">
      <w:pPr>
        <w:tabs>
          <w:tab w:val="left" w:pos="900"/>
        </w:tabs>
        <w:jc w:val="both"/>
        <w:rPr>
          <w:sz w:val="20"/>
        </w:rPr>
      </w:pPr>
    </w:p>
    <w:p w14:paraId="7C553256" w14:textId="4AE52AB4" w:rsidR="00611289" w:rsidRDefault="00611289" w:rsidP="00675778">
      <w:pPr>
        <w:tabs>
          <w:tab w:val="left" w:pos="900"/>
        </w:tabs>
        <w:jc w:val="both"/>
        <w:rPr>
          <w:sz w:val="20"/>
        </w:rPr>
      </w:pPr>
    </w:p>
    <w:p w14:paraId="54A4299C" w14:textId="30302A85" w:rsidR="00611289" w:rsidRDefault="00611289" w:rsidP="00675778">
      <w:pPr>
        <w:tabs>
          <w:tab w:val="left" w:pos="900"/>
        </w:tabs>
        <w:jc w:val="both"/>
        <w:rPr>
          <w:sz w:val="20"/>
        </w:rPr>
      </w:pPr>
    </w:p>
    <w:p w14:paraId="42DC0BA7" w14:textId="3782E999" w:rsidR="00611289" w:rsidRDefault="00611289" w:rsidP="00675778">
      <w:pPr>
        <w:tabs>
          <w:tab w:val="left" w:pos="900"/>
        </w:tabs>
        <w:jc w:val="both"/>
        <w:rPr>
          <w:sz w:val="20"/>
        </w:rPr>
      </w:pPr>
    </w:p>
    <w:p w14:paraId="34486741" w14:textId="27BFD9AE" w:rsidR="00611289" w:rsidRDefault="00611289" w:rsidP="00675778">
      <w:pPr>
        <w:tabs>
          <w:tab w:val="left" w:pos="900"/>
        </w:tabs>
        <w:jc w:val="both"/>
        <w:rPr>
          <w:sz w:val="20"/>
        </w:rPr>
      </w:pPr>
    </w:p>
    <w:p w14:paraId="060EAD86" w14:textId="684D4B73" w:rsidR="00611289" w:rsidRDefault="00611289" w:rsidP="00675778">
      <w:pPr>
        <w:tabs>
          <w:tab w:val="left" w:pos="900"/>
        </w:tabs>
        <w:jc w:val="both"/>
        <w:rPr>
          <w:sz w:val="20"/>
        </w:rPr>
      </w:pPr>
    </w:p>
    <w:p w14:paraId="78547907" w14:textId="5F642C7E" w:rsidR="00611289" w:rsidRDefault="00611289" w:rsidP="00675778">
      <w:pPr>
        <w:tabs>
          <w:tab w:val="left" w:pos="900"/>
        </w:tabs>
        <w:jc w:val="both"/>
        <w:rPr>
          <w:sz w:val="20"/>
        </w:rPr>
      </w:pPr>
    </w:p>
    <w:p w14:paraId="210BB943" w14:textId="7CA580E0" w:rsidR="00611289" w:rsidRDefault="00611289" w:rsidP="00675778">
      <w:pPr>
        <w:tabs>
          <w:tab w:val="left" w:pos="900"/>
        </w:tabs>
        <w:jc w:val="both"/>
        <w:rPr>
          <w:sz w:val="20"/>
        </w:rPr>
      </w:pPr>
    </w:p>
    <w:p w14:paraId="744E1ED6" w14:textId="492F1EBD" w:rsidR="00611289" w:rsidRDefault="00611289" w:rsidP="00675778">
      <w:pPr>
        <w:tabs>
          <w:tab w:val="left" w:pos="900"/>
        </w:tabs>
        <w:jc w:val="both"/>
        <w:rPr>
          <w:sz w:val="20"/>
        </w:rPr>
      </w:pPr>
    </w:p>
    <w:p w14:paraId="2FBB06D0" w14:textId="02511F0A" w:rsidR="00611289" w:rsidRDefault="00611289" w:rsidP="00675778">
      <w:pPr>
        <w:tabs>
          <w:tab w:val="left" w:pos="900"/>
        </w:tabs>
        <w:jc w:val="both"/>
        <w:rPr>
          <w:sz w:val="20"/>
        </w:rPr>
      </w:pPr>
    </w:p>
    <w:p w14:paraId="7D206519" w14:textId="141C9373" w:rsidR="00611289" w:rsidRDefault="00611289" w:rsidP="00675778">
      <w:pPr>
        <w:tabs>
          <w:tab w:val="left" w:pos="900"/>
        </w:tabs>
        <w:jc w:val="both"/>
        <w:rPr>
          <w:sz w:val="20"/>
        </w:rPr>
      </w:pPr>
    </w:p>
    <w:p w14:paraId="4AEF0231" w14:textId="5BD15C68" w:rsidR="00611289" w:rsidRDefault="00611289" w:rsidP="00675778">
      <w:pPr>
        <w:tabs>
          <w:tab w:val="left" w:pos="900"/>
        </w:tabs>
        <w:jc w:val="both"/>
        <w:rPr>
          <w:sz w:val="20"/>
        </w:rPr>
      </w:pPr>
    </w:p>
    <w:p w14:paraId="09D2E48A" w14:textId="3A21542D" w:rsidR="00611289" w:rsidRDefault="00611289" w:rsidP="00675778">
      <w:pPr>
        <w:tabs>
          <w:tab w:val="left" w:pos="900"/>
        </w:tabs>
        <w:jc w:val="both"/>
        <w:rPr>
          <w:sz w:val="20"/>
        </w:rPr>
      </w:pPr>
    </w:p>
    <w:p w14:paraId="2BA70902" w14:textId="3330176D" w:rsidR="00611289" w:rsidRDefault="00611289" w:rsidP="00675778">
      <w:pPr>
        <w:tabs>
          <w:tab w:val="left" w:pos="900"/>
        </w:tabs>
        <w:jc w:val="both"/>
        <w:rPr>
          <w:sz w:val="20"/>
        </w:rPr>
      </w:pPr>
    </w:p>
    <w:p w14:paraId="56FF879B" w14:textId="77777777" w:rsidR="00611289" w:rsidRDefault="00611289" w:rsidP="00675778">
      <w:pPr>
        <w:tabs>
          <w:tab w:val="left" w:pos="900"/>
        </w:tabs>
        <w:jc w:val="both"/>
        <w:rPr>
          <w:sz w:val="20"/>
        </w:rPr>
      </w:pPr>
    </w:p>
    <w:p w14:paraId="0A804CD8" w14:textId="62FB0074" w:rsidR="00AA2DCB" w:rsidRDefault="00AA2DCB" w:rsidP="00675778">
      <w:pPr>
        <w:tabs>
          <w:tab w:val="left" w:pos="900"/>
        </w:tabs>
        <w:jc w:val="both"/>
        <w:rPr>
          <w:sz w:val="20"/>
        </w:rPr>
      </w:pPr>
    </w:p>
    <w:p w14:paraId="524D49B1" w14:textId="77777777" w:rsidR="00AA2DCB" w:rsidRDefault="00AA2DCB" w:rsidP="00675778">
      <w:pPr>
        <w:tabs>
          <w:tab w:val="left" w:pos="900"/>
        </w:tabs>
        <w:jc w:val="both"/>
        <w:rPr>
          <w:sz w:val="20"/>
        </w:rPr>
      </w:pPr>
    </w:p>
    <w:p w14:paraId="3085D383" w14:textId="26A9972E" w:rsidR="00D00410" w:rsidRDefault="00355E37" w:rsidP="00675778">
      <w:pPr>
        <w:tabs>
          <w:tab w:val="left" w:pos="900"/>
        </w:tabs>
        <w:jc w:val="both"/>
      </w:pPr>
      <w:r>
        <w:rPr>
          <w:sz w:val="20"/>
        </w:rPr>
        <w:t>Lina Klingienė</w:t>
      </w:r>
      <w:r w:rsidRPr="006E5750">
        <w:rPr>
          <w:sz w:val="20"/>
        </w:rPr>
        <w:t>, tel. (8 5) 219 70</w:t>
      </w:r>
      <w:r>
        <w:rPr>
          <w:sz w:val="20"/>
        </w:rPr>
        <w:t>50</w:t>
      </w:r>
      <w:r w:rsidRPr="006E5750">
        <w:rPr>
          <w:sz w:val="20"/>
        </w:rPr>
        <w:t xml:space="preserve">, </w:t>
      </w:r>
      <w:r w:rsidRPr="0032724B">
        <w:rPr>
          <w:sz w:val="20"/>
        </w:rPr>
        <w:t>+ 370 6</w:t>
      </w:r>
      <w:r>
        <w:rPr>
          <w:sz w:val="20"/>
        </w:rPr>
        <w:t>90</w:t>
      </w:r>
      <w:r w:rsidRPr="0032724B">
        <w:rPr>
          <w:sz w:val="20"/>
        </w:rPr>
        <w:t xml:space="preserve"> </w:t>
      </w:r>
      <w:r>
        <w:rPr>
          <w:sz w:val="20"/>
        </w:rPr>
        <w:t>00324</w:t>
      </w:r>
      <w:r w:rsidRPr="0032724B">
        <w:rPr>
          <w:sz w:val="20"/>
        </w:rPr>
        <w:t xml:space="preserve">, el. p. </w:t>
      </w:r>
      <w:hyperlink r:id="rId11" w:history="1">
        <w:r w:rsidRPr="00ED3975">
          <w:rPr>
            <w:rStyle w:val="Hyperlink"/>
            <w:sz w:val="20"/>
          </w:rPr>
          <w:t>Lina.Klingiene@vpt.lt</w:t>
        </w:r>
      </w:hyperlink>
    </w:p>
    <w:sectPr w:rsidR="00D00410" w:rsidSect="00D710EE">
      <w:headerReference w:type="default" r:id="rId12"/>
      <w:footerReference w:type="first" r:id="rId13"/>
      <w:pgSz w:w="11906" w:h="16838"/>
      <w:pgMar w:top="425"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F213" w14:textId="77777777" w:rsidR="00EF35B3" w:rsidRDefault="00EF35B3" w:rsidP="00355E37">
      <w:r>
        <w:separator/>
      </w:r>
    </w:p>
  </w:endnote>
  <w:endnote w:type="continuationSeparator" w:id="0">
    <w:p w14:paraId="320AD2B1" w14:textId="77777777" w:rsidR="00EF35B3" w:rsidRDefault="00EF35B3" w:rsidP="00355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5FFE" w14:textId="77777777" w:rsidR="00CC1530" w:rsidRPr="00EF1EBC" w:rsidRDefault="00615909" w:rsidP="00C45CC1">
    <w:pPr>
      <w:pBdr>
        <w:top w:val="single" w:sz="4" w:space="1" w:color="auto"/>
      </w:pBdr>
      <w:rPr>
        <w:sz w:val="20"/>
      </w:rPr>
    </w:pPr>
    <w:r w:rsidRPr="00EF1EBC">
      <w:rPr>
        <w:sz w:val="20"/>
      </w:rPr>
      <w:t xml:space="preserve">Biudžetinė įstaiga                             </w:t>
    </w:r>
    <w:r>
      <w:rPr>
        <w:sz w:val="20"/>
      </w:rPr>
      <w:t xml:space="preserve">                 </w:t>
    </w:r>
    <w:r w:rsidRPr="00EF1EBC">
      <w:rPr>
        <w:sz w:val="20"/>
      </w:rPr>
      <w:t xml:space="preserve"> Tel.  (8 5) 219 7001        </w:t>
    </w:r>
    <w:r w:rsidRPr="00132FD4">
      <w:rPr>
        <w:sz w:val="20"/>
      </w:rPr>
      <w:t xml:space="preserve">  </w:t>
    </w:r>
    <w:r>
      <w:rPr>
        <w:sz w:val="20"/>
      </w:rPr>
      <w:t xml:space="preserve">              </w:t>
    </w:r>
    <w:r w:rsidRPr="00132FD4">
      <w:rPr>
        <w:sz w:val="20"/>
      </w:rPr>
      <w:t xml:space="preserve">  </w:t>
    </w:r>
    <w:r>
      <w:rPr>
        <w:sz w:val="20"/>
      </w:rPr>
      <w:t xml:space="preserve">  </w:t>
    </w:r>
    <w:r w:rsidRPr="00EF1EBC">
      <w:rPr>
        <w:sz w:val="20"/>
      </w:rPr>
      <w:t>Duomenys kaupiami ir saugomi </w:t>
    </w:r>
  </w:p>
  <w:p w14:paraId="2F538B03" w14:textId="77777777" w:rsidR="00CC1530" w:rsidRPr="00EF1EBC" w:rsidRDefault="00615909" w:rsidP="00C45CC1">
    <w:pPr>
      <w:pBdr>
        <w:top w:val="single" w:sz="4" w:space="1" w:color="auto"/>
      </w:pBdr>
      <w:jc w:val="both"/>
      <w:rPr>
        <w:sz w:val="20"/>
      </w:rPr>
    </w:pPr>
    <w:r w:rsidRPr="00EF1EBC">
      <w:rPr>
        <w:sz w:val="20"/>
      </w:rPr>
      <w:t>Kareivių g. 1, LT-08</w:t>
    </w:r>
    <w:r>
      <w:rPr>
        <w:sz w:val="20"/>
      </w:rPr>
      <w:t>35</w:t>
    </w:r>
    <w:r w:rsidRPr="00EF1EBC">
      <w:rPr>
        <w:sz w:val="20"/>
      </w:rPr>
      <w:t xml:space="preserve">1 Vilnius   </w:t>
    </w:r>
    <w:r>
      <w:rPr>
        <w:sz w:val="20"/>
      </w:rPr>
      <w:t xml:space="preserve">                  </w:t>
    </w:r>
    <w:r w:rsidRPr="00132FD4">
      <w:rPr>
        <w:sz w:val="20"/>
      </w:rPr>
      <w:t xml:space="preserve">   </w:t>
    </w:r>
    <w:r w:rsidRPr="00EF1EBC">
      <w:rPr>
        <w:sz w:val="20"/>
      </w:rPr>
      <w:t xml:space="preserve">Faks. (8 5) 213 6213    </w:t>
    </w:r>
    <w:r>
      <w:rPr>
        <w:sz w:val="20"/>
      </w:rPr>
      <w:t xml:space="preserve">                      </w:t>
    </w:r>
    <w:r w:rsidRPr="00EF1EBC">
      <w:rPr>
        <w:sz w:val="20"/>
      </w:rPr>
      <w:t xml:space="preserve">Juridinių asmenų registre </w:t>
    </w:r>
  </w:p>
  <w:p w14:paraId="3308AFC2" w14:textId="77777777" w:rsidR="00CC1530" w:rsidRPr="00EF1EBC" w:rsidRDefault="00615909" w:rsidP="00C45CC1">
    <w:pPr>
      <w:pBdr>
        <w:top w:val="single" w:sz="4" w:space="1" w:color="auto"/>
      </w:pBdr>
      <w:jc w:val="both"/>
      <w:rPr>
        <w:sz w:val="20"/>
      </w:rPr>
    </w:pPr>
    <w:r w:rsidRPr="00EF1EBC">
      <w:rPr>
        <w:sz w:val="20"/>
      </w:rPr>
      <w:t xml:space="preserve">http://www.vpt.lt                      </w:t>
    </w:r>
    <w:r>
      <w:rPr>
        <w:sz w:val="20"/>
      </w:rPr>
      <w:t xml:space="preserve">                         </w:t>
    </w:r>
    <w:r w:rsidRPr="00EF1EBC">
      <w:rPr>
        <w:sz w:val="20"/>
      </w:rPr>
      <w:t xml:space="preserve"> El.p. info@vpt.lt        </w:t>
    </w:r>
    <w:r>
      <w:rPr>
        <w:sz w:val="20"/>
      </w:rPr>
      <w:t xml:space="preserve">                 </w:t>
    </w:r>
    <w:r w:rsidRPr="00EF1EBC">
      <w:rPr>
        <w:sz w:val="20"/>
      </w:rPr>
      <w:t xml:space="preserve"> </w:t>
    </w:r>
    <w:r>
      <w:rPr>
        <w:sz w:val="20"/>
      </w:rPr>
      <w:t xml:space="preserve">   </w:t>
    </w:r>
    <w:r w:rsidRPr="00EF1EBC">
      <w:rPr>
        <w:sz w:val="20"/>
      </w:rPr>
      <w:t xml:space="preserve">    Kodas 188656261</w:t>
    </w:r>
  </w:p>
  <w:p w14:paraId="6F4B6BC2" w14:textId="77777777" w:rsidR="00CC1530" w:rsidRPr="00132FD4" w:rsidRDefault="005D032A" w:rsidP="00C45CC1">
    <w:pPr>
      <w:pStyle w:val="Footer"/>
      <w:rPr>
        <w:sz w:val="20"/>
      </w:rPr>
    </w:pPr>
  </w:p>
  <w:p w14:paraId="3B71D9DA" w14:textId="77777777" w:rsidR="00CC1530" w:rsidRDefault="005D0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00083" w14:textId="77777777" w:rsidR="00EF35B3" w:rsidRDefault="00EF35B3" w:rsidP="00355E37">
      <w:r>
        <w:separator/>
      </w:r>
    </w:p>
  </w:footnote>
  <w:footnote w:type="continuationSeparator" w:id="0">
    <w:p w14:paraId="7596D439" w14:textId="77777777" w:rsidR="00EF35B3" w:rsidRDefault="00EF35B3" w:rsidP="00355E37">
      <w:r>
        <w:continuationSeparator/>
      </w:r>
    </w:p>
  </w:footnote>
  <w:footnote w:id="1">
    <w:p w14:paraId="341BAD69" w14:textId="77777777" w:rsidR="00355E37" w:rsidRPr="00EC332C" w:rsidRDefault="00355E37" w:rsidP="00355E37">
      <w:pPr>
        <w:pStyle w:val="FootnoteText"/>
        <w:jc w:val="both"/>
        <w:rPr>
          <w:bCs/>
        </w:rPr>
      </w:pPr>
      <w:r>
        <w:rPr>
          <w:rStyle w:val="FootnoteReference"/>
        </w:rPr>
        <w:footnoteRef/>
      </w:r>
      <w:r>
        <w:t xml:space="preserve"> 2022-10-10 raštas Nr. (24.78Mr-07)-6K-2206022.</w:t>
      </w:r>
    </w:p>
  </w:footnote>
  <w:footnote w:id="2">
    <w:p w14:paraId="116B59DC" w14:textId="65508B26" w:rsidR="00E41858" w:rsidRDefault="00E41858" w:rsidP="005A08B8">
      <w:pPr>
        <w:pStyle w:val="FootnoteText"/>
        <w:jc w:val="both"/>
      </w:pPr>
      <w:r>
        <w:rPr>
          <w:rStyle w:val="FootnoteReference"/>
        </w:rPr>
        <w:footnoteRef/>
      </w:r>
      <w:r>
        <w:t xml:space="preserve"> „Nepažeidžiant privalomų nacionalinių techninių reikalavimų tiek, kiek jie neprieštarauja Europos Sąjungos teisei, techninė specifikacija gali būti parengta šiais būdais arba šių būdų deriniu: &lt;...&gt; 2) nurodant standartą, techninį liudijimą ar bendrąsias technines specifikacijas</w:t>
      </w:r>
      <w:r w:rsidR="005A08B8">
        <w:t>. &lt;...&gt; Kiekviena nuoroda pateikiama kartu su žodžiais „arba lygiavertis“.</w:t>
      </w:r>
    </w:p>
  </w:footnote>
  <w:footnote w:id="3">
    <w:p w14:paraId="50A796CF" w14:textId="77777777" w:rsidR="00D36343" w:rsidRDefault="00D36343" w:rsidP="00D36343">
      <w:pPr>
        <w:pStyle w:val="FootnoteText"/>
        <w:jc w:val="both"/>
      </w:pPr>
      <w:r>
        <w:rPr>
          <w:rStyle w:val="FootnoteReference"/>
        </w:rPr>
        <w:footnoteRef/>
      </w:r>
      <w:r>
        <w:t xml:space="preserve"> „Perkantysis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w:t>
      </w:r>
      <w:r w:rsidRPr="00340145">
        <w:rPr>
          <w:b/>
          <w:bCs/>
        </w:rPr>
        <w:t>ne vėliau kaip per 15 dienų</w:t>
      </w:r>
      <w:r>
        <w:t xml:space="preserve"> nuo pirkimo sutarties ar preliminariosios sutarties sudarymo ar jų pakeitimo, bet ne vėliau kaip iki pirmojo mokėjimo pagal jas pradžios, Viešųjų pirkimų tarnybos nustatyta tvarka </w:t>
      </w:r>
      <w:r w:rsidRPr="00340145">
        <w:rPr>
          <w:b/>
          <w:bCs/>
        </w:rPr>
        <w:t>turi paskelbti Centrinėje viešųjų pirkimų informacinėje sistemoje</w:t>
      </w:r>
      <w:r>
        <w:t>. &lt;...&gt;“.</w:t>
      </w:r>
    </w:p>
  </w:footnote>
  <w:footnote w:id="4">
    <w:p w14:paraId="69AC8162" w14:textId="068DE439" w:rsidR="00DF6394" w:rsidRDefault="00DF6394" w:rsidP="00DF6394">
      <w:pPr>
        <w:pStyle w:val="FootnoteText"/>
        <w:jc w:val="both"/>
      </w:pPr>
      <w:r>
        <w:rPr>
          <w:rStyle w:val="FootnoteReference"/>
        </w:rPr>
        <w:footnoteRef/>
      </w:r>
      <w:r>
        <w:t xml:space="preserve"> „</w:t>
      </w:r>
      <w:r w:rsidR="005C152A">
        <w:rPr>
          <w:color w:val="000000"/>
        </w:rPr>
        <w:t xml:space="preserve">Skelbimas apie pirkimo sutarties sudarymą, preliminariosios sutarties sudarymą, projekto konkurso rezultatus skelbiamas ne vėliau kaip per 30 dienų po pirkimo sutarties ar preliminariosios sutarties sudarymo arba po projekto konkurso rezultatų patvirtinimo. Skelbimai apie pirkimo sutarties sudarymą atlikus šio įstatymo 4 priede nurodytų socialinių ir kitų specialiųjų paslaugų pirkimą ar pirkimo sutarties sudarymą preliminariosios sutarties pagrindu, ar pirkimo sutarties sudarymą taikant dinaminę pirkimo sistemą </w:t>
      </w:r>
      <w:r w:rsidR="005C152A" w:rsidRPr="009B6E04">
        <w:rPr>
          <w:b/>
          <w:bCs/>
          <w:color w:val="000000"/>
        </w:rPr>
        <w:t>gali būti sugrupuojami ir skelbiami ne vėliau kaip per 30 dienų ketvirčiui pasibaigus</w:t>
      </w:r>
      <w:r w:rsidR="005C152A">
        <w:rPr>
          <w:color w:val="000000"/>
        </w:rPr>
        <w:t>“.</w:t>
      </w:r>
    </w:p>
  </w:footnote>
  <w:footnote w:id="5">
    <w:p w14:paraId="7E70FECF" w14:textId="51BE04E5" w:rsidR="00144361" w:rsidRDefault="00144361">
      <w:pPr>
        <w:pStyle w:val="FootnoteText"/>
      </w:pPr>
      <w:r>
        <w:rPr>
          <w:rStyle w:val="FootnoteReference"/>
        </w:rPr>
        <w:footnoteRef/>
      </w:r>
      <w:r>
        <w:t xml:space="preserve"> </w:t>
      </w:r>
      <w:r w:rsidR="00BE4D8C">
        <w:t>„Šilumos tiekimo tinklų rekonstravimo darbai“</w:t>
      </w:r>
      <w:r w:rsidR="00327344">
        <w:t xml:space="preserve"> (pirkimas CVP IS skelbtas 2020 m. gruodžio 10 d., Nr. 524378).</w:t>
      </w:r>
    </w:p>
  </w:footnote>
  <w:footnote w:id="6">
    <w:p w14:paraId="2EEE534A" w14:textId="3D49E41C" w:rsidR="00594A56" w:rsidRDefault="00594A56">
      <w:pPr>
        <w:pStyle w:val="FootnoteText"/>
      </w:pPr>
      <w:r>
        <w:rPr>
          <w:rStyle w:val="FootnoteReference"/>
        </w:rPr>
        <w:footnoteRef/>
      </w:r>
      <w:r>
        <w:t xml:space="preserve"> Skelbimas apie sutarties Nr. SUT-333 sudarymą paskelbtas 2021 m. liepos 1 d.</w:t>
      </w:r>
      <w:r w:rsidR="003E263C">
        <w:t>;</w:t>
      </w:r>
      <w:r w:rsidR="00352A14">
        <w:t xml:space="preserve"> skelbimas apie sutarties Nr. SUT-334 sudarymą paskelbtas 2021 m. liepos 4 d</w:t>
      </w:r>
      <w:r w:rsidR="007A1EE0">
        <w:t>.;</w:t>
      </w:r>
      <w:r w:rsidR="00352A14">
        <w:t xml:space="preserve"> skelbimas apie sutarties Nr. SUT-</w:t>
      </w:r>
      <w:r w:rsidR="00AD7B24">
        <w:t>343 sudarymą paskelbtas 2021 m. liepos 28 d.</w:t>
      </w:r>
    </w:p>
  </w:footnote>
  <w:footnote w:id="7">
    <w:p w14:paraId="68127F90" w14:textId="09CDEE63" w:rsidR="002D0B9D" w:rsidRDefault="002D0B9D" w:rsidP="00675778">
      <w:pPr>
        <w:pStyle w:val="FootnoteText"/>
        <w:jc w:val="both"/>
      </w:pPr>
      <w:r>
        <w:rPr>
          <w:rStyle w:val="FootnoteReference"/>
        </w:rPr>
        <w:footnoteRef/>
      </w:r>
      <w:r>
        <w:t xml:space="preserve"> </w:t>
      </w:r>
      <w:r w:rsidR="0082012D">
        <w:t xml:space="preserve">2021 m. balandžio 27 d. raštas „Dėl paaiškinimo“; 2021 m. balandžio 29 d. raštas „Dėl paaiškinimo / patikslinimo“; </w:t>
      </w:r>
      <w:r w:rsidR="00675778">
        <w:t>2021 m. gegužės 6 d. raštas „Dėl pasiūlymo formos“.</w:t>
      </w:r>
    </w:p>
  </w:footnote>
  <w:footnote w:id="8">
    <w:p w14:paraId="716D321B" w14:textId="0BF39182" w:rsidR="009B6975" w:rsidRDefault="009B6975">
      <w:pPr>
        <w:pStyle w:val="FootnoteText"/>
      </w:pPr>
      <w:r>
        <w:rPr>
          <w:rStyle w:val="FootnoteReference"/>
        </w:rPr>
        <w:footnoteRef/>
      </w:r>
      <w:r>
        <w:t xml:space="preserve"> </w:t>
      </w:r>
      <w:r w:rsidR="000A6AAC">
        <w:t>Paskelbta 2021 m. birželio 29 d.</w:t>
      </w:r>
      <w:r w:rsidR="006E757A">
        <w:t>, ataskaitos Nr. 2021-606987.</w:t>
      </w:r>
    </w:p>
  </w:footnote>
  <w:footnote w:id="9">
    <w:p w14:paraId="19E0896A" w14:textId="2AC3FE3B" w:rsidR="005759B9" w:rsidRDefault="005759B9">
      <w:pPr>
        <w:pStyle w:val="FootnoteText"/>
      </w:pPr>
      <w:r>
        <w:rPr>
          <w:rStyle w:val="FootnoteReference"/>
        </w:rPr>
        <w:footnoteRef/>
      </w:r>
      <w:r>
        <w:t xml:space="preserve"> </w:t>
      </w:r>
      <w:r w:rsidR="00274C8D">
        <w:t>2023 m. sausio 18 d. raštas Nr. SD-242; 2023 m. sausio 20 d. raštas Nr. SD-246.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6917304"/>
      <w:docPartObj>
        <w:docPartGallery w:val="Page Numbers (Top of Page)"/>
        <w:docPartUnique/>
      </w:docPartObj>
    </w:sdtPr>
    <w:sdtEndPr/>
    <w:sdtContent>
      <w:p w14:paraId="58FE1B35" w14:textId="77777777" w:rsidR="00D710EE" w:rsidRDefault="00615909">
        <w:pPr>
          <w:pStyle w:val="Header"/>
          <w:jc w:val="center"/>
        </w:pPr>
        <w:r>
          <w:fldChar w:fldCharType="begin"/>
        </w:r>
        <w:r>
          <w:instrText>PAGE   \* MERGEFORMAT</w:instrText>
        </w:r>
        <w:r>
          <w:fldChar w:fldCharType="separate"/>
        </w:r>
        <w:r>
          <w:rPr>
            <w:noProof/>
          </w:rPr>
          <w:t>6</w:t>
        </w:r>
        <w:r>
          <w:fldChar w:fldCharType="end"/>
        </w:r>
      </w:p>
    </w:sdtContent>
  </w:sdt>
  <w:p w14:paraId="2766930D" w14:textId="77777777" w:rsidR="00CC1530" w:rsidRDefault="005D032A" w:rsidP="00FE643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FD2FFC"/>
    <w:multiLevelType w:val="hybridMultilevel"/>
    <w:tmpl w:val="29C26518"/>
    <w:lvl w:ilvl="0" w:tplc="B2806F2E">
      <w:start w:val="3123"/>
      <w:numFmt w:val="bullet"/>
      <w:lvlText w:val="-"/>
      <w:lvlJc w:val="left"/>
      <w:pPr>
        <w:ind w:left="1319" w:hanging="360"/>
      </w:pPr>
      <w:rPr>
        <w:rFonts w:ascii="Calibri" w:eastAsiaTheme="minorHAnsi" w:hAnsi="Calibri" w:cs="Calibri" w:hint="default"/>
      </w:rPr>
    </w:lvl>
    <w:lvl w:ilvl="1" w:tplc="04270003" w:tentative="1">
      <w:start w:val="1"/>
      <w:numFmt w:val="bullet"/>
      <w:lvlText w:val="o"/>
      <w:lvlJc w:val="left"/>
      <w:pPr>
        <w:ind w:left="2039" w:hanging="360"/>
      </w:pPr>
      <w:rPr>
        <w:rFonts w:ascii="Courier New" w:hAnsi="Courier New" w:cs="Courier New" w:hint="default"/>
      </w:rPr>
    </w:lvl>
    <w:lvl w:ilvl="2" w:tplc="04270005" w:tentative="1">
      <w:start w:val="1"/>
      <w:numFmt w:val="bullet"/>
      <w:lvlText w:val=""/>
      <w:lvlJc w:val="left"/>
      <w:pPr>
        <w:ind w:left="2759" w:hanging="360"/>
      </w:pPr>
      <w:rPr>
        <w:rFonts w:ascii="Wingdings" w:hAnsi="Wingdings" w:hint="default"/>
      </w:rPr>
    </w:lvl>
    <w:lvl w:ilvl="3" w:tplc="04270001" w:tentative="1">
      <w:start w:val="1"/>
      <w:numFmt w:val="bullet"/>
      <w:lvlText w:val=""/>
      <w:lvlJc w:val="left"/>
      <w:pPr>
        <w:ind w:left="3479" w:hanging="360"/>
      </w:pPr>
      <w:rPr>
        <w:rFonts w:ascii="Symbol" w:hAnsi="Symbol" w:hint="default"/>
      </w:rPr>
    </w:lvl>
    <w:lvl w:ilvl="4" w:tplc="04270003" w:tentative="1">
      <w:start w:val="1"/>
      <w:numFmt w:val="bullet"/>
      <w:lvlText w:val="o"/>
      <w:lvlJc w:val="left"/>
      <w:pPr>
        <w:ind w:left="4199" w:hanging="360"/>
      </w:pPr>
      <w:rPr>
        <w:rFonts w:ascii="Courier New" w:hAnsi="Courier New" w:cs="Courier New" w:hint="default"/>
      </w:rPr>
    </w:lvl>
    <w:lvl w:ilvl="5" w:tplc="04270005" w:tentative="1">
      <w:start w:val="1"/>
      <w:numFmt w:val="bullet"/>
      <w:lvlText w:val=""/>
      <w:lvlJc w:val="left"/>
      <w:pPr>
        <w:ind w:left="4919" w:hanging="360"/>
      </w:pPr>
      <w:rPr>
        <w:rFonts w:ascii="Wingdings" w:hAnsi="Wingdings" w:hint="default"/>
      </w:rPr>
    </w:lvl>
    <w:lvl w:ilvl="6" w:tplc="04270001" w:tentative="1">
      <w:start w:val="1"/>
      <w:numFmt w:val="bullet"/>
      <w:lvlText w:val=""/>
      <w:lvlJc w:val="left"/>
      <w:pPr>
        <w:ind w:left="5639" w:hanging="360"/>
      </w:pPr>
      <w:rPr>
        <w:rFonts w:ascii="Symbol" w:hAnsi="Symbol" w:hint="default"/>
      </w:rPr>
    </w:lvl>
    <w:lvl w:ilvl="7" w:tplc="04270003" w:tentative="1">
      <w:start w:val="1"/>
      <w:numFmt w:val="bullet"/>
      <w:lvlText w:val="o"/>
      <w:lvlJc w:val="left"/>
      <w:pPr>
        <w:ind w:left="6359" w:hanging="360"/>
      </w:pPr>
      <w:rPr>
        <w:rFonts w:ascii="Courier New" w:hAnsi="Courier New" w:cs="Courier New" w:hint="default"/>
      </w:rPr>
    </w:lvl>
    <w:lvl w:ilvl="8" w:tplc="04270005" w:tentative="1">
      <w:start w:val="1"/>
      <w:numFmt w:val="bullet"/>
      <w:lvlText w:val=""/>
      <w:lvlJc w:val="left"/>
      <w:pPr>
        <w:ind w:left="7079" w:hanging="360"/>
      </w:pPr>
      <w:rPr>
        <w:rFonts w:ascii="Wingdings" w:hAnsi="Wingdings" w:hint="default"/>
      </w:rPr>
    </w:lvl>
  </w:abstractNum>
  <w:abstractNum w:abstractNumId="1" w15:restartNumberingAfterBreak="0">
    <w:nsid w:val="3E020BB1"/>
    <w:multiLevelType w:val="hybridMultilevel"/>
    <w:tmpl w:val="59E2B55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3FE4613A"/>
    <w:multiLevelType w:val="hybridMultilevel"/>
    <w:tmpl w:val="AA18E860"/>
    <w:lvl w:ilvl="0" w:tplc="90E88C80">
      <w:start w:val="1"/>
      <w:numFmt w:val="decimal"/>
      <w:lvlText w:val="%1."/>
      <w:lvlJc w:val="left"/>
      <w:pPr>
        <w:ind w:left="1295" w:hanging="59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154033754">
    <w:abstractNumId w:val="1"/>
  </w:num>
  <w:num w:numId="2" w16cid:durableId="1573850299">
    <w:abstractNumId w:val="0"/>
  </w:num>
  <w:num w:numId="3" w16cid:durableId="10109822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E37"/>
    <w:rsid w:val="00012601"/>
    <w:rsid w:val="000155EF"/>
    <w:rsid w:val="00015B04"/>
    <w:rsid w:val="00016D3F"/>
    <w:rsid w:val="00055B40"/>
    <w:rsid w:val="00066501"/>
    <w:rsid w:val="0009751C"/>
    <w:rsid w:val="000A6AAC"/>
    <w:rsid w:val="000E6250"/>
    <w:rsid w:val="000E6B4E"/>
    <w:rsid w:val="000F398B"/>
    <w:rsid w:val="001017B7"/>
    <w:rsid w:val="00116595"/>
    <w:rsid w:val="00144361"/>
    <w:rsid w:val="00153583"/>
    <w:rsid w:val="0016311E"/>
    <w:rsid w:val="001765DE"/>
    <w:rsid w:val="001816E5"/>
    <w:rsid w:val="001A1C03"/>
    <w:rsid w:val="001B27CA"/>
    <w:rsid w:val="001C0D5D"/>
    <w:rsid w:val="001C65E5"/>
    <w:rsid w:val="001E0D68"/>
    <w:rsid w:val="001E2202"/>
    <w:rsid w:val="001F20A0"/>
    <w:rsid w:val="002034CE"/>
    <w:rsid w:val="00204E7E"/>
    <w:rsid w:val="002140C9"/>
    <w:rsid w:val="00252B48"/>
    <w:rsid w:val="00255C03"/>
    <w:rsid w:val="00257A07"/>
    <w:rsid w:val="00274C8D"/>
    <w:rsid w:val="002A4952"/>
    <w:rsid w:val="002A5D01"/>
    <w:rsid w:val="002B169D"/>
    <w:rsid w:val="002B2ADB"/>
    <w:rsid w:val="002D094B"/>
    <w:rsid w:val="002D0B9D"/>
    <w:rsid w:val="002D69CA"/>
    <w:rsid w:val="002F396E"/>
    <w:rsid w:val="002F51C7"/>
    <w:rsid w:val="00310775"/>
    <w:rsid w:val="0032019B"/>
    <w:rsid w:val="00326944"/>
    <w:rsid w:val="00327344"/>
    <w:rsid w:val="00340145"/>
    <w:rsid w:val="0034161A"/>
    <w:rsid w:val="00345B65"/>
    <w:rsid w:val="00352A14"/>
    <w:rsid w:val="00355E37"/>
    <w:rsid w:val="00365C74"/>
    <w:rsid w:val="0037733C"/>
    <w:rsid w:val="00395672"/>
    <w:rsid w:val="003C6465"/>
    <w:rsid w:val="003C7FD9"/>
    <w:rsid w:val="003D53B5"/>
    <w:rsid w:val="003E263C"/>
    <w:rsid w:val="003F3927"/>
    <w:rsid w:val="0041445D"/>
    <w:rsid w:val="00417993"/>
    <w:rsid w:val="00437EA2"/>
    <w:rsid w:val="004439E0"/>
    <w:rsid w:val="00443CC6"/>
    <w:rsid w:val="004468C4"/>
    <w:rsid w:val="004740BE"/>
    <w:rsid w:val="0048477D"/>
    <w:rsid w:val="004905C8"/>
    <w:rsid w:val="00494412"/>
    <w:rsid w:val="00495C7F"/>
    <w:rsid w:val="00496DFE"/>
    <w:rsid w:val="004A23C2"/>
    <w:rsid w:val="004D0917"/>
    <w:rsid w:val="004D3C2C"/>
    <w:rsid w:val="004E2202"/>
    <w:rsid w:val="004F2D26"/>
    <w:rsid w:val="00504C19"/>
    <w:rsid w:val="0050661A"/>
    <w:rsid w:val="00520287"/>
    <w:rsid w:val="00520768"/>
    <w:rsid w:val="005211CF"/>
    <w:rsid w:val="00521CF3"/>
    <w:rsid w:val="005304CA"/>
    <w:rsid w:val="00563C75"/>
    <w:rsid w:val="00573118"/>
    <w:rsid w:val="005759B9"/>
    <w:rsid w:val="00581301"/>
    <w:rsid w:val="00581D1A"/>
    <w:rsid w:val="00594A56"/>
    <w:rsid w:val="005A08B8"/>
    <w:rsid w:val="005B2F0E"/>
    <w:rsid w:val="005C152A"/>
    <w:rsid w:val="005D032A"/>
    <w:rsid w:val="005D1EA1"/>
    <w:rsid w:val="005D2CA5"/>
    <w:rsid w:val="005E0C0F"/>
    <w:rsid w:val="005E3434"/>
    <w:rsid w:val="005E43CD"/>
    <w:rsid w:val="005E66F7"/>
    <w:rsid w:val="00611289"/>
    <w:rsid w:val="00612B8E"/>
    <w:rsid w:val="00615909"/>
    <w:rsid w:val="0062268B"/>
    <w:rsid w:val="00623A82"/>
    <w:rsid w:val="006321E5"/>
    <w:rsid w:val="00635666"/>
    <w:rsid w:val="00674D35"/>
    <w:rsid w:val="00675778"/>
    <w:rsid w:val="006A7D3E"/>
    <w:rsid w:val="006B310B"/>
    <w:rsid w:val="006C1AC9"/>
    <w:rsid w:val="006D5864"/>
    <w:rsid w:val="006E03B7"/>
    <w:rsid w:val="006E5C17"/>
    <w:rsid w:val="006E757A"/>
    <w:rsid w:val="006E78E6"/>
    <w:rsid w:val="006F39E4"/>
    <w:rsid w:val="006F541C"/>
    <w:rsid w:val="00701756"/>
    <w:rsid w:val="00711EAC"/>
    <w:rsid w:val="00713F1B"/>
    <w:rsid w:val="0071443C"/>
    <w:rsid w:val="00714BB6"/>
    <w:rsid w:val="007240DB"/>
    <w:rsid w:val="0074367F"/>
    <w:rsid w:val="007521A8"/>
    <w:rsid w:val="00764B1E"/>
    <w:rsid w:val="0077117F"/>
    <w:rsid w:val="007759AF"/>
    <w:rsid w:val="00786C17"/>
    <w:rsid w:val="00794ED5"/>
    <w:rsid w:val="0079523F"/>
    <w:rsid w:val="007A1EE0"/>
    <w:rsid w:val="007C25D9"/>
    <w:rsid w:val="007D0DF3"/>
    <w:rsid w:val="007D1E22"/>
    <w:rsid w:val="007D3C4C"/>
    <w:rsid w:val="007E2748"/>
    <w:rsid w:val="007E4FBE"/>
    <w:rsid w:val="007E5182"/>
    <w:rsid w:val="0081136A"/>
    <w:rsid w:val="0082012D"/>
    <w:rsid w:val="00825375"/>
    <w:rsid w:val="00830FB1"/>
    <w:rsid w:val="00831A2A"/>
    <w:rsid w:val="0083529C"/>
    <w:rsid w:val="008437BB"/>
    <w:rsid w:val="00845F54"/>
    <w:rsid w:val="00852E1D"/>
    <w:rsid w:val="0086249C"/>
    <w:rsid w:val="008628B3"/>
    <w:rsid w:val="00866A62"/>
    <w:rsid w:val="00874FB2"/>
    <w:rsid w:val="00894B83"/>
    <w:rsid w:val="00896D71"/>
    <w:rsid w:val="008D7B33"/>
    <w:rsid w:val="008E4039"/>
    <w:rsid w:val="008E7D3D"/>
    <w:rsid w:val="00916AEC"/>
    <w:rsid w:val="00920FD1"/>
    <w:rsid w:val="009246E1"/>
    <w:rsid w:val="0093138B"/>
    <w:rsid w:val="00932C26"/>
    <w:rsid w:val="00937C7B"/>
    <w:rsid w:val="00955A58"/>
    <w:rsid w:val="009902E2"/>
    <w:rsid w:val="00996681"/>
    <w:rsid w:val="009A3E99"/>
    <w:rsid w:val="009B46F7"/>
    <w:rsid w:val="009B5D9B"/>
    <w:rsid w:val="009B6975"/>
    <w:rsid w:val="009B6E04"/>
    <w:rsid w:val="009C54F8"/>
    <w:rsid w:val="009D1EE0"/>
    <w:rsid w:val="009F3BEE"/>
    <w:rsid w:val="009F44FD"/>
    <w:rsid w:val="00A03E0A"/>
    <w:rsid w:val="00A33AC7"/>
    <w:rsid w:val="00A45069"/>
    <w:rsid w:val="00A4632C"/>
    <w:rsid w:val="00A64B65"/>
    <w:rsid w:val="00A65C8B"/>
    <w:rsid w:val="00A76487"/>
    <w:rsid w:val="00A8292A"/>
    <w:rsid w:val="00A96BE5"/>
    <w:rsid w:val="00AA2DCB"/>
    <w:rsid w:val="00AD7B24"/>
    <w:rsid w:val="00AE1DDF"/>
    <w:rsid w:val="00B20B13"/>
    <w:rsid w:val="00B27484"/>
    <w:rsid w:val="00B3003A"/>
    <w:rsid w:val="00B57EC8"/>
    <w:rsid w:val="00B620B9"/>
    <w:rsid w:val="00B81980"/>
    <w:rsid w:val="00B83129"/>
    <w:rsid w:val="00B83BC7"/>
    <w:rsid w:val="00B92178"/>
    <w:rsid w:val="00B97AFB"/>
    <w:rsid w:val="00BB767E"/>
    <w:rsid w:val="00BC5EBF"/>
    <w:rsid w:val="00BD7C8F"/>
    <w:rsid w:val="00BE446C"/>
    <w:rsid w:val="00BE4D8C"/>
    <w:rsid w:val="00BE6852"/>
    <w:rsid w:val="00BF14F5"/>
    <w:rsid w:val="00BF16D8"/>
    <w:rsid w:val="00BF24B3"/>
    <w:rsid w:val="00C01B82"/>
    <w:rsid w:val="00C05520"/>
    <w:rsid w:val="00C23BF3"/>
    <w:rsid w:val="00C27D8E"/>
    <w:rsid w:val="00C36931"/>
    <w:rsid w:val="00C50E35"/>
    <w:rsid w:val="00C51F12"/>
    <w:rsid w:val="00C623BE"/>
    <w:rsid w:val="00C85DD3"/>
    <w:rsid w:val="00C946E0"/>
    <w:rsid w:val="00CA32A5"/>
    <w:rsid w:val="00CB1B08"/>
    <w:rsid w:val="00CB34F3"/>
    <w:rsid w:val="00CB55C6"/>
    <w:rsid w:val="00CB7565"/>
    <w:rsid w:val="00CD30E5"/>
    <w:rsid w:val="00CE196B"/>
    <w:rsid w:val="00CE2A16"/>
    <w:rsid w:val="00D00410"/>
    <w:rsid w:val="00D07012"/>
    <w:rsid w:val="00D137BE"/>
    <w:rsid w:val="00D16505"/>
    <w:rsid w:val="00D16A75"/>
    <w:rsid w:val="00D2038E"/>
    <w:rsid w:val="00D36343"/>
    <w:rsid w:val="00D37C0F"/>
    <w:rsid w:val="00D42317"/>
    <w:rsid w:val="00D469B8"/>
    <w:rsid w:val="00D62041"/>
    <w:rsid w:val="00D6766E"/>
    <w:rsid w:val="00D95238"/>
    <w:rsid w:val="00DC4361"/>
    <w:rsid w:val="00DF6394"/>
    <w:rsid w:val="00E040B8"/>
    <w:rsid w:val="00E135CB"/>
    <w:rsid w:val="00E37C2D"/>
    <w:rsid w:val="00E41858"/>
    <w:rsid w:val="00E74829"/>
    <w:rsid w:val="00E81F75"/>
    <w:rsid w:val="00E828D0"/>
    <w:rsid w:val="00EB37AA"/>
    <w:rsid w:val="00ED38DC"/>
    <w:rsid w:val="00EE4DB1"/>
    <w:rsid w:val="00EF1C5C"/>
    <w:rsid w:val="00EF35B3"/>
    <w:rsid w:val="00F06ED9"/>
    <w:rsid w:val="00F13A00"/>
    <w:rsid w:val="00F32DE5"/>
    <w:rsid w:val="00F5438C"/>
    <w:rsid w:val="00F6217F"/>
    <w:rsid w:val="00F67585"/>
    <w:rsid w:val="00F85FFE"/>
    <w:rsid w:val="00FB7044"/>
    <w:rsid w:val="00FF43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AE93"/>
  <w15:chartTrackingRefBased/>
  <w15:docId w15:val="{D6804451-E694-451E-A5F6-8F724C505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E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Footnote,Char1,Char"/>
    <w:basedOn w:val="Normal"/>
    <w:link w:val="FootnoteTextChar"/>
    <w:uiPriority w:val="99"/>
    <w:unhideWhenUsed/>
    <w:qFormat/>
    <w:rsid w:val="00355E37"/>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Footnote Char,Char1 Char,Char Char"/>
    <w:basedOn w:val="DefaultParagraphFont"/>
    <w:link w:val="FootnoteText"/>
    <w:uiPriority w:val="99"/>
    <w:rsid w:val="00355E37"/>
    <w:rPr>
      <w:rFonts w:ascii="Times New Roman" w:eastAsia="Times New Roman" w:hAnsi="Times New Roman" w:cs="Times New Roman"/>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nhideWhenUsed/>
    <w:rsid w:val="00355E37"/>
    <w:rPr>
      <w:vertAlign w:val="superscript"/>
    </w:rPr>
  </w:style>
  <w:style w:type="character" w:styleId="Hyperlink">
    <w:name w:val="Hyperlink"/>
    <w:basedOn w:val="DefaultParagraphFont"/>
    <w:rsid w:val="00355E37"/>
    <w:rPr>
      <w:color w:val="0000FF"/>
      <w:u w:val="single"/>
    </w:rPr>
  </w:style>
  <w:style w:type="paragraph" w:styleId="Header">
    <w:name w:val="header"/>
    <w:basedOn w:val="Normal"/>
    <w:link w:val="HeaderChar"/>
    <w:uiPriority w:val="99"/>
    <w:unhideWhenUsed/>
    <w:rsid w:val="00355E37"/>
    <w:pPr>
      <w:tabs>
        <w:tab w:val="center" w:pos="4819"/>
        <w:tab w:val="right" w:pos="9638"/>
      </w:tabs>
    </w:pPr>
  </w:style>
  <w:style w:type="character" w:customStyle="1" w:styleId="HeaderChar">
    <w:name w:val="Header Char"/>
    <w:basedOn w:val="DefaultParagraphFont"/>
    <w:link w:val="Header"/>
    <w:uiPriority w:val="99"/>
    <w:rsid w:val="00355E37"/>
    <w:rPr>
      <w:rFonts w:ascii="Times New Roman" w:eastAsia="Times New Roman" w:hAnsi="Times New Roman" w:cs="Times New Roman"/>
      <w:sz w:val="24"/>
      <w:szCs w:val="20"/>
    </w:rPr>
  </w:style>
  <w:style w:type="paragraph" w:styleId="Footer">
    <w:name w:val="footer"/>
    <w:basedOn w:val="Normal"/>
    <w:link w:val="FooterChar"/>
    <w:unhideWhenUsed/>
    <w:rsid w:val="00355E37"/>
    <w:pPr>
      <w:tabs>
        <w:tab w:val="center" w:pos="4819"/>
        <w:tab w:val="right" w:pos="9638"/>
      </w:tabs>
    </w:pPr>
  </w:style>
  <w:style w:type="character" w:customStyle="1" w:styleId="FooterChar">
    <w:name w:val="Footer Char"/>
    <w:basedOn w:val="DefaultParagraphFont"/>
    <w:link w:val="Footer"/>
    <w:rsid w:val="00355E37"/>
    <w:rPr>
      <w:rFonts w:ascii="Times New Roman" w:eastAsia="Times New Roman" w:hAnsi="Times New Roman" w:cs="Times New Roman"/>
      <w:sz w:val="24"/>
      <w:szCs w:val="20"/>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355E37"/>
    <w:pPr>
      <w:ind w:left="720"/>
      <w:contextualSpacing/>
    </w:pPr>
  </w:style>
  <w:style w:type="paragraph" w:styleId="CommentText">
    <w:name w:val="annotation text"/>
    <w:aliases w:val=" Diagrama Diagrama Diagrama, Diagrama Diagrama"/>
    <w:basedOn w:val="Normal"/>
    <w:link w:val="CommentTextChar"/>
    <w:unhideWhenUsed/>
    <w:rsid w:val="00355E37"/>
    <w:rPr>
      <w:sz w:val="20"/>
    </w:rPr>
  </w:style>
  <w:style w:type="character" w:customStyle="1" w:styleId="CommentTextChar">
    <w:name w:val="Comment Text Char"/>
    <w:aliases w:val=" Diagrama Diagrama Diagrama Char, Diagrama Diagrama Char"/>
    <w:basedOn w:val="DefaultParagraphFont"/>
    <w:link w:val="CommentText"/>
    <w:rsid w:val="00355E37"/>
    <w:rPr>
      <w:rFonts w:ascii="Times New Roman" w:eastAsia="Times New Roman" w:hAnsi="Times New Roman" w:cs="Times New Roman"/>
      <w:sz w:val="20"/>
      <w:szCs w:val="20"/>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link w:val="ListParagraph"/>
    <w:uiPriority w:val="34"/>
    <w:qFormat/>
    <w:locked/>
    <w:rsid w:val="00355E37"/>
    <w:rPr>
      <w:rFonts w:ascii="Times New Roman" w:eastAsia="Times New Roman" w:hAnsi="Times New Roman" w:cs="Times New Roman"/>
      <w:sz w:val="24"/>
      <w:szCs w:val="20"/>
    </w:rPr>
  </w:style>
  <w:style w:type="paragraph" w:customStyle="1" w:styleId="Default">
    <w:name w:val="Default"/>
    <w:rsid w:val="00355E3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355E37"/>
    <w:rPr>
      <w:sz w:val="16"/>
      <w:szCs w:val="16"/>
    </w:rPr>
  </w:style>
  <w:style w:type="character" w:customStyle="1" w:styleId="bkg-highlight-red">
    <w:name w:val="bkg-highlight-red"/>
    <w:basedOn w:val="DefaultParagraphFont"/>
    <w:rsid w:val="00355E37"/>
  </w:style>
  <w:style w:type="character" w:customStyle="1" w:styleId="wysiwyg-font-size-medium">
    <w:name w:val="wysiwyg-font-size-medium"/>
    <w:basedOn w:val="DefaultParagraphFont"/>
    <w:rsid w:val="00355E37"/>
  </w:style>
  <w:style w:type="paragraph" w:styleId="CommentSubject">
    <w:name w:val="annotation subject"/>
    <w:basedOn w:val="CommentText"/>
    <w:next w:val="CommentText"/>
    <w:link w:val="CommentSubjectChar"/>
    <w:uiPriority w:val="99"/>
    <w:semiHidden/>
    <w:unhideWhenUsed/>
    <w:rsid w:val="007C25D9"/>
    <w:rPr>
      <w:b/>
      <w:bCs/>
    </w:rPr>
  </w:style>
  <w:style w:type="character" w:customStyle="1" w:styleId="CommentSubjectChar">
    <w:name w:val="Comment Subject Char"/>
    <w:basedOn w:val="CommentTextChar"/>
    <w:link w:val="CommentSubject"/>
    <w:uiPriority w:val="99"/>
    <w:semiHidden/>
    <w:rsid w:val="007C25D9"/>
    <w:rPr>
      <w:rFonts w:ascii="Times New Roman" w:eastAsia="Times New Roman" w:hAnsi="Times New Roman" w:cs="Times New Roman"/>
      <w:b/>
      <w:bCs/>
      <w:sz w:val="20"/>
      <w:szCs w:val="20"/>
    </w:rPr>
  </w:style>
  <w:style w:type="paragraph" w:styleId="Revision">
    <w:name w:val="Revision"/>
    <w:hidden/>
    <w:uiPriority w:val="99"/>
    <w:semiHidden/>
    <w:rsid w:val="00CB34F3"/>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Klingiene@vp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uitine@lrmuitine.lt" TargetMode="External"/><Relationship Id="rId4" Type="http://schemas.openxmlformats.org/officeDocument/2006/relationships/settings" Target="settings.xml"/><Relationship Id="rId9" Type="http://schemas.openxmlformats.org/officeDocument/2006/relationships/hyperlink" Target="mailto:muitine@lrmuitin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8BE6-D272-49CB-A191-523B435C8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5</Pages>
  <Words>8217</Words>
  <Characters>4684</Characters>
  <Application>Microsoft Office Word</Application>
  <DocSecurity>0</DocSecurity>
  <Lines>39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Klingienė</dc:creator>
  <cp:keywords/>
  <dc:description/>
  <cp:lastModifiedBy>Lina Klingienė</cp:lastModifiedBy>
  <cp:revision>106</cp:revision>
  <dcterms:created xsi:type="dcterms:W3CDTF">2023-02-02T05:42:00Z</dcterms:created>
  <dcterms:modified xsi:type="dcterms:W3CDTF">2023-02-10T07:01:00Z</dcterms:modified>
</cp:coreProperties>
</file>