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MON_1051956295"/>
    <w:bookmarkEnd w:id="0"/>
    <w:bookmarkStart w:id="1" w:name="_MON_1301915618"/>
    <w:bookmarkEnd w:id="1"/>
    <w:p w14:paraId="46BDE31D" w14:textId="77777777" w:rsidR="00907C82" w:rsidRPr="00705606" w:rsidRDefault="00364784" w:rsidP="00E44ECF">
      <w:pPr>
        <w:jc w:val="center"/>
        <w:rPr>
          <w:sz w:val="24"/>
          <w:szCs w:val="24"/>
        </w:rPr>
      </w:pPr>
      <w:r w:rsidRPr="00705606">
        <w:rPr>
          <w:sz w:val="24"/>
          <w:szCs w:val="24"/>
        </w:rPr>
        <w:object w:dxaOrig="871" w:dyaOrig="886" w14:anchorId="06710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48pt" o:ole="" fillcolor="window">
            <v:imagedata r:id="rId8" o:title=""/>
          </v:shape>
          <o:OLEObject Type="Embed" ProgID="Word.Picture.8" ShapeID="_x0000_i1025" DrawAspect="Content" ObjectID="_1621943360" r:id="rId9"/>
        </w:object>
      </w:r>
    </w:p>
    <w:p w14:paraId="7DBEAEFE" w14:textId="77777777" w:rsidR="00CD0D68" w:rsidRPr="00705606" w:rsidRDefault="00CD0D68" w:rsidP="00E44ECF">
      <w:pPr>
        <w:jc w:val="center"/>
        <w:rPr>
          <w:sz w:val="24"/>
          <w:szCs w:val="24"/>
        </w:rPr>
      </w:pPr>
    </w:p>
    <w:p w14:paraId="174C2FDA" w14:textId="77777777" w:rsidR="00351E8D" w:rsidRPr="00705606" w:rsidRDefault="00351E8D" w:rsidP="00E44ECF">
      <w:pPr>
        <w:pStyle w:val="Heading1"/>
        <w:tabs>
          <w:tab w:val="left" w:pos="900"/>
        </w:tabs>
        <w:jc w:val="center"/>
        <w:rPr>
          <w:sz w:val="24"/>
          <w:szCs w:val="24"/>
        </w:rPr>
      </w:pPr>
      <w:r w:rsidRPr="00705606">
        <w:rPr>
          <w:sz w:val="24"/>
          <w:szCs w:val="24"/>
        </w:rPr>
        <w:t>VIEŠŲJŲ PIRKIMŲ TARNYBA</w:t>
      </w:r>
    </w:p>
    <w:p w14:paraId="3D040D6E" w14:textId="77777777" w:rsidR="000D1ADB" w:rsidRPr="00705606" w:rsidRDefault="000D1ADB" w:rsidP="00E44ECF">
      <w:pPr>
        <w:tabs>
          <w:tab w:val="left" w:pos="900"/>
        </w:tabs>
        <w:rPr>
          <w:bCs/>
          <w:sz w:val="24"/>
          <w:szCs w:val="24"/>
        </w:rPr>
      </w:pPr>
    </w:p>
    <w:tbl>
      <w:tblPr>
        <w:tblW w:w="13892" w:type="dxa"/>
        <w:tblLayout w:type="fixed"/>
        <w:tblLook w:val="0000" w:firstRow="0" w:lastRow="0" w:firstColumn="0" w:lastColumn="0" w:noHBand="0" w:noVBand="0"/>
      </w:tblPr>
      <w:tblGrid>
        <w:gridCol w:w="5240"/>
        <w:gridCol w:w="1560"/>
        <w:gridCol w:w="1138"/>
        <w:gridCol w:w="1560"/>
        <w:gridCol w:w="1560"/>
        <w:gridCol w:w="567"/>
        <w:gridCol w:w="2267"/>
      </w:tblGrid>
      <w:tr w:rsidR="00C05833" w:rsidRPr="00705606" w14:paraId="781AE0BF" w14:textId="77777777" w:rsidTr="00244C32">
        <w:trPr>
          <w:cantSplit/>
        </w:trPr>
        <w:tc>
          <w:tcPr>
            <w:tcW w:w="5240" w:type="dxa"/>
          </w:tcPr>
          <w:p w14:paraId="24323F82" w14:textId="77777777" w:rsidR="001B30EB" w:rsidRDefault="00C05833" w:rsidP="00C05833">
            <w:pPr>
              <w:rPr>
                <w:sz w:val="24"/>
                <w:szCs w:val="24"/>
              </w:rPr>
            </w:pPr>
            <w:r w:rsidRPr="00705606">
              <w:rPr>
                <w:sz w:val="24"/>
                <w:szCs w:val="24"/>
              </w:rPr>
              <w:t xml:space="preserve">VšĮ Lietuvos sveikatos mokslų </w:t>
            </w:r>
          </w:p>
          <w:p w14:paraId="03C32D12" w14:textId="1A1ED08D" w:rsidR="00C05833" w:rsidRPr="00705606" w:rsidRDefault="00C05833" w:rsidP="00C05833">
            <w:pPr>
              <w:rPr>
                <w:sz w:val="24"/>
                <w:szCs w:val="24"/>
              </w:rPr>
            </w:pPr>
            <w:r w:rsidRPr="00705606">
              <w:rPr>
                <w:sz w:val="24"/>
                <w:szCs w:val="24"/>
              </w:rPr>
              <w:t>universiteto ligonin</w:t>
            </w:r>
            <w:r w:rsidR="001B30EB">
              <w:rPr>
                <w:sz w:val="24"/>
                <w:szCs w:val="24"/>
              </w:rPr>
              <w:t xml:space="preserve">ės </w:t>
            </w:r>
            <w:r w:rsidRPr="00705606">
              <w:rPr>
                <w:sz w:val="24"/>
                <w:szCs w:val="24"/>
              </w:rPr>
              <w:t>Kauno klinikoms</w:t>
            </w:r>
          </w:p>
          <w:p w14:paraId="71A4B592" w14:textId="77777777" w:rsidR="00C05833" w:rsidRPr="00705606" w:rsidRDefault="00C05833" w:rsidP="00C05833">
            <w:pPr>
              <w:rPr>
                <w:sz w:val="24"/>
                <w:szCs w:val="24"/>
              </w:rPr>
            </w:pPr>
            <w:r w:rsidRPr="00705606">
              <w:rPr>
                <w:sz w:val="24"/>
                <w:szCs w:val="24"/>
              </w:rPr>
              <w:t>Eivenių g. g. 2</w:t>
            </w:r>
          </w:p>
          <w:p w14:paraId="56D69E6B" w14:textId="77777777" w:rsidR="00C05833" w:rsidRPr="00705606" w:rsidRDefault="00C05833" w:rsidP="00C05833">
            <w:pPr>
              <w:rPr>
                <w:sz w:val="24"/>
                <w:szCs w:val="24"/>
              </w:rPr>
            </w:pPr>
            <w:r w:rsidRPr="00705606">
              <w:rPr>
                <w:sz w:val="24"/>
                <w:szCs w:val="24"/>
              </w:rPr>
              <w:t>50161 Kaunas</w:t>
            </w:r>
          </w:p>
          <w:p w14:paraId="02885CCC" w14:textId="77777777" w:rsidR="00C05833" w:rsidRPr="00705606" w:rsidRDefault="00C05833" w:rsidP="00C05833">
            <w:pPr>
              <w:rPr>
                <w:sz w:val="24"/>
                <w:szCs w:val="24"/>
              </w:rPr>
            </w:pPr>
          </w:p>
          <w:p w14:paraId="3004DC79" w14:textId="1C7D7913" w:rsidR="00C05833" w:rsidRPr="00705606" w:rsidRDefault="00C05833" w:rsidP="00244C32">
            <w:pPr>
              <w:pStyle w:val="pad-left"/>
              <w:spacing w:before="0" w:beforeAutospacing="0" w:after="0" w:afterAutospacing="0"/>
            </w:pPr>
            <w:r w:rsidRPr="00705606">
              <w:t xml:space="preserve">El. p.: </w:t>
            </w:r>
            <w:hyperlink r:id="rId10" w:history="1">
              <w:r w:rsidRPr="00705606">
                <w:rPr>
                  <w:rStyle w:val="Hyperlink"/>
                  <w:color w:val="auto"/>
                  <w:u w:val="none"/>
                </w:rPr>
                <w:t>rastine@kaunoklinikos.lt</w:t>
              </w:r>
            </w:hyperlink>
          </w:p>
        </w:tc>
        <w:tc>
          <w:tcPr>
            <w:tcW w:w="1560" w:type="dxa"/>
          </w:tcPr>
          <w:p w14:paraId="458AE480" w14:textId="77777777" w:rsidR="00C05833" w:rsidRPr="00705606" w:rsidRDefault="00C05833" w:rsidP="00C05833">
            <w:pPr>
              <w:rPr>
                <w:sz w:val="24"/>
                <w:szCs w:val="24"/>
              </w:rPr>
            </w:pPr>
            <w:r w:rsidRPr="00705606">
              <w:rPr>
                <w:sz w:val="24"/>
                <w:szCs w:val="24"/>
              </w:rPr>
              <w:t xml:space="preserve">  2019-06-</w:t>
            </w:r>
          </w:p>
          <w:p w14:paraId="7C6CD478" w14:textId="77777777" w:rsidR="00C05833" w:rsidRPr="00705606" w:rsidRDefault="00C05833" w:rsidP="00C05833">
            <w:pPr>
              <w:rPr>
                <w:sz w:val="24"/>
                <w:szCs w:val="24"/>
              </w:rPr>
            </w:pPr>
            <w:r w:rsidRPr="00705606">
              <w:rPr>
                <w:sz w:val="24"/>
                <w:szCs w:val="24"/>
              </w:rPr>
              <w:t>Į 2019-05-24</w:t>
            </w:r>
          </w:p>
          <w:p w14:paraId="761FF4DB" w14:textId="77777777" w:rsidR="00C05833" w:rsidRPr="00705606" w:rsidRDefault="00C05833" w:rsidP="00C05833">
            <w:pPr>
              <w:rPr>
                <w:sz w:val="24"/>
                <w:szCs w:val="24"/>
              </w:rPr>
            </w:pPr>
            <w:r w:rsidRPr="00705606">
              <w:rPr>
                <w:sz w:val="24"/>
                <w:szCs w:val="24"/>
              </w:rPr>
              <w:t xml:space="preserve">  2019-05-29</w:t>
            </w:r>
          </w:p>
          <w:p w14:paraId="430159BD" w14:textId="77777777" w:rsidR="00C05833" w:rsidRPr="00705606" w:rsidRDefault="00C05833" w:rsidP="00C05833">
            <w:pPr>
              <w:rPr>
                <w:sz w:val="24"/>
                <w:szCs w:val="24"/>
              </w:rPr>
            </w:pPr>
            <w:r w:rsidRPr="00705606">
              <w:rPr>
                <w:sz w:val="24"/>
                <w:szCs w:val="24"/>
              </w:rPr>
              <w:t xml:space="preserve">  </w:t>
            </w:r>
          </w:p>
          <w:p w14:paraId="25DC7BF5" w14:textId="77777777" w:rsidR="00C05833" w:rsidRPr="00705606" w:rsidRDefault="00C05833" w:rsidP="00C05833">
            <w:pPr>
              <w:rPr>
                <w:sz w:val="24"/>
                <w:szCs w:val="24"/>
              </w:rPr>
            </w:pPr>
          </w:p>
          <w:p w14:paraId="168C26BF" w14:textId="77777777" w:rsidR="00C05833" w:rsidRPr="00705606" w:rsidRDefault="00C05833" w:rsidP="00C05833">
            <w:pPr>
              <w:rPr>
                <w:sz w:val="24"/>
                <w:szCs w:val="24"/>
              </w:rPr>
            </w:pPr>
          </w:p>
          <w:p w14:paraId="19B71E78" w14:textId="77777777" w:rsidR="00C05833" w:rsidRPr="00705606" w:rsidRDefault="00C05833" w:rsidP="00C05833">
            <w:pPr>
              <w:rPr>
                <w:sz w:val="24"/>
                <w:szCs w:val="24"/>
              </w:rPr>
            </w:pPr>
          </w:p>
        </w:tc>
        <w:tc>
          <w:tcPr>
            <w:tcW w:w="1138" w:type="dxa"/>
          </w:tcPr>
          <w:p w14:paraId="72039142" w14:textId="440C8708" w:rsidR="008A1834" w:rsidRPr="00705606" w:rsidRDefault="00244C32" w:rsidP="00244C32">
            <w:pPr>
              <w:ind w:right="524"/>
              <w:jc w:val="center"/>
              <w:rPr>
                <w:sz w:val="24"/>
                <w:szCs w:val="24"/>
              </w:rPr>
            </w:pPr>
            <w:r>
              <w:rPr>
                <w:sz w:val="24"/>
                <w:szCs w:val="24"/>
              </w:rPr>
              <w:t xml:space="preserve"> </w:t>
            </w:r>
            <w:r w:rsidR="00C05833" w:rsidRPr="00705606">
              <w:rPr>
                <w:sz w:val="24"/>
                <w:szCs w:val="24"/>
              </w:rPr>
              <w:t>Nr.</w:t>
            </w:r>
          </w:p>
          <w:p w14:paraId="46F646E4" w14:textId="78B27A1D" w:rsidR="00C05833" w:rsidRPr="00705606" w:rsidRDefault="00C05833" w:rsidP="008A1834">
            <w:pPr>
              <w:tabs>
                <w:tab w:val="left" w:pos="900"/>
              </w:tabs>
              <w:ind w:right="459"/>
              <w:jc w:val="center"/>
              <w:rPr>
                <w:sz w:val="24"/>
                <w:szCs w:val="24"/>
              </w:rPr>
            </w:pPr>
            <w:r w:rsidRPr="00705606">
              <w:rPr>
                <w:sz w:val="24"/>
                <w:szCs w:val="24"/>
              </w:rPr>
              <w:t>Nr.</w:t>
            </w:r>
          </w:p>
          <w:p w14:paraId="710A816D" w14:textId="77777777" w:rsidR="00C05833" w:rsidRPr="00705606" w:rsidRDefault="00C05833" w:rsidP="008A1834">
            <w:pPr>
              <w:tabs>
                <w:tab w:val="left" w:pos="900"/>
              </w:tabs>
              <w:ind w:right="459"/>
              <w:jc w:val="center"/>
              <w:rPr>
                <w:sz w:val="24"/>
                <w:szCs w:val="24"/>
              </w:rPr>
            </w:pPr>
            <w:r w:rsidRPr="00705606">
              <w:rPr>
                <w:sz w:val="24"/>
                <w:szCs w:val="24"/>
              </w:rPr>
              <w:t>Nr.</w:t>
            </w:r>
          </w:p>
          <w:p w14:paraId="3B142251" w14:textId="77777777" w:rsidR="00C05833" w:rsidRPr="00705606" w:rsidRDefault="00C05833" w:rsidP="00C05833">
            <w:pPr>
              <w:tabs>
                <w:tab w:val="left" w:pos="900"/>
              </w:tabs>
              <w:jc w:val="center"/>
              <w:rPr>
                <w:sz w:val="24"/>
                <w:szCs w:val="24"/>
              </w:rPr>
            </w:pPr>
          </w:p>
        </w:tc>
        <w:tc>
          <w:tcPr>
            <w:tcW w:w="1560" w:type="dxa"/>
          </w:tcPr>
          <w:p w14:paraId="0E7550AD" w14:textId="77777777" w:rsidR="00C05833" w:rsidRPr="00705606" w:rsidRDefault="00C05833" w:rsidP="00244C32">
            <w:pPr>
              <w:ind w:left="-392" w:firstLine="392"/>
              <w:rPr>
                <w:sz w:val="24"/>
                <w:szCs w:val="24"/>
              </w:rPr>
            </w:pPr>
            <w:r w:rsidRPr="00705606">
              <w:rPr>
                <w:sz w:val="24"/>
                <w:szCs w:val="24"/>
              </w:rPr>
              <w:t>4S-</w:t>
            </w:r>
          </w:p>
          <w:p w14:paraId="45A4A8C1" w14:textId="77777777" w:rsidR="00C05833" w:rsidRPr="00705606" w:rsidRDefault="00C05833" w:rsidP="00244C32">
            <w:pPr>
              <w:ind w:left="-392" w:firstLine="392"/>
              <w:rPr>
                <w:sz w:val="24"/>
                <w:szCs w:val="24"/>
              </w:rPr>
            </w:pPr>
            <w:r w:rsidRPr="00705606">
              <w:rPr>
                <w:sz w:val="24"/>
                <w:szCs w:val="24"/>
              </w:rPr>
              <w:t>3-(1.19)-4616</w:t>
            </w:r>
          </w:p>
          <w:p w14:paraId="58EADEE3" w14:textId="77777777" w:rsidR="00C05833" w:rsidRPr="00705606" w:rsidRDefault="00C05833" w:rsidP="00244C32">
            <w:pPr>
              <w:ind w:left="-392" w:firstLine="392"/>
              <w:rPr>
                <w:sz w:val="24"/>
                <w:szCs w:val="24"/>
              </w:rPr>
            </w:pPr>
            <w:r w:rsidRPr="00705606">
              <w:rPr>
                <w:sz w:val="24"/>
                <w:szCs w:val="24"/>
              </w:rPr>
              <w:t>3-</w:t>
            </w:r>
            <w:r w:rsidR="006260DF" w:rsidRPr="00705606">
              <w:rPr>
                <w:sz w:val="24"/>
                <w:szCs w:val="24"/>
              </w:rPr>
              <w:t>(</w:t>
            </w:r>
            <w:r w:rsidRPr="00705606">
              <w:rPr>
                <w:sz w:val="24"/>
                <w:szCs w:val="24"/>
              </w:rPr>
              <w:t>1.19)-4727</w:t>
            </w:r>
          </w:p>
          <w:p w14:paraId="45757E16" w14:textId="77777777" w:rsidR="00C05833" w:rsidRPr="00705606" w:rsidRDefault="00C05833" w:rsidP="00244C32">
            <w:pPr>
              <w:ind w:left="-392" w:firstLine="392"/>
              <w:rPr>
                <w:sz w:val="24"/>
                <w:szCs w:val="24"/>
              </w:rPr>
            </w:pPr>
          </w:p>
        </w:tc>
        <w:tc>
          <w:tcPr>
            <w:tcW w:w="1560" w:type="dxa"/>
          </w:tcPr>
          <w:p w14:paraId="4772E0BE" w14:textId="77777777" w:rsidR="00C05833" w:rsidRPr="00705606" w:rsidRDefault="00C05833" w:rsidP="00C05833">
            <w:pPr>
              <w:rPr>
                <w:sz w:val="24"/>
                <w:szCs w:val="24"/>
              </w:rPr>
            </w:pPr>
          </w:p>
        </w:tc>
        <w:tc>
          <w:tcPr>
            <w:tcW w:w="567" w:type="dxa"/>
          </w:tcPr>
          <w:p w14:paraId="1D24AF32" w14:textId="77777777" w:rsidR="00C05833" w:rsidRPr="00705606" w:rsidRDefault="00C05833" w:rsidP="00C05833">
            <w:pPr>
              <w:ind w:left="-108" w:right="-108"/>
              <w:rPr>
                <w:sz w:val="24"/>
                <w:szCs w:val="24"/>
              </w:rPr>
            </w:pPr>
          </w:p>
        </w:tc>
        <w:tc>
          <w:tcPr>
            <w:tcW w:w="2267" w:type="dxa"/>
          </w:tcPr>
          <w:p w14:paraId="2361C04C" w14:textId="77777777" w:rsidR="00C05833" w:rsidRPr="00705606" w:rsidRDefault="00C05833" w:rsidP="00C05833">
            <w:pPr>
              <w:rPr>
                <w:sz w:val="24"/>
                <w:szCs w:val="24"/>
              </w:rPr>
            </w:pPr>
          </w:p>
        </w:tc>
      </w:tr>
      <w:tr w:rsidR="00C05833" w:rsidRPr="00705606" w14:paraId="5C32D412" w14:textId="77777777" w:rsidTr="00244C32">
        <w:trPr>
          <w:cantSplit/>
          <w:trHeight w:val="68"/>
        </w:trPr>
        <w:tc>
          <w:tcPr>
            <w:tcW w:w="5240" w:type="dxa"/>
          </w:tcPr>
          <w:p w14:paraId="3A2D07FB" w14:textId="3C52288D" w:rsidR="000D1ADB" w:rsidRPr="00705606" w:rsidRDefault="000D1ADB" w:rsidP="00C05833">
            <w:pPr>
              <w:rPr>
                <w:sz w:val="24"/>
                <w:szCs w:val="24"/>
              </w:rPr>
            </w:pPr>
          </w:p>
        </w:tc>
        <w:tc>
          <w:tcPr>
            <w:tcW w:w="1560" w:type="dxa"/>
          </w:tcPr>
          <w:p w14:paraId="6C98071E" w14:textId="77777777" w:rsidR="00C05833" w:rsidRPr="00705606" w:rsidRDefault="00C05833" w:rsidP="00C05833">
            <w:pPr>
              <w:rPr>
                <w:sz w:val="24"/>
                <w:szCs w:val="24"/>
              </w:rPr>
            </w:pPr>
          </w:p>
        </w:tc>
        <w:tc>
          <w:tcPr>
            <w:tcW w:w="1138" w:type="dxa"/>
          </w:tcPr>
          <w:p w14:paraId="1F55E90F" w14:textId="77777777" w:rsidR="00C05833" w:rsidRPr="00705606" w:rsidRDefault="00C05833" w:rsidP="00C05833">
            <w:pPr>
              <w:rPr>
                <w:sz w:val="24"/>
                <w:szCs w:val="24"/>
              </w:rPr>
            </w:pPr>
          </w:p>
        </w:tc>
        <w:tc>
          <w:tcPr>
            <w:tcW w:w="1560" w:type="dxa"/>
          </w:tcPr>
          <w:p w14:paraId="3DDAB24D" w14:textId="77777777" w:rsidR="00C05833" w:rsidRPr="00705606" w:rsidRDefault="00C05833" w:rsidP="00244C32">
            <w:pPr>
              <w:ind w:left="-392" w:firstLine="392"/>
              <w:rPr>
                <w:sz w:val="24"/>
                <w:szCs w:val="24"/>
              </w:rPr>
            </w:pPr>
          </w:p>
        </w:tc>
        <w:tc>
          <w:tcPr>
            <w:tcW w:w="1560" w:type="dxa"/>
          </w:tcPr>
          <w:p w14:paraId="09F70340" w14:textId="77777777" w:rsidR="00C05833" w:rsidRPr="00705606" w:rsidRDefault="00C05833" w:rsidP="00C05833">
            <w:pPr>
              <w:rPr>
                <w:sz w:val="24"/>
                <w:szCs w:val="24"/>
              </w:rPr>
            </w:pPr>
          </w:p>
        </w:tc>
        <w:tc>
          <w:tcPr>
            <w:tcW w:w="567" w:type="dxa"/>
          </w:tcPr>
          <w:p w14:paraId="64446878" w14:textId="77777777" w:rsidR="00C05833" w:rsidRPr="00705606" w:rsidRDefault="00C05833" w:rsidP="00C05833">
            <w:pPr>
              <w:ind w:left="-108" w:right="-108"/>
              <w:rPr>
                <w:sz w:val="24"/>
                <w:szCs w:val="24"/>
              </w:rPr>
            </w:pPr>
          </w:p>
        </w:tc>
        <w:tc>
          <w:tcPr>
            <w:tcW w:w="2267" w:type="dxa"/>
          </w:tcPr>
          <w:p w14:paraId="2F68A29B" w14:textId="77777777" w:rsidR="00C05833" w:rsidRPr="00705606" w:rsidRDefault="00C05833" w:rsidP="00C05833">
            <w:pPr>
              <w:rPr>
                <w:sz w:val="24"/>
                <w:szCs w:val="24"/>
              </w:rPr>
            </w:pPr>
          </w:p>
        </w:tc>
      </w:tr>
      <w:tr w:rsidR="00C05833" w:rsidRPr="00705606" w14:paraId="6861351C" w14:textId="77777777" w:rsidTr="00244C32">
        <w:trPr>
          <w:cantSplit/>
        </w:trPr>
        <w:tc>
          <w:tcPr>
            <w:tcW w:w="5240" w:type="dxa"/>
          </w:tcPr>
          <w:p w14:paraId="24FEA67C" w14:textId="77777777" w:rsidR="00C05833" w:rsidRPr="00705606" w:rsidRDefault="00C05833" w:rsidP="00C05833">
            <w:pPr>
              <w:rPr>
                <w:sz w:val="24"/>
                <w:szCs w:val="24"/>
              </w:rPr>
            </w:pPr>
          </w:p>
        </w:tc>
        <w:tc>
          <w:tcPr>
            <w:tcW w:w="1560" w:type="dxa"/>
          </w:tcPr>
          <w:p w14:paraId="5845A4C2" w14:textId="77777777" w:rsidR="00C05833" w:rsidRPr="00705606" w:rsidRDefault="00C05833" w:rsidP="00C05833">
            <w:pPr>
              <w:rPr>
                <w:sz w:val="24"/>
                <w:szCs w:val="24"/>
              </w:rPr>
            </w:pPr>
          </w:p>
        </w:tc>
        <w:tc>
          <w:tcPr>
            <w:tcW w:w="1138" w:type="dxa"/>
          </w:tcPr>
          <w:p w14:paraId="02CE8BC9" w14:textId="77777777" w:rsidR="00C05833" w:rsidRPr="00705606" w:rsidRDefault="00C05833" w:rsidP="00C05833">
            <w:pPr>
              <w:rPr>
                <w:sz w:val="24"/>
                <w:szCs w:val="24"/>
              </w:rPr>
            </w:pPr>
          </w:p>
        </w:tc>
        <w:tc>
          <w:tcPr>
            <w:tcW w:w="1560" w:type="dxa"/>
          </w:tcPr>
          <w:p w14:paraId="48D54150" w14:textId="77777777" w:rsidR="00C05833" w:rsidRPr="00705606" w:rsidRDefault="00C05833" w:rsidP="00244C32">
            <w:pPr>
              <w:ind w:left="-392" w:firstLine="392"/>
              <w:rPr>
                <w:sz w:val="24"/>
                <w:szCs w:val="24"/>
              </w:rPr>
            </w:pPr>
          </w:p>
        </w:tc>
        <w:tc>
          <w:tcPr>
            <w:tcW w:w="1560" w:type="dxa"/>
          </w:tcPr>
          <w:p w14:paraId="383762BF" w14:textId="77777777" w:rsidR="00C05833" w:rsidRPr="00705606" w:rsidRDefault="00C05833" w:rsidP="00C05833">
            <w:pPr>
              <w:rPr>
                <w:sz w:val="24"/>
                <w:szCs w:val="24"/>
              </w:rPr>
            </w:pPr>
          </w:p>
        </w:tc>
        <w:tc>
          <w:tcPr>
            <w:tcW w:w="567" w:type="dxa"/>
          </w:tcPr>
          <w:p w14:paraId="3FD40B35" w14:textId="77777777" w:rsidR="00C05833" w:rsidRPr="00705606" w:rsidRDefault="00C05833" w:rsidP="00C05833">
            <w:pPr>
              <w:ind w:left="-108" w:right="-108"/>
              <w:rPr>
                <w:sz w:val="24"/>
                <w:szCs w:val="24"/>
              </w:rPr>
            </w:pPr>
          </w:p>
        </w:tc>
        <w:tc>
          <w:tcPr>
            <w:tcW w:w="2267" w:type="dxa"/>
          </w:tcPr>
          <w:p w14:paraId="44BED794" w14:textId="77777777" w:rsidR="00C05833" w:rsidRPr="00705606" w:rsidRDefault="00C05833" w:rsidP="00C05833">
            <w:pPr>
              <w:rPr>
                <w:sz w:val="24"/>
                <w:szCs w:val="24"/>
              </w:rPr>
            </w:pPr>
          </w:p>
        </w:tc>
      </w:tr>
    </w:tbl>
    <w:p w14:paraId="3F3A5291" w14:textId="637A6359" w:rsidR="0088148E" w:rsidRPr="00705606" w:rsidRDefault="0088148E" w:rsidP="00244C32">
      <w:pPr>
        <w:jc w:val="center"/>
        <w:rPr>
          <w:rFonts w:eastAsia="Calibri"/>
          <w:b/>
          <w:bCs/>
          <w:sz w:val="24"/>
          <w:szCs w:val="24"/>
        </w:rPr>
      </w:pPr>
      <w:r w:rsidRPr="00705606">
        <w:rPr>
          <w:rFonts w:eastAsia="Calibri"/>
          <w:b/>
          <w:bCs/>
          <w:sz w:val="24"/>
          <w:szCs w:val="24"/>
        </w:rPr>
        <w:t>VERTINIMO IŠVADA</w:t>
      </w:r>
    </w:p>
    <w:p w14:paraId="0E17C64B" w14:textId="411ED488" w:rsidR="000D1ADB" w:rsidRPr="00705606" w:rsidRDefault="000D1ADB" w:rsidP="00E44ECF">
      <w:pPr>
        <w:rPr>
          <w:rFonts w:eastAsia="Calibri"/>
          <w:sz w:val="24"/>
          <w:szCs w:val="24"/>
        </w:rPr>
      </w:pPr>
    </w:p>
    <w:p w14:paraId="7A9DB861" w14:textId="530B145C" w:rsidR="0088148E" w:rsidRPr="00705606" w:rsidRDefault="0088148E" w:rsidP="00E44ECF">
      <w:pPr>
        <w:ind w:firstLine="709"/>
        <w:jc w:val="both"/>
        <w:rPr>
          <w:rFonts w:eastAsia="Calibri"/>
          <w:sz w:val="24"/>
          <w:szCs w:val="24"/>
        </w:rPr>
      </w:pPr>
      <w:r w:rsidRPr="00705606">
        <w:rPr>
          <w:rFonts w:eastAsia="Calibri"/>
          <w:bCs/>
          <w:sz w:val="24"/>
          <w:szCs w:val="24"/>
        </w:rPr>
        <w:t xml:space="preserve">Viešųjų pirkimų tarnyba (toliau – Tarnyba), vadovaudamasi Lietuvos Respublikos viešųjų pirkimų įstatymo 95 straipsnio 1 dalies 2 punktu, </w:t>
      </w:r>
      <w:r w:rsidR="004D570E" w:rsidRPr="00705606">
        <w:rPr>
          <w:rFonts w:eastAsia="Calibri"/>
          <w:bCs/>
          <w:sz w:val="24"/>
          <w:szCs w:val="24"/>
        </w:rPr>
        <w:t xml:space="preserve">atliko 2014-07-10 sutarties Nr. SUT-14-1502 </w:t>
      </w:r>
      <w:r w:rsidR="00705606">
        <w:rPr>
          <w:rFonts w:eastAsia="Calibri"/>
          <w:bCs/>
          <w:sz w:val="24"/>
          <w:szCs w:val="24"/>
        </w:rPr>
        <w:t>„D</w:t>
      </w:r>
      <w:r w:rsidR="004D570E" w:rsidRPr="00705606">
        <w:rPr>
          <w:rFonts w:eastAsia="Calibri"/>
          <w:bCs/>
          <w:sz w:val="24"/>
          <w:szCs w:val="24"/>
        </w:rPr>
        <w:t>ėl Lietuvos sveikatos mokslų universiteto ligoninės Kauno klinikų traumų ir skubios pagalbos centro papildomų statybos darbų pirkimo</w:t>
      </w:r>
      <w:r w:rsidR="00705606">
        <w:rPr>
          <w:rFonts w:eastAsia="Calibri"/>
          <w:bCs/>
          <w:sz w:val="24"/>
          <w:szCs w:val="24"/>
        </w:rPr>
        <w:t>“</w:t>
      </w:r>
      <w:r w:rsidR="004D570E" w:rsidRPr="00705606">
        <w:rPr>
          <w:rFonts w:eastAsia="Calibri"/>
          <w:bCs/>
          <w:sz w:val="24"/>
          <w:szCs w:val="24"/>
        </w:rPr>
        <w:t xml:space="preserve">, sudarytos tarp </w:t>
      </w:r>
      <w:r w:rsidR="004D570E" w:rsidRPr="00705606">
        <w:rPr>
          <w:sz w:val="24"/>
          <w:szCs w:val="24"/>
        </w:rPr>
        <w:t>VšĮ Lietuvos sveikatos mokslų universiteto ligoninės Kauno klinikų</w:t>
      </w:r>
      <w:r w:rsidR="004D570E" w:rsidRPr="00705606">
        <w:rPr>
          <w:rFonts w:eastAsia="Calibri"/>
          <w:sz w:val="24"/>
          <w:szCs w:val="24"/>
        </w:rPr>
        <w:t xml:space="preserve"> </w:t>
      </w:r>
      <w:r w:rsidR="00E41360" w:rsidRPr="00705606">
        <w:rPr>
          <w:rFonts w:eastAsia="Calibri"/>
          <w:sz w:val="24"/>
          <w:szCs w:val="24"/>
        </w:rPr>
        <w:t xml:space="preserve">(toliau – Perkančioji organizacija) </w:t>
      </w:r>
      <w:r w:rsidR="004D570E" w:rsidRPr="00705606">
        <w:rPr>
          <w:rFonts w:eastAsia="Calibri"/>
          <w:sz w:val="24"/>
          <w:szCs w:val="24"/>
        </w:rPr>
        <w:t>ir jungtinės veiklos sutarties pagrindu veikiančių partnerių UAB „Mitnija</w:t>
      </w:r>
      <w:r w:rsidR="00496D6B" w:rsidRPr="00705606">
        <w:rPr>
          <w:rFonts w:eastAsia="Calibri"/>
          <w:sz w:val="24"/>
          <w:szCs w:val="24"/>
        </w:rPr>
        <w:t>“</w:t>
      </w:r>
      <w:r w:rsidR="004D570E" w:rsidRPr="00705606">
        <w:rPr>
          <w:rFonts w:eastAsia="Calibri"/>
          <w:sz w:val="24"/>
          <w:szCs w:val="24"/>
        </w:rPr>
        <w:t xml:space="preserve"> ir UAB „</w:t>
      </w:r>
      <w:proofErr w:type="spellStart"/>
      <w:r w:rsidR="004D570E" w:rsidRPr="00705606">
        <w:rPr>
          <w:rFonts w:eastAsia="Calibri"/>
          <w:sz w:val="24"/>
          <w:szCs w:val="24"/>
        </w:rPr>
        <w:t>Termomatika</w:t>
      </w:r>
      <w:proofErr w:type="spellEnd"/>
      <w:r w:rsidR="004D570E" w:rsidRPr="00705606">
        <w:rPr>
          <w:rFonts w:eastAsia="Calibri"/>
          <w:sz w:val="24"/>
          <w:szCs w:val="24"/>
        </w:rPr>
        <w:t>“</w:t>
      </w:r>
      <w:r w:rsidR="00E41360" w:rsidRPr="00705606">
        <w:rPr>
          <w:rFonts w:eastAsia="Calibri"/>
          <w:sz w:val="24"/>
          <w:szCs w:val="24"/>
        </w:rPr>
        <w:t xml:space="preserve"> (toliau – Rangovas)</w:t>
      </w:r>
      <w:r w:rsidR="004D570E" w:rsidRPr="00705606">
        <w:rPr>
          <w:rFonts w:eastAsia="Calibri"/>
          <w:sz w:val="24"/>
          <w:szCs w:val="24"/>
        </w:rPr>
        <w:t xml:space="preserve">, </w:t>
      </w:r>
      <w:r w:rsidRPr="00705606">
        <w:rPr>
          <w:rFonts w:eastAsia="Calibri"/>
          <w:bCs/>
          <w:sz w:val="24"/>
          <w:szCs w:val="24"/>
        </w:rPr>
        <w:t xml:space="preserve"> vykdy</w:t>
      </w:r>
      <w:r w:rsidR="004D570E" w:rsidRPr="00705606">
        <w:rPr>
          <w:rFonts w:eastAsia="Calibri"/>
          <w:bCs/>
          <w:sz w:val="24"/>
          <w:szCs w:val="24"/>
        </w:rPr>
        <w:t>mo</w:t>
      </w:r>
      <w:r w:rsidRPr="00705606">
        <w:rPr>
          <w:rFonts w:eastAsia="Calibri"/>
          <w:bCs/>
          <w:sz w:val="24"/>
          <w:szCs w:val="24"/>
        </w:rPr>
        <w:t xml:space="preserve"> </w:t>
      </w:r>
      <w:r w:rsidR="004D570E" w:rsidRPr="00705606">
        <w:rPr>
          <w:rFonts w:eastAsia="Calibri"/>
          <w:bCs/>
          <w:sz w:val="24"/>
          <w:szCs w:val="24"/>
        </w:rPr>
        <w:t>atitikties Viešųjų pirkimų įstatymui ir (ar) su jo įgyvendinimu susijusiems teisės aktams</w:t>
      </w:r>
      <w:r w:rsidR="00496D6B" w:rsidRPr="00705606">
        <w:rPr>
          <w:rFonts w:eastAsia="Calibri"/>
          <w:bCs/>
          <w:sz w:val="24"/>
          <w:szCs w:val="24"/>
        </w:rPr>
        <w:t xml:space="preserve">, </w:t>
      </w:r>
      <w:r w:rsidR="004D570E" w:rsidRPr="00705606">
        <w:rPr>
          <w:rFonts w:eastAsia="Calibri"/>
          <w:bCs/>
          <w:sz w:val="24"/>
          <w:szCs w:val="24"/>
        </w:rPr>
        <w:t>vertinimą</w:t>
      </w:r>
      <w:r w:rsidRPr="00705606">
        <w:rPr>
          <w:rFonts w:eastAsia="Calibri"/>
          <w:bCs/>
          <w:sz w:val="24"/>
          <w:szCs w:val="24"/>
        </w:rPr>
        <w:t>.</w:t>
      </w:r>
    </w:p>
    <w:p w14:paraId="0FB76065" w14:textId="77777777" w:rsidR="0088148E" w:rsidRPr="00705606" w:rsidRDefault="0088148E" w:rsidP="00E44ECF">
      <w:pPr>
        <w:rPr>
          <w:rFonts w:eastAsia="Calibri"/>
          <w:sz w:val="24"/>
          <w:szCs w:val="24"/>
        </w:rPr>
      </w:pPr>
    </w:p>
    <w:p w14:paraId="08F9BF9D" w14:textId="77777777" w:rsidR="00583103" w:rsidRPr="00705606" w:rsidRDefault="00583103" w:rsidP="00583103">
      <w:pPr>
        <w:jc w:val="center"/>
        <w:rPr>
          <w:rFonts w:eastAsia="Calibri"/>
          <w:b/>
          <w:sz w:val="24"/>
          <w:szCs w:val="24"/>
        </w:rPr>
      </w:pPr>
      <w:r w:rsidRPr="00705606">
        <w:rPr>
          <w:rFonts w:eastAsia="Calibri"/>
          <w:b/>
          <w:sz w:val="24"/>
          <w:szCs w:val="24"/>
        </w:rPr>
        <w:t>I dalis. Bendra informacija</w:t>
      </w:r>
    </w:p>
    <w:p w14:paraId="703890FF" w14:textId="77777777" w:rsidR="00583103" w:rsidRPr="00705606" w:rsidRDefault="00583103" w:rsidP="00583103">
      <w:pPr>
        <w:ind w:firstLine="708"/>
        <w:jc w:val="center"/>
        <w:rPr>
          <w:rFonts w:eastAsia="Calibr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4"/>
      </w:tblGrid>
      <w:tr w:rsidR="00583103" w:rsidRPr="00705606" w14:paraId="14DCFAFA" w14:textId="77777777" w:rsidTr="00926AC0">
        <w:tc>
          <w:tcPr>
            <w:tcW w:w="4503" w:type="dxa"/>
            <w:shd w:val="clear" w:color="auto" w:fill="auto"/>
            <w:vAlign w:val="center"/>
          </w:tcPr>
          <w:p w14:paraId="451F71DC" w14:textId="12091471" w:rsidR="00583103" w:rsidRPr="00D57B91" w:rsidRDefault="00705606" w:rsidP="004D570E">
            <w:pPr>
              <w:jc w:val="both"/>
              <w:rPr>
                <w:rFonts w:eastAsia="Calibri"/>
                <w:sz w:val="24"/>
                <w:szCs w:val="24"/>
              </w:rPr>
            </w:pPr>
            <w:r w:rsidRPr="00D57B91">
              <w:rPr>
                <w:color w:val="000000"/>
                <w:sz w:val="24"/>
                <w:szCs w:val="24"/>
              </w:rPr>
              <w:t>Pirkimo pavadinimas, numeris (jeigu skelbtas), pirkimo paskelbimo (kvietimo pateikti paraišką/pasiūlymą) data/ sutarties pavadinimas, data, numeris</w:t>
            </w:r>
          </w:p>
        </w:tc>
        <w:tc>
          <w:tcPr>
            <w:tcW w:w="5244" w:type="dxa"/>
            <w:shd w:val="clear" w:color="auto" w:fill="auto"/>
            <w:vAlign w:val="center"/>
          </w:tcPr>
          <w:p w14:paraId="7012A61B" w14:textId="5775F3DE" w:rsidR="009915CC" w:rsidRDefault="006B3095" w:rsidP="00926AC0">
            <w:pPr>
              <w:jc w:val="both"/>
              <w:rPr>
                <w:rFonts w:eastAsia="Calibri"/>
                <w:bCs/>
                <w:sz w:val="24"/>
                <w:szCs w:val="24"/>
              </w:rPr>
            </w:pPr>
            <w:r>
              <w:rPr>
                <w:rFonts w:eastAsia="Calibri"/>
                <w:bCs/>
                <w:sz w:val="24"/>
                <w:szCs w:val="24"/>
              </w:rPr>
              <w:t>„Lietuvos Sveikatos mokslų universitetinės ligoninės Kauno klinikų Traumų ir Skubios pagalbos centro papildomi darbai“, kvietimas pateikti pasiūlymus pateiktas 2014-06-20.</w:t>
            </w:r>
          </w:p>
          <w:p w14:paraId="3BC5A1A5" w14:textId="27D6FAE7" w:rsidR="006B3095" w:rsidRDefault="006B3095" w:rsidP="00926AC0">
            <w:pPr>
              <w:jc w:val="both"/>
              <w:rPr>
                <w:rFonts w:eastAsia="Calibri"/>
                <w:bCs/>
                <w:sz w:val="24"/>
                <w:szCs w:val="24"/>
              </w:rPr>
            </w:pPr>
          </w:p>
          <w:p w14:paraId="7D644016" w14:textId="09FB99D6" w:rsidR="006B3095" w:rsidRDefault="006B3095" w:rsidP="00926AC0">
            <w:pPr>
              <w:jc w:val="both"/>
              <w:rPr>
                <w:rFonts w:eastAsia="Calibri"/>
                <w:bCs/>
                <w:sz w:val="24"/>
                <w:szCs w:val="24"/>
              </w:rPr>
            </w:pPr>
          </w:p>
          <w:p w14:paraId="14495460" w14:textId="77777777" w:rsidR="006B3095" w:rsidRPr="00705606" w:rsidRDefault="006B3095" w:rsidP="00926AC0">
            <w:pPr>
              <w:jc w:val="both"/>
              <w:rPr>
                <w:rFonts w:eastAsia="Calibri"/>
                <w:bCs/>
                <w:sz w:val="24"/>
                <w:szCs w:val="24"/>
              </w:rPr>
            </w:pPr>
          </w:p>
          <w:p w14:paraId="167B579E" w14:textId="424954B9" w:rsidR="009915CC" w:rsidRPr="00705606" w:rsidRDefault="0016690B" w:rsidP="00926AC0">
            <w:pPr>
              <w:jc w:val="both"/>
              <w:rPr>
                <w:rFonts w:eastAsia="Calibri"/>
                <w:bCs/>
                <w:sz w:val="24"/>
                <w:szCs w:val="24"/>
              </w:rPr>
            </w:pPr>
            <w:r w:rsidRPr="00705606">
              <w:rPr>
                <w:rFonts w:eastAsia="Calibri"/>
                <w:bCs/>
                <w:sz w:val="24"/>
                <w:szCs w:val="24"/>
              </w:rPr>
              <w:t xml:space="preserve"> </w:t>
            </w:r>
            <w:r w:rsidR="006B3095">
              <w:rPr>
                <w:rFonts w:eastAsia="Calibri"/>
                <w:bCs/>
                <w:sz w:val="24"/>
                <w:szCs w:val="24"/>
              </w:rPr>
              <w:t>„D</w:t>
            </w:r>
            <w:r w:rsidRPr="00705606">
              <w:rPr>
                <w:rFonts w:eastAsia="Calibri"/>
                <w:bCs/>
                <w:sz w:val="24"/>
                <w:szCs w:val="24"/>
              </w:rPr>
              <w:t>ėl Lietuvos sveikatos mokslų universiteto ligoninės Kauno klinikų traumų ir skubios pagalbos centro papildomų statybos darbų pirkimo</w:t>
            </w:r>
            <w:r w:rsidR="006B3095">
              <w:rPr>
                <w:rFonts w:eastAsia="Calibri"/>
                <w:bCs/>
                <w:sz w:val="24"/>
                <w:szCs w:val="24"/>
              </w:rPr>
              <w:t>“</w:t>
            </w:r>
            <w:r w:rsidRPr="00705606">
              <w:rPr>
                <w:rFonts w:eastAsia="Calibri"/>
                <w:bCs/>
                <w:sz w:val="24"/>
                <w:szCs w:val="24"/>
              </w:rPr>
              <w:t xml:space="preserve"> sudaryta </w:t>
            </w:r>
            <w:r w:rsidR="009915CC" w:rsidRPr="00705606">
              <w:rPr>
                <w:rFonts w:eastAsia="Calibri"/>
                <w:bCs/>
                <w:sz w:val="24"/>
                <w:szCs w:val="24"/>
              </w:rPr>
              <w:t>2014-07-10</w:t>
            </w:r>
            <w:r w:rsidRPr="00705606">
              <w:rPr>
                <w:rFonts w:eastAsia="Calibri"/>
                <w:bCs/>
                <w:sz w:val="24"/>
                <w:szCs w:val="24"/>
              </w:rPr>
              <w:t xml:space="preserve">, </w:t>
            </w:r>
            <w:r w:rsidR="006B3095" w:rsidRPr="00705606">
              <w:rPr>
                <w:rFonts w:eastAsia="Calibri"/>
                <w:bCs/>
                <w:sz w:val="24"/>
                <w:szCs w:val="24"/>
              </w:rPr>
              <w:t>Nr. SUT-14-</w:t>
            </w:r>
            <w:r w:rsidR="0062784C">
              <w:rPr>
                <w:rFonts w:eastAsia="Calibri"/>
                <w:bCs/>
                <w:sz w:val="24"/>
                <w:szCs w:val="24"/>
              </w:rPr>
              <w:t>1502</w:t>
            </w:r>
            <w:r w:rsidR="009915CC" w:rsidRPr="00705606">
              <w:rPr>
                <w:rFonts w:eastAsia="Calibri"/>
                <w:bCs/>
                <w:sz w:val="24"/>
                <w:szCs w:val="24"/>
              </w:rPr>
              <w:t xml:space="preserve"> (toliau – </w:t>
            </w:r>
            <w:r w:rsidR="006B3095">
              <w:rPr>
                <w:rFonts w:eastAsia="Calibri"/>
                <w:bCs/>
                <w:sz w:val="24"/>
                <w:szCs w:val="24"/>
              </w:rPr>
              <w:t>Sutartis</w:t>
            </w:r>
            <w:r w:rsidR="009915CC" w:rsidRPr="00705606">
              <w:rPr>
                <w:rFonts w:eastAsia="Calibri"/>
                <w:bCs/>
                <w:sz w:val="24"/>
                <w:szCs w:val="24"/>
              </w:rPr>
              <w:t>)</w:t>
            </w:r>
          </w:p>
        </w:tc>
      </w:tr>
      <w:tr w:rsidR="00583103" w:rsidRPr="00705606" w14:paraId="5551649E" w14:textId="77777777" w:rsidTr="00926AC0">
        <w:tc>
          <w:tcPr>
            <w:tcW w:w="4503" w:type="dxa"/>
            <w:shd w:val="clear" w:color="auto" w:fill="auto"/>
            <w:vAlign w:val="center"/>
          </w:tcPr>
          <w:p w14:paraId="7C951398" w14:textId="0F58B569" w:rsidR="00583103" w:rsidRPr="00705606" w:rsidRDefault="00705606" w:rsidP="00926AC0">
            <w:pPr>
              <w:rPr>
                <w:rFonts w:eastAsia="Calibri"/>
                <w:sz w:val="24"/>
                <w:szCs w:val="24"/>
              </w:rPr>
            </w:pPr>
            <w:r w:rsidRPr="00705606">
              <w:rPr>
                <w:color w:val="000000"/>
                <w:sz w:val="24"/>
                <w:szCs w:val="24"/>
              </w:rPr>
              <w:t>Pirkimo vykdymo/sutarties sudarymo teisinis pagrindas</w:t>
            </w:r>
          </w:p>
        </w:tc>
        <w:tc>
          <w:tcPr>
            <w:tcW w:w="5244" w:type="dxa"/>
            <w:shd w:val="clear" w:color="auto" w:fill="auto"/>
            <w:vAlign w:val="center"/>
          </w:tcPr>
          <w:p w14:paraId="7E1DB90F" w14:textId="1A71BF69" w:rsidR="00583103" w:rsidRPr="00705606" w:rsidRDefault="006B2C82" w:rsidP="00926AC0">
            <w:pPr>
              <w:jc w:val="both"/>
              <w:rPr>
                <w:rFonts w:eastAsia="Calibri"/>
                <w:sz w:val="24"/>
                <w:szCs w:val="24"/>
              </w:rPr>
            </w:pPr>
            <w:r>
              <w:rPr>
                <w:rFonts w:eastAsia="Calibri"/>
                <w:sz w:val="24"/>
                <w:szCs w:val="24"/>
              </w:rPr>
              <w:t>Lietuvos Respublikos viešųjų pirkimų įstatymas (redakcija nuo 2013-10-26) (toliau – Įstatymas)</w:t>
            </w:r>
          </w:p>
        </w:tc>
      </w:tr>
      <w:tr w:rsidR="00583103" w:rsidRPr="00705606" w14:paraId="4A07595C" w14:textId="77777777" w:rsidTr="00926AC0">
        <w:tc>
          <w:tcPr>
            <w:tcW w:w="4503" w:type="dxa"/>
            <w:shd w:val="clear" w:color="auto" w:fill="auto"/>
            <w:vAlign w:val="center"/>
          </w:tcPr>
          <w:p w14:paraId="2E8DD818" w14:textId="7820F2E0" w:rsidR="00583103" w:rsidRPr="00705606" w:rsidRDefault="00705606" w:rsidP="004D570E">
            <w:pPr>
              <w:jc w:val="both"/>
              <w:rPr>
                <w:rFonts w:eastAsia="Calibri"/>
                <w:sz w:val="24"/>
                <w:szCs w:val="24"/>
              </w:rPr>
            </w:pPr>
            <w:r w:rsidRPr="00705606">
              <w:rPr>
                <w:color w:val="000000"/>
                <w:sz w:val="24"/>
                <w:szCs w:val="24"/>
              </w:rPr>
              <w:t>Pirkimo būdas</w:t>
            </w:r>
          </w:p>
        </w:tc>
        <w:tc>
          <w:tcPr>
            <w:tcW w:w="5244" w:type="dxa"/>
            <w:shd w:val="clear" w:color="auto" w:fill="auto"/>
            <w:vAlign w:val="center"/>
          </w:tcPr>
          <w:p w14:paraId="12A7CA44" w14:textId="0C8EF396" w:rsidR="00ED7283" w:rsidRPr="00705606" w:rsidRDefault="006B2C82" w:rsidP="00926AC0">
            <w:pPr>
              <w:jc w:val="both"/>
              <w:rPr>
                <w:rFonts w:eastAsia="Calibri"/>
                <w:sz w:val="24"/>
                <w:szCs w:val="24"/>
              </w:rPr>
            </w:pPr>
            <w:r>
              <w:rPr>
                <w:rFonts w:eastAsia="Calibri"/>
                <w:sz w:val="24"/>
                <w:szCs w:val="24"/>
              </w:rPr>
              <w:t>Neskelbiamos derybos</w:t>
            </w:r>
          </w:p>
        </w:tc>
      </w:tr>
      <w:tr w:rsidR="00583103" w:rsidRPr="00705606" w14:paraId="435FBE68" w14:textId="77777777" w:rsidTr="00926AC0">
        <w:tc>
          <w:tcPr>
            <w:tcW w:w="4503" w:type="dxa"/>
            <w:shd w:val="clear" w:color="auto" w:fill="auto"/>
            <w:vAlign w:val="center"/>
          </w:tcPr>
          <w:p w14:paraId="16FC0347" w14:textId="3BA9B726" w:rsidR="00583103" w:rsidRPr="00705606" w:rsidRDefault="00705606" w:rsidP="004D570E">
            <w:pPr>
              <w:jc w:val="both"/>
              <w:rPr>
                <w:rFonts w:eastAsia="Calibri"/>
                <w:sz w:val="24"/>
                <w:szCs w:val="24"/>
              </w:rPr>
            </w:pPr>
            <w:r w:rsidRPr="00705606">
              <w:rPr>
                <w:color w:val="000000"/>
                <w:sz w:val="24"/>
                <w:szCs w:val="24"/>
              </w:rPr>
              <w:t xml:space="preserve">Planuojama (nenurodoma, jeigu pirkimas vertinamas iki vokų su pasiūlymais atplėšimo procedūros), faktinė pirkimo/sutarties vertė Eur </w:t>
            </w:r>
            <w:r w:rsidR="002E1408">
              <w:rPr>
                <w:color w:val="000000"/>
                <w:sz w:val="24"/>
                <w:szCs w:val="24"/>
              </w:rPr>
              <w:t>su</w:t>
            </w:r>
            <w:r w:rsidRPr="00705606">
              <w:rPr>
                <w:color w:val="000000"/>
                <w:sz w:val="24"/>
                <w:szCs w:val="24"/>
              </w:rPr>
              <w:t xml:space="preserve"> PVM</w:t>
            </w:r>
          </w:p>
        </w:tc>
        <w:tc>
          <w:tcPr>
            <w:tcW w:w="5244" w:type="dxa"/>
            <w:shd w:val="clear" w:color="auto" w:fill="auto"/>
            <w:vAlign w:val="center"/>
          </w:tcPr>
          <w:p w14:paraId="5D168100" w14:textId="10665955" w:rsidR="00583103" w:rsidRPr="00705606" w:rsidRDefault="006B2C82" w:rsidP="00926AC0">
            <w:pPr>
              <w:jc w:val="both"/>
              <w:rPr>
                <w:rFonts w:eastAsia="Calibri"/>
                <w:sz w:val="24"/>
                <w:szCs w:val="24"/>
              </w:rPr>
            </w:pPr>
            <w:r>
              <w:rPr>
                <w:rFonts w:eastAsia="Calibri"/>
                <w:sz w:val="24"/>
                <w:szCs w:val="24"/>
              </w:rPr>
              <w:t>S</w:t>
            </w:r>
            <w:r w:rsidRPr="00705606">
              <w:rPr>
                <w:rFonts w:eastAsia="Calibri"/>
                <w:sz w:val="24"/>
                <w:szCs w:val="24"/>
              </w:rPr>
              <w:t xml:space="preserve">utarties vertė – 1 901 098,11 Lt su PVM </w:t>
            </w:r>
          </w:p>
        </w:tc>
      </w:tr>
      <w:tr w:rsidR="00583103" w:rsidRPr="00705606" w14:paraId="02346A48" w14:textId="77777777" w:rsidTr="00926AC0">
        <w:tc>
          <w:tcPr>
            <w:tcW w:w="4503" w:type="dxa"/>
            <w:shd w:val="clear" w:color="auto" w:fill="auto"/>
            <w:vAlign w:val="center"/>
          </w:tcPr>
          <w:p w14:paraId="4B187AB7" w14:textId="1EE7DA8C" w:rsidR="00583103" w:rsidRPr="00705606" w:rsidRDefault="00705606" w:rsidP="00926AC0">
            <w:pPr>
              <w:rPr>
                <w:rFonts w:eastAsia="Calibri"/>
                <w:sz w:val="24"/>
                <w:szCs w:val="24"/>
              </w:rPr>
            </w:pPr>
            <w:r w:rsidRPr="00705606">
              <w:rPr>
                <w:color w:val="000000"/>
                <w:sz w:val="24"/>
                <w:szCs w:val="24"/>
              </w:rPr>
              <w:t>Tiekėjas / teikėjas / rangovas / koncesininkas, juridinio asmens kodas (su kuriuo sudaryta sutartis)</w:t>
            </w:r>
          </w:p>
        </w:tc>
        <w:tc>
          <w:tcPr>
            <w:tcW w:w="5244" w:type="dxa"/>
            <w:shd w:val="clear" w:color="auto" w:fill="auto"/>
            <w:vAlign w:val="center"/>
          </w:tcPr>
          <w:p w14:paraId="05289DA5" w14:textId="665F890C" w:rsidR="00583103" w:rsidRPr="00705606" w:rsidRDefault="006B2C82" w:rsidP="00926AC0">
            <w:pPr>
              <w:tabs>
                <w:tab w:val="left" w:pos="308"/>
              </w:tabs>
              <w:jc w:val="both"/>
              <w:rPr>
                <w:rFonts w:eastAsia="Calibri"/>
                <w:sz w:val="24"/>
                <w:szCs w:val="24"/>
              </w:rPr>
            </w:pPr>
            <w:r w:rsidRPr="00705606">
              <w:rPr>
                <w:rFonts w:eastAsia="Calibri"/>
                <w:sz w:val="24"/>
                <w:szCs w:val="24"/>
              </w:rPr>
              <w:t>Jungtinės veiklos sutarties pagrindu veikiantys partneriai –  UAB „Mitnija“ ir UAB „</w:t>
            </w:r>
            <w:proofErr w:type="spellStart"/>
            <w:r w:rsidRPr="00705606">
              <w:rPr>
                <w:rFonts w:eastAsia="Calibri"/>
                <w:sz w:val="24"/>
                <w:szCs w:val="24"/>
              </w:rPr>
              <w:t>Termomatika</w:t>
            </w:r>
            <w:proofErr w:type="spellEnd"/>
            <w:r w:rsidRPr="00705606">
              <w:rPr>
                <w:rFonts w:eastAsia="Calibri"/>
                <w:sz w:val="24"/>
                <w:szCs w:val="24"/>
              </w:rPr>
              <w:t>“ (toliau – Rangovas)</w:t>
            </w:r>
            <w:r w:rsidR="00583103" w:rsidRPr="00705606">
              <w:rPr>
                <w:rFonts w:eastAsia="Calibri"/>
                <w:bCs/>
                <w:sz w:val="24"/>
                <w:szCs w:val="24"/>
              </w:rPr>
              <w:t xml:space="preserve"> </w:t>
            </w:r>
          </w:p>
        </w:tc>
      </w:tr>
      <w:tr w:rsidR="00583103" w:rsidRPr="00705606" w14:paraId="659D79D8" w14:textId="77777777" w:rsidTr="00926AC0">
        <w:tc>
          <w:tcPr>
            <w:tcW w:w="4503" w:type="dxa"/>
            <w:shd w:val="clear" w:color="auto" w:fill="auto"/>
            <w:vAlign w:val="center"/>
          </w:tcPr>
          <w:p w14:paraId="2FDE0D7F" w14:textId="6F443BBF" w:rsidR="00583103" w:rsidRPr="00705606" w:rsidRDefault="00705606" w:rsidP="00926AC0">
            <w:pPr>
              <w:rPr>
                <w:rFonts w:eastAsia="Calibri"/>
                <w:sz w:val="24"/>
                <w:szCs w:val="24"/>
              </w:rPr>
            </w:pPr>
            <w:r w:rsidRPr="00705606">
              <w:rPr>
                <w:color w:val="000000"/>
                <w:sz w:val="24"/>
                <w:szCs w:val="24"/>
              </w:rPr>
              <w:t>Pirkimo/sutarties vertinimo apimtys/etapas</w:t>
            </w:r>
          </w:p>
        </w:tc>
        <w:tc>
          <w:tcPr>
            <w:tcW w:w="5244" w:type="dxa"/>
            <w:shd w:val="clear" w:color="auto" w:fill="auto"/>
            <w:vAlign w:val="center"/>
          </w:tcPr>
          <w:p w14:paraId="4BD2D426" w14:textId="77777777" w:rsidR="00583103" w:rsidRDefault="006B2C82" w:rsidP="00926AC0">
            <w:pPr>
              <w:tabs>
                <w:tab w:val="left" w:pos="308"/>
              </w:tabs>
              <w:jc w:val="both"/>
              <w:rPr>
                <w:rFonts w:eastAsia="Calibri"/>
                <w:sz w:val="24"/>
                <w:szCs w:val="24"/>
              </w:rPr>
            </w:pPr>
            <w:r>
              <w:rPr>
                <w:rFonts w:eastAsia="Calibri"/>
                <w:sz w:val="24"/>
                <w:szCs w:val="24"/>
              </w:rPr>
              <w:t>Sutartis įvykdyta</w:t>
            </w:r>
          </w:p>
          <w:p w14:paraId="0A9C551F" w14:textId="77777777" w:rsidR="00CF084F" w:rsidRPr="00CF084F" w:rsidRDefault="00CF084F" w:rsidP="00CF084F">
            <w:pPr>
              <w:rPr>
                <w:rFonts w:eastAsia="Calibri"/>
                <w:sz w:val="24"/>
                <w:szCs w:val="24"/>
              </w:rPr>
            </w:pPr>
          </w:p>
          <w:p w14:paraId="2C2E6E8B" w14:textId="5C4C9E41" w:rsidR="00CF084F" w:rsidRDefault="00CF084F" w:rsidP="00CF084F">
            <w:pPr>
              <w:rPr>
                <w:rFonts w:eastAsia="Calibri"/>
                <w:sz w:val="24"/>
                <w:szCs w:val="24"/>
              </w:rPr>
            </w:pPr>
          </w:p>
          <w:p w14:paraId="02600ACB" w14:textId="77777777" w:rsidR="00CF084F" w:rsidRPr="00CF084F" w:rsidRDefault="00CF084F" w:rsidP="00CF084F">
            <w:pPr>
              <w:rPr>
                <w:rFonts w:eastAsia="Calibri"/>
                <w:sz w:val="24"/>
                <w:szCs w:val="24"/>
              </w:rPr>
            </w:pPr>
          </w:p>
          <w:p w14:paraId="69C5975C" w14:textId="77777777" w:rsidR="00CF084F" w:rsidRPr="00CF084F" w:rsidRDefault="00CF084F" w:rsidP="00CF084F">
            <w:pPr>
              <w:rPr>
                <w:rFonts w:eastAsia="Calibri"/>
                <w:sz w:val="24"/>
                <w:szCs w:val="24"/>
              </w:rPr>
            </w:pPr>
          </w:p>
          <w:p w14:paraId="0983DF6A" w14:textId="77777777" w:rsidR="00CF084F" w:rsidRPr="00CF084F" w:rsidRDefault="00CF084F" w:rsidP="00CF084F">
            <w:pPr>
              <w:rPr>
                <w:rFonts w:eastAsia="Calibri"/>
                <w:sz w:val="24"/>
                <w:szCs w:val="24"/>
              </w:rPr>
            </w:pPr>
          </w:p>
          <w:p w14:paraId="4CDD5865" w14:textId="77777777" w:rsidR="00CF084F" w:rsidRPr="00CF084F" w:rsidRDefault="00CF084F" w:rsidP="00CF084F">
            <w:pPr>
              <w:rPr>
                <w:rFonts w:eastAsia="Calibri"/>
                <w:sz w:val="24"/>
                <w:szCs w:val="24"/>
              </w:rPr>
            </w:pPr>
          </w:p>
          <w:p w14:paraId="7D8FA309" w14:textId="77777777" w:rsidR="00CF084F" w:rsidRPr="00CF084F" w:rsidRDefault="00CF084F" w:rsidP="00CF084F">
            <w:pPr>
              <w:rPr>
                <w:rFonts w:eastAsia="Calibri"/>
                <w:sz w:val="24"/>
                <w:szCs w:val="24"/>
              </w:rPr>
            </w:pPr>
          </w:p>
          <w:p w14:paraId="74B88399" w14:textId="2A7A2D73" w:rsidR="00CF084F" w:rsidRPr="00CF084F" w:rsidRDefault="00CF084F" w:rsidP="00CF084F">
            <w:pPr>
              <w:rPr>
                <w:rFonts w:eastAsia="Calibri"/>
                <w:sz w:val="24"/>
                <w:szCs w:val="24"/>
              </w:rPr>
            </w:pPr>
          </w:p>
        </w:tc>
      </w:tr>
      <w:tr w:rsidR="00583103" w:rsidRPr="00705606" w14:paraId="4C6987D0" w14:textId="77777777" w:rsidTr="00926AC0">
        <w:tc>
          <w:tcPr>
            <w:tcW w:w="4503" w:type="dxa"/>
            <w:vAlign w:val="center"/>
          </w:tcPr>
          <w:p w14:paraId="655837A5" w14:textId="5B4A0234" w:rsidR="00583103" w:rsidRPr="00705606" w:rsidRDefault="00705606" w:rsidP="00926AC0">
            <w:pPr>
              <w:rPr>
                <w:rFonts w:eastAsia="Calibri"/>
                <w:sz w:val="24"/>
                <w:szCs w:val="24"/>
              </w:rPr>
            </w:pPr>
            <w:r w:rsidRPr="00705606">
              <w:rPr>
                <w:color w:val="000000"/>
                <w:sz w:val="24"/>
                <w:szCs w:val="24"/>
              </w:rPr>
              <w:lastRenderedPageBreak/>
              <w:t>Pirkimas finansuojamas ES lėšomis, projekto pavadinimas, Įgyvendinančioji institucija</w:t>
            </w:r>
          </w:p>
        </w:tc>
        <w:tc>
          <w:tcPr>
            <w:tcW w:w="5244" w:type="dxa"/>
            <w:vAlign w:val="center"/>
          </w:tcPr>
          <w:p w14:paraId="045BAF87" w14:textId="5B1BB987" w:rsidR="00583103" w:rsidRPr="00705606" w:rsidRDefault="006B2C82" w:rsidP="00926AC0">
            <w:pPr>
              <w:jc w:val="both"/>
              <w:rPr>
                <w:rFonts w:eastAsia="Calibri"/>
                <w:sz w:val="24"/>
                <w:szCs w:val="24"/>
              </w:rPr>
            </w:pPr>
            <w:r>
              <w:rPr>
                <w:rFonts w:eastAsia="Calibri"/>
                <w:sz w:val="24"/>
                <w:szCs w:val="24"/>
              </w:rPr>
              <w:t>ne</w:t>
            </w:r>
          </w:p>
        </w:tc>
      </w:tr>
      <w:tr w:rsidR="00705606" w:rsidRPr="00705606" w14:paraId="5315FC3B" w14:textId="77777777" w:rsidTr="00033F20">
        <w:tc>
          <w:tcPr>
            <w:tcW w:w="9747" w:type="dxa"/>
            <w:gridSpan w:val="2"/>
            <w:vAlign w:val="center"/>
          </w:tcPr>
          <w:p w14:paraId="082B9034" w14:textId="77777777" w:rsidR="00705606" w:rsidRPr="00705606" w:rsidRDefault="00705606" w:rsidP="00926AC0">
            <w:pPr>
              <w:rPr>
                <w:rFonts w:eastAsia="Calibri"/>
                <w:b/>
                <w:sz w:val="24"/>
                <w:szCs w:val="24"/>
              </w:rPr>
            </w:pPr>
            <w:r w:rsidRPr="00705606">
              <w:rPr>
                <w:color w:val="000000"/>
                <w:sz w:val="24"/>
                <w:szCs w:val="24"/>
              </w:rPr>
              <w:t>Jei dėl pirkimo/sutarties vyksta teismo procesas, nurodyti ieškinio (skundo) dalykus, bylos šalių pavadinimus, ar taikomos laikinosios apsaugos priemonės, teisminio nagrinėjimo stadija, pvz., apygardos, apeliacinis teismas</w:t>
            </w:r>
          </w:p>
          <w:p w14:paraId="23A02E1E" w14:textId="51A95BDD" w:rsidR="00705606" w:rsidRPr="00705606" w:rsidRDefault="006B2C82" w:rsidP="00926AC0">
            <w:pPr>
              <w:jc w:val="both"/>
              <w:rPr>
                <w:rFonts w:eastAsia="Calibri"/>
                <w:sz w:val="24"/>
                <w:szCs w:val="24"/>
              </w:rPr>
            </w:pPr>
            <w:r>
              <w:rPr>
                <w:rFonts w:eastAsia="Calibri"/>
                <w:sz w:val="24"/>
                <w:szCs w:val="24"/>
              </w:rPr>
              <w:t>-</w:t>
            </w:r>
          </w:p>
        </w:tc>
      </w:tr>
    </w:tbl>
    <w:p w14:paraId="36986909" w14:textId="77777777" w:rsidR="00583103" w:rsidRPr="00705606" w:rsidRDefault="00583103" w:rsidP="00583103">
      <w:pPr>
        <w:jc w:val="center"/>
        <w:rPr>
          <w:rFonts w:eastAsia="Calibri"/>
          <w:sz w:val="24"/>
          <w:szCs w:val="24"/>
        </w:rPr>
      </w:pPr>
    </w:p>
    <w:p w14:paraId="10024CA6" w14:textId="36C3B480" w:rsidR="00583103" w:rsidRPr="00705606" w:rsidRDefault="00583103" w:rsidP="00583103">
      <w:pPr>
        <w:jc w:val="center"/>
        <w:rPr>
          <w:rFonts w:eastAsia="Calibri"/>
          <w:b/>
          <w:sz w:val="24"/>
          <w:szCs w:val="24"/>
        </w:rPr>
      </w:pPr>
      <w:r w:rsidRPr="00705606">
        <w:rPr>
          <w:rFonts w:eastAsia="Calibri"/>
          <w:b/>
          <w:sz w:val="24"/>
          <w:szCs w:val="24"/>
        </w:rPr>
        <w:t xml:space="preserve">II dalis. Vertinimo </w:t>
      </w:r>
      <w:r w:rsidR="00705606" w:rsidRPr="00705606">
        <w:rPr>
          <w:rFonts w:eastAsia="Calibri"/>
          <w:b/>
          <w:sz w:val="24"/>
          <w:szCs w:val="24"/>
        </w:rPr>
        <w:t>apimtyje</w:t>
      </w:r>
      <w:r w:rsidRPr="00705606">
        <w:rPr>
          <w:rFonts w:eastAsia="Calibri"/>
          <w:b/>
          <w:sz w:val="24"/>
          <w:szCs w:val="24"/>
        </w:rPr>
        <w:t xml:space="preserve"> nustatyti pažeidimai</w:t>
      </w:r>
    </w:p>
    <w:p w14:paraId="43432FA1" w14:textId="77777777" w:rsidR="00583103" w:rsidRPr="00705606" w:rsidRDefault="00583103" w:rsidP="00583103">
      <w:pPr>
        <w:jc w:val="center"/>
        <w:rPr>
          <w:rFonts w:eastAsia="Calibri"/>
          <w:b/>
          <w:sz w:val="24"/>
          <w:szCs w:val="24"/>
        </w:rPr>
      </w:pPr>
    </w:p>
    <w:tbl>
      <w:tblPr>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9215"/>
      </w:tblGrid>
      <w:tr w:rsidR="00583103" w:rsidRPr="00705606" w14:paraId="5F10CA19" w14:textId="77777777" w:rsidTr="00926AC0">
        <w:tc>
          <w:tcPr>
            <w:tcW w:w="421" w:type="dxa"/>
            <w:shd w:val="clear" w:color="auto" w:fill="auto"/>
            <w:vAlign w:val="center"/>
          </w:tcPr>
          <w:p w14:paraId="03871D97" w14:textId="2BC3E66E" w:rsidR="00583103" w:rsidRPr="00705606" w:rsidRDefault="00E13B51" w:rsidP="00F84319">
            <w:pPr>
              <w:spacing w:after="160"/>
              <w:ind w:left="22" w:right="172" w:hanging="22"/>
              <w:contextualSpacing/>
              <w:rPr>
                <w:rFonts w:eastAsia="Calibri"/>
                <w:sz w:val="24"/>
                <w:szCs w:val="24"/>
              </w:rPr>
            </w:pPr>
            <w:r w:rsidRPr="00705606">
              <w:rPr>
                <w:rFonts w:eastAsia="Calibri"/>
                <w:sz w:val="24"/>
                <w:szCs w:val="24"/>
              </w:rPr>
              <w:t>1.</w:t>
            </w:r>
          </w:p>
        </w:tc>
        <w:tc>
          <w:tcPr>
            <w:tcW w:w="9363" w:type="dxa"/>
            <w:shd w:val="clear" w:color="auto" w:fill="auto"/>
          </w:tcPr>
          <w:p w14:paraId="7186E51F" w14:textId="70A9B210" w:rsidR="00583103" w:rsidRPr="00705606" w:rsidRDefault="007661A4" w:rsidP="00926AC0">
            <w:pPr>
              <w:rPr>
                <w:rFonts w:eastAsia="Calibri"/>
                <w:sz w:val="24"/>
                <w:szCs w:val="24"/>
              </w:rPr>
            </w:pPr>
            <w:r w:rsidRPr="00705606">
              <w:rPr>
                <w:rFonts w:eastAsia="Calibri"/>
                <w:sz w:val="24"/>
                <w:szCs w:val="24"/>
              </w:rPr>
              <w:t>Įstatymo 3 straipsnio 1 dalis</w:t>
            </w:r>
            <w:r w:rsidRPr="00705606">
              <w:rPr>
                <w:rStyle w:val="FootnoteReference"/>
                <w:rFonts w:eastAsia="Calibri"/>
                <w:sz w:val="24"/>
                <w:szCs w:val="24"/>
              </w:rPr>
              <w:footnoteReference w:id="1"/>
            </w:r>
            <w:r w:rsidR="00C405BA" w:rsidRPr="00705606">
              <w:rPr>
                <w:rFonts w:eastAsia="Calibri"/>
                <w:sz w:val="24"/>
                <w:szCs w:val="24"/>
              </w:rPr>
              <w:t xml:space="preserve">, </w:t>
            </w:r>
            <w:r w:rsidR="00143494" w:rsidRPr="00705606">
              <w:rPr>
                <w:rFonts w:eastAsia="Calibri"/>
                <w:sz w:val="24"/>
                <w:szCs w:val="24"/>
              </w:rPr>
              <w:t>2 dalis</w:t>
            </w:r>
            <w:r w:rsidR="00143494" w:rsidRPr="00705606">
              <w:rPr>
                <w:rStyle w:val="FootnoteReference"/>
                <w:rFonts w:eastAsia="Calibri"/>
                <w:sz w:val="24"/>
                <w:szCs w:val="24"/>
              </w:rPr>
              <w:footnoteReference w:id="2"/>
            </w:r>
            <w:r w:rsidR="00143494" w:rsidRPr="00705606">
              <w:rPr>
                <w:rFonts w:eastAsia="Calibri"/>
                <w:sz w:val="24"/>
                <w:szCs w:val="24"/>
              </w:rPr>
              <w:t xml:space="preserve">, </w:t>
            </w:r>
            <w:r w:rsidR="00C405BA" w:rsidRPr="00705606">
              <w:rPr>
                <w:rFonts w:eastAsia="Calibri"/>
                <w:sz w:val="24"/>
                <w:szCs w:val="24"/>
              </w:rPr>
              <w:t>18 straipsnio 8 dalis</w:t>
            </w:r>
            <w:r w:rsidR="00C405BA" w:rsidRPr="00705606">
              <w:rPr>
                <w:rStyle w:val="FootnoteReference"/>
                <w:rFonts w:eastAsia="Calibri"/>
                <w:sz w:val="24"/>
                <w:szCs w:val="24"/>
              </w:rPr>
              <w:footnoteReference w:id="3"/>
            </w:r>
          </w:p>
        </w:tc>
      </w:tr>
      <w:tr w:rsidR="00583103" w:rsidRPr="00705606" w14:paraId="2ACF4B17" w14:textId="77777777" w:rsidTr="00926AC0">
        <w:tc>
          <w:tcPr>
            <w:tcW w:w="9784" w:type="dxa"/>
            <w:gridSpan w:val="2"/>
            <w:shd w:val="clear" w:color="auto" w:fill="auto"/>
            <w:vAlign w:val="center"/>
          </w:tcPr>
          <w:p w14:paraId="3964B097" w14:textId="51C8A16F" w:rsidR="00143494" w:rsidRPr="00705606" w:rsidRDefault="001E0E30" w:rsidP="00143494">
            <w:pPr>
              <w:tabs>
                <w:tab w:val="left" w:pos="851"/>
              </w:tabs>
              <w:spacing w:before="240"/>
              <w:contextualSpacing/>
              <w:jc w:val="both"/>
              <w:rPr>
                <w:sz w:val="24"/>
                <w:szCs w:val="24"/>
              </w:rPr>
            </w:pPr>
            <w:r w:rsidRPr="00705606">
              <w:rPr>
                <w:sz w:val="24"/>
                <w:szCs w:val="24"/>
              </w:rPr>
              <w:t>Sutartis sudaryta 2014</w:t>
            </w:r>
            <w:r w:rsidR="006B2C82">
              <w:rPr>
                <w:sz w:val="24"/>
                <w:szCs w:val="24"/>
              </w:rPr>
              <w:t>-07-10</w:t>
            </w:r>
            <w:r w:rsidRPr="00705606">
              <w:rPr>
                <w:sz w:val="24"/>
                <w:szCs w:val="24"/>
              </w:rPr>
              <w:t>, atlikus neskelbiamų derybų būdu vykdytą pirkimą, gavus Tarnybos sutikimą</w:t>
            </w:r>
            <w:r w:rsidRPr="00705606">
              <w:rPr>
                <w:rStyle w:val="FootnoteReference"/>
                <w:sz w:val="24"/>
                <w:szCs w:val="24"/>
              </w:rPr>
              <w:footnoteReference w:id="4"/>
            </w:r>
            <w:r w:rsidRPr="00705606">
              <w:rPr>
                <w:sz w:val="24"/>
                <w:szCs w:val="24"/>
              </w:rPr>
              <w:t xml:space="preserve">. </w:t>
            </w:r>
            <w:r w:rsidR="00143494" w:rsidRPr="00705606">
              <w:rPr>
                <w:sz w:val="24"/>
                <w:szCs w:val="24"/>
              </w:rPr>
              <w:t>Vertinant Sutarties vykdymą, nustatyta:</w:t>
            </w:r>
          </w:p>
          <w:p w14:paraId="0BD4487C" w14:textId="7E48B508" w:rsidR="00D17FDA" w:rsidRDefault="006B2C82" w:rsidP="00705606">
            <w:pPr>
              <w:pStyle w:val="ListParagraph"/>
              <w:numPr>
                <w:ilvl w:val="0"/>
                <w:numId w:val="25"/>
              </w:numPr>
              <w:tabs>
                <w:tab w:val="left" w:pos="851"/>
              </w:tabs>
              <w:ind w:left="0" w:firstLine="720"/>
              <w:jc w:val="both"/>
              <w:rPr>
                <w:sz w:val="24"/>
                <w:szCs w:val="24"/>
              </w:rPr>
            </w:pPr>
            <w:r>
              <w:rPr>
                <w:sz w:val="24"/>
                <w:szCs w:val="24"/>
              </w:rPr>
              <w:t>S</w:t>
            </w:r>
            <w:r w:rsidR="00143494" w:rsidRPr="00705606">
              <w:rPr>
                <w:sz w:val="24"/>
                <w:szCs w:val="24"/>
              </w:rPr>
              <w:t xml:space="preserve">utarties 3.1 punkte nurodyta, kad darbai turi būti atlikti iki </w:t>
            </w:r>
            <w:r w:rsidR="00143494" w:rsidRPr="00705606">
              <w:rPr>
                <w:b/>
                <w:bCs/>
                <w:sz w:val="24"/>
                <w:szCs w:val="24"/>
              </w:rPr>
              <w:t>2014-08-14</w:t>
            </w:r>
            <w:r w:rsidR="00143494" w:rsidRPr="00705606">
              <w:rPr>
                <w:sz w:val="24"/>
                <w:szCs w:val="24"/>
              </w:rPr>
              <w:t xml:space="preserve">. Sutartyje nėra nuostatų, numatančių galimybę pratęsti nustatytus </w:t>
            </w:r>
            <w:r w:rsidR="002E1408">
              <w:rPr>
                <w:sz w:val="24"/>
                <w:szCs w:val="24"/>
              </w:rPr>
              <w:t xml:space="preserve">darbų </w:t>
            </w:r>
            <w:r w:rsidR="00143494" w:rsidRPr="00705606">
              <w:rPr>
                <w:sz w:val="24"/>
                <w:szCs w:val="24"/>
              </w:rPr>
              <w:t xml:space="preserve">terminus. </w:t>
            </w:r>
            <w:r w:rsidR="002E1408">
              <w:rPr>
                <w:sz w:val="24"/>
                <w:szCs w:val="24"/>
              </w:rPr>
              <w:t>Su</w:t>
            </w:r>
            <w:r w:rsidR="00143494" w:rsidRPr="00705606">
              <w:rPr>
                <w:sz w:val="24"/>
                <w:szCs w:val="24"/>
              </w:rPr>
              <w:t xml:space="preserve">tarties 4.2 punkte nustatyta, kad „Jeigu Rangovas laiku neatliko šioje sutartyje numatytų darbų, </w:t>
            </w:r>
            <w:r w:rsidR="00143494" w:rsidRPr="00705606">
              <w:rPr>
                <w:rFonts w:eastAsia="Calibri"/>
                <w:bCs/>
                <w:sz w:val="24"/>
                <w:szCs w:val="24"/>
              </w:rPr>
              <w:t xml:space="preserve">– Užsakovas turi teisę iš mokėtinų sumų išskaičiuoti delspinigius – 0,02 % </w:t>
            </w:r>
            <w:r w:rsidR="00143494" w:rsidRPr="00705606">
              <w:rPr>
                <w:sz w:val="24"/>
                <w:szCs w:val="24"/>
              </w:rPr>
              <w:t xml:space="preserve"> nuo neatliktų darbų sumos už kiekvieną pavėluotą dieną.“</w:t>
            </w:r>
            <w:r w:rsidR="00705606" w:rsidRPr="00705606">
              <w:rPr>
                <w:sz w:val="24"/>
                <w:szCs w:val="24"/>
              </w:rPr>
              <w:t xml:space="preserve"> </w:t>
            </w:r>
            <w:r w:rsidR="00D17FDA">
              <w:rPr>
                <w:sz w:val="24"/>
                <w:szCs w:val="24"/>
              </w:rPr>
              <w:t xml:space="preserve">Spręstina, kad darbų atlikimo terminas yra esminė Sutarties sąlyga. </w:t>
            </w:r>
          </w:p>
          <w:p w14:paraId="49B95179" w14:textId="48932BFC" w:rsidR="00705606" w:rsidRPr="00D17FDA" w:rsidRDefault="00D17FDA" w:rsidP="00D17FDA">
            <w:pPr>
              <w:tabs>
                <w:tab w:val="left" w:pos="851"/>
              </w:tabs>
              <w:jc w:val="both"/>
              <w:rPr>
                <w:sz w:val="24"/>
                <w:szCs w:val="24"/>
              </w:rPr>
            </w:pPr>
            <w:r>
              <w:rPr>
                <w:sz w:val="24"/>
                <w:szCs w:val="24"/>
                <w:lang w:eastAsia="lt-LT"/>
              </w:rPr>
              <w:t xml:space="preserve">            </w:t>
            </w:r>
            <w:r w:rsidR="00143494" w:rsidRPr="00D17FDA">
              <w:rPr>
                <w:sz w:val="24"/>
                <w:szCs w:val="24"/>
                <w:lang w:eastAsia="lt-LT"/>
              </w:rPr>
              <w:t xml:space="preserve">Iš Tarnybai pateiktų dokumentų nustatyta, kad Rangovas  perdavė, o Perkančioji organizacija </w:t>
            </w:r>
            <w:r w:rsidR="002E1408" w:rsidRPr="00D17FDA">
              <w:rPr>
                <w:sz w:val="24"/>
                <w:szCs w:val="24"/>
                <w:lang w:eastAsia="lt-LT"/>
              </w:rPr>
              <w:t xml:space="preserve">atliktus </w:t>
            </w:r>
            <w:r w:rsidR="00143494" w:rsidRPr="00D17FDA">
              <w:rPr>
                <w:sz w:val="24"/>
                <w:szCs w:val="24"/>
                <w:lang w:eastAsia="lt-LT"/>
              </w:rPr>
              <w:t>priėmė darbus tik 2014-10-14,</w:t>
            </w:r>
            <w:r w:rsidR="006B2C82" w:rsidRPr="00D17FDA">
              <w:rPr>
                <w:sz w:val="24"/>
                <w:szCs w:val="24"/>
                <w:lang w:eastAsia="lt-LT"/>
              </w:rPr>
              <w:t xml:space="preserve"> </w:t>
            </w:r>
            <w:r w:rsidR="00143494" w:rsidRPr="00D17FDA">
              <w:rPr>
                <w:sz w:val="24"/>
                <w:szCs w:val="24"/>
                <w:lang w:eastAsia="lt-LT"/>
              </w:rPr>
              <w:t>t.</w:t>
            </w:r>
            <w:r w:rsidR="002E1408">
              <w:rPr>
                <w:sz w:val="24"/>
                <w:szCs w:val="24"/>
                <w:lang w:eastAsia="lt-LT"/>
              </w:rPr>
              <w:t xml:space="preserve"> </w:t>
            </w:r>
            <w:r w:rsidR="00143494" w:rsidRPr="00D17FDA">
              <w:rPr>
                <w:sz w:val="24"/>
                <w:szCs w:val="24"/>
                <w:lang w:eastAsia="lt-LT"/>
              </w:rPr>
              <w:t xml:space="preserve">y. </w:t>
            </w:r>
            <w:r w:rsidR="00143494" w:rsidRPr="00D17FDA">
              <w:rPr>
                <w:b/>
                <w:bCs/>
                <w:sz w:val="24"/>
                <w:szCs w:val="24"/>
                <w:lang w:eastAsia="lt-LT"/>
              </w:rPr>
              <w:t>dviem mėnesiais vėliau, nei numatyta Sutartyje</w:t>
            </w:r>
            <w:r w:rsidR="00143494" w:rsidRPr="006B2C82">
              <w:rPr>
                <w:rStyle w:val="FootnoteReference"/>
                <w:sz w:val="24"/>
                <w:szCs w:val="24"/>
                <w:lang w:eastAsia="lt-LT"/>
              </w:rPr>
              <w:footnoteReference w:id="5"/>
            </w:r>
            <w:r w:rsidR="00143494" w:rsidRPr="00D17FDA">
              <w:rPr>
                <w:sz w:val="24"/>
                <w:szCs w:val="24"/>
                <w:lang w:eastAsia="lt-LT"/>
              </w:rPr>
              <w:t>. Rangovas už atliktus darbus 2014-10-14 pateikė PVM sąskaitą faktūrą</w:t>
            </w:r>
            <w:r w:rsidR="00143494" w:rsidRPr="00705606">
              <w:rPr>
                <w:rStyle w:val="FootnoteReference"/>
                <w:sz w:val="24"/>
                <w:szCs w:val="24"/>
                <w:lang w:eastAsia="lt-LT"/>
              </w:rPr>
              <w:footnoteReference w:id="6"/>
            </w:r>
            <w:r w:rsidR="00143494" w:rsidRPr="00D17FDA">
              <w:rPr>
                <w:sz w:val="24"/>
                <w:szCs w:val="24"/>
                <w:lang w:eastAsia="lt-LT"/>
              </w:rPr>
              <w:t>.</w:t>
            </w:r>
            <w:r w:rsidR="00143494" w:rsidRPr="00D17FDA">
              <w:rPr>
                <w:sz w:val="24"/>
                <w:szCs w:val="24"/>
              </w:rPr>
              <w:t xml:space="preserve"> Tokiu būdu Rangovas nesilaikė darbų atlikimo terminų, o Perkančioji organizacija, leisdama Rangovui atlikti darbus kitais, nei numatyta, terminais, faktiškai pakeitė </w:t>
            </w:r>
            <w:r>
              <w:rPr>
                <w:sz w:val="24"/>
                <w:szCs w:val="24"/>
              </w:rPr>
              <w:t xml:space="preserve">esminę </w:t>
            </w:r>
            <w:r w:rsidR="00143494" w:rsidRPr="00D17FDA">
              <w:rPr>
                <w:sz w:val="24"/>
                <w:szCs w:val="24"/>
              </w:rPr>
              <w:t>Sutarties sąlyg</w:t>
            </w:r>
            <w:r>
              <w:rPr>
                <w:sz w:val="24"/>
                <w:szCs w:val="24"/>
              </w:rPr>
              <w:t>ą</w:t>
            </w:r>
            <w:r w:rsidR="00143494" w:rsidRPr="00D17FDA">
              <w:rPr>
                <w:sz w:val="24"/>
                <w:szCs w:val="24"/>
              </w:rPr>
              <w:t>. Be to, nustatyta, kad Perkančioji organizacija neskaičiavo delspinigių už pavėluota</w:t>
            </w:r>
            <w:r w:rsidR="006B2C82" w:rsidRPr="00D17FDA">
              <w:rPr>
                <w:sz w:val="24"/>
                <w:szCs w:val="24"/>
              </w:rPr>
              <w:t>i</w:t>
            </w:r>
            <w:r w:rsidR="00143494" w:rsidRPr="00D17FDA">
              <w:rPr>
                <w:sz w:val="24"/>
                <w:szCs w:val="24"/>
              </w:rPr>
              <w:t xml:space="preserve"> atliktus darbus, kaip numatyta Sutarties 4.2 punkte</w:t>
            </w:r>
            <w:r w:rsidR="00143494" w:rsidRPr="00705606">
              <w:rPr>
                <w:rStyle w:val="FootnoteReference"/>
                <w:sz w:val="24"/>
                <w:szCs w:val="24"/>
              </w:rPr>
              <w:footnoteReference w:id="7"/>
            </w:r>
            <w:r w:rsidR="00143494" w:rsidRPr="00D17FDA">
              <w:rPr>
                <w:sz w:val="24"/>
                <w:szCs w:val="24"/>
              </w:rPr>
              <w:t>.</w:t>
            </w:r>
            <w:r w:rsidR="009A4A54">
              <w:rPr>
                <w:sz w:val="24"/>
                <w:szCs w:val="24"/>
              </w:rPr>
              <w:t xml:space="preserve"> </w:t>
            </w:r>
            <w:r w:rsidR="00143494" w:rsidRPr="00D17FDA">
              <w:rPr>
                <w:sz w:val="24"/>
                <w:szCs w:val="24"/>
              </w:rPr>
              <w:t xml:space="preserve">Pažymėtina, jog </w:t>
            </w:r>
            <w:r w:rsidR="006B2C82" w:rsidRPr="00D17FDA">
              <w:rPr>
                <w:sz w:val="24"/>
                <w:szCs w:val="24"/>
              </w:rPr>
              <w:t>p</w:t>
            </w:r>
            <w:r w:rsidR="00143494" w:rsidRPr="00D17FDA">
              <w:rPr>
                <w:color w:val="000000"/>
                <w:sz w:val="24"/>
                <w:szCs w:val="24"/>
              </w:rPr>
              <w:t>irkimo sutarties sąlygos sutarties galiojimo laikotarpiu negali būti keičiamos, išskyrus tokias sąlygas, kurias pakeitus nebūtų pažeisti Įstatymo 3 straipsnyje nustatyti principai bei tikslai ir kai tokiems pirkimo sutarties sąlygų pakeitimams yra gautas Viešųjų pirkimų tarnybos sutikimas. Perkančioji organizacija nesikreipė į Tarnybą dėl sutikimo pratęsti Sutartyje nustatytus terminus, Rangovui vėluojant atlikti darbus neskaičiavo delspinigių, todėl pažei</w:t>
            </w:r>
            <w:r>
              <w:rPr>
                <w:color w:val="000000"/>
                <w:sz w:val="24"/>
                <w:szCs w:val="24"/>
              </w:rPr>
              <w:t>dė</w:t>
            </w:r>
            <w:r w:rsidR="00143494" w:rsidRPr="00D17FDA">
              <w:rPr>
                <w:color w:val="000000"/>
                <w:sz w:val="24"/>
                <w:szCs w:val="24"/>
              </w:rPr>
              <w:t xml:space="preserve"> </w:t>
            </w:r>
            <w:r w:rsidR="006B2C82" w:rsidRPr="00D17FDA">
              <w:rPr>
                <w:color w:val="000000"/>
                <w:sz w:val="24"/>
                <w:szCs w:val="24"/>
              </w:rPr>
              <w:t>Įstatymo 18 straipsnio 8 dal</w:t>
            </w:r>
            <w:r>
              <w:rPr>
                <w:color w:val="000000"/>
                <w:sz w:val="24"/>
                <w:szCs w:val="24"/>
              </w:rPr>
              <w:t>į</w:t>
            </w:r>
            <w:r w:rsidR="006B2C82" w:rsidRPr="00D17FDA">
              <w:rPr>
                <w:color w:val="000000"/>
                <w:sz w:val="24"/>
                <w:szCs w:val="24"/>
              </w:rPr>
              <w:t xml:space="preserve">, </w:t>
            </w:r>
            <w:r w:rsidR="00143494" w:rsidRPr="00D17FDA">
              <w:rPr>
                <w:color w:val="000000"/>
                <w:sz w:val="24"/>
                <w:szCs w:val="24"/>
              </w:rPr>
              <w:t>Įstatyme nustatyt</w:t>
            </w:r>
            <w:r>
              <w:rPr>
                <w:color w:val="000000"/>
                <w:sz w:val="24"/>
                <w:szCs w:val="24"/>
              </w:rPr>
              <w:t>ą</w:t>
            </w:r>
            <w:r w:rsidR="00143494" w:rsidRPr="00D17FDA">
              <w:rPr>
                <w:color w:val="000000"/>
                <w:sz w:val="24"/>
                <w:szCs w:val="24"/>
              </w:rPr>
              <w:t xml:space="preserve"> skaidrumo princip</w:t>
            </w:r>
            <w:r>
              <w:rPr>
                <w:color w:val="000000"/>
                <w:sz w:val="24"/>
                <w:szCs w:val="24"/>
              </w:rPr>
              <w:t>ą</w:t>
            </w:r>
            <w:r w:rsidR="00143494" w:rsidRPr="00D17FDA">
              <w:rPr>
                <w:color w:val="000000"/>
                <w:sz w:val="24"/>
                <w:szCs w:val="24"/>
              </w:rPr>
              <w:t xml:space="preserve"> ir Pirkimo tikslo siekim</w:t>
            </w:r>
            <w:r>
              <w:rPr>
                <w:color w:val="000000"/>
                <w:sz w:val="24"/>
                <w:szCs w:val="24"/>
              </w:rPr>
              <w:t>ą</w:t>
            </w:r>
            <w:r w:rsidR="00143494" w:rsidRPr="00705606">
              <w:rPr>
                <w:rStyle w:val="FootnoteReference"/>
                <w:color w:val="000000"/>
                <w:sz w:val="24"/>
                <w:szCs w:val="24"/>
              </w:rPr>
              <w:footnoteReference w:id="8"/>
            </w:r>
            <w:r w:rsidR="00143494" w:rsidRPr="00D17FDA">
              <w:rPr>
                <w:color w:val="000000"/>
                <w:sz w:val="24"/>
                <w:szCs w:val="24"/>
              </w:rPr>
              <w:t xml:space="preserve">.  </w:t>
            </w:r>
          </w:p>
          <w:p w14:paraId="22261A65" w14:textId="623DC546" w:rsidR="00B8270C" w:rsidRPr="002E1408" w:rsidRDefault="001E0E30" w:rsidP="00ED5336">
            <w:pPr>
              <w:pStyle w:val="ListParagraph"/>
              <w:numPr>
                <w:ilvl w:val="0"/>
                <w:numId w:val="25"/>
              </w:numPr>
              <w:tabs>
                <w:tab w:val="left" w:pos="851"/>
              </w:tabs>
              <w:ind w:left="0" w:firstLine="720"/>
              <w:jc w:val="both"/>
              <w:rPr>
                <w:rFonts w:eastAsia="Calibri"/>
                <w:sz w:val="24"/>
                <w:szCs w:val="24"/>
              </w:rPr>
            </w:pPr>
            <w:r w:rsidRPr="00705606">
              <w:rPr>
                <w:sz w:val="24"/>
                <w:szCs w:val="24"/>
              </w:rPr>
              <w:lastRenderedPageBreak/>
              <w:t>Iš Sutarties sąlygų 2 punkto spręstina, kad Sutarčiai taikoma fiksuotos kainos kainodara. Pagal Sutartį</w:t>
            </w:r>
            <w:r w:rsidR="00B664E3" w:rsidRPr="00705606">
              <w:rPr>
                <w:sz w:val="24"/>
                <w:szCs w:val="24"/>
              </w:rPr>
              <w:t xml:space="preserve"> </w:t>
            </w:r>
            <w:r w:rsidRPr="00705606">
              <w:rPr>
                <w:sz w:val="24"/>
                <w:szCs w:val="24"/>
              </w:rPr>
              <w:t>už papildomus darbus turėjo būti sumokėta 1 901098,11 Lt su PVM. Nustatyta, kad už atliktus darbus faktiškai sumokėta 1 895943,51 Lt su PVM., t.</w:t>
            </w:r>
            <w:r w:rsidR="002E1408">
              <w:rPr>
                <w:sz w:val="24"/>
                <w:szCs w:val="24"/>
              </w:rPr>
              <w:t xml:space="preserve"> </w:t>
            </w:r>
            <w:r w:rsidRPr="00705606">
              <w:rPr>
                <w:sz w:val="24"/>
                <w:szCs w:val="24"/>
              </w:rPr>
              <w:t xml:space="preserve">y. </w:t>
            </w:r>
            <w:r w:rsidR="00B87FE9" w:rsidRPr="00705606">
              <w:rPr>
                <w:sz w:val="24"/>
                <w:szCs w:val="24"/>
              </w:rPr>
              <w:t>5154,6 Lt mažiau, nei numatyta Sutartyje.</w:t>
            </w:r>
            <w:r w:rsidR="00B664E3" w:rsidRPr="00705606">
              <w:rPr>
                <w:sz w:val="24"/>
                <w:szCs w:val="24"/>
              </w:rPr>
              <w:t xml:space="preserve"> </w:t>
            </w:r>
            <w:r w:rsidR="00AE04A8" w:rsidRPr="00705606">
              <w:rPr>
                <w:sz w:val="24"/>
                <w:szCs w:val="24"/>
              </w:rPr>
              <w:t xml:space="preserve">Nustatyta, kad </w:t>
            </w:r>
            <w:r w:rsidR="0075740E">
              <w:rPr>
                <w:sz w:val="24"/>
                <w:szCs w:val="24"/>
              </w:rPr>
              <w:t>S</w:t>
            </w:r>
            <w:r w:rsidR="00AE04A8" w:rsidRPr="00705606">
              <w:rPr>
                <w:sz w:val="24"/>
                <w:szCs w:val="24"/>
              </w:rPr>
              <w:t>utarties pried</w:t>
            </w:r>
            <w:r w:rsidR="002F5D26" w:rsidRPr="00705606">
              <w:rPr>
                <w:sz w:val="24"/>
                <w:szCs w:val="24"/>
              </w:rPr>
              <w:t>e</w:t>
            </w:r>
            <w:r w:rsidR="00AE04A8" w:rsidRPr="00705606">
              <w:rPr>
                <w:sz w:val="24"/>
                <w:szCs w:val="24"/>
              </w:rPr>
              <w:t xml:space="preserve"> Nr. 1 „Reikalingų atlikti darbų sąmatos“ lokalinės sąmatos „Vandentiekis“ 3 </w:t>
            </w:r>
            <w:proofErr w:type="spellStart"/>
            <w:r w:rsidR="00AE04A8" w:rsidRPr="00705606">
              <w:rPr>
                <w:sz w:val="24"/>
                <w:szCs w:val="24"/>
              </w:rPr>
              <w:t>s</w:t>
            </w:r>
            <w:r w:rsidR="002E1408">
              <w:rPr>
                <w:sz w:val="24"/>
                <w:szCs w:val="24"/>
              </w:rPr>
              <w:t>ą</w:t>
            </w:r>
            <w:r w:rsidR="00AE04A8" w:rsidRPr="00705606">
              <w:rPr>
                <w:sz w:val="24"/>
                <w:szCs w:val="24"/>
              </w:rPr>
              <w:t>m</w:t>
            </w:r>
            <w:proofErr w:type="spellEnd"/>
            <w:r w:rsidR="00AE04A8" w:rsidRPr="00705606">
              <w:rPr>
                <w:sz w:val="24"/>
                <w:szCs w:val="24"/>
              </w:rPr>
              <w:t>. eil. „Papildomos dviejų skyrių lieto marmuro kriauklės su dviem maišytuvais (medžiagos ir montavimo darbai)“ numatyti 2 komplektai už 8 520,00 Lt be PVM, tuo tarpu Atliktų darbų akt</w:t>
            </w:r>
            <w:r w:rsidR="00220777" w:rsidRPr="00705606">
              <w:rPr>
                <w:sz w:val="24"/>
                <w:szCs w:val="24"/>
              </w:rPr>
              <w:t>e</w:t>
            </w:r>
            <w:r w:rsidR="00AE04A8" w:rsidRPr="00705606">
              <w:rPr>
                <w:sz w:val="24"/>
                <w:szCs w:val="24"/>
              </w:rPr>
              <w:t xml:space="preserve"> </w:t>
            </w:r>
            <w:r w:rsidR="009A4A54">
              <w:rPr>
                <w:sz w:val="24"/>
                <w:szCs w:val="24"/>
              </w:rPr>
              <w:t xml:space="preserve">Nr. 1 </w:t>
            </w:r>
            <w:r w:rsidR="00AE04A8" w:rsidRPr="00705606">
              <w:rPr>
                <w:sz w:val="24"/>
                <w:szCs w:val="24"/>
              </w:rPr>
              <w:t>už 2014 m. spalio mėn</w:t>
            </w:r>
            <w:r w:rsidR="00220777" w:rsidRPr="00705606">
              <w:rPr>
                <w:sz w:val="24"/>
                <w:szCs w:val="24"/>
              </w:rPr>
              <w:t xml:space="preserve">esį sąmatos </w:t>
            </w:r>
            <w:proofErr w:type="spellStart"/>
            <w:r w:rsidR="00220777" w:rsidRPr="00705606">
              <w:rPr>
                <w:sz w:val="24"/>
                <w:szCs w:val="24"/>
              </w:rPr>
              <w:t>Nr</w:t>
            </w:r>
            <w:proofErr w:type="spellEnd"/>
            <w:r w:rsidR="00220777" w:rsidRPr="00705606">
              <w:rPr>
                <w:sz w:val="24"/>
                <w:szCs w:val="24"/>
              </w:rPr>
              <w:t xml:space="preserve"> . 4,  </w:t>
            </w:r>
            <w:proofErr w:type="spellStart"/>
            <w:r w:rsidR="00220777" w:rsidRPr="00705606">
              <w:rPr>
                <w:sz w:val="24"/>
                <w:szCs w:val="24"/>
              </w:rPr>
              <w:t>sąm</w:t>
            </w:r>
            <w:proofErr w:type="spellEnd"/>
            <w:r w:rsidR="00220777" w:rsidRPr="00705606">
              <w:rPr>
                <w:sz w:val="24"/>
                <w:szCs w:val="24"/>
              </w:rPr>
              <w:t>. eil. 3</w:t>
            </w:r>
            <w:r w:rsidR="00226B1C" w:rsidRPr="00705606">
              <w:rPr>
                <w:sz w:val="24"/>
                <w:szCs w:val="24"/>
              </w:rPr>
              <w:t xml:space="preserve"> </w:t>
            </w:r>
            <w:r w:rsidR="00220777" w:rsidRPr="00705606">
              <w:rPr>
                <w:sz w:val="24"/>
                <w:szCs w:val="24"/>
              </w:rPr>
              <w:t xml:space="preserve">„Papildomos dviejų skyrių lieto marmuro kriauklės su dviem maišytuvais (medžiagos ir montavimo darbai)“ </w:t>
            </w:r>
            <w:r w:rsidR="009A4A54">
              <w:rPr>
                <w:sz w:val="24"/>
                <w:szCs w:val="24"/>
              </w:rPr>
              <w:t>d</w:t>
            </w:r>
            <w:r w:rsidR="00220777" w:rsidRPr="00705606">
              <w:rPr>
                <w:sz w:val="24"/>
                <w:szCs w:val="24"/>
              </w:rPr>
              <w:t>alyje nurodytas tik vienas komplektas už 4 260,00 Lt.</w:t>
            </w:r>
            <w:r w:rsidR="00B87FE9" w:rsidRPr="00705606">
              <w:rPr>
                <w:sz w:val="24"/>
                <w:szCs w:val="24"/>
              </w:rPr>
              <w:t xml:space="preserve"> </w:t>
            </w:r>
            <w:r w:rsidR="009A4A54">
              <w:rPr>
                <w:sz w:val="24"/>
                <w:szCs w:val="24"/>
              </w:rPr>
              <w:t>b</w:t>
            </w:r>
            <w:r w:rsidR="00B87FE9" w:rsidRPr="00705606">
              <w:rPr>
                <w:sz w:val="24"/>
                <w:szCs w:val="24"/>
              </w:rPr>
              <w:t>e PVM</w:t>
            </w:r>
            <w:r w:rsidR="00220777" w:rsidRPr="00705606">
              <w:rPr>
                <w:sz w:val="24"/>
                <w:szCs w:val="24"/>
              </w:rPr>
              <w:t xml:space="preserve">, </w:t>
            </w:r>
            <w:r w:rsidR="00B87FE9" w:rsidRPr="00705606">
              <w:rPr>
                <w:sz w:val="24"/>
                <w:szCs w:val="24"/>
              </w:rPr>
              <w:t>t.</w:t>
            </w:r>
            <w:r w:rsidR="009A4A54">
              <w:rPr>
                <w:sz w:val="24"/>
                <w:szCs w:val="24"/>
              </w:rPr>
              <w:t xml:space="preserve"> </w:t>
            </w:r>
            <w:r w:rsidR="00B87FE9" w:rsidRPr="00705606">
              <w:rPr>
                <w:sz w:val="24"/>
                <w:szCs w:val="24"/>
              </w:rPr>
              <w:t>y.</w:t>
            </w:r>
            <w:r w:rsidR="00220777" w:rsidRPr="00705606">
              <w:rPr>
                <w:sz w:val="24"/>
                <w:szCs w:val="24"/>
              </w:rPr>
              <w:t xml:space="preserve"> ir atsiskaityta buvo tik už vieną komplektą</w:t>
            </w:r>
            <w:r w:rsidR="00B87FE9" w:rsidRPr="00705606">
              <w:rPr>
                <w:sz w:val="24"/>
                <w:szCs w:val="24"/>
              </w:rPr>
              <w:t>.</w:t>
            </w:r>
            <w:r w:rsidR="00220777" w:rsidRPr="00705606">
              <w:rPr>
                <w:sz w:val="24"/>
                <w:szCs w:val="24"/>
              </w:rPr>
              <w:t xml:space="preserve"> </w:t>
            </w:r>
            <w:r w:rsidR="00796248" w:rsidRPr="00705606">
              <w:rPr>
                <w:sz w:val="24"/>
                <w:szCs w:val="24"/>
              </w:rPr>
              <w:t xml:space="preserve">Tokiu būdu, atsisakydama tam tikrų darbų sąmatos pozicijų, sumažindama Sutarties </w:t>
            </w:r>
            <w:r w:rsidR="00D17FDA">
              <w:rPr>
                <w:sz w:val="24"/>
                <w:szCs w:val="24"/>
              </w:rPr>
              <w:t>k</w:t>
            </w:r>
            <w:r w:rsidR="009A4A54">
              <w:rPr>
                <w:sz w:val="24"/>
                <w:szCs w:val="24"/>
              </w:rPr>
              <w:t>a</w:t>
            </w:r>
            <w:r w:rsidR="00D17FDA">
              <w:rPr>
                <w:sz w:val="24"/>
                <w:szCs w:val="24"/>
              </w:rPr>
              <w:t>iną</w:t>
            </w:r>
            <w:r w:rsidR="00796248" w:rsidRPr="00705606">
              <w:rPr>
                <w:sz w:val="24"/>
                <w:szCs w:val="24"/>
              </w:rPr>
              <w:t xml:space="preserve">, Perkančioji organizacijai faktiškai pakeitė Sutartį. </w:t>
            </w:r>
            <w:r w:rsidR="00040AA7" w:rsidRPr="00705606">
              <w:rPr>
                <w:sz w:val="24"/>
                <w:szCs w:val="24"/>
              </w:rPr>
              <w:t xml:space="preserve">Pažymėtina, jog </w:t>
            </w:r>
            <w:r w:rsidR="009A4A54">
              <w:rPr>
                <w:sz w:val="24"/>
                <w:szCs w:val="24"/>
              </w:rPr>
              <w:t>p</w:t>
            </w:r>
            <w:r w:rsidR="00796248" w:rsidRPr="00705606">
              <w:rPr>
                <w:color w:val="000000"/>
                <w:sz w:val="24"/>
                <w:szCs w:val="24"/>
              </w:rPr>
              <w:t xml:space="preserve">irkimo sutarties sąlygos sutarties galiojimo laikotarpiu negali būti keičiamos, išskyrus tokias sąlygas, kurias pakeitus nebūtų pažeisti </w:t>
            </w:r>
            <w:r w:rsidR="009A4A54">
              <w:rPr>
                <w:color w:val="000000"/>
                <w:sz w:val="24"/>
                <w:szCs w:val="24"/>
              </w:rPr>
              <w:t>Į</w:t>
            </w:r>
            <w:r w:rsidR="00796248" w:rsidRPr="00705606">
              <w:rPr>
                <w:color w:val="000000"/>
                <w:sz w:val="24"/>
                <w:szCs w:val="24"/>
              </w:rPr>
              <w:t xml:space="preserve">statymo 3 straipsnyje nustatyti principai bei tikslai ir kai tokiems pirkimo sutarties sąlygų pakeitimams yra gautas </w:t>
            </w:r>
            <w:r w:rsidR="009A4A54">
              <w:rPr>
                <w:color w:val="000000"/>
                <w:sz w:val="24"/>
                <w:szCs w:val="24"/>
              </w:rPr>
              <w:t>T</w:t>
            </w:r>
            <w:r w:rsidR="00796248" w:rsidRPr="00705606">
              <w:rPr>
                <w:color w:val="000000"/>
                <w:sz w:val="24"/>
                <w:szCs w:val="24"/>
              </w:rPr>
              <w:t>arnybos sutikimas.</w:t>
            </w:r>
            <w:r w:rsidR="00796248" w:rsidRPr="00705606">
              <w:rPr>
                <w:rStyle w:val="FootnoteReference"/>
                <w:color w:val="000000"/>
                <w:sz w:val="24"/>
                <w:szCs w:val="24"/>
              </w:rPr>
              <w:footnoteReference w:id="9"/>
            </w:r>
            <w:r w:rsidR="00D17FDA">
              <w:rPr>
                <w:color w:val="000000"/>
                <w:sz w:val="24"/>
                <w:szCs w:val="24"/>
              </w:rPr>
              <w:t xml:space="preserve"> </w:t>
            </w:r>
            <w:r w:rsidR="00B87FE9" w:rsidRPr="00705606">
              <w:rPr>
                <w:sz w:val="24"/>
                <w:szCs w:val="24"/>
              </w:rPr>
              <w:t xml:space="preserve">Sutartyje </w:t>
            </w:r>
            <w:r w:rsidR="00D17FDA">
              <w:rPr>
                <w:sz w:val="24"/>
                <w:szCs w:val="24"/>
              </w:rPr>
              <w:t>nėra numatyta galimybė atsisakyti tam tikrų darbų/sąmatoje nurodytų pozicijų,</w:t>
            </w:r>
            <w:r w:rsidR="00B87FE9" w:rsidRPr="00705606">
              <w:rPr>
                <w:sz w:val="24"/>
                <w:szCs w:val="24"/>
              </w:rPr>
              <w:t xml:space="preserve"> todėl tam, kad </w:t>
            </w:r>
            <w:r w:rsidR="00D17FDA">
              <w:rPr>
                <w:sz w:val="24"/>
                <w:szCs w:val="24"/>
              </w:rPr>
              <w:t>P</w:t>
            </w:r>
            <w:r w:rsidR="00B87FE9" w:rsidRPr="00705606">
              <w:rPr>
                <w:sz w:val="24"/>
                <w:szCs w:val="24"/>
              </w:rPr>
              <w:t>erkančioji organizacija galėtų atlikti Sutarties pakeitimus</w:t>
            </w:r>
            <w:r w:rsidR="00796248" w:rsidRPr="00705606">
              <w:rPr>
                <w:sz w:val="24"/>
                <w:szCs w:val="24"/>
              </w:rPr>
              <w:t xml:space="preserve">, buvo </w:t>
            </w:r>
            <w:r w:rsidR="00B87FE9" w:rsidRPr="00705606">
              <w:rPr>
                <w:sz w:val="24"/>
                <w:szCs w:val="24"/>
              </w:rPr>
              <w:t xml:space="preserve">reikalingas Tarnybos sutikimas. </w:t>
            </w:r>
            <w:r w:rsidR="00040AA7" w:rsidRPr="00705606">
              <w:rPr>
                <w:sz w:val="24"/>
                <w:szCs w:val="24"/>
              </w:rPr>
              <w:t xml:space="preserve">Perkančioji organizacija nesikreipė į  Tarnybą sutikimo dėl </w:t>
            </w:r>
            <w:r w:rsidR="00D17FDA">
              <w:rPr>
                <w:sz w:val="24"/>
                <w:szCs w:val="24"/>
              </w:rPr>
              <w:t>S</w:t>
            </w:r>
            <w:r w:rsidR="00040AA7" w:rsidRPr="00705606">
              <w:rPr>
                <w:sz w:val="24"/>
                <w:szCs w:val="24"/>
              </w:rPr>
              <w:t xml:space="preserve">utartyje numatytų, tačiau nebereikalingų darbų / medžiagų atsisakymo (pateikiant pradines darbų lokalines sąmatas ir nevykdomų darbų lokalines sąmatas, </w:t>
            </w:r>
            <w:r w:rsidR="00040AA7" w:rsidRPr="00705606">
              <w:rPr>
                <w:bCs/>
                <w:sz w:val="24"/>
                <w:szCs w:val="24"/>
              </w:rPr>
              <w:t>sudarytas pasiūlymo teikimo metu galiojusiais įkainiais)</w:t>
            </w:r>
            <w:r w:rsidR="00040AA7" w:rsidRPr="00705606">
              <w:rPr>
                <w:sz w:val="24"/>
                <w:szCs w:val="24"/>
              </w:rPr>
              <w:t xml:space="preserve"> ir jų verte bendros </w:t>
            </w:r>
            <w:r w:rsidR="00D17FDA">
              <w:rPr>
                <w:sz w:val="24"/>
                <w:szCs w:val="24"/>
              </w:rPr>
              <w:t>S</w:t>
            </w:r>
            <w:r w:rsidR="00040AA7" w:rsidRPr="00705606">
              <w:rPr>
                <w:sz w:val="24"/>
                <w:szCs w:val="24"/>
              </w:rPr>
              <w:t xml:space="preserve">utarties kainos sumažinimo. </w:t>
            </w:r>
            <w:r w:rsidR="003C1CE8" w:rsidRPr="00705606">
              <w:rPr>
                <w:sz w:val="24"/>
                <w:szCs w:val="24"/>
              </w:rPr>
              <w:t>Perkančioji organizacija</w:t>
            </w:r>
            <w:r w:rsidR="00863A98">
              <w:rPr>
                <w:sz w:val="24"/>
                <w:szCs w:val="24"/>
              </w:rPr>
              <w:t xml:space="preserve">, </w:t>
            </w:r>
            <w:r w:rsidR="00040AA7" w:rsidRPr="00705606">
              <w:rPr>
                <w:sz w:val="24"/>
                <w:szCs w:val="24"/>
              </w:rPr>
              <w:t xml:space="preserve">faktiškai pakeitusi </w:t>
            </w:r>
            <w:r w:rsidR="009A4A54">
              <w:rPr>
                <w:sz w:val="24"/>
                <w:szCs w:val="24"/>
              </w:rPr>
              <w:t>S</w:t>
            </w:r>
            <w:r w:rsidR="003C1CE8" w:rsidRPr="00705606">
              <w:rPr>
                <w:sz w:val="24"/>
                <w:szCs w:val="24"/>
              </w:rPr>
              <w:t>utarties</w:t>
            </w:r>
            <w:r w:rsidR="00040AA7" w:rsidRPr="00705606">
              <w:rPr>
                <w:sz w:val="24"/>
                <w:szCs w:val="24"/>
              </w:rPr>
              <w:t xml:space="preserve"> sąlygas</w:t>
            </w:r>
            <w:r w:rsidR="009A4A54">
              <w:rPr>
                <w:sz w:val="24"/>
                <w:szCs w:val="24"/>
              </w:rPr>
              <w:t>,</w:t>
            </w:r>
            <w:r w:rsidR="00040AA7" w:rsidRPr="00705606">
              <w:rPr>
                <w:sz w:val="24"/>
                <w:szCs w:val="24"/>
              </w:rPr>
              <w:t xml:space="preserve"> </w:t>
            </w:r>
            <w:r w:rsidR="00796248" w:rsidRPr="00705606">
              <w:rPr>
                <w:sz w:val="24"/>
                <w:szCs w:val="24"/>
              </w:rPr>
              <w:t>negavus</w:t>
            </w:r>
            <w:r w:rsidR="006B0648">
              <w:rPr>
                <w:sz w:val="24"/>
                <w:szCs w:val="24"/>
              </w:rPr>
              <w:t>i</w:t>
            </w:r>
            <w:r w:rsidR="00796248" w:rsidRPr="00705606">
              <w:rPr>
                <w:sz w:val="24"/>
                <w:szCs w:val="24"/>
              </w:rPr>
              <w:t xml:space="preserve"> Tarnybos sutikimo - </w:t>
            </w:r>
            <w:r w:rsidR="00040AA7" w:rsidRPr="00705606">
              <w:rPr>
                <w:sz w:val="24"/>
                <w:szCs w:val="24"/>
              </w:rPr>
              <w:t>pažeidė Įstatymo 18 straipsnio 8 dalies nuostatas.</w:t>
            </w:r>
            <w:r w:rsidR="00D17FDA" w:rsidRPr="002E1408">
              <w:rPr>
                <w:sz w:val="24"/>
                <w:szCs w:val="24"/>
                <w:lang w:eastAsia="lt-LT"/>
              </w:rPr>
              <w:t xml:space="preserve">       </w:t>
            </w:r>
            <w:bookmarkStart w:id="2" w:name="_GoBack"/>
            <w:bookmarkEnd w:id="2"/>
            <w:r w:rsidR="00D17FDA" w:rsidRPr="002E1408">
              <w:rPr>
                <w:sz w:val="24"/>
                <w:szCs w:val="24"/>
                <w:lang w:eastAsia="lt-LT"/>
              </w:rPr>
              <w:t xml:space="preserve">    </w:t>
            </w:r>
          </w:p>
        </w:tc>
      </w:tr>
      <w:tr w:rsidR="00D17FDA" w:rsidRPr="00705606" w14:paraId="2CDE961F" w14:textId="77777777" w:rsidTr="00926AC0">
        <w:tc>
          <w:tcPr>
            <w:tcW w:w="9784" w:type="dxa"/>
            <w:gridSpan w:val="2"/>
            <w:shd w:val="clear" w:color="auto" w:fill="auto"/>
            <w:vAlign w:val="center"/>
          </w:tcPr>
          <w:p w14:paraId="10FF4AA0" w14:textId="77777777" w:rsidR="00D17FDA" w:rsidRPr="00705606" w:rsidRDefault="00D17FDA" w:rsidP="00143494">
            <w:pPr>
              <w:tabs>
                <w:tab w:val="left" w:pos="851"/>
              </w:tabs>
              <w:spacing w:before="240"/>
              <w:contextualSpacing/>
              <w:jc w:val="both"/>
              <w:rPr>
                <w:sz w:val="24"/>
                <w:szCs w:val="24"/>
              </w:rPr>
            </w:pPr>
          </w:p>
        </w:tc>
      </w:tr>
    </w:tbl>
    <w:p w14:paraId="6D80863F" w14:textId="77777777" w:rsidR="00583103" w:rsidRPr="00705606" w:rsidRDefault="00583103" w:rsidP="00583103">
      <w:pPr>
        <w:rPr>
          <w:rFonts w:eastAsia="Calibri"/>
          <w:b/>
          <w:sz w:val="24"/>
          <w:szCs w:val="24"/>
        </w:rPr>
      </w:pPr>
      <w:r w:rsidRPr="00705606">
        <w:rPr>
          <w:rFonts w:eastAsia="Calibri"/>
          <w:b/>
          <w:sz w:val="24"/>
          <w:szCs w:val="24"/>
        </w:rPr>
        <w:t>*kiekvienos sutarties vertinimas aprašomas atskirai</w:t>
      </w:r>
    </w:p>
    <w:p w14:paraId="76AB175E" w14:textId="77777777" w:rsidR="00583103" w:rsidRPr="00705606" w:rsidRDefault="00583103" w:rsidP="00583103">
      <w:pPr>
        <w:rPr>
          <w:rFonts w:eastAsia="Calibri"/>
          <w:b/>
          <w:sz w:val="24"/>
          <w:szCs w:val="24"/>
        </w:rPr>
      </w:pPr>
    </w:p>
    <w:p w14:paraId="1CAC745A" w14:textId="77777777" w:rsidR="00583103" w:rsidRPr="00705606" w:rsidRDefault="00583103" w:rsidP="00583103">
      <w:pPr>
        <w:jc w:val="center"/>
        <w:rPr>
          <w:rFonts w:eastAsia="Calibri"/>
          <w:b/>
          <w:sz w:val="24"/>
          <w:szCs w:val="24"/>
        </w:rPr>
      </w:pPr>
    </w:p>
    <w:p w14:paraId="38126A09" w14:textId="7E6D31B7" w:rsidR="00583103" w:rsidRPr="00705606" w:rsidRDefault="00583103" w:rsidP="00583103">
      <w:pPr>
        <w:jc w:val="center"/>
        <w:rPr>
          <w:b/>
          <w:bCs/>
          <w:color w:val="000000"/>
          <w:sz w:val="24"/>
          <w:szCs w:val="24"/>
        </w:rPr>
      </w:pPr>
      <w:r w:rsidRPr="00705606">
        <w:rPr>
          <w:rFonts w:eastAsia="Calibri"/>
          <w:b/>
          <w:sz w:val="24"/>
          <w:szCs w:val="24"/>
        </w:rPr>
        <w:t xml:space="preserve">III dalis. </w:t>
      </w:r>
      <w:r w:rsidR="00705606" w:rsidRPr="00705606">
        <w:rPr>
          <w:b/>
          <w:bCs/>
          <w:color w:val="000000"/>
          <w:sz w:val="24"/>
          <w:szCs w:val="24"/>
        </w:rPr>
        <w:t>Kiti nustatyti pažeidimai</w:t>
      </w:r>
    </w:p>
    <w:p w14:paraId="3E193CD5" w14:textId="77777777" w:rsidR="00705606" w:rsidRPr="00705606" w:rsidRDefault="00705606" w:rsidP="00583103">
      <w:pPr>
        <w:jc w:val="center"/>
        <w:rPr>
          <w:rFonts w:eastAsia="Calibri"/>
          <w:b/>
          <w:sz w:val="24"/>
          <w:szCs w:val="24"/>
        </w:rPr>
      </w:pPr>
    </w:p>
    <w:tbl>
      <w:tblP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302"/>
        <w:gridCol w:w="21"/>
      </w:tblGrid>
      <w:tr w:rsidR="00583103" w:rsidRPr="00705606" w14:paraId="480648F4" w14:textId="77777777" w:rsidTr="00926AC0">
        <w:trPr>
          <w:gridAfter w:val="1"/>
          <w:wAfter w:w="21" w:type="dxa"/>
        </w:trPr>
        <w:tc>
          <w:tcPr>
            <w:tcW w:w="421" w:type="dxa"/>
            <w:shd w:val="clear" w:color="auto" w:fill="auto"/>
            <w:vAlign w:val="center"/>
          </w:tcPr>
          <w:p w14:paraId="357AB45C" w14:textId="77777777" w:rsidR="00583103" w:rsidRPr="00705606" w:rsidRDefault="00583103" w:rsidP="00CB1DBF">
            <w:pPr>
              <w:tabs>
                <w:tab w:val="left" w:pos="0"/>
              </w:tabs>
              <w:spacing w:after="160"/>
              <w:ind w:left="360" w:right="172"/>
              <w:contextualSpacing/>
              <w:jc w:val="center"/>
              <w:rPr>
                <w:rFonts w:eastAsia="Calibri"/>
                <w:sz w:val="24"/>
                <w:szCs w:val="24"/>
              </w:rPr>
            </w:pPr>
          </w:p>
        </w:tc>
        <w:tc>
          <w:tcPr>
            <w:tcW w:w="9302" w:type="dxa"/>
            <w:shd w:val="clear" w:color="auto" w:fill="auto"/>
          </w:tcPr>
          <w:p w14:paraId="3F660623" w14:textId="30090062" w:rsidR="00583103" w:rsidRPr="00705606" w:rsidRDefault="00705606" w:rsidP="00926AC0">
            <w:pPr>
              <w:tabs>
                <w:tab w:val="left" w:pos="993"/>
              </w:tabs>
              <w:jc w:val="both"/>
              <w:rPr>
                <w:bCs/>
                <w:sz w:val="24"/>
                <w:szCs w:val="24"/>
              </w:rPr>
            </w:pPr>
            <w:r w:rsidRPr="00705606">
              <w:rPr>
                <w:bCs/>
                <w:sz w:val="24"/>
                <w:szCs w:val="24"/>
              </w:rPr>
              <w:t>-</w:t>
            </w:r>
          </w:p>
        </w:tc>
      </w:tr>
      <w:tr w:rsidR="00583103" w:rsidRPr="00705606" w14:paraId="3647EB79" w14:textId="77777777" w:rsidTr="00926AC0">
        <w:tc>
          <w:tcPr>
            <w:tcW w:w="9744" w:type="dxa"/>
            <w:gridSpan w:val="3"/>
            <w:shd w:val="clear" w:color="auto" w:fill="auto"/>
            <w:vAlign w:val="center"/>
          </w:tcPr>
          <w:p w14:paraId="30B1F670" w14:textId="5C0E66EB" w:rsidR="00583103" w:rsidRPr="00705606" w:rsidRDefault="00BE1B65" w:rsidP="00471761">
            <w:pPr>
              <w:tabs>
                <w:tab w:val="left" w:pos="851"/>
              </w:tabs>
              <w:spacing w:before="240"/>
              <w:contextualSpacing/>
              <w:jc w:val="both"/>
              <w:rPr>
                <w:rFonts w:eastAsia="Calibri"/>
                <w:bCs/>
                <w:sz w:val="24"/>
                <w:szCs w:val="24"/>
              </w:rPr>
            </w:pPr>
            <w:r w:rsidRPr="00705606">
              <w:rPr>
                <w:sz w:val="24"/>
                <w:szCs w:val="24"/>
              </w:rPr>
              <w:t xml:space="preserve">     </w:t>
            </w:r>
          </w:p>
        </w:tc>
      </w:tr>
    </w:tbl>
    <w:p w14:paraId="0021510F" w14:textId="77777777" w:rsidR="00583103" w:rsidRPr="00705606" w:rsidRDefault="00583103" w:rsidP="00583103">
      <w:pPr>
        <w:jc w:val="center"/>
        <w:rPr>
          <w:rFonts w:eastAsia="Calibri"/>
          <w:b/>
          <w:sz w:val="24"/>
          <w:szCs w:val="24"/>
        </w:rPr>
      </w:pPr>
    </w:p>
    <w:p w14:paraId="192F6699" w14:textId="77777777" w:rsidR="00583103" w:rsidRPr="00705606" w:rsidRDefault="00583103" w:rsidP="00583103">
      <w:pPr>
        <w:jc w:val="center"/>
        <w:rPr>
          <w:rFonts w:eastAsia="Calibri"/>
          <w:b/>
          <w:sz w:val="24"/>
          <w:szCs w:val="24"/>
        </w:rPr>
      </w:pPr>
      <w:r w:rsidRPr="00705606">
        <w:rPr>
          <w:rFonts w:eastAsia="Calibri"/>
          <w:b/>
          <w:sz w:val="24"/>
          <w:szCs w:val="24"/>
        </w:rPr>
        <w:t>IV dalis. SPRENDIMAS</w:t>
      </w:r>
    </w:p>
    <w:p w14:paraId="4A7FAD43" w14:textId="77777777" w:rsidR="00583103" w:rsidRPr="00705606" w:rsidRDefault="00583103" w:rsidP="00583103">
      <w:pPr>
        <w:tabs>
          <w:tab w:val="left" w:pos="993"/>
        </w:tabs>
        <w:ind w:firstLine="709"/>
        <w:jc w:val="both"/>
        <w:rPr>
          <w:rFonts w:eastAsia="Calibri"/>
          <w:bCs/>
          <w:sz w:val="24"/>
          <w:szCs w:val="24"/>
        </w:rPr>
      </w:pPr>
    </w:p>
    <w:tbl>
      <w:tblPr>
        <w:tblStyle w:val="TableGrid"/>
        <w:tblW w:w="9776" w:type="dxa"/>
        <w:tblLook w:val="04A0" w:firstRow="1" w:lastRow="0" w:firstColumn="1" w:lastColumn="0" w:noHBand="0" w:noVBand="1"/>
      </w:tblPr>
      <w:tblGrid>
        <w:gridCol w:w="9776"/>
      </w:tblGrid>
      <w:tr w:rsidR="00583103" w:rsidRPr="00705606" w14:paraId="52E36287" w14:textId="77777777" w:rsidTr="00926AC0">
        <w:trPr>
          <w:trHeight w:val="269"/>
        </w:trPr>
        <w:tc>
          <w:tcPr>
            <w:tcW w:w="9776" w:type="dxa"/>
          </w:tcPr>
          <w:p w14:paraId="338FE233" w14:textId="403339D8" w:rsidR="0021610E" w:rsidRPr="00705606" w:rsidRDefault="00BE1B65" w:rsidP="0021610E">
            <w:pPr>
              <w:tabs>
                <w:tab w:val="left" w:pos="851"/>
              </w:tabs>
              <w:spacing w:before="240"/>
              <w:contextualSpacing/>
              <w:jc w:val="both"/>
              <w:rPr>
                <w:rFonts w:eastAsia="Calibri"/>
                <w:sz w:val="24"/>
                <w:szCs w:val="24"/>
                <w:lang w:eastAsia="lt-LT"/>
              </w:rPr>
            </w:pPr>
            <w:r w:rsidRPr="00705606">
              <w:rPr>
                <w:sz w:val="24"/>
                <w:szCs w:val="24"/>
              </w:rPr>
              <w:t xml:space="preserve">     </w:t>
            </w:r>
            <w:r w:rsidR="00143494" w:rsidRPr="00705606">
              <w:rPr>
                <w:sz w:val="24"/>
                <w:szCs w:val="24"/>
              </w:rPr>
              <w:t xml:space="preserve">Atsižvelgiant į vertinimo išvados II dalyje nustatytus pažeidimus, Tarnyba konstatuoja, kad Perkančioji organizacija, </w:t>
            </w:r>
            <w:r w:rsidR="00143494" w:rsidRPr="00705606">
              <w:rPr>
                <w:rFonts w:eastAsia="Calibri"/>
                <w:sz w:val="24"/>
                <w:szCs w:val="24"/>
              </w:rPr>
              <w:t>v</w:t>
            </w:r>
            <w:r w:rsidR="00E13B51" w:rsidRPr="00705606">
              <w:rPr>
                <w:rFonts w:eastAsia="Calibri"/>
                <w:sz w:val="24"/>
                <w:szCs w:val="24"/>
              </w:rPr>
              <w:t xml:space="preserve">ykdydama </w:t>
            </w:r>
            <w:r w:rsidR="00143494" w:rsidRPr="00705606">
              <w:rPr>
                <w:rFonts w:eastAsia="Calibri"/>
                <w:sz w:val="24"/>
                <w:szCs w:val="24"/>
              </w:rPr>
              <w:t>Sutartį</w:t>
            </w:r>
            <w:r w:rsidR="00E13B51" w:rsidRPr="00705606">
              <w:rPr>
                <w:rFonts w:eastAsia="Calibri"/>
                <w:sz w:val="24"/>
                <w:szCs w:val="24"/>
              </w:rPr>
              <w:t xml:space="preserve"> pažeidė Įstatymo 3 straipsnio 1 dal</w:t>
            </w:r>
            <w:r w:rsidR="00143494" w:rsidRPr="00705606">
              <w:rPr>
                <w:rFonts w:eastAsia="Calibri"/>
                <w:sz w:val="24"/>
                <w:szCs w:val="24"/>
              </w:rPr>
              <w:t>į, 2 dalį</w:t>
            </w:r>
            <w:r w:rsidR="0021610E" w:rsidRPr="00705606">
              <w:rPr>
                <w:rFonts w:eastAsia="Calibri"/>
                <w:sz w:val="24"/>
                <w:szCs w:val="24"/>
              </w:rPr>
              <w:t xml:space="preserve"> ir </w:t>
            </w:r>
            <w:r w:rsidR="0021610E" w:rsidRPr="00705606">
              <w:rPr>
                <w:rFonts w:eastAsia="Calibri"/>
                <w:sz w:val="24"/>
                <w:szCs w:val="24"/>
                <w:lang w:eastAsia="lt-LT"/>
              </w:rPr>
              <w:t>Įstatymo 18 straipsnio 8 dalies nuostatas.</w:t>
            </w:r>
          </w:p>
          <w:p w14:paraId="2B11547F" w14:textId="1ED5463B" w:rsidR="00E13B51" w:rsidRPr="00705606" w:rsidRDefault="00E13B51" w:rsidP="00CA152D">
            <w:pPr>
              <w:jc w:val="both"/>
              <w:rPr>
                <w:rFonts w:eastAsia="Calibri"/>
                <w:sz w:val="24"/>
                <w:szCs w:val="24"/>
              </w:rPr>
            </w:pPr>
            <w:r w:rsidRPr="00705606">
              <w:rPr>
                <w:sz w:val="24"/>
                <w:szCs w:val="24"/>
              </w:rPr>
              <w:t xml:space="preserve">     Vadovaujantis Lietuvos Respublikos administracinių bylų teisenos įstatymo 5 ir 17 straipsniais, nesutikę su Vertinimo išvada, galite ją apskųsti teismui šio įstatymo nustatyta tvarka.</w:t>
            </w:r>
          </w:p>
        </w:tc>
      </w:tr>
    </w:tbl>
    <w:p w14:paraId="7847BF70" w14:textId="77777777" w:rsidR="00161F9F" w:rsidRPr="00705606" w:rsidRDefault="00161F9F" w:rsidP="00E44ECF">
      <w:pPr>
        <w:rPr>
          <w:rFonts w:eastAsia="Calibri"/>
          <w:bCs/>
          <w:sz w:val="24"/>
          <w:szCs w:val="24"/>
        </w:rPr>
      </w:pPr>
    </w:p>
    <w:p w14:paraId="455E52C5" w14:textId="77777777" w:rsidR="009A4647" w:rsidRPr="00705606" w:rsidRDefault="009A4647" w:rsidP="00E44ECF">
      <w:pPr>
        <w:rPr>
          <w:rFonts w:eastAsia="Calibri"/>
          <w:bCs/>
          <w:sz w:val="24"/>
          <w:szCs w:val="24"/>
        </w:rPr>
      </w:pPr>
    </w:p>
    <w:p w14:paraId="672BC605" w14:textId="77777777" w:rsidR="009A4647" w:rsidRPr="00705606" w:rsidRDefault="009A4647" w:rsidP="00E44ECF">
      <w:pPr>
        <w:rPr>
          <w:rFonts w:eastAsia="Calibri"/>
          <w:bCs/>
          <w:sz w:val="24"/>
          <w:szCs w:val="24"/>
        </w:rPr>
      </w:pPr>
    </w:p>
    <w:p w14:paraId="1558A63B" w14:textId="7EA5F7DC" w:rsidR="00161F9F" w:rsidRPr="00705606" w:rsidRDefault="003F3E7B" w:rsidP="00E44ECF">
      <w:pPr>
        <w:rPr>
          <w:rFonts w:eastAsia="Calibri"/>
          <w:bCs/>
          <w:sz w:val="24"/>
          <w:szCs w:val="24"/>
        </w:rPr>
      </w:pPr>
      <w:r w:rsidRPr="00705606">
        <w:rPr>
          <w:rFonts w:eastAsia="Calibri"/>
          <w:bCs/>
          <w:sz w:val="24"/>
          <w:szCs w:val="24"/>
        </w:rPr>
        <w:t xml:space="preserve">Direktorė </w:t>
      </w:r>
      <w:r w:rsidRPr="00705606">
        <w:rPr>
          <w:rFonts w:eastAsia="Calibri"/>
          <w:bCs/>
          <w:sz w:val="24"/>
          <w:szCs w:val="24"/>
        </w:rPr>
        <w:tab/>
      </w:r>
      <w:r w:rsidRPr="00705606">
        <w:rPr>
          <w:rFonts w:eastAsia="Calibri"/>
          <w:bCs/>
          <w:sz w:val="24"/>
          <w:szCs w:val="24"/>
        </w:rPr>
        <w:tab/>
      </w:r>
      <w:r w:rsidRPr="00705606">
        <w:rPr>
          <w:rFonts w:eastAsia="Calibri"/>
          <w:bCs/>
          <w:sz w:val="24"/>
          <w:szCs w:val="24"/>
        </w:rPr>
        <w:tab/>
      </w:r>
      <w:r w:rsidRPr="00705606">
        <w:rPr>
          <w:rFonts w:eastAsia="Calibri"/>
          <w:bCs/>
          <w:sz w:val="24"/>
          <w:szCs w:val="24"/>
        </w:rPr>
        <w:tab/>
      </w:r>
      <w:r w:rsidRPr="00705606">
        <w:rPr>
          <w:rFonts w:eastAsia="Calibri"/>
          <w:bCs/>
          <w:sz w:val="24"/>
          <w:szCs w:val="24"/>
        </w:rPr>
        <w:tab/>
      </w:r>
      <w:r w:rsidRPr="00705606">
        <w:rPr>
          <w:rFonts w:eastAsia="Calibri"/>
          <w:bCs/>
          <w:sz w:val="24"/>
          <w:szCs w:val="24"/>
        </w:rPr>
        <w:tab/>
      </w:r>
      <w:r w:rsidRPr="00705606">
        <w:rPr>
          <w:rFonts w:eastAsia="Calibri"/>
          <w:bCs/>
          <w:sz w:val="24"/>
          <w:szCs w:val="24"/>
        </w:rPr>
        <w:tab/>
      </w:r>
      <w:r w:rsidRPr="00705606">
        <w:rPr>
          <w:rFonts w:eastAsia="Calibri"/>
          <w:bCs/>
          <w:sz w:val="24"/>
          <w:szCs w:val="24"/>
        </w:rPr>
        <w:tab/>
      </w:r>
      <w:r w:rsidRPr="00705606">
        <w:rPr>
          <w:rFonts w:eastAsia="Calibri"/>
          <w:bCs/>
          <w:sz w:val="24"/>
          <w:szCs w:val="24"/>
        </w:rPr>
        <w:tab/>
        <w:t xml:space="preserve">        </w:t>
      </w:r>
      <w:r w:rsidR="00D17FDA">
        <w:rPr>
          <w:rFonts w:eastAsia="Calibri"/>
          <w:bCs/>
          <w:sz w:val="24"/>
          <w:szCs w:val="24"/>
        </w:rPr>
        <w:t xml:space="preserve"> </w:t>
      </w:r>
      <w:r w:rsidR="00D17FDA">
        <w:rPr>
          <w:rFonts w:eastAsia="Calibri"/>
          <w:bCs/>
          <w:sz w:val="24"/>
          <w:szCs w:val="24"/>
        </w:rPr>
        <w:tab/>
      </w:r>
      <w:r w:rsidR="00D17FDA">
        <w:rPr>
          <w:rFonts w:eastAsia="Calibri"/>
          <w:bCs/>
          <w:sz w:val="24"/>
          <w:szCs w:val="24"/>
        </w:rPr>
        <w:tab/>
      </w:r>
      <w:r w:rsidR="00D17FDA">
        <w:rPr>
          <w:rFonts w:eastAsia="Calibri"/>
          <w:bCs/>
          <w:sz w:val="24"/>
          <w:szCs w:val="24"/>
        </w:rPr>
        <w:tab/>
      </w:r>
      <w:r w:rsidR="00D17FDA">
        <w:rPr>
          <w:rFonts w:eastAsia="Calibri"/>
          <w:bCs/>
          <w:sz w:val="24"/>
          <w:szCs w:val="24"/>
        </w:rPr>
        <w:tab/>
      </w:r>
      <w:r w:rsidR="00D17FDA">
        <w:rPr>
          <w:rFonts w:eastAsia="Calibri"/>
          <w:bCs/>
          <w:sz w:val="24"/>
          <w:szCs w:val="24"/>
        </w:rPr>
        <w:tab/>
      </w:r>
      <w:r w:rsidR="00D17FDA">
        <w:rPr>
          <w:rFonts w:eastAsia="Calibri"/>
          <w:bCs/>
          <w:sz w:val="24"/>
          <w:szCs w:val="24"/>
        </w:rPr>
        <w:tab/>
      </w:r>
      <w:r w:rsidR="00D17FDA">
        <w:rPr>
          <w:rFonts w:eastAsia="Calibri"/>
          <w:bCs/>
          <w:sz w:val="24"/>
          <w:szCs w:val="24"/>
        </w:rPr>
        <w:tab/>
      </w:r>
      <w:r w:rsidR="00D17FDA">
        <w:rPr>
          <w:rFonts w:eastAsia="Calibri"/>
          <w:bCs/>
          <w:sz w:val="24"/>
          <w:szCs w:val="24"/>
        </w:rPr>
        <w:tab/>
      </w:r>
      <w:r w:rsidR="00D17FDA">
        <w:rPr>
          <w:rFonts w:eastAsia="Calibri"/>
          <w:bCs/>
          <w:sz w:val="24"/>
          <w:szCs w:val="24"/>
        </w:rPr>
        <w:tab/>
      </w:r>
      <w:r w:rsidR="00D17FDA">
        <w:rPr>
          <w:rFonts w:eastAsia="Calibri"/>
          <w:bCs/>
          <w:sz w:val="24"/>
          <w:szCs w:val="24"/>
        </w:rPr>
        <w:tab/>
      </w:r>
      <w:r w:rsidR="00D17FDA">
        <w:rPr>
          <w:rFonts w:eastAsia="Calibri"/>
          <w:bCs/>
          <w:sz w:val="24"/>
          <w:szCs w:val="24"/>
        </w:rPr>
        <w:tab/>
      </w:r>
      <w:r w:rsidR="00D17FDA">
        <w:rPr>
          <w:rFonts w:eastAsia="Calibri"/>
          <w:bCs/>
          <w:sz w:val="24"/>
          <w:szCs w:val="24"/>
        </w:rPr>
        <w:tab/>
      </w:r>
      <w:r w:rsidR="00D17FDA">
        <w:rPr>
          <w:rFonts w:eastAsia="Calibri"/>
          <w:bCs/>
          <w:sz w:val="24"/>
          <w:szCs w:val="24"/>
        </w:rPr>
        <w:tab/>
      </w:r>
      <w:r w:rsidR="00D17FDA">
        <w:rPr>
          <w:rFonts w:eastAsia="Calibri"/>
          <w:bCs/>
          <w:sz w:val="24"/>
          <w:szCs w:val="24"/>
        </w:rPr>
        <w:tab/>
      </w:r>
      <w:r w:rsidR="00D17FDA">
        <w:rPr>
          <w:rFonts w:eastAsia="Calibri"/>
          <w:bCs/>
          <w:sz w:val="24"/>
          <w:szCs w:val="24"/>
        </w:rPr>
        <w:tab/>
      </w:r>
      <w:r w:rsidR="00D17FDA">
        <w:rPr>
          <w:rFonts w:eastAsia="Calibri"/>
          <w:bCs/>
          <w:sz w:val="24"/>
          <w:szCs w:val="24"/>
        </w:rPr>
        <w:tab/>
      </w:r>
      <w:r w:rsidRPr="00705606">
        <w:rPr>
          <w:rFonts w:eastAsia="Calibri"/>
          <w:bCs/>
          <w:sz w:val="24"/>
          <w:szCs w:val="24"/>
        </w:rPr>
        <w:t xml:space="preserve"> Diana Vilytė</w:t>
      </w:r>
    </w:p>
    <w:p w14:paraId="04EDD4F1" w14:textId="77777777" w:rsidR="00161F9F" w:rsidRPr="00705606" w:rsidRDefault="00161F9F" w:rsidP="00E44ECF">
      <w:pPr>
        <w:rPr>
          <w:rFonts w:eastAsia="Calibri"/>
          <w:bCs/>
          <w:sz w:val="24"/>
          <w:szCs w:val="24"/>
        </w:rPr>
      </w:pPr>
    </w:p>
    <w:p w14:paraId="330EDB2C" w14:textId="77777777" w:rsidR="009A4647" w:rsidRPr="00705606" w:rsidRDefault="009A4647" w:rsidP="00E44ECF">
      <w:pPr>
        <w:rPr>
          <w:rFonts w:eastAsia="Calibri"/>
          <w:bCs/>
          <w:sz w:val="24"/>
          <w:szCs w:val="24"/>
        </w:rPr>
      </w:pPr>
    </w:p>
    <w:p w14:paraId="62A41298" w14:textId="36ACA272" w:rsidR="009A4647" w:rsidRDefault="009A4647" w:rsidP="00E44ECF">
      <w:pPr>
        <w:rPr>
          <w:rFonts w:eastAsia="Calibri"/>
          <w:bCs/>
          <w:sz w:val="24"/>
          <w:szCs w:val="24"/>
        </w:rPr>
      </w:pPr>
    </w:p>
    <w:p w14:paraId="17E0BF5E" w14:textId="241A255C" w:rsidR="00ED5336" w:rsidRDefault="00ED5336" w:rsidP="00E44ECF">
      <w:pPr>
        <w:rPr>
          <w:rFonts w:eastAsia="Calibri"/>
          <w:bCs/>
          <w:sz w:val="24"/>
          <w:szCs w:val="24"/>
        </w:rPr>
      </w:pPr>
    </w:p>
    <w:p w14:paraId="1A17F458" w14:textId="2405971B" w:rsidR="00ED5336" w:rsidRDefault="00ED5336" w:rsidP="00E44ECF">
      <w:pPr>
        <w:rPr>
          <w:rFonts w:eastAsia="Calibri"/>
          <w:bCs/>
          <w:sz w:val="24"/>
          <w:szCs w:val="24"/>
        </w:rPr>
      </w:pPr>
    </w:p>
    <w:p w14:paraId="0582B710" w14:textId="02B58289" w:rsidR="00ED5336" w:rsidRDefault="00ED5336" w:rsidP="00E44ECF">
      <w:pPr>
        <w:rPr>
          <w:rFonts w:eastAsia="Calibri"/>
          <w:bCs/>
          <w:sz w:val="24"/>
          <w:szCs w:val="24"/>
        </w:rPr>
      </w:pPr>
    </w:p>
    <w:p w14:paraId="085D6B35" w14:textId="77777777" w:rsidR="00ED5336" w:rsidRPr="00705606" w:rsidRDefault="00ED5336" w:rsidP="00E44ECF">
      <w:pPr>
        <w:rPr>
          <w:rFonts w:eastAsia="Calibri"/>
          <w:bCs/>
          <w:sz w:val="24"/>
          <w:szCs w:val="24"/>
        </w:rPr>
      </w:pPr>
    </w:p>
    <w:p w14:paraId="4B6A33AD" w14:textId="77777777" w:rsidR="009A4647" w:rsidRPr="00705606" w:rsidRDefault="009A4647" w:rsidP="00E44ECF">
      <w:pPr>
        <w:rPr>
          <w:rFonts w:eastAsia="Calibri"/>
          <w:bCs/>
          <w:sz w:val="24"/>
          <w:szCs w:val="24"/>
        </w:rPr>
      </w:pPr>
    </w:p>
    <w:p w14:paraId="23621FF7" w14:textId="77777777" w:rsidR="00E7604E" w:rsidRPr="00705606" w:rsidRDefault="00E7604E" w:rsidP="00E7604E">
      <w:pPr>
        <w:tabs>
          <w:tab w:val="left" w:pos="900"/>
        </w:tabs>
        <w:rPr>
          <w:sz w:val="24"/>
          <w:szCs w:val="24"/>
        </w:rPr>
      </w:pPr>
      <w:r w:rsidRPr="00705606">
        <w:rPr>
          <w:sz w:val="24"/>
          <w:szCs w:val="24"/>
        </w:rPr>
        <w:t>L. Tautvaišienė, tel. (8 5) 219 7036, faks. (8 5) 213 6213, el. p. Laimute.Tautvaisiene@vpt.lt</w:t>
      </w:r>
    </w:p>
    <w:sectPr w:rsidR="00E7604E" w:rsidRPr="00705606" w:rsidSect="001C573C">
      <w:headerReference w:type="even" r:id="rId11"/>
      <w:headerReference w:type="default" r:id="rId12"/>
      <w:footerReference w:type="default" r:id="rId13"/>
      <w:footerReference w:type="first" r:id="rId14"/>
      <w:pgSz w:w="11907" w:h="16840" w:code="9"/>
      <w:pgMar w:top="1134" w:right="567" w:bottom="1134"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CA997" w14:textId="77777777" w:rsidR="001C4E27" w:rsidRDefault="001C4E27">
      <w:r>
        <w:separator/>
      </w:r>
    </w:p>
  </w:endnote>
  <w:endnote w:type="continuationSeparator" w:id="0">
    <w:p w14:paraId="2B18770C" w14:textId="77777777" w:rsidR="001C4E27" w:rsidRDefault="001C4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9384D" w14:textId="77777777" w:rsidR="0063208F" w:rsidRDefault="0063208F">
    <w:pPr>
      <w:pStyle w:val="Footer"/>
    </w:pPr>
  </w:p>
  <w:p w14:paraId="4FB1906D" w14:textId="77777777" w:rsidR="0063208F" w:rsidRDefault="0063208F">
    <w:pPr>
      <w:pStyle w:val="Footer"/>
    </w:pPr>
  </w:p>
  <w:p w14:paraId="69FE971D" w14:textId="77777777" w:rsidR="0063208F" w:rsidRDefault="006320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70143" w14:textId="035B17F1" w:rsidR="0063208F" w:rsidRPr="00BB2F72" w:rsidRDefault="0063208F" w:rsidP="00D04BBF">
    <w:pPr>
      <w:pBdr>
        <w:top w:val="single" w:sz="4" w:space="1" w:color="auto"/>
      </w:pBdr>
      <w:rPr>
        <w:sz w:val="18"/>
      </w:rPr>
    </w:pPr>
    <w:r>
      <w:rPr>
        <w:sz w:val="18"/>
      </w:rPr>
      <w:t xml:space="preserve">Biudžetinė įstaiga                                </w:t>
    </w:r>
    <w:r w:rsidR="00CF084F">
      <w:rPr>
        <w:sz w:val="18"/>
      </w:rPr>
      <w:t xml:space="preserve">      </w:t>
    </w:r>
    <w:r>
      <w:rPr>
        <w:sz w:val="18"/>
      </w:rPr>
      <w:t xml:space="preserve"> Tel.  (8 5) 219 7001           </w:t>
    </w:r>
    <w:r w:rsidR="00CF084F">
      <w:rPr>
        <w:sz w:val="18"/>
      </w:rPr>
      <w:tab/>
    </w:r>
    <w:r w:rsidR="00CF084F">
      <w:rPr>
        <w:sz w:val="18"/>
      </w:rPr>
      <w:tab/>
    </w:r>
    <w:r w:rsidR="00CF084F">
      <w:rPr>
        <w:sz w:val="18"/>
      </w:rPr>
      <w:tab/>
    </w:r>
    <w:r w:rsidR="00CF084F">
      <w:rPr>
        <w:sz w:val="18"/>
      </w:rPr>
      <w:tab/>
    </w:r>
    <w:r w:rsidR="00CF084F">
      <w:rPr>
        <w:sz w:val="18"/>
      </w:rPr>
      <w:tab/>
    </w:r>
    <w:r w:rsidR="00CF084F">
      <w:rPr>
        <w:sz w:val="18"/>
      </w:rPr>
      <w:tab/>
    </w:r>
    <w:r w:rsidR="00CF084F">
      <w:rPr>
        <w:sz w:val="18"/>
      </w:rPr>
      <w:tab/>
    </w:r>
    <w:r>
      <w:rPr>
        <w:sz w:val="18"/>
      </w:rPr>
      <w:t xml:space="preserve"> </w:t>
    </w:r>
    <w:r w:rsidR="00CF084F">
      <w:rPr>
        <w:sz w:val="18"/>
      </w:rPr>
      <w:t xml:space="preserve">  </w:t>
    </w:r>
    <w:r w:rsidRPr="00E9516F">
      <w:rPr>
        <w:sz w:val="18"/>
      </w:rPr>
      <w:t>Duomenys kaupiami ir saugomi</w:t>
    </w:r>
    <w:r w:rsidRPr="00BB2F72">
      <w:rPr>
        <w:sz w:val="18"/>
      </w:rPr>
      <w:t> </w:t>
    </w:r>
  </w:p>
  <w:p w14:paraId="173838DD" w14:textId="47584E51" w:rsidR="0063208F" w:rsidRPr="00BB2F72" w:rsidRDefault="0063208F" w:rsidP="00D04BBF">
    <w:pPr>
      <w:pBdr>
        <w:top w:val="single" w:sz="4" w:space="1" w:color="auto"/>
      </w:pBdr>
      <w:jc w:val="both"/>
      <w:rPr>
        <w:sz w:val="18"/>
      </w:rPr>
    </w:pPr>
    <w:r>
      <w:rPr>
        <w:sz w:val="18"/>
      </w:rPr>
      <w:t xml:space="preserve">Kareivių g. 1, LT-08221 Vilnius          </w:t>
    </w:r>
    <w:r w:rsidR="00CF084F">
      <w:rPr>
        <w:sz w:val="18"/>
      </w:rPr>
      <w:t xml:space="preserve">      </w:t>
    </w:r>
    <w:r>
      <w:rPr>
        <w:sz w:val="18"/>
      </w:rPr>
      <w:t xml:space="preserve">Faks. (8 5) 213 6213        </w:t>
    </w:r>
    <w:r w:rsidR="00CF084F">
      <w:rPr>
        <w:sz w:val="18"/>
      </w:rPr>
      <w:tab/>
    </w:r>
    <w:r w:rsidR="00CF084F">
      <w:rPr>
        <w:sz w:val="18"/>
      </w:rPr>
      <w:tab/>
    </w:r>
    <w:r w:rsidR="00CF084F">
      <w:rPr>
        <w:sz w:val="18"/>
      </w:rPr>
      <w:tab/>
    </w:r>
    <w:r w:rsidR="00CF084F">
      <w:rPr>
        <w:sz w:val="18"/>
      </w:rPr>
      <w:tab/>
    </w:r>
    <w:r w:rsidR="00CF084F">
      <w:rPr>
        <w:sz w:val="18"/>
      </w:rPr>
      <w:tab/>
      <w:t xml:space="preserve">       </w:t>
    </w:r>
    <w:r w:rsidR="00CF084F">
      <w:rPr>
        <w:sz w:val="18"/>
      </w:rPr>
      <w:tab/>
      <w:t xml:space="preserve">   </w:t>
    </w:r>
    <w:r w:rsidRPr="00BB2F72">
      <w:rPr>
        <w:sz w:val="18"/>
      </w:rPr>
      <w:t xml:space="preserve">Juridinių asmenų registre </w:t>
    </w:r>
  </w:p>
  <w:p w14:paraId="62EA41BC" w14:textId="58B232EB" w:rsidR="0063208F" w:rsidRPr="00BB2F72" w:rsidRDefault="0063208F" w:rsidP="00D04BBF">
    <w:pPr>
      <w:pBdr>
        <w:top w:val="single" w:sz="4" w:space="1" w:color="auto"/>
      </w:pBdr>
      <w:jc w:val="both"/>
      <w:rPr>
        <w:sz w:val="18"/>
      </w:rPr>
    </w:pPr>
    <w:r w:rsidRPr="00FD7CCD">
      <w:rPr>
        <w:sz w:val="18"/>
      </w:rPr>
      <w:t>http://www.vpt.l</w:t>
    </w:r>
    <w:r>
      <w:rPr>
        <w:sz w:val="18"/>
      </w:rPr>
      <w:t xml:space="preserve">t                                 </w:t>
    </w:r>
    <w:r w:rsidR="00CF084F">
      <w:rPr>
        <w:sz w:val="18"/>
      </w:rPr>
      <w:t xml:space="preserve">       </w:t>
    </w:r>
    <w:r>
      <w:rPr>
        <w:sz w:val="18"/>
      </w:rPr>
      <w:t xml:space="preserve"> El. p. </w:t>
    </w:r>
    <w:proofErr w:type="spellStart"/>
    <w:r>
      <w:rPr>
        <w:sz w:val="18"/>
      </w:rPr>
      <w:t>info@vpt.lt</w:t>
    </w:r>
    <w:proofErr w:type="spellEnd"/>
    <w:r>
      <w:rPr>
        <w:sz w:val="18"/>
      </w:rPr>
      <w:t xml:space="preserve">       </w:t>
    </w:r>
    <w:r w:rsidRPr="00BB2F72">
      <w:rPr>
        <w:sz w:val="18"/>
      </w:rPr>
      <w:t xml:space="preserve">   </w:t>
    </w:r>
    <w:r>
      <w:rPr>
        <w:sz w:val="18"/>
      </w:rPr>
      <w:t xml:space="preserve"> </w:t>
    </w:r>
    <w:r w:rsidRPr="00BB2F72">
      <w:rPr>
        <w:sz w:val="18"/>
      </w:rPr>
      <w:t xml:space="preserve">    </w:t>
    </w:r>
    <w:r w:rsidR="00CF084F">
      <w:rPr>
        <w:sz w:val="18"/>
      </w:rPr>
      <w:tab/>
    </w:r>
    <w:r w:rsidR="00CF084F">
      <w:rPr>
        <w:sz w:val="18"/>
      </w:rPr>
      <w:tab/>
    </w:r>
    <w:r w:rsidR="00CF084F">
      <w:rPr>
        <w:sz w:val="18"/>
      </w:rPr>
      <w:tab/>
    </w:r>
    <w:r w:rsidR="00CF084F">
      <w:rPr>
        <w:sz w:val="18"/>
      </w:rPr>
      <w:tab/>
    </w:r>
    <w:r w:rsidR="00CF084F">
      <w:rPr>
        <w:sz w:val="18"/>
      </w:rPr>
      <w:tab/>
    </w:r>
    <w:r w:rsidR="00CF084F">
      <w:rPr>
        <w:sz w:val="18"/>
      </w:rPr>
      <w:tab/>
      <w:t xml:space="preserve">      </w:t>
    </w:r>
    <w:r w:rsidRPr="00BB2F72">
      <w:rPr>
        <w:sz w:val="18"/>
      </w:rPr>
      <w:t xml:space="preserve"> </w:t>
    </w:r>
    <w:r w:rsidR="00CF084F">
      <w:rPr>
        <w:sz w:val="18"/>
      </w:rPr>
      <w:t xml:space="preserve">  </w:t>
    </w:r>
    <w:r>
      <w:rPr>
        <w:sz w:val="18"/>
      </w:rPr>
      <w:t>Kodas 188656261</w:t>
    </w:r>
  </w:p>
  <w:p w14:paraId="4FE8C620" w14:textId="77777777" w:rsidR="0063208F" w:rsidRPr="008F10BE" w:rsidRDefault="0063208F" w:rsidP="00225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AB731" w14:textId="77777777" w:rsidR="001C4E27" w:rsidRDefault="001C4E27">
      <w:r>
        <w:separator/>
      </w:r>
    </w:p>
  </w:footnote>
  <w:footnote w:type="continuationSeparator" w:id="0">
    <w:p w14:paraId="7D40BD3E" w14:textId="77777777" w:rsidR="001C4E27" w:rsidRDefault="001C4E27">
      <w:r>
        <w:continuationSeparator/>
      </w:r>
    </w:p>
  </w:footnote>
  <w:footnote w:id="1">
    <w:p w14:paraId="640A855C" w14:textId="1ADBC4D8" w:rsidR="0063208F" w:rsidRDefault="0063208F" w:rsidP="00C405BA">
      <w:pPr>
        <w:pStyle w:val="FootnoteText"/>
        <w:jc w:val="both"/>
      </w:pPr>
      <w:r>
        <w:rPr>
          <w:rStyle w:val="FootnoteReference"/>
        </w:rPr>
        <w:footnoteRef/>
      </w:r>
      <w:r>
        <w:t xml:space="preserve"> „Perkančioji organizacija užtikrina, kad atliekant pirkimo procedūras ir nustatant laimėtoją būtų laikomasi lygiateisiškumo, nediskriminavimo, abipusio pripažinimo, proporcingumo ir skaidrumo principų“</w:t>
      </w:r>
      <w:r w:rsidR="002E1408">
        <w:t>;</w:t>
      </w:r>
    </w:p>
  </w:footnote>
  <w:footnote w:id="2">
    <w:p w14:paraId="392104A0" w14:textId="2CDF433F" w:rsidR="00143494" w:rsidRPr="00143494" w:rsidRDefault="00143494" w:rsidP="00705606">
      <w:pPr>
        <w:pStyle w:val="FootnoteText"/>
        <w:jc w:val="both"/>
      </w:pPr>
      <w:r>
        <w:rPr>
          <w:rStyle w:val="FootnoteReference"/>
        </w:rPr>
        <w:footnoteRef/>
      </w:r>
      <w:r>
        <w:t xml:space="preserve"> „</w:t>
      </w:r>
      <w:r w:rsidRPr="00705606">
        <w:rPr>
          <w:color w:val="000000"/>
        </w:rPr>
        <w:t>Pirkimų tikslas – vadovaujantis šio įstatymo reikalavimais sudaryti pirkimo sutartį, leidžiančią įsigyti perkančiajai organizacijai (atlikti pirkimą įgaliojusiai perkančiajai organizacijai) ar tretiesiems asmenims reikalingų prekių, paslaugų ar darbų, racionaliai naudojant tam skirtas lėšas</w:t>
      </w:r>
      <w:r>
        <w:rPr>
          <w:color w:val="000000"/>
        </w:rPr>
        <w:t>“</w:t>
      </w:r>
      <w:r w:rsidR="002E1408">
        <w:rPr>
          <w:color w:val="000000"/>
        </w:rPr>
        <w:t>;</w:t>
      </w:r>
    </w:p>
  </w:footnote>
  <w:footnote w:id="3">
    <w:p w14:paraId="0B126554" w14:textId="672FB929" w:rsidR="0063208F" w:rsidRDefault="0063208F" w:rsidP="00C405BA">
      <w:pPr>
        <w:pStyle w:val="FootnoteText"/>
        <w:jc w:val="both"/>
      </w:pPr>
      <w:r>
        <w:rPr>
          <w:rStyle w:val="FootnoteReference"/>
        </w:rPr>
        <w:footnoteRef/>
      </w:r>
      <w:r>
        <w:t xml:space="preserve"> „Pirkimo sutarties sąlygos sutarties galiojimo laikotarpiu negali būti keičiamos, išskyrus tokias pirkimo sutarties sąlygas, kurias pakeitus nebūtų pažeisti šio įstatymo 3 straipsnyje nustatyti principai bei tikslai ir kai tokiems pirkimo sutarties sąlygų pakeitimams yra gautas Viešųjų pirkimų tarnybos sutikimas. Viešųjų pirkimų tarnybos sutikimo nereikalaujama, kai atlikus supaprastintą pirkimą sudarytos sutarties vertė yra mažesnė kaip 10 000 Lt (be pridėtinės vertės mokesčio) arba kai pirkimo sutartis sudaryta atlikus mažos vertės pirkimą“</w:t>
      </w:r>
      <w:r w:rsidR="002E1408">
        <w:t>;</w:t>
      </w:r>
    </w:p>
  </w:footnote>
  <w:footnote w:id="4">
    <w:p w14:paraId="76076753" w14:textId="4A7996DA" w:rsidR="0063208F" w:rsidRDefault="0063208F">
      <w:pPr>
        <w:pStyle w:val="FootnoteText"/>
      </w:pPr>
      <w:r>
        <w:rPr>
          <w:rStyle w:val="FootnoteReference"/>
        </w:rPr>
        <w:footnoteRef/>
      </w:r>
      <w:r>
        <w:t xml:space="preserve"> Tarnybos 2014-05-19 d. raštas Nr. 4S-1625</w:t>
      </w:r>
      <w:r w:rsidR="002E1408">
        <w:t>;</w:t>
      </w:r>
    </w:p>
  </w:footnote>
  <w:footnote w:id="5">
    <w:p w14:paraId="1D6C0C49" w14:textId="38B13163" w:rsidR="00143494" w:rsidRPr="00D91AB3" w:rsidRDefault="00143494" w:rsidP="00143494">
      <w:pPr>
        <w:pStyle w:val="FootnoteText"/>
        <w:jc w:val="both"/>
      </w:pPr>
      <w:r w:rsidRPr="00D91AB3">
        <w:rPr>
          <w:rStyle w:val="FootnoteReference"/>
        </w:rPr>
        <w:footnoteRef/>
      </w:r>
      <w:r w:rsidRPr="00D91AB3">
        <w:t xml:space="preserve"> </w:t>
      </w:r>
      <w:r w:rsidR="002E1408" w:rsidRPr="00965844">
        <w:rPr>
          <w:lang w:eastAsia="lt-LT"/>
        </w:rPr>
        <w:t>2014-10-14</w:t>
      </w:r>
      <w:r w:rsidR="002E1408">
        <w:rPr>
          <w:lang w:eastAsia="lt-LT"/>
        </w:rPr>
        <w:t xml:space="preserve"> </w:t>
      </w:r>
      <w:r w:rsidRPr="00965844">
        <w:rPr>
          <w:lang w:eastAsia="lt-LT"/>
        </w:rPr>
        <w:t>abi sutarties šalys pasirašė Atliktų darbų aktą Nr. 1</w:t>
      </w:r>
      <w:r w:rsidR="002E1408">
        <w:rPr>
          <w:lang w:eastAsia="lt-LT"/>
        </w:rPr>
        <w:t>;</w:t>
      </w:r>
    </w:p>
  </w:footnote>
  <w:footnote w:id="6">
    <w:p w14:paraId="55201BF1" w14:textId="00C07C83" w:rsidR="00143494" w:rsidRPr="00D91AB3" w:rsidRDefault="00143494" w:rsidP="00143494">
      <w:pPr>
        <w:pStyle w:val="FootnoteText"/>
        <w:jc w:val="both"/>
      </w:pPr>
      <w:r w:rsidRPr="00D91AB3">
        <w:rPr>
          <w:rStyle w:val="FootnoteReference"/>
        </w:rPr>
        <w:footnoteRef/>
      </w:r>
      <w:r w:rsidRPr="00D91AB3">
        <w:t xml:space="preserve"> </w:t>
      </w:r>
      <w:r w:rsidRPr="00965844">
        <w:rPr>
          <w:lang w:eastAsia="lt-LT"/>
        </w:rPr>
        <w:t>serija MT- Nr.002987</w:t>
      </w:r>
      <w:r w:rsidR="002E1408">
        <w:rPr>
          <w:lang w:eastAsia="lt-LT"/>
        </w:rPr>
        <w:t>;</w:t>
      </w:r>
    </w:p>
  </w:footnote>
  <w:footnote w:id="7">
    <w:p w14:paraId="4BDCDB12" w14:textId="68D8D16E" w:rsidR="00143494" w:rsidRPr="00D91AB3" w:rsidRDefault="00143494" w:rsidP="00143494">
      <w:pPr>
        <w:pStyle w:val="FootnoteText"/>
        <w:jc w:val="both"/>
      </w:pPr>
      <w:r w:rsidRPr="00D91AB3">
        <w:rPr>
          <w:rStyle w:val="FootnoteReference"/>
        </w:rPr>
        <w:footnoteRef/>
      </w:r>
      <w:r w:rsidRPr="00D91AB3">
        <w:t xml:space="preserve"> </w:t>
      </w:r>
      <w:r w:rsidRPr="00965844">
        <w:t>2019-05-29 rašte Nr. S-(1.19)-4727 „Dėl informacijos ir dokumentų pateikimo sutarties vykdymo vertinimui“ Perkančioji organizacija nurodo, kad delspinigiai nebuvo skaičiuojami</w:t>
      </w:r>
      <w:r w:rsidR="002E1408">
        <w:t>;</w:t>
      </w:r>
    </w:p>
  </w:footnote>
  <w:footnote w:id="8">
    <w:p w14:paraId="72CD184E" w14:textId="4B8550A2" w:rsidR="00143494" w:rsidRPr="00143494" w:rsidRDefault="00143494" w:rsidP="00143494">
      <w:pPr>
        <w:pStyle w:val="FootnoteText"/>
        <w:jc w:val="both"/>
      </w:pPr>
      <w:r w:rsidRPr="00143494">
        <w:rPr>
          <w:rStyle w:val="FootnoteReference"/>
        </w:rPr>
        <w:footnoteRef/>
      </w:r>
      <w:r w:rsidRPr="00143494">
        <w:t xml:space="preserve"> </w:t>
      </w:r>
      <w:r w:rsidR="009A4A54">
        <w:t>„</w:t>
      </w:r>
      <w:r w:rsidRPr="00965844">
        <w:rPr>
          <w:color w:val="000000"/>
        </w:rPr>
        <w:t>Pirkimų tikslas – vadovaujantis šio įstatymo reikalavimais sudaryti pirkimo sutartį, leidžiančią įsigyti perkančiajai organizacijai (atlikti pirkimą įgaliojusiai perkančiajai organizacijai) ar tretiesiems asmenims reikalingų prekių, paslaugų ar darbų, racionaliai naudojant tam skirtas lėšas</w:t>
      </w:r>
      <w:r w:rsidR="009A4A54">
        <w:rPr>
          <w:color w:val="000000"/>
        </w:rPr>
        <w:t>“;</w:t>
      </w:r>
    </w:p>
  </w:footnote>
  <w:footnote w:id="9">
    <w:p w14:paraId="2182A592" w14:textId="54732EBE" w:rsidR="0063208F" w:rsidRPr="00D91AB3" w:rsidRDefault="0063208F" w:rsidP="00705606">
      <w:pPr>
        <w:pStyle w:val="FootnoteText"/>
        <w:jc w:val="both"/>
      </w:pPr>
      <w:r>
        <w:rPr>
          <w:rStyle w:val="FootnoteReference"/>
        </w:rPr>
        <w:footnoteRef/>
      </w:r>
      <w:r>
        <w:t xml:space="preserve"> </w:t>
      </w:r>
      <w:r w:rsidRPr="00D91AB3">
        <w:t>Įstatymo 18 straipsnio 8 dalis</w:t>
      </w:r>
      <w:r w:rsidR="009A4A5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9764B" w14:textId="77777777" w:rsidR="0063208F" w:rsidRDefault="0063208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BE9D9" w14:textId="77777777" w:rsidR="0063208F" w:rsidRDefault="006320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12D8C" w14:textId="77777777" w:rsidR="0063208F" w:rsidRDefault="0063208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A4D36B0" w14:textId="77777777" w:rsidR="0063208F" w:rsidRDefault="006320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32F6"/>
    <w:multiLevelType w:val="hybridMultilevel"/>
    <w:tmpl w:val="CD12DAF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1F07D29"/>
    <w:multiLevelType w:val="hybridMultilevel"/>
    <w:tmpl w:val="48E85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A4408"/>
    <w:multiLevelType w:val="hybridMultilevel"/>
    <w:tmpl w:val="55C4CE64"/>
    <w:lvl w:ilvl="0" w:tplc="6AEA067E">
      <w:start w:val="1"/>
      <w:numFmt w:val="decimal"/>
      <w:lvlText w:val="%1."/>
      <w:lvlJc w:val="left"/>
      <w:pPr>
        <w:ind w:left="1287" w:hanging="72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9E8484B"/>
    <w:multiLevelType w:val="hybridMultilevel"/>
    <w:tmpl w:val="8834B26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F00952"/>
    <w:multiLevelType w:val="hybridMultilevel"/>
    <w:tmpl w:val="1840C7A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72477E"/>
    <w:multiLevelType w:val="hybridMultilevel"/>
    <w:tmpl w:val="E20CA9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C03880"/>
    <w:multiLevelType w:val="hybridMultilevel"/>
    <w:tmpl w:val="60BC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345EC9"/>
    <w:multiLevelType w:val="hybridMultilevel"/>
    <w:tmpl w:val="47CE13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664326"/>
    <w:multiLevelType w:val="multilevel"/>
    <w:tmpl w:val="0A604A14"/>
    <w:lvl w:ilvl="0">
      <w:start w:val="1"/>
      <w:numFmt w:val="decimal"/>
      <w:lvlText w:val="%1."/>
      <w:lvlJc w:val="left"/>
      <w:pPr>
        <w:ind w:left="4325" w:hanging="360"/>
      </w:pPr>
      <w:rPr>
        <w:rFonts w:hint="default"/>
      </w:rPr>
    </w:lvl>
    <w:lvl w:ilvl="1">
      <w:start w:val="1"/>
      <w:numFmt w:val="decimal"/>
      <w:isLgl/>
      <w:lvlText w:val="%1.%2."/>
      <w:lvlJc w:val="left"/>
      <w:pPr>
        <w:ind w:left="4865" w:hanging="540"/>
      </w:pPr>
      <w:rPr>
        <w:rFonts w:hint="default"/>
      </w:rPr>
    </w:lvl>
    <w:lvl w:ilvl="2">
      <w:start w:val="1"/>
      <w:numFmt w:val="decimal"/>
      <w:isLgl/>
      <w:lvlText w:val="%1.%2.%3."/>
      <w:lvlJc w:val="left"/>
      <w:pPr>
        <w:ind w:left="5405" w:hanging="720"/>
      </w:pPr>
      <w:rPr>
        <w:rFonts w:hint="default"/>
      </w:rPr>
    </w:lvl>
    <w:lvl w:ilvl="3">
      <w:start w:val="1"/>
      <w:numFmt w:val="decimal"/>
      <w:isLgl/>
      <w:lvlText w:val="%1.%2.%3.%4."/>
      <w:lvlJc w:val="left"/>
      <w:pPr>
        <w:ind w:left="5765" w:hanging="720"/>
      </w:pPr>
      <w:rPr>
        <w:rFonts w:hint="default"/>
      </w:rPr>
    </w:lvl>
    <w:lvl w:ilvl="4">
      <w:start w:val="1"/>
      <w:numFmt w:val="decimal"/>
      <w:isLgl/>
      <w:lvlText w:val="%1.%2.%3.%4.%5."/>
      <w:lvlJc w:val="left"/>
      <w:pPr>
        <w:ind w:left="6485" w:hanging="1080"/>
      </w:pPr>
      <w:rPr>
        <w:rFonts w:hint="default"/>
      </w:rPr>
    </w:lvl>
    <w:lvl w:ilvl="5">
      <w:start w:val="1"/>
      <w:numFmt w:val="decimal"/>
      <w:isLgl/>
      <w:lvlText w:val="%1.%2.%3.%4.%5.%6."/>
      <w:lvlJc w:val="left"/>
      <w:pPr>
        <w:ind w:left="6845" w:hanging="1080"/>
      </w:pPr>
      <w:rPr>
        <w:rFonts w:hint="default"/>
      </w:rPr>
    </w:lvl>
    <w:lvl w:ilvl="6">
      <w:start w:val="1"/>
      <w:numFmt w:val="decimal"/>
      <w:isLgl/>
      <w:lvlText w:val="%1.%2.%3.%4.%5.%6.%7."/>
      <w:lvlJc w:val="left"/>
      <w:pPr>
        <w:ind w:left="7565" w:hanging="1440"/>
      </w:pPr>
      <w:rPr>
        <w:rFonts w:hint="default"/>
      </w:rPr>
    </w:lvl>
    <w:lvl w:ilvl="7">
      <w:start w:val="1"/>
      <w:numFmt w:val="decimal"/>
      <w:isLgl/>
      <w:lvlText w:val="%1.%2.%3.%4.%5.%6.%7.%8."/>
      <w:lvlJc w:val="left"/>
      <w:pPr>
        <w:ind w:left="7925" w:hanging="1440"/>
      </w:pPr>
      <w:rPr>
        <w:rFonts w:hint="default"/>
      </w:rPr>
    </w:lvl>
    <w:lvl w:ilvl="8">
      <w:start w:val="1"/>
      <w:numFmt w:val="decimal"/>
      <w:isLgl/>
      <w:lvlText w:val="%1.%2.%3.%4.%5.%6.%7.%8.%9."/>
      <w:lvlJc w:val="left"/>
      <w:pPr>
        <w:ind w:left="8645" w:hanging="1800"/>
      </w:pPr>
      <w:rPr>
        <w:rFonts w:hint="default"/>
      </w:rPr>
    </w:lvl>
  </w:abstractNum>
  <w:abstractNum w:abstractNumId="9" w15:restartNumberingAfterBreak="0">
    <w:nsid w:val="32872B4F"/>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297137"/>
    <w:multiLevelType w:val="hybridMultilevel"/>
    <w:tmpl w:val="A3322A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CD2B9A"/>
    <w:multiLevelType w:val="hybridMultilevel"/>
    <w:tmpl w:val="BF604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A31978"/>
    <w:multiLevelType w:val="hybridMultilevel"/>
    <w:tmpl w:val="48B2249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ED170EC"/>
    <w:multiLevelType w:val="hybridMultilevel"/>
    <w:tmpl w:val="C3645FE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7C4ED7"/>
    <w:multiLevelType w:val="hybridMultilevel"/>
    <w:tmpl w:val="8318CFCA"/>
    <w:lvl w:ilvl="0" w:tplc="C70486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7966F62"/>
    <w:multiLevelType w:val="hybridMultilevel"/>
    <w:tmpl w:val="C5FA93C8"/>
    <w:lvl w:ilvl="0" w:tplc="85162564">
      <w:start w:val="1"/>
      <w:numFmt w:val="upperRoman"/>
      <w:lvlText w:val="%1."/>
      <w:lvlJc w:val="left"/>
      <w:pPr>
        <w:tabs>
          <w:tab w:val="num" w:pos="1080"/>
        </w:tabs>
        <w:ind w:left="1080" w:hanging="720"/>
      </w:pPr>
      <w:rPr>
        <w:rFonts w:cs="Times New Roman" w:hint="default"/>
      </w:rPr>
    </w:lvl>
    <w:lvl w:ilvl="1" w:tplc="908CAF6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C5169BD"/>
    <w:multiLevelType w:val="multilevel"/>
    <w:tmpl w:val="34564650"/>
    <w:lvl w:ilvl="0">
      <w:start w:val="1"/>
      <w:numFmt w:val="decimal"/>
      <w:lvlText w:val="%1."/>
      <w:lvlJc w:val="left"/>
      <w:pPr>
        <w:ind w:left="1020" w:hanging="360"/>
      </w:pPr>
      <w:rPr>
        <w:rFonts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60"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20" w:hanging="1440"/>
      </w:pPr>
      <w:rPr>
        <w:rFonts w:hint="default"/>
      </w:rPr>
    </w:lvl>
    <w:lvl w:ilvl="8">
      <w:start w:val="1"/>
      <w:numFmt w:val="decimal"/>
      <w:isLgl/>
      <w:lvlText w:val="%1.%2.%3.%4.%5.%6.%7.%8.%9."/>
      <w:lvlJc w:val="left"/>
      <w:pPr>
        <w:ind w:left="5340" w:hanging="1800"/>
      </w:pPr>
      <w:rPr>
        <w:rFonts w:hint="default"/>
      </w:rPr>
    </w:lvl>
  </w:abstractNum>
  <w:abstractNum w:abstractNumId="17" w15:restartNumberingAfterBreak="0">
    <w:nsid w:val="61C044E1"/>
    <w:multiLevelType w:val="hybridMultilevel"/>
    <w:tmpl w:val="61461BBC"/>
    <w:lvl w:ilvl="0" w:tplc="F4DC414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628A2113"/>
    <w:multiLevelType w:val="hybridMultilevel"/>
    <w:tmpl w:val="DD1C337E"/>
    <w:lvl w:ilvl="0" w:tplc="EA3C84C0">
      <w:start w:val="1"/>
      <w:numFmt w:val="decimal"/>
      <w:lvlText w:val="%1."/>
      <w:lvlJc w:val="left"/>
      <w:pPr>
        <w:ind w:left="1020" w:hanging="360"/>
      </w:pPr>
      <w:rPr>
        <w:rFonts w:hint="default"/>
        <w:color w:val="auto"/>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9" w15:restartNumberingAfterBreak="0">
    <w:nsid w:val="6C5717C5"/>
    <w:multiLevelType w:val="hybridMultilevel"/>
    <w:tmpl w:val="0638CE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8A63FE2"/>
    <w:multiLevelType w:val="hybridMultilevel"/>
    <w:tmpl w:val="705266F0"/>
    <w:lvl w:ilvl="0" w:tplc="D4961A4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7963212A"/>
    <w:multiLevelType w:val="multilevel"/>
    <w:tmpl w:val="F4C26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A766277"/>
    <w:multiLevelType w:val="hybridMultilevel"/>
    <w:tmpl w:val="61F09BF0"/>
    <w:lvl w:ilvl="0" w:tplc="A17813B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7DD9324B"/>
    <w:multiLevelType w:val="hybridMultilevel"/>
    <w:tmpl w:val="1D3E33F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EF02495"/>
    <w:multiLevelType w:val="hybridMultilevel"/>
    <w:tmpl w:val="731C6072"/>
    <w:lvl w:ilvl="0" w:tplc="B6F8B6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0"/>
  </w:num>
  <w:num w:numId="2">
    <w:abstractNumId w:val="22"/>
  </w:num>
  <w:num w:numId="3">
    <w:abstractNumId w:val="14"/>
  </w:num>
  <w:num w:numId="4">
    <w:abstractNumId w:val="16"/>
  </w:num>
  <w:num w:numId="5">
    <w:abstractNumId w:val="11"/>
  </w:num>
  <w:num w:numId="6">
    <w:abstractNumId w:val="8"/>
  </w:num>
  <w:num w:numId="7">
    <w:abstractNumId w:val="15"/>
  </w:num>
  <w:num w:numId="8">
    <w:abstractNumId w:val="21"/>
  </w:num>
  <w:num w:numId="9">
    <w:abstractNumId w:val="17"/>
  </w:num>
  <w:num w:numId="10">
    <w:abstractNumId w:val="24"/>
  </w:num>
  <w:num w:numId="11">
    <w:abstractNumId w:val="12"/>
  </w:num>
  <w:num w:numId="12">
    <w:abstractNumId w:val="19"/>
  </w:num>
  <w:num w:numId="13">
    <w:abstractNumId w:val="13"/>
  </w:num>
  <w:num w:numId="14">
    <w:abstractNumId w:val="3"/>
  </w:num>
  <w:num w:numId="15">
    <w:abstractNumId w:val="23"/>
  </w:num>
  <w:num w:numId="16">
    <w:abstractNumId w:val="4"/>
  </w:num>
  <w:num w:numId="17">
    <w:abstractNumId w:val="18"/>
  </w:num>
  <w:num w:numId="18">
    <w:abstractNumId w:val="20"/>
  </w:num>
  <w:num w:numId="19">
    <w:abstractNumId w:val="1"/>
  </w:num>
  <w:num w:numId="20">
    <w:abstractNumId w:val="0"/>
  </w:num>
  <w:num w:numId="21">
    <w:abstractNumId w:val="6"/>
  </w:num>
  <w:num w:numId="22">
    <w:abstractNumId w:val="5"/>
  </w:num>
  <w:num w:numId="23">
    <w:abstractNumId w:val="9"/>
  </w:num>
  <w:num w:numId="24">
    <w:abstractNumId w:val="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51DA"/>
    <w:rsid w:val="00005373"/>
    <w:rsid w:val="00007372"/>
    <w:rsid w:val="00012A03"/>
    <w:rsid w:val="00012ADC"/>
    <w:rsid w:val="00012CF3"/>
    <w:rsid w:val="000171F4"/>
    <w:rsid w:val="00020C7E"/>
    <w:rsid w:val="00021053"/>
    <w:rsid w:val="000220AE"/>
    <w:rsid w:val="00023B43"/>
    <w:rsid w:val="00032628"/>
    <w:rsid w:val="000327A3"/>
    <w:rsid w:val="00033A32"/>
    <w:rsid w:val="00033CC7"/>
    <w:rsid w:val="00035B85"/>
    <w:rsid w:val="00035EB7"/>
    <w:rsid w:val="00036B71"/>
    <w:rsid w:val="000407F4"/>
    <w:rsid w:val="00040AA7"/>
    <w:rsid w:val="00044AFE"/>
    <w:rsid w:val="000506A7"/>
    <w:rsid w:val="00052C07"/>
    <w:rsid w:val="000536CD"/>
    <w:rsid w:val="00062FC5"/>
    <w:rsid w:val="00063476"/>
    <w:rsid w:val="0006795B"/>
    <w:rsid w:val="00071704"/>
    <w:rsid w:val="000717C1"/>
    <w:rsid w:val="00072251"/>
    <w:rsid w:val="00072FEA"/>
    <w:rsid w:val="0008682A"/>
    <w:rsid w:val="00087CE3"/>
    <w:rsid w:val="00092283"/>
    <w:rsid w:val="0009375D"/>
    <w:rsid w:val="000957A9"/>
    <w:rsid w:val="00097A68"/>
    <w:rsid w:val="00097F19"/>
    <w:rsid w:val="000A1C7A"/>
    <w:rsid w:val="000A449F"/>
    <w:rsid w:val="000A4E9C"/>
    <w:rsid w:val="000A5052"/>
    <w:rsid w:val="000B16A4"/>
    <w:rsid w:val="000B32CC"/>
    <w:rsid w:val="000B4678"/>
    <w:rsid w:val="000B6318"/>
    <w:rsid w:val="000B6B7A"/>
    <w:rsid w:val="000B711A"/>
    <w:rsid w:val="000B7F6D"/>
    <w:rsid w:val="000C1BD8"/>
    <w:rsid w:val="000C453D"/>
    <w:rsid w:val="000C7CB3"/>
    <w:rsid w:val="000D197A"/>
    <w:rsid w:val="000D1ADB"/>
    <w:rsid w:val="000D2A4F"/>
    <w:rsid w:val="000E0F48"/>
    <w:rsid w:val="000E5D45"/>
    <w:rsid w:val="000F219F"/>
    <w:rsid w:val="000F259D"/>
    <w:rsid w:val="000F3A51"/>
    <w:rsid w:val="000F4816"/>
    <w:rsid w:val="001033CB"/>
    <w:rsid w:val="001038D6"/>
    <w:rsid w:val="00103DFB"/>
    <w:rsid w:val="00106369"/>
    <w:rsid w:val="0011054C"/>
    <w:rsid w:val="00111589"/>
    <w:rsid w:val="00117AAD"/>
    <w:rsid w:val="00124DA9"/>
    <w:rsid w:val="001316D9"/>
    <w:rsid w:val="00140B6A"/>
    <w:rsid w:val="00143494"/>
    <w:rsid w:val="001530D4"/>
    <w:rsid w:val="00153D28"/>
    <w:rsid w:val="00154DED"/>
    <w:rsid w:val="00161F9F"/>
    <w:rsid w:val="001640E0"/>
    <w:rsid w:val="00166628"/>
    <w:rsid w:val="0016690B"/>
    <w:rsid w:val="0017077F"/>
    <w:rsid w:val="001709FB"/>
    <w:rsid w:val="00174911"/>
    <w:rsid w:val="00175CAB"/>
    <w:rsid w:val="00175D5B"/>
    <w:rsid w:val="00193F9C"/>
    <w:rsid w:val="001947C6"/>
    <w:rsid w:val="001962D7"/>
    <w:rsid w:val="001A02BA"/>
    <w:rsid w:val="001A1436"/>
    <w:rsid w:val="001A2A3C"/>
    <w:rsid w:val="001A334E"/>
    <w:rsid w:val="001A368C"/>
    <w:rsid w:val="001B30EB"/>
    <w:rsid w:val="001B762A"/>
    <w:rsid w:val="001C3E95"/>
    <w:rsid w:val="001C4E27"/>
    <w:rsid w:val="001C573C"/>
    <w:rsid w:val="001C64A9"/>
    <w:rsid w:val="001D0514"/>
    <w:rsid w:val="001D5209"/>
    <w:rsid w:val="001D5A56"/>
    <w:rsid w:val="001E0E30"/>
    <w:rsid w:val="001E268A"/>
    <w:rsid w:val="001E4D19"/>
    <w:rsid w:val="001E5BC8"/>
    <w:rsid w:val="001F0331"/>
    <w:rsid w:val="001F3C79"/>
    <w:rsid w:val="001F556E"/>
    <w:rsid w:val="001F75D7"/>
    <w:rsid w:val="00200A06"/>
    <w:rsid w:val="002011C3"/>
    <w:rsid w:val="0020247F"/>
    <w:rsid w:val="0021610E"/>
    <w:rsid w:val="00220777"/>
    <w:rsid w:val="00223E47"/>
    <w:rsid w:val="00225780"/>
    <w:rsid w:val="00226B1C"/>
    <w:rsid w:val="00227A94"/>
    <w:rsid w:val="00234FC6"/>
    <w:rsid w:val="00236A08"/>
    <w:rsid w:val="00243A6A"/>
    <w:rsid w:val="00244987"/>
    <w:rsid w:val="00244C32"/>
    <w:rsid w:val="0024531A"/>
    <w:rsid w:val="00246C3A"/>
    <w:rsid w:val="002563D1"/>
    <w:rsid w:val="00256CEF"/>
    <w:rsid w:val="00256F34"/>
    <w:rsid w:val="002571B3"/>
    <w:rsid w:val="00264928"/>
    <w:rsid w:val="00267D5D"/>
    <w:rsid w:val="00276B60"/>
    <w:rsid w:val="00282A9C"/>
    <w:rsid w:val="002859C8"/>
    <w:rsid w:val="00287365"/>
    <w:rsid w:val="002878B6"/>
    <w:rsid w:val="00297410"/>
    <w:rsid w:val="002A06B0"/>
    <w:rsid w:val="002B00C7"/>
    <w:rsid w:val="002B0D9C"/>
    <w:rsid w:val="002B52E1"/>
    <w:rsid w:val="002B5FFD"/>
    <w:rsid w:val="002B6A22"/>
    <w:rsid w:val="002B6E25"/>
    <w:rsid w:val="002C4875"/>
    <w:rsid w:val="002C4A68"/>
    <w:rsid w:val="002D1F71"/>
    <w:rsid w:val="002D2221"/>
    <w:rsid w:val="002D5292"/>
    <w:rsid w:val="002E1408"/>
    <w:rsid w:val="002F2B58"/>
    <w:rsid w:val="002F566D"/>
    <w:rsid w:val="002F5D26"/>
    <w:rsid w:val="002F6A88"/>
    <w:rsid w:val="002F7091"/>
    <w:rsid w:val="00300CAD"/>
    <w:rsid w:val="00313FC6"/>
    <w:rsid w:val="003146FA"/>
    <w:rsid w:val="00315AFD"/>
    <w:rsid w:val="00322530"/>
    <w:rsid w:val="00323923"/>
    <w:rsid w:val="003406A1"/>
    <w:rsid w:val="00342798"/>
    <w:rsid w:val="0034536A"/>
    <w:rsid w:val="003507C5"/>
    <w:rsid w:val="00351E8D"/>
    <w:rsid w:val="00354B61"/>
    <w:rsid w:val="00355ABF"/>
    <w:rsid w:val="0035640A"/>
    <w:rsid w:val="00356A47"/>
    <w:rsid w:val="00357A1F"/>
    <w:rsid w:val="003603C0"/>
    <w:rsid w:val="003603D2"/>
    <w:rsid w:val="00362EC3"/>
    <w:rsid w:val="00363575"/>
    <w:rsid w:val="00364784"/>
    <w:rsid w:val="00366A1E"/>
    <w:rsid w:val="00370F5D"/>
    <w:rsid w:val="00372DC1"/>
    <w:rsid w:val="00383E99"/>
    <w:rsid w:val="00394BAF"/>
    <w:rsid w:val="00396B0F"/>
    <w:rsid w:val="003A1EE9"/>
    <w:rsid w:val="003A4571"/>
    <w:rsid w:val="003B006E"/>
    <w:rsid w:val="003B1CB8"/>
    <w:rsid w:val="003B3873"/>
    <w:rsid w:val="003B61F5"/>
    <w:rsid w:val="003B6F14"/>
    <w:rsid w:val="003C1CE8"/>
    <w:rsid w:val="003C4F5A"/>
    <w:rsid w:val="003D210D"/>
    <w:rsid w:val="003D366B"/>
    <w:rsid w:val="003D3D13"/>
    <w:rsid w:val="003D4521"/>
    <w:rsid w:val="003D5878"/>
    <w:rsid w:val="003E2D3A"/>
    <w:rsid w:val="003E7C5A"/>
    <w:rsid w:val="003F2AFD"/>
    <w:rsid w:val="003F3E7B"/>
    <w:rsid w:val="003F5351"/>
    <w:rsid w:val="003F6798"/>
    <w:rsid w:val="003F7ECB"/>
    <w:rsid w:val="00400419"/>
    <w:rsid w:val="00403221"/>
    <w:rsid w:val="004036E3"/>
    <w:rsid w:val="00407574"/>
    <w:rsid w:val="00412169"/>
    <w:rsid w:val="00413ACA"/>
    <w:rsid w:val="0041421A"/>
    <w:rsid w:val="004171BA"/>
    <w:rsid w:val="004306E5"/>
    <w:rsid w:val="00433CCA"/>
    <w:rsid w:val="0043638A"/>
    <w:rsid w:val="004434D2"/>
    <w:rsid w:val="0044729E"/>
    <w:rsid w:val="0045154A"/>
    <w:rsid w:val="00454D65"/>
    <w:rsid w:val="004567A8"/>
    <w:rsid w:val="00462A10"/>
    <w:rsid w:val="00462D1D"/>
    <w:rsid w:val="004653D9"/>
    <w:rsid w:val="00465640"/>
    <w:rsid w:val="00471761"/>
    <w:rsid w:val="004726CF"/>
    <w:rsid w:val="0047344B"/>
    <w:rsid w:val="00475E85"/>
    <w:rsid w:val="004807C7"/>
    <w:rsid w:val="0048148B"/>
    <w:rsid w:val="004852A6"/>
    <w:rsid w:val="00491154"/>
    <w:rsid w:val="00492330"/>
    <w:rsid w:val="00493E09"/>
    <w:rsid w:val="00493E4F"/>
    <w:rsid w:val="00496D6B"/>
    <w:rsid w:val="004A2BDD"/>
    <w:rsid w:val="004A32E9"/>
    <w:rsid w:val="004A37DB"/>
    <w:rsid w:val="004A6E8F"/>
    <w:rsid w:val="004A78DE"/>
    <w:rsid w:val="004B127C"/>
    <w:rsid w:val="004C39B1"/>
    <w:rsid w:val="004C44D9"/>
    <w:rsid w:val="004D03A6"/>
    <w:rsid w:val="004D1BAD"/>
    <w:rsid w:val="004D2891"/>
    <w:rsid w:val="004D46F3"/>
    <w:rsid w:val="004D4EA3"/>
    <w:rsid w:val="004D50DD"/>
    <w:rsid w:val="004D570E"/>
    <w:rsid w:val="004D6A5A"/>
    <w:rsid w:val="004F19BD"/>
    <w:rsid w:val="004F2642"/>
    <w:rsid w:val="004F2FEC"/>
    <w:rsid w:val="004F4852"/>
    <w:rsid w:val="004F6B07"/>
    <w:rsid w:val="004F733B"/>
    <w:rsid w:val="00510C55"/>
    <w:rsid w:val="00510D7D"/>
    <w:rsid w:val="00514B13"/>
    <w:rsid w:val="00515C07"/>
    <w:rsid w:val="00516788"/>
    <w:rsid w:val="00532610"/>
    <w:rsid w:val="005329D1"/>
    <w:rsid w:val="00537663"/>
    <w:rsid w:val="00537E91"/>
    <w:rsid w:val="005428DC"/>
    <w:rsid w:val="00542FAC"/>
    <w:rsid w:val="00543A09"/>
    <w:rsid w:val="00547EE2"/>
    <w:rsid w:val="0055324A"/>
    <w:rsid w:val="00554E90"/>
    <w:rsid w:val="005700DD"/>
    <w:rsid w:val="00571B45"/>
    <w:rsid w:val="005811EC"/>
    <w:rsid w:val="00582298"/>
    <w:rsid w:val="00582F9E"/>
    <w:rsid w:val="00583103"/>
    <w:rsid w:val="005832AB"/>
    <w:rsid w:val="00586530"/>
    <w:rsid w:val="005872B5"/>
    <w:rsid w:val="00596E69"/>
    <w:rsid w:val="00597D0F"/>
    <w:rsid w:val="005A1DFA"/>
    <w:rsid w:val="005A3C6F"/>
    <w:rsid w:val="005A6160"/>
    <w:rsid w:val="005B073E"/>
    <w:rsid w:val="005B08EE"/>
    <w:rsid w:val="005B0F81"/>
    <w:rsid w:val="005B6914"/>
    <w:rsid w:val="005B6FCB"/>
    <w:rsid w:val="005C07E0"/>
    <w:rsid w:val="005C31BC"/>
    <w:rsid w:val="005C4A0B"/>
    <w:rsid w:val="005D3300"/>
    <w:rsid w:val="005E61D1"/>
    <w:rsid w:val="005E7486"/>
    <w:rsid w:val="005F3063"/>
    <w:rsid w:val="005F580D"/>
    <w:rsid w:val="005F5F70"/>
    <w:rsid w:val="00601D8F"/>
    <w:rsid w:val="006020F8"/>
    <w:rsid w:val="0060413D"/>
    <w:rsid w:val="00604645"/>
    <w:rsid w:val="0060688B"/>
    <w:rsid w:val="00606BB3"/>
    <w:rsid w:val="006130F2"/>
    <w:rsid w:val="00617673"/>
    <w:rsid w:val="006201DC"/>
    <w:rsid w:val="00620E70"/>
    <w:rsid w:val="006216A1"/>
    <w:rsid w:val="00623419"/>
    <w:rsid w:val="006260DF"/>
    <w:rsid w:val="00626943"/>
    <w:rsid w:val="0062784C"/>
    <w:rsid w:val="0063208F"/>
    <w:rsid w:val="00633E2F"/>
    <w:rsid w:val="006358E2"/>
    <w:rsid w:val="00636C2D"/>
    <w:rsid w:val="00636F1B"/>
    <w:rsid w:val="006416BA"/>
    <w:rsid w:val="006416BB"/>
    <w:rsid w:val="00641920"/>
    <w:rsid w:val="00650A6B"/>
    <w:rsid w:val="00653884"/>
    <w:rsid w:val="00654627"/>
    <w:rsid w:val="00654BAE"/>
    <w:rsid w:val="006579F4"/>
    <w:rsid w:val="00657DCF"/>
    <w:rsid w:val="006608AC"/>
    <w:rsid w:val="00661BA7"/>
    <w:rsid w:val="00663222"/>
    <w:rsid w:val="00664877"/>
    <w:rsid w:val="00665CE3"/>
    <w:rsid w:val="006725F0"/>
    <w:rsid w:val="006746AE"/>
    <w:rsid w:val="00675F21"/>
    <w:rsid w:val="00681F41"/>
    <w:rsid w:val="00686FB9"/>
    <w:rsid w:val="00691084"/>
    <w:rsid w:val="0069169D"/>
    <w:rsid w:val="00692322"/>
    <w:rsid w:val="006935D2"/>
    <w:rsid w:val="00693D78"/>
    <w:rsid w:val="00693F43"/>
    <w:rsid w:val="00694EC5"/>
    <w:rsid w:val="0069667B"/>
    <w:rsid w:val="006A189E"/>
    <w:rsid w:val="006A1E5A"/>
    <w:rsid w:val="006A58F0"/>
    <w:rsid w:val="006B0648"/>
    <w:rsid w:val="006B2A95"/>
    <w:rsid w:val="006B2C82"/>
    <w:rsid w:val="006B3095"/>
    <w:rsid w:val="006B7199"/>
    <w:rsid w:val="006B7885"/>
    <w:rsid w:val="006C1776"/>
    <w:rsid w:val="006C69AD"/>
    <w:rsid w:val="006C6A4E"/>
    <w:rsid w:val="006C6D10"/>
    <w:rsid w:val="006C6FDB"/>
    <w:rsid w:val="006D30CE"/>
    <w:rsid w:val="006D44EB"/>
    <w:rsid w:val="006D6F78"/>
    <w:rsid w:val="006E2104"/>
    <w:rsid w:val="006E299F"/>
    <w:rsid w:val="006E49E8"/>
    <w:rsid w:val="006F1C48"/>
    <w:rsid w:val="006F40CE"/>
    <w:rsid w:val="00700508"/>
    <w:rsid w:val="00700704"/>
    <w:rsid w:val="00702DFF"/>
    <w:rsid w:val="007039AE"/>
    <w:rsid w:val="00705606"/>
    <w:rsid w:val="007064C6"/>
    <w:rsid w:val="00707161"/>
    <w:rsid w:val="00710079"/>
    <w:rsid w:val="00711815"/>
    <w:rsid w:val="007122AA"/>
    <w:rsid w:val="007129D8"/>
    <w:rsid w:val="0071380F"/>
    <w:rsid w:val="007139FB"/>
    <w:rsid w:val="007142D2"/>
    <w:rsid w:val="00714E99"/>
    <w:rsid w:val="0072074D"/>
    <w:rsid w:val="007226D1"/>
    <w:rsid w:val="007241FC"/>
    <w:rsid w:val="007265B1"/>
    <w:rsid w:val="00727A68"/>
    <w:rsid w:val="00727CA6"/>
    <w:rsid w:val="00733D75"/>
    <w:rsid w:val="0073429E"/>
    <w:rsid w:val="00744E44"/>
    <w:rsid w:val="00747432"/>
    <w:rsid w:val="0075740E"/>
    <w:rsid w:val="00760CBC"/>
    <w:rsid w:val="0076578D"/>
    <w:rsid w:val="00765ED2"/>
    <w:rsid w:val="007661A4"/>
    <w:rsid w:val="007777A8"/>
    <w:rsid w:val="00782C55"/>
    <w:rsid w:val="007876D0"/>
    <w:rsid w:val="007903D4"/>
    <w:rsid w:val="00792F77"/>
    <w:rsid w:val="00793418"/>
    <w:rsid w:val="00793677"/>
    <w:rsid w:val="00796248"/>
    <w:rsid w:val="007964FA"/>
    <w:rsid w:val="007A3192"/>
    <w:rsid w:val="007A3CE6"/>
    <w:rsid w:val="007A7FEC"/>
    <w:rsid w:val="007B5C2E"/>
    <w:rsid w:val="007B7485"/>
    <w:rsid w:val="007C3867"/>
    <w:rsid w:val="007C762B"/>
    <w:rsid w:val="007D0FBD"/>
    <w:rsid w:val="007D4ED7"/>
    <w:rsid w:val="007D5459"/>
    <w:rsid w:val="007E3EAF"/>
    <w:rsid w:val="007E66B0"/>
    <w:rsid w:val="007E7008"/>
    <w:rsid w:val="007F0950"/>
    <w:rsid w:val="007F0CD7"/>
    <w:rsid w:val="007F39CC"/>
    <w:rsid w:val="007F3A7A"/>
    <w:rsid w:val="007F62F4"/>
    <w:rsid w:val="00801D0A"/>
    <w:rsid w:val="00806986"/>
    <w:rsid w:val="00810BEB"/>
    <w:rsid w:val="008124CA"/>
    <w:rsid w:val="00813E6B"/>
    <w:rsid w:val="00814D7C"/>
    <w:rsid w:val="008175E3"/>
    <w:rsid w:val="00824381"/>
    <w:rsid w:val="0082781F"/>
    <w:rsid w:val="00832DBE"/>
    <w:rsid w:val="00835A10"/>
    <w:rsid w:val="0083695F"/>
    <w:rsid w:val="00836AAA"/>
    <w:rsid w:val="00840688"/>
    <w:rsid w:val="00845929"/>
    <w:rsid w:val="008465EF"/>
    <w:rsid w:val="00846E64"/>
    <w:rsid w:val="008477DD"/>
    <w:rsid w:val="0085286E"/>
    <w:rsid w:val="00853C52"/>
    <w:rsid w:val="00854F66"/>
    <w:rsid w:val="008602CD"/>
    <w:rsid w:val="00861C52"/>
    <w:rsid w:val="008631DC"/>
    <w:rsid w:val="00863A98"/>
    <w:rsid w:val="00863D04"/>
    <w:rsid w:val="00864E0F"/>
    <w:rsid w:val="0086654E"/>
    <w:rsid w:val="00877384"/>
    <w:rsid w:val="00877740"/>
    <w:rsid w:val="0088148E"/>
    <w:rsid w:val="0089022E"/>
    <w:rsid w:val="00896D85"/>
    <w:rsid w:val="00897B60"/>
    <w:rsid w:val="008A0123"/>
    <w:rsid w:val="008A03FE"/>
    <w:rsid w:val="008A1834"/>
    <w:rsid w:val="008A3AD7"/>
    <w:rsid w:val="008A5A7B"/>
    <w:rsid w:val="008B223F"/>
    <w:rsid w:val="008B369B"/>
    <w:rsid w:val="008B4AF6"/>
    <w:rsid w:val="008C06E5"/>
    <w:rsid w:val="008C08DC"/>
    <w:rsid w:val="008C2F12"/>
    <w:rsid w:val="008D1273"/>
    <w:rsid w:val="008E299B"/>
    <w:rsid w:val="008E5A35"/>
    <w:rsid w:val="008E620F"/>
    <w:rsid w:val="008E6CDE"/>
    <w:rsid w:val="008E6EDF"/>
    <w:rsid w:val="008E7D4C"/>
    <w:rsid w:val="008F10BE"/>
    <w:rsid w:val="008F2919"/>
    <w:rsid w:val="008F68FF"/>
    <w:rsid w:val="00900135"/>
    <w:rsid w:val="009012E7"/>
    <w:rsid w:val="00907B1A"/>
    <w:rsid w:val="00907C82"/>
    <w:rsid w:val="00912672"/>
    <w:rsid w:val="00924013"/>
    <w:rsid w:val="00924869"/>
    <w:rsid w:val="00926AC0"/>
    <w:rsid w:val="009310AB"/>
    <w:rsid w:val="00943DBD"/>
    <w:rsid w:val="00945641"/>
    <w:rsid w:val="00946648"/>
    <w:rsid w:val="009516BB"/>
    <w:rsid w:val="00951BF7"/>
    <w:rsid w:val="00951DC3"/>
    <w:rsid w:val="0095689C"/>
    <w:rsid w:val="00956B26"/>
    <w:rsid w:val="009607FC"/>
    <w:rsid w:val="00961D2E"/>
    <w:rsid w:val="00962A1E"/>
    <w:rsid w:val="00964056"/>
    <w:rsid w:val="009647F1"/>
    <w:rsid w:val="009704A9"/>
    <w:rsid w:val="00970AF5"/>
    <w:rsid w:val="00973092"/>
    <w:rsid w:val="0097361A"/>
    <w:rsid w:val="00980F37"/>
    <w:rsid w:val="009831BF"/>
    <w:rsid w:val="0098570E"/>
    <w:rsid w:val="00987111"/>
    <w:rsid w:val="0098735F"/>
    <w:rsid w:val="00987795"/>
    <w:rsid w:val="00987B4C"/>
    <w:rsid w:val="00987F7F"/>
    <w:rsid w:val="00990937"/>
    <w:rsid w:val="009915CC"/>
    <w:rsid w:val="0099427E"/>
    <w:rsid w:val="00995603"/>
    <w:rsid w:val="00995D7D"/>
    <w:rsid w:val="009A08FD"/>
    <w:rsid w:val="009A4647"/>
    <w:rsid w:val="009A4A54"/>
    <w:rsid w:val="009A7CC2"/>
    <w:rsid w:val="009B0E76"/>
    <w:rsid w:val="009B0FE5"/>
    <w:rsid w:val="009B4276"/>
    <w:rsid w:val="009B539A"/>
    <w:rsid w:val="009B56A6"/>
    <w:rsid w:val="009B709B"/>
    <w:rsid w:val="009C078C"/>
    <w:rsid w:val="009C217A"/>
    <w:rsid w:val="009D3EC8"/>
    <w:rsid w:val="009E06D3"/>
    <w:rsid w:val="009F1576"/>
    <w:rsid w:val="009F6CB9"/>
    <w:rsid w:val="00A06D15"/>
    <w:rsid w:val="00A07134"/>
    <w:rsid w:val="00A07FB5"/>
    <w:rsid w:val="00A10430"/>
    <w:rsid w:val="00A15ECC"/>
    <w:rsid w:val="00A16A3B"/>
    <w:rsid w:val="00A22879"/>
    <w:rsid w:val="00A24D9A"/>
    <w:rsid w:val="00A26FAE"/>
    <w:rsid w:val="00A31B09"/>
    <w:rsid w:val="00A4030A"/>
    <w:rsid w:val="00A41A85"/>
    <w:rsid w:val="00A41F79"/>
    <w:rsid w:val="00A43254"/>
    <w:rsid w:val="00A4740E"/>
    <w:rsid w:val="00A57306"/>
    <w:rsid w:val="00A57E64"/>
    <w:rsid w:val="00A60BFA"/>
    <w:rsid w:val="00A630A8"/>
    <w:rsid w:val="00A67871"/>
    <w:rsid w:val="00A71A0D"/>
    <w:rsid w:val="00A71FD5"/>
    <w:rsid w:val="00A73A36"/>
    <w:rsid w:val="00A74A8A"/>
    <w:rsid w:val="00A74C7C"/>
    <w:rsid w:val="00A76B1A"/>
    <w:rsid w:val="00A76D45"/>
    <w:rsid w:val="00A77BDD"/>
    <w:rsid w:val="00A82D4A"/>
    <w:rsid w:val="00A85D78"/>
    <w:rsid w:val="00AA2AEA"/>
    <w:rsid w:val="00AA3802"/>
    <w:rsid w:val="00AA6776"/>
    <w:rsid w:val="00AA6E20"/>
    <w:rsid w:val="00AB00E9"/>
    <w:rsid w:val="00AB25FD"/>
    <w:rsid w:val="00AB3B99"/>
    <w:rsid w:val="00AB46D2"/>
    <w:rsid w:val="00AB7516"/>
    <w:rsid w:val="00AC14C2"/>
    <w:rsid w:val="00AC24AE"/>
    <w:rsid w:val="00AC2842"/>
    <w:rsid w:val="00AC3287"/>
    <w:rsid w:val="00AC3848"/>
    <w:rsid w:val="00AC5EAA"/>
    <w:rsid w:val="00AC720E"/>
    <w:rsid w:val="00AD4FCC"/>
    <w:rsid w:val="00AD6B9F"/>
    <w:rsid w:val="00AE04A8"/>
    <w:rsid w:val="00AE1A79"/>
    <w:rsid w:val="00AE30AD"/>
    <w:rsid w:val="00AF2B50"/>
    <w:rsid w:val="00AF2D97"/>
    <w:rsid w:val="00AF3FBD"/>
    <w:rsid w:val="00AF77D9"/>
    <w:rsid w:val="00B1182C"/>
    <w:rsid w:val="00B13D09"/>
    <w:rsid w:val="00B1489A"/>
    <w:rsid w:val="00B22C63"/>
    <w:rsid w:val="00B23540"/>
    <w:rsid w:val="00B24DEE"/>
    <w:rsid w:val="00B2761C"/>
    <w:rsid w:val="00B32EA2"/>
    <w:rsid w:val="00B33DE5"/>
    <w:rsid w:val="00B33E49"/>
    <w:rsid w:val="00B34117"/>
    <w:rsid w:val="00B36DDA"/>
    <w:rsid w:val="00B50E45"/>
    <w:rsid w:val="00B53DC4"/>
    <w:rsid w:val="00B550EB"/>
    <w:rsid w:val="00B55C56"/>
    <w:rsid w:val="00B55CDA"/>
    <w:rsid w:val="00B56EB0"/>
    <w:rsid w:val="00B61E88"/>
    <w:rsid w:val="00B62719"/>
    <w:rsid w:val="00B62F9D"/>
    <w:rsid w:val="00B63385"/>
    <w:rsid w:val="00B64871"/>
    <w:rsid w:val="00B664E3"/>
    <w:rsid w:val="00B67F07"/>
    <w:rsid w:val="00B734E3"/>
    <w:rsid w:val="00B75CE1"/>
    <w:rsid w:val="00B77328"/>
    <w:rsid w:val="00B8270C"/>
    <w:rsid w:val="00B85F0B"/>
    <w:rsid w:val="00B87FE9"/>
    <w:rsid w:val="00B9449C"/>
    <w:rsid w:val="00BA13EE"/>
    <w:rsid w:val="00BA4F02"/>
    <w:rsid w:val="00BA512E"/>
    <w:rsid w:val="00BA51B7"/>
    <w:rsid w:val="00BB0636"/>
    <w:rsid w:val="00BB1BBF"/>
    <w:rsid w:val="00BB2317"/>
    <w:rsid w:val="00BB3371"/>
    <w:rsid w:val="00BB6D51"/>
    <w:rsid w:val="00BC2A65"/>
    <w:rsid w:val="00BC319D"/>
    <w:rsid w:val="00BC6417"/>
    <w:rsid w:val="00BD352E"/>
    <w:rsid w:val="00BD73DC"/>
    <w:rsid w:val="00BE1B65"/>
    <w:rsid w:val="00BE5F43"/>
    <w:rsid w:val="00BF13F8"/>
    <w:rsid w:val="00BF30D4"/>
    <w:rsid w:val="00BF5913"/>
    <w:rsid w:val="00C00D92"/>
    <w:rsid w:val="00C04AB2"/>
    <w:rsid w:val="00C05833"/>
    <w:rsid w:val="00C11535"/>
    <w:rsid w:val="00C17B58"/>
    <w:rsid w:val="00C21C19"/>
    <w:rsid w:val="00C267ED"/>
    <w:rsid w:val="00C3102D"/>
    <w:rsid w:val="00C32451"/>
    <w:rsid w:val="00C347DD"/>
    <w:rsid w:val="00C405BA"/>
    <w:rsid w:val="00C55F76"/>
    <w:rsid w:val="00C63037"/>
    <w:rsid w:val="00C63366"/>
    <w:rsid w:val="00C6473E"/>
    <w:rsid w:val="00C66CE8"/>
    <w:rsid w:val="00C71B4A"/>
    <w:rsid w:val="00C7210E"/>
    <w:rsid w:val="00C7371C"/>
    <w:rsid w:val="00C76A98"/>
    <w:rsid w:val="00C90612"/>
    <w:rsid w:val="00C9438A"/>
    <w:rsid w:val="00C950D7"/>
    <w:rsid w:val="00C95B7C"/>
    <w:rsid w:val="00C96CAB"/>
    <w:rsid w:val="00CA09B7"/>
    <w:rsid w:val="00CA152D"/>
    <w:rsid w:val="00CA181A"/>
    <w:rsid w:val="00CA2CC5"/>
    <w:rsid w:val="00CB1DBF"/>
    <w:rsid w:val="00CB7F9E"/>
    <w:rsid w:val="00CC1551"/>
    <w:rsid w:val="00CC41E7"/>
    <w:rsid w:val="00CC5CDB"/>
    <w:rsid w:val="00CC7615"/>
    <w:rsid w:val="00CD0D68"/>
    <w:rsid w:val="00CD3767"/>
    <w:rsid w:val="00CE09C2"/>
    <w:rsid w:val="00CE2D44"/>
    <w:rsid w:val="00CE4739"/>
    <w:rsid w:val="00CE4E7F"/>
    <w:rsid w:val="00CE6C99"/>
    <w:rsid w:val="00CF04CE"/>
    <w:rsid w:val="00CF084F"/>
    <w:rsid w:val="00CF1569"/>
    <w:rsid w:val="00CF6ED4"/>
    <w:rsid w:val="00D021FE"/>
    <w:rsid w:val="00D04BBF"/>
    <w:rsid w:val="00D10D48"/>
    <w:rsid w:val="00D11A4A"/>
    <w:rsid w:val="00D17FDA"/>
    <w:rsid w:val="00D21367"/>
    <w:rsid w:val="00D215F6"/>
    <w:rsid w:val="00D22153"/>
    <w:rsid w:val="00D24A8E"/>
    <w:rsid w:val="00D26C7E"/>
    <w:rsid w:val="00D306F0"/>
    <w:rsid w:val="00D30739"/>
    <w:rsid w:val="00D31E5E"/>
    <w:rsid w:val="00D37AE0"/>
    <w:rsid w:val="00D37F0F"/>
    <w:rsid w:val="00D405C3"/>
    <w:rsid w:val="00D40D40"/>
    <w:rsid w:val="00D5057E"/>
    <w:rsid w:val="00D50942"/>
    <w:rsid w:val="00D57B91"/>
    <w:rsid w:val="00D57EA6"/>
    <w:rsid w:val="00D6120F"/>
    <w:rsid w:val="00D62AC2"/>
    <w:rsid w:val="00D63143"/>
    <w:rsid w:val="00D73CF3"/>
    <w:rsid w:val="00D74661"/>
    <w:rsid w:val="00D86429"/>
    <w:rsid w:val="00D87661"/>
    <w:rsid w:val="00D917BE"/>
    <w:rsid w:val="00D91AB3"/>
    <w:rsid w:val="00D93ED9"/>
    <w:rsid w:val="00D944B0"/>
    <w:rsid w:val="00D96926"/>
    <w:rsid w:val="00D96A6B"/>
    <w:rsid w:val="00DA21F1"/>
    <w:rsid w:val="00DA5DA7"/>
    <w:rsid w:val="00DB2F39"/>
    <w:rsid w:val="00DB377D"/>
    <w:rsid w:val="00DB3D63"/>
    <w:rsid w:val="00DC6CB9"/>
    <w:rsid w:val="00DD083B"/>
    <w:rsid w:val="00DD11A7"/>
    <w:rsid w:val="00DD2C9A"/>
    <w:rsid w:val="00DD6B1F"/>
    <w:rsid w:val="00DD7006"/>
    <w:rsid w:val="00DD75A6"/>
    <w:rsid w:val="00DE351A"/>
    <w:rsid w:val="00DE7300"/>
    <w:rsid w:val="00DF184E"/>
    <w:rsid w:val="00DF2C6A"/>
    <w:rsid w:val="00E00CCF"/>
    <w:rsid w:val="00E01475"/>
    <w:rsid w:val="00E02E4F"/>
    <w:rsid w:val="00E031E0"/>
    <w:rsid w:val="00E03CAA"/>
    <w:rsid w:val="00E05C3E"/>
    <w:rsid w:val="00E0756A"/>
    <w:rsid w:val="00E1020E"/>
    <w:rsid w:val="00E10488"/>
    <w:rsid w:val="00E117ED"/>
    <w:rsid w:val="00E11AC6"/>
    <w:rsid w:val="00E1271F"/>
    <w:rsid w:val="00E13347"/>
    <w:rsid w:val="00E13B51"/>
    <w:rsid w:val="00E1506E"/>
    <w:rsid w:val="00E15AB1"/>
    <w:rsid w:val="00E1788F"/>
    <w:rsid w:val="00E200F6"/>
    <w:rsid w:val="00E244C5"/>
    <w:rsid w:val="00E3200B"/>
    <w:rsid w:val="00E34852"/>
    <w:rsid w:val="00E34C4E"/>
    <w:rsid w:val="00E41360"/>
    <w:rsid w:val="00E44ECF"/>
    <w:rsid w:val="00E50AEE"/>
    <w:rsid w:val="00E52781"/>
    <w:rsid w:val="00E54082"/>
    <w:rsid w:val="00E57CC2"/>
    <w:rsid w:val="00E57E4F"/>
    <w:rsid w:val="00E67ED1"/>
    <w:rsid w:val="00E7604E"/>
    <w:rsid w:val="00E7655B"/>
    <w:rsid w:val="00E8449C"/>
    <w:rsid w:val="00E912C2"/>
    <w:rsid w:val="00E921DD"/>
    <w:rsid w:val="00E93062"/>
    <w:rsid w:val="00EA465B"/>
    <w:rsid w:val="00EB0641"/>
    <w:rsid w:val="00EB1882"/>
    <w:rsid w:val="00EB7DCC"/>
    <w:rsid w:val="00EC1185"/>
    <w:rsid w:val="00EC3B31"/>
    <w:rsid w:val="00EC7D09"/>
    <w:rsid w:val="00ED3CEF"/>
    <w:rsid w:val="00ED5336"/>
    <w:rsid w:val="00ED7283"/>
    <w:rsid w:val="00EE277F"/>
    <w:rsid w:val="00EE378D"/>
    <w:rsid w:val="00EE5CA5"/>
    <w:rsid w:val="00EE6BF4"/>
    <w:rsid w:val="00EF34FA"/>
    <w:rsid w:val="00F00C24"/>
    <w:rsid w:val="00F0230B"/>
    <w:rsid w:val="00F060A9"/>
    <w:rsid w:val="00F06805"/>
    <w:rsid w:val="00F139D9"/>
    <w:rsid w:val="00F170B2"/>
    <w:rsid w:val="00F17B34"/>
    <w:rsid w:val="00F21E4E"/>
    <w:rsid w:val="00F244B9"/>
    <w:rsid w:val="00F327BB"/>
    <w:rsid w:val="00F34035"/>
    <w:rsid w:val="00F40A0B"/>
    <w:rsid w:val="00F51022"/>
    <w:rsid w:val="00F56D62"/>
    <w:rsid w:val="00F5710E"/>
    <w:rsid w:val="00F606BC"/>
    <w:rsid w:val="00F72A76"/>
    <w:rsid w:val="00F75C32"/>
    <w:rsid w:val="00F75CB5"/>
    <w:rsid w:val="00F75D57"/>
    <w:rsid w:val="00F822F1"/>
    <w:rsid w:val="00F83BCF"/>
    <w:rsid w:val="00F84319"/>
    <w:rsid w:val="00F90553"/>
    <w:rsid w:val="00F90D16"/>
    <w:rsid w:val="00F91A5F"/>
    <w:rsid w:val="00F93201"/>
    <w:rsid w:val="00F94496"/>
    <w:rsid w:val="00F948CD"/>
    <w:rsid w:val="00FA0294"/>
    <w:rsid w:val="00FA0C34"/>
    <w:rsid w:val="00FA24B8"/>
    <w:rsid w:val="00FA3073"/>
    <w:rsid w:val="00FA3E76"/>
    <w:rsid w:val="00FA76E1"/>
    <w:rsid w:val="00FB200E"/>
    <w:rsid w:val="00FB431A"/>
    <w:rsid w:val="00FB5E9C"/>
    <w:rsid w:val="00FB69D5"/>
    <w:rsid w:val="00FB7CBA"/>
    <w:rsid w:val="00FC6632"/>
    <w:rsid w:val="00FE2AF1"/>
    <w:rsid w:val="00FE72D9"/>
    <w:rsid w:val="00FF013B"/>
    <w:rsid w:val="00FF0E24"/>
    <w:rsid w:val="00FF72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A11905"/>
  <w15:docId w15:val="{E6AB9452-42D9-4EC8-B002-BB1483B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1F9F"/>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basedOn w:val="Normal"/>
    <w:link w:val="FootnoteTextChar"/>
    <w:uiPriority w:val="99"/>
    <w:unhideWhenUsed/>
    <w:rsid w:val="0088148E"/>
  </w:style>
  <w:style w:type="character" w:customStyle="1" w:styleId="FootnoteTextChar">
    <w:name w:val="Footnote Text Char"/>
    <w:basedOn w:val="DefaultParagraphFont"/>
    <w:link w:val="FootnoteText"/>
    <w:uiPriority w:val="99"/>
    <w:rsid w:val="0088148E"/>
    <w:rPr>
      <w:lang w:eastAsia="en-US"/>
    </w:rPr>
  </w:style>
  <w:style w:type="character" w:styleId="FootnoteReference">
    <w:name w:val="footnote reference"/>
    <w:uiPriority w:val="99"/>
    <w:unhideWhenUsed/>
    <w:rsid w:val="0088148E"/>
    <w:rPr>
      <w:vertAlign w:val="superscript"/>
    </w:rPr>
  </w:style>
  <w:style w:type="character" w:styleId="UnresolvedMention">
    <w:name w:val="Unresolved Mention"/>
    <w:basedOn w:val="DefaultParagraphFont"/>
    <w:uiPriority w:val="99"/>
    <w:semiHidden/>
    <w:unhideWhenUsed/>
    <w:rsid w:val="00674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456748">
      <w:bodyDiv w:val="1"/>
      <w:marLeft w:val="0"/>
      <w:marRight w:val="0"/>
      <w:marTop w:val="0"/>
      <w:marBottom w:val="0"/>
      <w:divBdr>
        <w:top w:val="none" w:sz="0" w:space="0" w:color="auto"/>
        <w:left w:val="none" w:sz="0" w:space="0" w:color="auto"/>
        <w:bottom w:val="none" w:sz="0" w:space="0" w:color="auto"/>
        <w:right w:val="none" w:sz="0" w:space="0" w:color="auto"/>
      </w:divBdr>
    </w:div>
    <w:div w:id="141193040">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50583329">
      <w:bodyDiv w:val="1"/>
      <w:marLeft w:val="0"/>
      <w:marRight w:val="0"/>
      <w:marTop w:val="0"/>
      <w:marBottom w:val="0"/>
      <w:divBdr>
        <w:top w:val="none" w:sz="0" w:space="0" w:color="auto"/>
        <w:left w:val="none" w:sz="0" w:space="0" w:color="auto"/>
        <w:bottom w:val="none" w:sz="0" w:space="0" w:color="auto"/>
        <w:right w:val="none" w:sz="0" w:space="0" w:color="auto"/>
      </w:divBdr>
    </w:div>
    <w:div w:id="74935471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5142061">
      <w:bodyDiv w:val="1"/>
      <w:marLeft w:val="0"/>
      <w:marRight w:val="0"/>
      <w:marTop w:val="0"/>
      <w:marBottom w:val="0"/>
      <w:divBdr>
        <w:top w:val="none" w:sz="0" w:space="0" w:color="auto"/>
        <w:left w:val="none" w:sz="0" w:space="0" w:color="auto"/>
        <w:bottom w:val="none" w:sz="0" w:space="0" w:color="auto"/>
        <w:right w:val="none" w:sz="0" w:space="0" w:color="auto"/>
      </w:divBdr>
    </w:div>
    <w:div w:id="1414472996">
      <w:bodyDiv w:val="1"/>
      <w:marLeft w:val="0"/>
      <w:marRight w:val="0"/>
      <w:marTop w:val="0"/>
      <w:marBottom w:val="0"/>
      <w:divBdr>
        <w:top w:val="none" w:sz="0" w:space="0" w:color="auto"/>
        <w:left w:val="none" w:sz="0" w:space="0" w:color="auto"/>
        <w:bottom w:val="none" w:sz="0" w:space="0" w:color="auto"/>
        <w:right w:val="none" w:sz="0" w:space="0" w:color="auto"/>
      </w:divBdr>
    </w:div>
    <w:div w:id="1523545523">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70278349">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astine@kaunokliniko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FE219E-FDCD-46C3-88E1-9C6E5180B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99</TotalTime>
  <Pages>3</Pages>
  <Words>4550</Words>
  <Characters>2594</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Laimutė Tautvaišienė</cp:lastModifiedBy>
  <cp:revision>13</cp:revision>
  <cp:lastPrinted>2019-06-13T11:52:00Z</cp:lastPrinted>
  <dcterms:created xsi:type="dcterms:W3CDTF">2019-06-13T08:12:00Z</dcterms:created>
  <dcterms:modified xsi:type="dcterms:W3CDTF">2019-06-13T12:03:00Z</dcterms:modified>
</cp:coreProperties>
</file>