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907C82" w:rsidRPr="00246C3A" w:rsidRDefault="00364784" w:rsidP="00907C82">
      <w:pPr>
        <w:jc w:val="center"/>
        <w:rPr>
          <w:rFonts w:ascii="CG Times" w:hAnsi="CG Times"/>
          <w:sz w:val="24"/>
          <w:szCs w:val="24"/>
        </w:rPr>
      </w:pPr>
      <w:r w:rsidRPr="00246C3A">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94633434" r:id="rId9"/>
        </w:object>
      </w:r>
    </w:p>
    <w:p w:rsidR="00CD0D68" w:rsidRPr="00246C3A" w:rsidRDefault="00CD0D68" w:rsidP="00907C82">
      <w:pPr>
        <w:jc w:val="center"/>
        <w:rPr>
          <w:sz w:val="24"/>
          <w:szCs w:val="24"/>
        </w:rPr>
      </w:pPr>
    </w:p>
    <w:p w:rsidR="00351E8D" w:rsidRPr="00246C3A" w:rsidRDefault="00351E8D" w:rsidP="009310AB">
      <w:pPr>
        <w:pStyle w:val="Antrat1"/>
        <w:tabs>
          <w:tab w:val="left" w:pos="900"/>
        </w:tabs>
        <w:jc w:val="center"/>
        <w:rPr>
          <w:sz w:val="24"/>
          <w:szCs w:val="24"/>
        </w:rPr>
      </w:pPr>
      <w:r w:rsidRPr="00246C3A">
        <w:rPr>
          <w:sz w:val="24"/>
          <w:szCs w:val="24"/>
        </w:rPr>
        <w:t>VIEŠŲJŲ PIRKIMŲ TARNYBA</w:t>
      </w:r>
    </w:p>
    <w:p w:rsidR="005E7486" w:rsidRDefault="005E7486" w:rsidP="00A77BDD">
      <w:pPr>
        <w:tabs>
          <w:tab w:val="left" w:pos="900"/>
        </w:tabs>
        <w:rPr>
          <w:bCs/>
          <w:sz w:val="24"/>
          <w:szCs w:val="24"/>
        </w:rPr>
      </w:pPr>
    </w:p>
    <w:p w:rsidR="001C573C" w:rsidRPr="00246C3A" w:rsidRDefault="001C573C" w:rsidP="00A77BDD">
      <w:pPr>
        <w:tabs>
          <w:tab w:val="left" w:pos="900"/>
        </w:tabs>
        <w:rPr>
          <w:bCs/>
          <w:sz w:val="24"/>
          <w:szCs w:val="24"/>
        </w:rPr>
      </w:pPr>
    </w:p>
    <w:p w:rsidR="00F75CB5" w:rsidRPr="00246C3A"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1560"/>
        <w:gridCol w:w="567"/>
        <w:gridCol w:w="2267"/>
        <w:gridCol w:w="846"/>
        <w:gridCol w:w="1560"/>
        <w:gridCol w:w="567"/>
        <w:gridCol w:w="2267"/>
      </w:tblGrid>
      <w:tr w:rsidR="001C573C" w:rsidRPr="00246C3A" w:rsidTr="00961D2E">
        <w:trPr>
          <w:cantSplit/>
        </w:trPr>
        <w:tc>
          <w:tcPr>
            <w:tcW w:w="5240" w:type="dxa"/>
            <w:gridSpan w:val="4"/>
          </w:tcPr>
          <w:p w:rsidR="001C573C" w:rsidRPr="00246C3A" w:rsidRDefault="00AA79D0" w:rsidP="001C573C">
            <w:pPr>
              <w:rPr>
                <w:sz w:val="24"/>
                <w:szCs w:val="24"/>
              </w:rPr>
            </w:pPr>
            <w:r>
              <w:rPr>
                <w:sz w:val="24"/>
                <w:szCs w:val="24"/>
              </w:rPr>
              <w:t>Kauno apskrities vyriausiajam policijos komisariatui</w:t>
            </w:r>
          </w:p>
          <w:p w:rsidR="001C573C" w:rsidRPr="00246C3A" w:rsidRDefault="001C573C" w:rsidP="001C573C">
            <w:pPr>
              <w:rPr>
                <w:sz w:val="24"/>
                <w:szCs w:val="24"/>
              </w:rPr>
            </w:pPr>
          </w:p>
          <w:p w:rsidR="00AA79D0" w:rsidRDefault="00AA79D0" w:rsidP="001C573C">
            <w:pPr>
              <w:rPr>
                <w:sz w:val="24"/>
                <w:szCs w:val="24"/>
              </w:rPr>
            </w:pPr>
            <w:r>
              <w:rPr>
                <w:sz w:val="24"/>
                <w:szCs w:val="24"/>
              </w:rPr>
              <w:t xml:space="preserve">Vytauto </w:t>
            </w:r>
            <w:r w:rsidR="00FA5C7A">
              <w:rPr>
                <w:sz w:val="24"/>
                <w:szCs w:val="24"/>
              </w:rPr>
              <w:t>p</w:t>
            </w:r>
            <w:r>
              <w:rPr>
                <w:sz w:val="24"/>
                <w:szCs w:val="24"/>
              </w:rPr>
              <w:t>r. 91</w:t>
            </w:r>
          </w:p>
          <w:p w:rsidR="001C573C" w:rsidRPr="00246C3A" w:rsidRDefault="00AA79D0" w:rsidP="001C573C">
            <w:pPr>
              <w:rPr>
                <w:sz w:val="24"/>
                <w:szCs w:val="24"/>
              </w:rPr>
            </w:pPr>
            <w:r>
              <w:rPr>
                <w:sz w:val="24"/>
                <w:szCs w:val="24"/>
              </w:rPr>
              <w:t>44238</w:t>
            </w:r>
            <w:r w:rsidR="001C573C">
              <w:rPr>
                <w:sz w:val="24"/>
                <w:szCs w:val="24"/>
              </w:rPr>
              <w:t xml:space="preserve"> </w:t>
            </w:r>
            <w:r>
              <w:rPr>
                <w:sz w:val="24"/>
                <w:szCs w:val="24"/>
              </w:rPr>
              <w:t>Kaunas</w:t>
            </w:r>
          </w:p>
          <w:p w:rsidR="001C573C" w:rsidRPr="00246C3A" w:rsidRDefault="001C573C" w:rsidP="00AA79D0">
            <w:pPr>
              <w:pStyle w:val="pad-left"/>
              <w:spacing w:before="0" w:beforeAutospacing="0" w:after="0" w:afterAutospacing="0"/>
            </w:pPr>
            <w:r w:rsidRPr="00246C3A">
              <w:t xml:space="preserve">El. p. </w:t>
            </w:r>
            <w:r w:rsidR="00AA79D0">
              <w:t>kaunovpk.bud</w:t>
            </w:r>
            <w:r w:rsidRPr="00246C3A">
              <w:t>@</w:t>
            </w:r>
            <w:r w:rsidR="00AA79D0">
              <w:t>policija</w:t>
            </w:r>
            <w:r w:rsidRPr="00246C3A">
              <w:t>.lt</w:t>
            </w:r>
          </w:p>
        </w:tc>
        <w:tc>
          <w:tcPr>
            <w:tcW w:w="1560" w:type="dxa"/>
          </w:tcPr>
          <w:p w:rsidR="001C573C" w:rsidRPr="00246C3A" w:rsidRDefault="001C573C" w:rsidP="00234236">
            <w:pPr>
              <w:rPr>
                <w:sz w:val="24"/>
                <w:szCs w:val="24"/>
              </w:rPr>
            </w:pPr>
            <w:r w:rsidRPr="00246C3A">
              <w:rPr>
                <w:sz w:val="24"/>
                <w:szCs w:val="24"/>
              </w:rPr>
              <w:t>201</w:t>
            </w:r>
            <w:r w:rsidR="0043638A">
              <w:rPr>
                <w:sz w:val="24"/>
                <w:szCs w:val="24"/>
              </w:rPr>
              <w:t>8</w:t>
            </w:r>
            <w:r w:rsidRPr="00246C3A">
              <w:rPr>
                <w:sz w:val="24"/>
                <w:szCs w:val="24"/>
              </w:rPr>
              <w:t>-</w:t>
            </w:r>
            <w:r w:rsidR="0043638A">
              <w:rPr>
                <w:sz w:val="24"/>
                <w:szCs w:val="24"/>
              </w:rPr>
              <w:t>0</w:t>
            </w:r>
            <w:r w:rsidR="00AA79D0">
              <w:rPr>
                <w:sz w:val="24"/>
                <w:szCs w:val="24"/>
              </w:rPr>
              <w:t>8</w:t>
            </w:r>
            <w:r w:rsidRPr="00246C3A">
              <w:rPr>
                <w:sz w:val="24"/>
                <w:szCs w:val="24"/>
              </w:rPr>
              <w:t>-</w:t>
            </w:r>
          </w:p>
          <w:p w:rsidR="001C573C" w:rsidRDefault="001C573C" w:rsidP="00234236">
            <w:pPr>
              <w:rPr>
                <w:sz w:val="24"/>
                <w:szCs w:val="24"/>
              </w:rPr>
            </w:pPr>
            <w:r w:rsidRPr="00246C3A">
              <w:rPr>
                <w:sz w:val="24"/>
                <w:szCs w:val="24"/>
              </w:rPr>
              <w:t>Į 201</w:t>
            </w:r>
            <w:r w:rsidR="00B550EB">
              <w:rPr>
                <w:sz w:val="24"/>
                <w:szCs w:val="24"/>
              </w:rPr>
              <w:t>8</w:t>
            </w:r>
            <w:r w:rsidRPr="00246C3A">
              <w:rPr>
                <w:sz w:val="24"/>
                <w:szCs w:val="24"/>
              </w:rPr>
              <w:t>-</w:t>
            </w:r>
            <w:r w:rsidR="00B550EB">
              <w:rPr>
                <w:sz w:val="24"/>
                <w:szCs w:val="24"/>
              </w:rPr>
              <w:t>0</w:t>
            </w:r>
            <w:r w:rsidR="00AA79D0">
              <w:rPr>
                <w:sz w:val="24"/>
                <w:szCs w:val="24"/>
              </w:rPr>
              <w:t>7</w:t>
            </w:r>
            <w:r w:rsidRPr="00246C3A">
              <w:rPr>
                <w:sz w:val="24"/>
                <w:szCs w:val="24"/>
              </w:rPr>
              <w:t>-</w:t>
            </w:r>
            <w:r w:rsidR="00AA79D0">
              <w:rPr>
                <w:sz w:val="24"/>
                <w:szCs w:val="24"/>
              </w:rPr>
              <w:t>13</w:t>
            </w:r>
          </w:p>
          <w:p w:rsidR="0043638A" w:rsidRDefault="00B550EB" w:rsidP="00234236">
            <w:pPr>
              <w:rPr>
                <w:sz w:val="24"/>
                <w:szCs w:val="24"/>
              </w:rPr>
            </w:pPr>
            <w:r>
              <w:rPr>
                <w:sz w:val="24"/>
                <w:szCs w:val="24"/>
              </w:rPr>
              <w:t>2018-0</w:t>
            </w:r>
            <w:r w:rsidR="00AA79D0">
              <w:rPr>
                <w:sz w:val="24"/>
                <w:szCs w:val="24"/>
              </w:rPr>
              <w:t>7</w:t>
            </w:r>
            <w:r>
              <w:rPr>
                <w:sz w:val="24"/>
                <w:szCs w:val="24"/>
              </w:rPr>
              <w:t>-0</w:t>
            </w:r>
            <w:r w:rsidR="00AA79D0">
              <w:rPr>
                <w:sz w:val="24"/>
                <w:szCs w:val="24"/>
              </w:rPr>
              <w:t>4</w:t>
            </w:r>
          </w:p>
          <w:p w:rsidR="001C573C" w:rsidRPr="00246C3A" w:rsidRDefault="001C573C" w:rsidP="00AA79D0">
            <w:pPr>
              <w:rPr>
                <w:sz w:val="24"/>
                <w:szCs w:val="24"/>
              </w:rPr>
            </w:pPr>
          </w:p>
        </w:tc>
        <w:tc>
          <w:tcPr>
            <w:tcW w:w="567" w:type="dxa"/>
          </w:tcPr>
          <w:p w:rsidR="001C573C" w:rsidRPr="00246C3A" w:rsidRDefault="001C573C" w:rsidP="00234236">
            <w:pPr>
              <w:ind w:left="-108" w:right="-108"/>
              <w:rPr>
                <w:sz w:val="24"/>
                <w:szCs w:val="24"/>
              </w:rPr>
            </w:pPr>
            <w:r w:rsidRPr="00246C3A">
              <w:rPr>
                <w:sz w:val="24"/>
                <w:szCs w:val="24"/>
              </w:rPr>
              <w:t>Nr.</w:t>
            </w:r>
          </w:p>
          <w:p w:rsidR="001C573C" w:rsidRDefault="001C573C" w:rsidP="001C573C">
            <w:pPr>
              <w:ind w:left="-108" w:right="-108"/>
              <w:rPr>
                <w:sz w:val="24"/>
                <w:szCs w:val="24"/>
              </w:rPr>
            </w:pPr>
            <w:r w:rsidRPr="00246C3A">
              <w:rPr>
                <w:sz w:val="24"/>
                <w:szCs w:val="24"/>
              </w:rPr>
              <w:t>Nr.</w:t>
            </w:r>
          </w:p>
          <w:p w:rsidR="0043638A" w:rsidRDefault="0043638A" w:rsidP="001C573C">
            <w:pPr>
              <w:ind w:left="-108" w:right="-108"/>
              <w:rPr>
                <w:sz w:val="24"/>
                <w:szCs w:val="24"/>
              </w:rPr>
            </w:pPr>
            <w:r>
              <w:rPr>
                <w:sz w:val="24"/>
                <w:szCs w:val="24"/>
              </w:rPr>
              <w:t>Nr.</w:t>
            </w:r>
          </w:p>
          <w:p w:rsidR="00961D2E" w:rsidRPr="00246C3A" w:rsidRDefault="00961D2E" w:rsidP="00AA79D0">
            <w:pPr>
              <w:ind w:left="-108" w:right="-108"/>
              <w:rPr>
                <w:sz w:val="24"/>
                <w:szCs w:val="24"/>
              </w:rPr>
            </w:pPr>
            <w:r>
              <w:rPr>
                <w:sz w:val="24"/>
                <w:szCs w:val="24"/>
              </w:rPr>
              <w:t>.</w:t>
            </w:r>
          </w:p>
        </w:tc>
        <w:tc>
          <w:tcPr>
            <w:tcW w:w="2267" w:type="dxa"/>
          </w:tcPr>
          <w:p w:rsidR="001C573C" w:rsidRPr="00246C3A" w:rsidRDefault="001C573C" w:rsidP="00234236">
            <w:pPr>
              <w:rPr>
                <w:sz w:val="24"/>
                <w:szCs w:val="24"/>
              </w:rPr>
            </w:pPr>
            <w:r w:rsidRPr="00246C3A">
              <w:rPr>
                <w:sz w:val="24"/>
                <w:szCs w:val="24"/>
              </w:rPr>
              <w:t>4S-</w:t>
            </w:r>
          </w:p>
          <w:p w:rsidR="00AA79D0" w:rsidRDefault="00AA79D0" w:rsidP="00234236">
            <w:pPr>
              <w:rPr>
                <w:sz w:val="24"/>
                <w:szCs w:val="24"/>
              </w:rPr>
            </w:pPr>
            <w:r>
              <w:rPr>
                <w:sz w:val="24"/>
                <w:szCs w:val="24"/>
              </w:rPr>
              <w:t>b/n</w:t>
            </w:r>
          </w:p>
          <w:p w:rsidR="0043638A" w:rsidRDefault="00AA79D0" w:rsidP="00234236">
            <w:pPr>
              <w:rPr>
                <w:sz w:val="24"/>
                <w:szCs w:val="24"/>
              </w:rPr>
            </w:pPr>
            <w:r>
              <w:rPr>
                <w:sz w:val="24"/>
                <w:szCs w:val="24"/>
              </w:rPr>
              <w:t>20-S-44323(1.16)</w:t>
            </w:r>
          </w:p>
          <w:p w:rsidR="00961D2E" w:rsidRPr="00246C3A" w:rsidRDefault="00961D2E" w:rsidP="00AA79D0">
            <w:pPr>
              <w:rPr>
                <w:sz w:val="24"/>
                <w:szCs w:val="24"/>
              </w:rPr>
            </w:pPr>
          </w:p>
        </w:tc>
      </w:tr>
      <w:tr w:rsidR="00AA79D0" w:rsidRPr="00246C3A" w:rsidTr="00961D2E">
        <w:trPr>
          <w:gridAfter w:val="4"/>
          <w:wAfter w:w="5240" w:type="dxa"/>
          <w:cantSplit/>
        </w:trPr>
        <w:tc>
          <w:tcPr>
            <w:tcW w:w="1560" w:type="dxa"/>
          </w:tcPr>
          <w:p w:rsidR="00AA79D0" w:rsidRPr="00246C3A" w:rsidRDefault="00AA79D0" w:rsidP="00234236">
            <w:pPr>
              <w:rPr>
                <w:sz w:val="24"/>
                <w:szCs w:val="24"/>
              </w:rPr>
            </w:pPr>
          </w:p>
        </w:tc>
        <w:tc>
          <w:tcPr>
            <w:tcW w:w="567" w:type="dxa"/>
          </w:tcPr>
          <w:p w:rsidR="00AA79D0" w:rsidRPr="00246C3A" w:rsidRDefault="00AA79D0" w:rsidP="00234236">
            <w:pPr>
              <w:ind w:left="-108" w:right="-108"/>
              <w:rPr>
                <w:sz w:val="24"/>
                <w:szCs w:val="24"/>
              </w:rPr>
            </w:pPr>
          </w:p>
        </w:tc>
        <w:tc>
          <w:tcPr>
            <w:tcW w:w="2267" w:type="dxa"/>
          </w:tcPr>
          <w:p w:rsidR="00AA79D0" w:rsidRPr="00246C3A" w:rsidRDefault="00AA79D0" w:rsidP="00234236">
            <w:pPr>
              <w:rPr>
                <w:sz w:val="24"/>
                <w:szCs w:val="24"/>
              </w:rPr>
            </w:pPr>
          </w:p>
        </w:tc>
      </w:tr>
      <w:tr w:rsidR="00AA79D0" w:rsidRPr="00246C3A" w:rsidTr="00961D2E">
        <w:trPr>
          <w:gridAfter w:val="4"/>
          <w:wAfter w:w="5240" w:type="dxa"/>
          <w:cantSplit/>
        </w:trPr>
        <w:tc>
          <w:tcPr>
            <w:tcW w:w="1560" w:type="dxa"/>
          </w:tcPr>
          <w:p w:rsidR="00AA79D0" w:rsidRPr="00246C3A" w:rsidRDefault="00AA79D0" w:rsidP="00234236">
            <w:pPr>
              <w:rPr>
                <w:sz w:val="24"/>
                <w:szCs w:val="24"/>
              </w:rPr>
            </w:pPr>
          </w:p>
        </w:tc>
        <w:tc>
          <w:tcPr>
            <w:tcW w:w="567" w:type="dxa"/>
          </w:tcPr>
          <w:p w:rsidR="00AA79D0" w:rsidRPr="00246C3A" w:rsidRDefault="00AA79D0" w:rsidP="00234236">
            <w:pPr>
              <w:ind w:left="-108" w:right="-108"/>
              <w:rPr>
                <w:sz w:val="24"/>
                <w:szCs w:val="24"/>
              </w:rPr>
            </w:pPr>
          </w:p>
        </w:tc>
        <w:tc>
          <w:tcPr>
            <w:tcW w:w="2267" w:type="dxa"/>
          </w:tcPr>
          <w:p w:rsidR="00AA79D0" w:rsidRPr="00246C3A" w:rsidRDefault="00AA79D0" w:rsidP="00234236">
            <w:pPr>
              <w:rPr>
                <w:sz w:val="24"/>
                <w:szCs w:val="24"/>
              </w:rPr>
            </w:pPr>
          </w:p>
        </w:tc>
      </w:tr>
    </w:tbl>
    <w:p w:rsidR="001C573C" w:rsidRPr="001C573C" w:rsidRDefault="001C573C" w:rsidP="006E299F">
      <w:pPr>
        <w:rPr>
          <w:sz w:val="24"/>
          <w:szCs w:val="24"/>
          <w:lang w:eastAsia="lt-LT"/>
        </w:rPr>
      </w:pPr>
    </w:p>
    <w:p w:rsidR="001C573C" w:rsidRPr="001C573C" w:rsidRDefault="001C573C" w:rsidP="006E299F">
      <w:pPr>
        <w:rPr>
          <w:sz w:val="24"/>
          <w:szCs w:val="24"/>
          <w:lang w:eastAsia="lt-LT"/>
        </w:rPr>
      </w:pPr>
    </w:p>
    <w:p w:rsidR="001C573C" w:rsidRPr="001C573C" w:rsidRDefault="001C573C" w:rsidP="006E299F">
      <w:pPr>
        <w:rPr>
          <w:sz w:val="24"/>
          <w:szCs w:val="24"/>
          <w:lang w:eastAsia="lt-LT"/>
        </w:rPr>
      </w:pPr>
    </w:p>
    <w:p w:rsidR="0088148E" w:rsidRPr="0088148E" w:rsidRDefault="0088148E" w:rsidP="0088148E">
      <w:pPr>
        <w:jc w:val="center"/>
        <w:rPr>
          <w:rFonts w:eastAsia="Calibri"/>
          <w:b/>
          <w:bCs/>
          <w:sz w:val="24"/>
          <w:szCs w:val="24"/>
        </w:rPr>
      </w:pPr>
      <w:r w:rsidRPr="0088148E">
        <w:rPr>
          <w:rFonts w:eastAsia="Calibri"/>
          <w:b/>
          <w:bCs/>
          <w:sz w:val="24"/>
          <w:szCs w:val="24"/>
        </w:rPr>
        <w:t>PIRKIMO VERTINIMO IŠVADA</w:t>
      </w:r>
    </w:p>
    <w:p w:rsidR="0088148E" w:rsidRPr="00601D8F" w:rsidRDefault="0088148E" w:rsidP="0088148E">
      <w:pPr>
        <w:rPr>
          <w:rFonts w:eastAsia="Calibri"/>
          <w:sz w:val="24"/>
          <w:szCs w:val="24"/>
        </w:rPr>
      </w:pPr>
    </w:p>
    <w:p w:rsidR="00FB2F66" w:rsidRPr="002F25D6" w:rsidRDefault="00FB2F66" w:rsidP="00FB2F66">
      <w:pPr>
        <w:ind w:left="-142" w:firstLine="993"/>
        <w:jc w:val="both"/>
        <w:rPr>
          <w:sz w:val="24"/>
          <w:szCs w:val="24"/>
        </w:rPr>
      </w:pPr>
      <w:r w:rsidRPr="002F25D6">
        <w:rPr>
          <w:bCs/>
          <w:sz w:val="24"/>
          <w:szCs w:val="24"/>
        </w:rPr>
        <w:t xml:space="preserve">Viešųjų pirkimų tarnyba (toliau – Tarnyba), vadovaudamasi Lietuvos Respublikos viešųjų pirkimų įstatymo </w:t>
      </w:r>
      <w:r>
        <w:rPr>
          <w:bCs/>
          <w:sz w:val="24"/>
          <w:szCs w:val="24"/>
        </w:rPr>
        <w:t>95</w:t>
      </w:r>
      <w:r w:rsidRPr="002F25D6">
        <w:rPr>
          <w:bCs/>
          <w:sz w:val="24"/>
          <w:szCs w:val="24"/>
        </w:rPr>
        <w:t xml:space="preserve"> straipsnio 1 dalies 2 punktu, atliko </w:t>
      </w:r>
      <w:r>
        <w:rPr>
          <w:bCs/>
          <w:sz w:val="24"/>
          <w:szCs w:val="24"/>
        </w:rPr>
        <w:t xml:space="preserve">Kauno apskrities vyriausiojo policijos komisariato </w:t>
      </w:r>
      <w:r w:rsidRPr="002F25D6">
        <w:rPr>
          <w:bCs/>
          <w:sz w:val="24"/>
          <w:szCs w:val="24"/>
        </w:rPr>
        <w:t>(toliau – Perkan</w:t>
      </w:r>
      <w:r>
        <w:rPr>
          <w:bCs/>
          <w:sz w:val="24"/>
          <w:szCs w:val="24"/>
        </w:rPr>
        <w:t>čioji organizacija</w:t>
      </w:r>
      <w:r w:rsidRPr="002F25D6">
        <w:rPr>
          <w:bCs/>
          <w:sz w:val="24"/>
          <w:szCs w:val="24"/>
        </w:rPr>
        <w:t xml:space="preserve">) </w:t>
      </w:r>
      <w:r w:rsidRPr="002F25D6">
        <w:rPr>
          <w:sz w:val="24"/>
          <w:szCs w:val="24"/>
        </w:rPr>
        <w:t>vykd</w:t>
      </w:r>
      <w:r>
        <w:rPr>
          <w:sz w:val="24"/>
          <w:szCs w:val="24"/>
        </w:rPr>
        <w:t>omo</w:t>
      </w:r>
      <w:r w:rsidRPr="002F25D6">
        <w:rPr>
          <w:sz w:val="24"/>
          <w:szCs w:val="24"/>
        </w:rPr>
        <w:t xml:space="preserve"> viešojo pirkimo vertinimą</w:t>
      </w:r>
      <w:r w:rsidRPr="002F25D6">
        <w:rPr>
          <w:bCs/>
          <w:sz w:val="24"/>
          <w:szCs w:val="24"/>
        </w:rPr>
        <w:t>.</w:t>
      </w:r>
    </w:p>
    <w:p w:rsidR="0088148E" w:rsidRPr="0088148E" w:rsidRDefault="0088148E" w:rsidP="0088148E">
      <w:pPr>
        <w:rPr>
          <w:rFonts w:eastAsia="Calibri"/>
          <w:sz w:val="24"/>
          <w:szCs w:val="24"/>
        </w:rPr>
      </w:pPr>
    </w:p>
    <w:p w:rsidR="0088148E" w:rsidRPr="0088148E" w:rsidRDefault="0088148E" w:rsidP="0088148E">
      <w:pPr>
        <w:jc w:val="center"/>
        <w:rPr>
          <w:rFonts w:eastAsia="Calibri"/>
          <w:b/>
          <w:sz w:val="24"/>
          <w:szCs w:val="24"/>
        </w:rPr>
      </w:pPr>
      <w:r w:rsidRPr="0088148E">
        <w:rPr>
          <w:rFonts w:eastAsia="Calibri"/>
          <w:b/>
          <w:sz w:val="24"/>
          <w:szCs w:val="24"/>
        </w:rPr>
        <w:t>I dalis. Bendra informacija</w:t>
      </w:r>
    </w:p>
    <w:p w:rsidR="0088148E" w:rsidRPr="0088148E" w:rsidRDefault="0088148E" w:rsidP="0088148E">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FB2F66" w:rsidRPr="0088148E" w:rsidTr="00FF0A00">
        <w:tc>
          <w:tcPr>
            <w:tcW w:w="4503" w:type="dxa"/>
            <w:shd w:val="clear" w:color="auto" w:fill="auto"/>
            <w:vAlign w:val="center"/>
          </w:tcPr>
          <w:p w:rsidR="00FB2F66" w:rsidRPr="0088148E" w:rsidRDefault="00FB2F66" w:rsidP="00FB2F66">
            <w:pPr>
              <w:jc w:val="both"/>
              <w:rPr>
                <w:rFonts w:eastAsia="Calibri"/>
                <w:sz w:val="24"/>
                <w:szCs w:val="24"/>
              </w:rPr>
            </w:pPr>
            <w:r w:rsidRPr="0088148E">
              <w:rPr>
                <w:rFonts w:eastAsia="Calibri"/>
                <w:sz w:val="24"/>
                <w:szCs w:val="24"/>
              </w:rPr>
              <w:t>Pirkimo pavadinimas, numeris (jeigu skelbtas), pirkimo paskelbimo (kvietimo pateikti pasiūlymą) data</w:t>
            </w:r>
          </w:p>
        </w:tc>
        <w:tc>
          <w:tcPr>
            <w:tcW w:w="5244" w:type="dxa"/>
            <w:shd w:val="clear" w:color="auto" w:fill="auto"/>
            <w:vAlign w:val="center"/>
          </w:tcPr>
          <w:p w:rsidR="00FB2F66" w:rsidRPr="002F25D6" w:rsidRDefault="00FB2F66" w:rsidP="00FB2F66">
            <w:pPr>
              <w:spacing w:before="60" w:after="60"/>
              <w:jc w:val="both"/>
              <w:rPr>
                <w:sz w:val="24"/>
                <w:szCs w:val="24"/>
              </w:rPr>
            </w:pPr>
            <w:r w:rsidRPr="002F25D6">
              <w:rPr>
                <w:sz w:val="24"/>
                <w:szCs w:val="24"/>
              </w:rPr>
              <w:t>„</w:t>
            </w:r>
            <w:r>
              <w:rPr>
                <w:sz w:val="24"/>
                <w:szCs w:val="24"/>
              </w:rPr>
              <w:t xml:space="preserve">Pastatų ir statinių, esančių Kaune, </w:t>
            </w:r>
            <w:proofErr w:type="spellStart"/>
            <w:r>
              <w:rPr>
                <w:sz w:val="24"/>
                <w:szCs w:val="24"/>
              </w:rPr>
              <w:t>Radvilėnų</w:t>
            </w:r>
            <w:proofErr w:type="spellEnd"/>
            <w:r>
              <w:rPr>
                <w:sz w:val="24"/>
                <w:szCs w:val="24"/>
              </w:rPr>
              <w:t xml:space="preserve"> pl. 1C, griovimo ir teritorijos sutvarkymo darbų pirkimas</w:t>
            </w:r>
            <w:r w:rsidRPr="002F25D6">
              <w:rPr>
                <w:sz w:val="24"/>
                <w:szCs w:val="24"/>
              </w:rPr>
              <w:t>“ (skelbtas 201</w:t>
            </w:r>
            <w:r>
              <w:rPr>
                <w:sz w:val="24"/>
                <w:szCs w:val="24"/>
              </w:rPr>
              <w:t xml:space="preserve">8-06-04 </w:t>
            </w:r>
            <w:r w:rsidRPr="002F25D6">
              <w:rPr>
                <w:sz w:val="24"/>
                <w:szCs w:val="24"/>
              </w:rPr>
              <w:t>Centrinėje viešųjų pirkimų informacinėje sistemoje (toliau – CVP IS), pirkimo Nr. 3</w:t>
            </w:r>
            <w:r>
              <w:rPr>
                <w:sz w:val="24"/>
                <w:szCs w:val="24"/>
              </w:rPr>
              <w:t>84725</w:t>
            </w:r>
            <w:r w:rsidRPr="002F25D6">
              <w:rPr>
                <w:bCs/>
                <w:sz w:val="24"/>
                <w:szCs w:val="24"/>
              </w:rPr>
              <w:t>) (toliau – Pirkimas).</w:t>
            </w:r>
          </w:p>
        </w:tc>
      </w:tr>
      <w:tr w:rsidR="00FB2F66" w:rsidRPr="0088148E" w:rsidTr="00FF0A00">
        <w:tc>
          <w:tcPr>
            <w:tcW w:w="4503" w:type="dxa"/>
            <w:shd w:val="clear" w:color="auto" w:fill="auto"/>
            <w:vAlign w:val="center"/>
          </w:tcPr>
          <w:p w:rsidR="00FB2F66" w:rsidRPr="0088148E" w:rsidRDefault="00FB2F66" w:rsidP="00FB2F66">
            <w:pPr>
              <w:jc w:val="both"/>
              <w:rPr>
                <w:rFonts w:eastAsia="Calibri"/>
                <w:sz w:val="24"/>
                <w:szCs w:val="24"/>
              </w:rPr>
            </w:pPr>
            <w:r w:rsidRPr="0088148E">
              <w:rPr>
                <w:rFonts w:eastAsia="Calibri"/>
                <w:sz w:val="24"/>
                <w:szCs w:val="24"/>
              </w:rPr>
              <w:t>Pirkimo būdas</w:t>
            </w:r>
          </w:p>
        </w:tc>
        <w:tc>
          <w:tcPr>
            <w:tcW w:w="5244" w:type="dxa"/>
            <w:shd w:val="clear" w:color="auto" w:fill="auto"/>
            <w:vAlign w:val="center"/>
          </w:tcPr>
          <w:p w:rsidR="00FB2F66" w:rsidRPr="0088148E" w:rsidRDefault="00FB2F66" w:rsidP="00FB2F66">
            <w:pPr>
              <w:jc w:val="both"/>
              <w:rPr>
                <w:rFonts w:eastAsia="Calibri"/>
                <w:sz w:val="24"/>
                <w:szCs w:val="24"/>
              </w:rPr>
            </w:pPr>
            <w:r>
              <w:rPr>
                <w:rFonts w:eastAsia="Calibri"/>
                <w:bCs/>
                <w:sz w:val="24"/>
                <w:szCs w:val="24"/>
              </w:rPr>
              <w:t>Supaprastintas a</w:t>
            </w:r>
            <w:r w:rsidRPr="0088148E">
              <w:rPr>
                <w:rFonts w:eastAsia="Calibri"/>
                <w:bCs/>
                <w:sz w:val="24"/>
                <w:szCs w:val="24"/>
              </w:rPr>
              <w:t>tviras konkursas</w:t>
            </w:r>
          </w:p>
        </w:tc>
      </w:tr>
      <w:tr w:rsidR="00FB2F66" w:rsidRPr="0088148E" w:rsidTr="00FF0A00">
        <w:tc>
          <w:tcPr>
            <w:tcW w:w="4503" w:type="dxa"/>
            <w:shd w:val="clear" w:color="auto" w:fill="auto"/>
            <w:vAlign w:val="center"/>
          </w:tcPr>
          <w:p w:rsidR="00FB2F66" w:rsidRPr="0088148E" w:rsidRDefault="00FB2F66" w:rsidP="00FB2F66">
            <w:pPr>
              <w:jc w:val="both"/>
              <w:rPr>
                <w:rFonts w:eastAsia="Calibri"/>
                <w:sz w:val="24"/>
                <w:szCs w:val="24"/>
              </w:rPr>
            </w:pPr>
            <w:r w:rsidRPr="0088148E">
              <w:rPr>
                <w:rFonts w:eastAsia="Calibri"/>
                <w:sz w:val="24"/>
                <w:szCs w:val="24"/>
              </w:rPr>
              <w:t>Planuojama (nenurodoma, jeigu pirkimas vertinamas iki vokų su pasiūlymais atplėšimo procedūros) pirkimo sutarties vertė, su PVM/be PVM</w:t>
            </w:r>
          </w:p>
        </w:tc>
        <w:tc>
          <w:tcPr>
            <w:tcW w:w="5244" w:type="dxa"/>
            <w:shd w:val="clear" w:color="auto" w:fill="auto"/>
            <w:vAlign w:val="center"/>
          </w:tcPr>
          <w:p w:rsidR="00FB2F66" w:rsidRPr="0088148E" w:rsidRDefault="00FB2F66" w:rsidP="00FB2F66">
            <w:pPr>
              <w:jc w:val="both"/>
              <w:rPr>
                <w:rFonts w:eastAsia="Calibri"/>
                <w:sz w:val="24"/>
                <w:szCs w:val="24"/>
              </w:rPr>
            </w:pPr>
            <w:r>
              <w:rPr>
                <w:sz w:val="24"/>
                <w:szCs w:val="24"/>
              </w:rPr>
              <w:t xml:space="preserve">1 370 000 </w:t>
            </w:r>
            <w:proofErr w:type="spellStart"/>
            <w:r>
              <w:rPr>
                <w:sz w:val="24"/>
                <w:szCs w:val="24"/>
              </w:rPr>
              <w:t>eur</w:t>
            </w:r>
            <w:proofErr w:type="spellEnd"/>
            <w:r>
              <w:rPr>
                <w:sz w:val="24"/>
                <w:szCs w:val="24"/>
              </w:rPr>
              <w:t xml:space="preserve"> su PVM</w:t>
            </w:r>
          </w:p>
        </w:tc>
      </w:tr>
      <w:tr w:rsidR="00FB2F66" w:rsidRPr="0088148E" w:rsidTr="00FF0A00">
        <w:tc>
          <w:tcPr>
            <w:tcW w:w="4503" w:type="dxa"/>
            <w:shd w:val="clear" w:color="auto" w:fill="auto"/>
            <w:vAlign w:val="center"/>
          </w:tcPr>
          <w:p w:rsidR="00FB2F66" w:rsidRPr="0088148E" w:rsidRDefault="00FB2F66" w:rsidP="00FB2F66">
            <w:pPr>
              <w:jc w:val="both"/>
              <w:rPr>
                <w:rFonts w:eastAsia="Calibri"/>
                <w:sz w:val="24"/>
                <w:szCs w:val="24"/>
              </w:rPr>
            </w:pPr>
            <w:r w:rsidRPr="0088148E">
              <w:rPr>
                <w:rFonts w:eastAsia="Calibri"/>
                <w:sz w:val="24"/>
                <w:szCs w:val="24"/>
              </w:rPr>
              <w:t>Pirkimas finansuojamas ES lėšomis, projekto pavadinimas, Įgyvendinančioji institucija</w:t>
            </w:r>
          </w:p>
        </w:tc>
        <w:tc>
          <w:tcPr>
            <w:tcW w:w="5244" w:type="dxa"/>
            <w:shd w:val="clear" w:color="auto" w:fill="auto"/>
            <w:vAlign w:val="center"/>
          </w:tcPr>
          <w:p w:rsidR="00FB2F66" w:rsidRPr="0088148E" w:rsidRDefault="00FB2F66" w:rsidP="00FB2F66">
            <w:pPr>
              <w:jc w:val="both"/>
              <w:rPr>
                <w:rFonts w:eastAsia="Calibri"/>
                <w:sz w:val="24"/>
                <w:szCs w:val="24"/>
              </w:rPr>
            </w:pPr>
            <w:r>
              <w:rPr>
                <w:rFonts w:eastAsia="Calibri"/>
                <w:sz w:val="24"/>
                <w:szCs w:val="24"/>
              </w:rPr>
              <w:t>-</w:t>
            </w:r>
          </w:p>
        </w:tc>
      </w:tr>
      <w:tr w:rsidR="00FB2F66" w:rsidRPr="0088148E" w:rsidTr="00FF0A00">
        <w:tc>
          <w:tcPr>
            <w:tcW w:w="4503" w:type="dxa"/>
            <w:shd w:val="clear" w:color="auto" w:fill="auto"/>
            <w:vAlign w:val="center"/>
          </w:tcPr>
          <w:p w:rsidR="00FB2F66" w:rsidRPr="0088148E" w:rsidRDefault="00FB2F66" w:rsidP="00FB2F66">
            <w:pPr>
              <w:jc w:val="both"/>
              <w:rPr>
                <w:rFonts w:eastAsia="Calibri"/>
                <w:sz w:val="24"/>
                <w:szCs w:val="24"/>
              </w:rPr>
            </w:pPr>
            <w:r>
              <w:rPr>
                <w:rFonts w:eastAsia="Calibri"/>
                <w:sz w:val="24"/>
                <w:szCs w:val="24"/>
              </w:rPr>
              <w:t>Pirkimo vykdymo teisinis pagrindas (pirkimui taikoma įstatymo redakcija)</w:t>
            </w:r>
          </w:p>
        </w:tc>
        <w:tc>
          <w:tcPr>
            <w:tcW w:w="5244" w:type="dxa"/>
            <w:shd w:val="clear" w:color="auto" w:fill="auto"/>
            <w:vAlign w:val="center"/>
          </w:tcPr>
          <w:p w:rsidR="00FB2F66" w:rsidRPr="0088148E" w:rsidRDefault="00FB2F66" w:rsidP="00FB2F66">
            <w:pPr>
              <w:tabs>
                <w:tab w:val="left" w:pos="308"/>
              </w:tabs>
              <w:jc w:val="both"/>
              <w:rPr>
                <w:rFonts w:eastAsia="Calibri"/>
                <w:sz w:val="24"/>
                <w:szCs w:val="24"/>
              </w:rPr>
            </w:pPr>
            <w:r w:rsidRPr="002F25D6">
              <w:rPr>
                <w:bCs/>
                <w:sz w:val="24"/>
                <w:szCs w:val="24"/>
              </w:rPr>
              <w:t xml:space="preserve">Lietuvos Respublikos viešųjų pirkimų įstatymas  </w:t>
            </w:r>
            <w:r>
              <w:rPr>
                <w:bCs/>
                <w:sz w:val="24"/>
                <w:szCs w:val="24"/>
              </w:rPr>
              <w:t>(redakcija</w:t>
            </w:r>
            <w:r w:rsidRPr="002F25D6">
              <w:rPr>
                <w:bCs/>
                <w:sz w:val="24"/>
                <w:szCs w:val="24"/>
              </w:rPr>
              <w:t xml:space="preserve"> nuo 2017-07-01) (toliau – </w:t>
            </w:r>
            <w:r>
              <w:rPr>
                <w:bCs/>
                <w:sz w:val="24"/>
                <w:szCs w:val="24"/>
              </w:rPr>
              <w:t>Įstatymas</w:t>
            </w:r>
            <w:r w:rsidRPr="002F25D6">
              <w:rPr>
                <w:bCs/>
                <w:sz w:val="24"/>
                <w:szCs w:val="24"/>
              </w:rPr>
              <w:t>)</w:t>
            </w:r>
          </w:p>
        </w:tc>
      </w:tr>
      <w:tr w:rsidR="00FB2F66" w:rsidRPr="0088148E" w:rsidTr="00FF0A00">
        <w:tc>
          <w:tcPr>
            <w:tcW w:w="4503" w:type="dxa"/>
            <w:shd w:val="clear" w:color="auto" w:fill="auto"/>
            <w:vAlign w:val="center"/>
          </w:tcPr>
          <w:p w:rsidR="00FB2F66" w:rsidRPr="0088148E" w:rsidRDefault="00FB2F66" w:rsidP="00FB2F66">
            <w:pPr>
              <w:jc w:val="both"/>
              <w:rPr>
                <w:rFonts w:eastAsia="Calibri"/>
                <w:sz w:val="24"/>
                <w:szCs w:val="24"/>
              </w:rPr>
            </w:pPr>
            <w:r>
              <w:rPr>
                <w:rFonts w:eastAsia="Calibri"/>
                <w:sz w:val="24"/>
                <w:szCs w:val="24"/>
              </w:rPr>
              <w:t>Vertinimo apimtys / pirkimo etapas</w:t>
            </w:r>
          </w:p>
        </w:tc>
        <w:tc>
          <w:tcPr>
            <w:tcW w:w="5244" w:type="dxa"/>
            <w:shd w:val="clear" w:color="auto" w:fill="auto"/>
            <w:vAlign w:val="center"/>
          </w:tcPr>
          <w:p w:rsidR="00FB2F66" w:rsidRPr="0088148E" w:rsidRDefault="00FB2F66" w:rsidP="00FB2F66">
            <w:pPr>
              <w:tabs>
                <w:tab w:val="left" w:pos="308"/>
              </w:tabs>
              <w:jc w:val="both"/>
              <w:rPr>
                <w:rFonts w:eastAsia="Calibri"/>
                <w:sz w:val="24"/>
                <w:szCs w:val="24"/>
              </w:rPr>
            </w:pPr>
            <w:r>
              <w:rPr>
                <w:rFonts w:eastAsia="Calibri"/>
                <w:sz w:val="24"/>
                <w:szCs w:val="24"/>
              </w:rPr>
              <w:t>Dalinis, iki pirkimo sutarties pasirašymo (dėl kvalifikacinių reikalavimų visumos)</w:t>
            </w:r>
          </w:p>
        </w:tc>
      </w:tr>
      <w:tr w:rsidR="00FB2F66" w:rsidRPr="0088148E" w:rsidTr="00FF0A00">
        <w:tc>
          <w:tcPr>
            <w:tcW w:w="4503" w:type="dxa"/>
            <w:shd w:val="clear" w:color="auto" w:fill="auto"/>
            <w:vAlign w:val="center"/>
          </w:tcPr>
          <w:p w:rsidR="00FB2F66" w:rsidRPr="0088148E" w:rsidRDefault="00FB2F66" w:rsidP="00FB2F66">
            <w:pPr>
              <w:jc w:val="both"/>
              <w:rPr>
                <w:rFonts w:eastAsia="Calibri"/>
                <w:sz w:val="24"/>
                <w:szCs w:val="24"/>
              </w:rPr>
            </w:pPr>
            <w:r w:rsidRPr="0088148E">
              <w:rPr>
                <w:rFonts w:eastAsia="Calibri"/>
                <w:sz w:val="24"/>
                <w:szCs w:val="24"/>
              </w:rPr>
              <w:t>Dėl pirkimo / 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rsidR="00FB2F66" w:rsidRPr="0088148E" w:rsidRDefault="00FB2F66" w:rsidP="00FB2F66">
            <w:pPr>
              <w:tabs>
                <w:tab w:val="left" w:pos="308"/>
              </w:tabs>
              <w:jc w:val="both"/>
              <w:rPr>
                <w:rFonts w:eastAsia="Calibri"/>
                <w:sz w:val="24"/>
                <w:szCs w:val="24"/>
              </w:rPr>
            </w:pPr>
            <w:r w:rsidRPr="0088148E">
              <w:rPr>
                <w:rFonts w:eastAsia="Calibri"/>
                <w:sz w:val="24"/>
                <w:szCs w:val="24"/>
              </w:rPr>
              <w:t>-</w:t>
            </w:r>
          </w:p>
        </w:tc>
      </w:tr>
    </w:tbl>
    <w:p w:rsidR="0088148E" w:rsidRPr="0088148E" w:rsidRDefault="0088148E" w:rsidP="0088148E">
      <w:pPr>
        <w:jc w:val="center"/>
        <w:rPr>
          <w:rFonts w:eastAsia="Calibri"/>
          <w:sz w:val="24"/>
          <w:szCs w:val="24"/>
        </w:rPr>
      </w:pPr>
    </w:p>
    <w:p w:rsidR="0088148E" w:rsidRPr="0088148E" w:rsidRDefault="0088148E" w:rsidP="0088148E">
      <w:pPr>
        <w:jc w:val="center"/>
        <w:rPr>
          <w:rFonts w:eastAsia="Calibri"/>
          <w:b/>
          <w:sz w:val="24"/>
          <w:szCs w:val="24"/>
        </w:rPr>
      </w:pPr>
      <w:r w:rsidRPr="0088148E">
        <w:rPr>
          <w:rFonts w:eastAsia="Calibri"/>
          <w:b/>
          <w:sz w:val="24"/>
          <w:szCs w:val="24"/>
        </w:rPr>
        <w:t>II dalis. Vertinimo metu nustatyti pažeidimai</w:t>
      </w:r>
    </w:p>
    <w:p w:rsidR="0088148E" w:rsidRPr="0088148E" w:rsidRDefault="0088148E" w:rsidP="0088148E">
      <w:pPr>
        <w:jc w:val="center"/>
        <w:rPr>
          <w:rFonts w:eastAsia="Calibri"/>
          <w:b/>
          <w:sz w:val="24"/>
          <w:szCs w:val="24"/>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63"/>
      </w:tblGrid>
      <w:tr w:rsidR="0088148E" w:rsidRPr="0088148E" w:rsidTr="006D2C84">
        <w:tc>
          <w:tcPr>
            <w:tcW w:w="421" w:type="dxa"/>
            <w:shd w:val="clear" w:color="auto" w:fill="auto"/>
            <w:vAlign w:val="center"/>
          </w:tcPr>
          <w:p w:rsidR="0088148E" w:rsidRPr="0088148E" w:rsidRDefault="0088148E" w:rsidP="00601D8F">
            <w:pPr>
              <w:numPr>
                <w:ilvl w:val="0"/>
                <w:numId w:val="20"/>
              </w:numPr>
              <w:spacing w:after="160" w:line="259" w:lineRule="auto"/>
              <w:ind w:left="0" w:right="172" w:firstLine="0"/>
              <w:contextualSpacing/>
              <w:rPr>
                <w:rFonts w:eastAsia="Calibri"/>
                <w:sz w:val="24"/>
                <w:szCs w:val="24"/>
              </w:rPr>
            </w:pPr>
          </w:p>
        </w:tc>
        <w:tc>
          <w:tcPr>
            <w:tcW w:w="9363" w:type="dxa"/>
            <w:shd w:val="clear" w:color="auto" w:fill="auto"/>
          </w:tcPr>
          <w:p w:rsidR="00FB2F66" w:rsidRDefault="00FB2F66" w:rsidP="00FB2F66">
            <w:pPr>
              <w:ind w:firstLine="113"/>
              <w:rPr>
                <w:sz w:val="24"/>
                <w:szCs w:val="24"/>
              </w:rPr>
            </w:pPr>
            <w:r>
              <w:rPr>
                <w:sz w:val="24"/>
                <w:szCs w:val="24"/>
              </w:rPr>
              <w:t>Įstatymo 51 straipsnio 7 dalies 1 punktas</w:t>
            </w:r>
            <w:r>
              <w:rPr>
                <w:rStyle w:val="Puslapioinaosnuoroda"/>
                <w:sz w:val="24"/>
                <w:szCs w:val="24"/>
              </w:rPr>
              <w:footnoteReference w:id="1"/>
            </w:r>
            <w:r>
              <w:rPr>
                <w:sz w:val="24"/>
                <w:szCs w:val="24"/>
              </w:rPr>
              <w:t>,</w:t>
            </w:r>
          </w:p>
          <w:p w:rsidR="00FB2F66" w:rsidRPr="002539B1" w:rsidRDefault="00FB2F66" w:rsidP="00FB2F66">
            <w:pPr>
              <w:ind w:firstLine="113"/>
              <w:rPr>
                <w:sz w:val="24"/>
                <w:szCs w:val="24"/>
                <w:lang w:val="en-GB"/>
              </w:rPr>
            </w:pPr>
            <w:r w:rsidRPr="00D96EE2">
              <w:rPr>
                <w:sz w:val="24"/>
                <w:szCs w:val="24"/>
              </w:rPr>
              <w:t>Įstatymo 47 straipsnio 1 dalis</w:t>
            </w:r>
            <w:r w:rsidRPr="00D96EE2">
              <w:rPr>
                <w:rStyle w:val="Puslapioinaosnuoroda"/>
                <w:sz w:val="24"/>
                <w:szCs w:val="24"/>
              </w:rPr>
              <w:footnoteReference w:id="2"/>
            </w:r>
            <w:r>
              <w:rPr>
                <w:sz w:val="24"/>
                <w:szCs w:val="24"/>
              </w:rPr>
              <w:t xml:space="preserve"> ir 7 dalis</w:t>
            </w:r>
            <w:r>
              <w:rPr>
                <w:rStyle w:val="Puslapioinaosnuoroda"/>
                <w:sz w:val="24"/>
                <w:szCs w:val="24"/>
              </w:rPr>
              <w:footnoteReference w:id="3"/>
            </w:r>
          </w:p>
          <w:p w:rsidR="0088148E" w:rsidRPr="00FB2F66" w:rsidRDefault="00FB2F66" w:rsidP="00FE7F47">
            <w:pPr>
              <w:ind w:firstLine="113"/>
              <w:rPr>
                <w:sz w:val="24"/>
                <w:szCs w:val="24"/>
              </w:rPr>
            </w:pPr>
            <w:r>
              <w:rPr>
                <w:sz w:val="24"/>
                <w:szCs w:val="24"/>
              </w:rPr>
              <w:t>Įstatymo 17 straipsnio 1</w:t>
            </w:r>
            <w:r w:rsidR="00FE7F47">
              <w:rPr>
                <w:sz w:val="24"/>
                <w:szCs w:val="24"/>
              </w:rPr>
              <w:t xml:space="preserve"> dalis</w:t>
            </w:r>
            <w:r w:rsidR="00FE7F47">
              <w:rPr>
                <w:rStyle w:val="Puslapioinaosnuoroda"/>
                <w:sz w:val="24"/>
                <w:szCs w:val="24"/>
              </w:rPr>
              <w:t xml:space="preserve"> </w:t>
            </w:r>
            <w:r>
              <w:rPr>
                <w:rStyle w:val="Puslapioinaosnuoroda"/>
                <w:sz w:val="24"/>
                <w:szCs w:val="24"/>
              </w:rPr>
              <w:footnoteReference w:id="4"/>
            </w:r>
            <w:r>
              <w:rPr>
                <w:sz w:val="24"/>
                <w:szCs w:val="24"/>
              </w:rPr>
              <w:t xml:space="preserve"> ir 3</w:t>
            </w:r>
            <w:r w:rsidR="00FE7F47">
              <w:rPr>
                <w:sz w:val="24"/>
                <w:szCs w:val="24"/>
              </w:rPr>
              <w:t xml:space="preserve"> dalis</w:t>
            </w:r>
            <w:r w:rsidR="00FE7F47">
              <w:rPr>
                <w:rStyle w:val="Puslapioinaosnuoroda"/>
                <w:sz w:val="24"/>
                <w:szCs w:val="24"/>
              </w:rPr>
              <w:t xml:space="preserve"> </w:t>
            </w:r>
            <w:r>
              <w:rPr>
                <w:rStyle w:val="Puslapioinaosnuoroda"/>
                <w:sz w:val="24"/>
                <w:szCs w:val="24"/>
              </w:rPr>
              <w:footnoteReference w:id="5"/>
            </w:r>
            <w:r>
              <w:rPr>
                <w:sz w:val="24"/>
                <w:szCs w:val="24"/>
              </w:rPr>
              <w:t xml:space="preserve"> </w:t>
            </w:r>
          </w:p>
        </w:tc>
      </w:tr>
      <w:tr w:rsidR="0088148E" w:rsidRPr="0088148E" w:rsidTr="00601D8F">
        <w:tc>
          <w:tcPr>
            <w:tcW w:w="9784" w:type="dxa"/>
            <w:gridSpan w:val="2"/>
            <w:shd w:val="clear" w:color="auto" w:fill="auto"/>
            <w:vAlign w:val="center"/>
          </w:tcPr>
          <w:p w:rsidR="006D2C84" w:rsidRPr="00A33F0A" w:rsidRDefault="006D2C84" w:rsidP="006D2C84">
            <w:pPr>
              <w:pStyle w:val="Sraopastraipa"/>
              <w:tabs>
                <w:tab w:val="left" w:pos="567"/>
              </w:tabs>
              <w:ind w:left="0" w:firstLine="567"/>
              <w:jc w:val="both"/>
              <w:rPr>
                <w:bCs/>
                <w:sz w:val="24"/>
                <w:szCs w:val="24"/>
              </w:rPr>
            </w:pPr>
            <w:r w:rsidRPr="00A33F0A">
              <w:rPr>
                <w:bCs/>
                <w:sz w:val="24"/>
                <w:szCs w:val="24"/>
              </w:rPr>
              <w:t>Pirkimą vykdė Perkančiosios organizacijos direktoriaus 2018-01-</w:t>
            </w:r>
            <w:r>
              <w:rPr>
                <w:bCs/>
                <w:sz w:val="24"/>
                <w:szCs w:val="24"/>
              </w:rPr>
              <w:t>04</w:t>
            </w:r>
            <w:r w:rsidRPr="00A33F0A">
              <w:rPr>
                <w:bCs/>
                <w:sz w:val="24"/>
                <w:szCs w:val="24"/>
              </w:rPr>
              <w:t xml:space="preserve"> įsakymu Nr. </w:t>
            </w:r>
            <w:r>
              <w:rPr>
                <w:bCs/>
                <w:sz w:val="24"/>
                <w:szCs w:val="24"/>
              </w:rPr>
              <w:t>20-V-7</w:t>
            </w:r>
            <w:r w:rsidRPr="00A33F0A">
              <w:rPr>
                <w:bCs/>
                <w:sz w:val="24"/>
                <w:szCs w:val="24"/>
              </w:rPr>
              <w:t xml:space="preserve"> „Dėl viešųjų pirkimų komisijos sudarymo“ sudaryta nuolatinė viešųjų pirkimų komisija (toliau – Komisija). </w:t>
            </w:r>
          </w:p>
          <w:p w:rsidR="006D2C84" w:rsidRDefault="006D2C84" w:rsidP="006D2C84">
            <w:pPr>
              <w:ind w:firstLine="567"/>
              <w:jc w:val="both"/>
              <w:rPr>
                <w:sz w:val="24"/>
                <w:szCs w:val="24"/>
              </w:rPr>
            </w:pPr>
            <w:r w:rsidRPr="00A33F0A">
              <w:rPr>
                <w:bCs/>
                <w:sz w:val="24"/>
                <w:szCs w:val="24"/>
              </w:rPr>
              <w:t xml:space="preserve">Pirkimo sąlygų, </w:t>
            </w:r>
            <w:r w:rsidRPr="00A33F0A">
              <w:rPr>
                <w:sz w:val="24"/>
                <w:szCs w:val="24"/>
              </w:rPr>
              <w:t>patvirtintų Komisijos 2018-0</w:t>
            </w:r>
            <w:r>
              <w:rPr>
                <w:sz w:val="24"/>
                <w:szCs w:val="24"/>
              </w:rPr>
              <w:t>6</w:t>
            </w:r>
            <w:r w:rsidRPr="00A33F0A">
              <w:rPr>
                <w:sz w:val="24"/>
                <w:szCs w:val="24"/>
              </w:rPr>
              <w:t>-</w:t>
            </w:r>
            <w:r>
              <w:rPr>
                <w:sz w:val="24"/>
                <w:szCs w:val="24"/>
              </w:rPr>
              <w:t>01</w:t>
            </w:r>
            <w:r w:rsidRPr="00A33F0A">
              <w:rPr>
                <w:sz w:val="24"/>
                <w:szCs w:val="24"/>
              </w:rPr>
              <w:t xml:space="preserve"> protokolu Nr. </w:t>
            </w:r>
            <w:r>
              <w:rPr>
                <w:sz w:val="24"/>
                <w:szCs w:val="24"/>
              </w:rPr>
              <w:t>20-P1-312</w:t>
            </w:r>
            <w:r w:rsidRPr="00A33F0A">
              <w:rPr>
                <w:sz w:val="24"/>
                <w:szCs w:val="24"/>
              </w:rPr>
              <w:t xml:space="preserve"> (toliau – Pirkimo sąlygos), 3.</w:t>
            </w:r>
            <w:r>
              <w:rPr>
                <w:sz w:val="24"/>
                <w:szCs w:val="24"/>
              </w:rPr>
              <w:t>8</w:t>
            </w:r>
            <w:r w:rsidRPr="00A33F0A">
              <w:rPr>
                <w:sz w:val="24"/>
                <w:szCs w:val="24"/>
              </w:rPr>
              <w:t xml:space="preserve"> punkto </w:t>
            </w:r>
            <w:r>
              <w:rPr>
                <w:sz w:val="24"/>
                <w:szCs w:val="24"/>
              </w:rPr>
              <w:t>1</w:t>
            </w:r>
            <w:r w:rsidRPr="00A33F0A">
              <w:rPr>
                <w:sz w:val="24"/>
                <w:szCs w:val="24"/>
              </w:rPr>
              <w:t xml:space="preserve"> lentelė</w:t>
            </w:r>
            <w:r>
              <w:rPr>
                <w:sz w:val="24"/>
                <w:szCs w:val="24"/>
              </w:rPr>
              <w:t>s</w:t>
            </w:r>
            <w:r w:rsidRPr="00A33F0A">
              <w:rPr>
                <w:sz w:val="24"/>
                <w:szCs w:val="24"/>
              </w:rPr>
              <w:t xml:space="preserve"> „Tiekėjų kvalifikacijos reikalavimai“ </w:t>
            </w:r>
            <w:r>
              <w:rPr>
                <w:sz w:val="24"/>
                <w:szCs w:val="24"/>
              </w:rPr>
              <w:t>3.8.2 papunktyje</w:t>
            </w:r>
            <w:r w:rsidRPr="00A33F0A">
              <w:rPr>
                <w:sz w:val="24"/>
                <w:szCs w:val="24"/>
              </w:rPr>
              <w:t xml:space="preserve"> </w:t>
            </w:r>
            <w:r>
              <w:rPr>
                <w:sz w:val="24"/>
                <w:szCs w:val="24"/>
              </w:rPr>
              <w:t>nustatytas</w:t>
            </w:r>
            <w:r w:rsidRPr="00A33F0A">
              <w:rPr>
                <w:sz w:val="24"/>
                <w:szCs w:val="24"/>
              </w:rPr>
              <w:t xml:space="preserve"> kvali</w:t>
            </w:r>
            <w:r>
              <w:rPr>
                <w:sz w:val="24"/>
                <w:szCs w:val="24"/>
              </w:rPr>
              <w:t>fikacijos reikalavimas yra nepagrįstas, neproporcingas</w:t>
            </w:r>
            <w:r w:rsidRPr="00A33F0A">
              <w:rPr>
                <w:sz w:val="24"/>
                <w:szCs w:val="24"/>
              </w:rPr>
              <w:t xml:space="preserve"> ir dirbtinai </w:t>
            </w:r>
            <w:r w:rsidR="00182F1B">
              <w:rPr>
                <w:sz w:val="24"/>
                <w:szCs w:val="24"/>
              </w:rPr>
              <w:t>ribojanti</w:t>
            </w:r>
            <w:bookmarkStart w:id="2" w:name="_GoBack"/>
            <w:bookmarkEnd w:id="2"/>
            <w:r>
              <w:rPr>
                <w:sz w:val="24"/>
                <w:szCs w:val="24"/>
              </w:rPr>
              <w:t>s tiekėjų konkurenciją.</w:t>
            </w:r>
          </w:p>
          <w:p w:rsidR="006D2C84" w:rsidRDefault="006D2C84" w:rsidP="006D2C84">
            <w:pPr>
              <w:ind w:firstLine="567"/>
              <w:jc w:val="both"/>
              <w:rPr>
                <w:color w:val="000000"/>
                <w:spacing w:val="2"/>
                <w:sz w:val="24"/>
                <w:szCs w:val="24"/>
              </w:rPr>
            </w:pPr>
            <w:r>
              <w:rPr>
                <w:sz w:val="24"/>
                <w:szCs w:val="24"/>
              </w:rPr>
              <w:t>Pirkimo sąlygų 3.8.2 papunktyje</w:t>
            </w:r>
            <w:r w:rsidRPr="00A33F0A">
              <w:rPr>
                <w:sz w:val="24"/>
                <w:szCs w:val="24"/>
              </w:rPr>
              <w:t xml:space="preserve"> nu</w:t>
            </w:r>
            <w:r>
              <w:rPr>
                <w:sz w:val="24"/>
                <w:szCs w:val="24"/>
              </w:rPr>
              <w:t>rodytas</w:t>
            </w:r>
            <w:r w:rsidRPr="00A33F0A">
              <w:rPr>
                <w:sz w:val="24"/>
                <w:szCs w:val="24"/>
              </w:rPr>
              <w:t xml:space="preserve"> minimalus kvalifikacijos reikalavimas „Tiekėjas per </w:t>
            </w:r>
            <w:r w:rsidRPr="00551DD6">
              <w:rPr>
                <w:sz w:val="24"/>
                <w:szCs w:val="24"/>
                <w:u w:val="single"/>
              </w:rPr>
              <w:t>pastaruosius 3 metus</w:t>
            </w:r>
            <w:r w:rsidRPr="00A33F0A">
              <w:rPr>
                <w:sz w:val="24"/>
                <w:szCs w:val="24"/>
              </w:rPr>
              <w:t xml:space="preserve"> arba per laiką nuo tiekėjo įregistravimo dienos (jeigu tiekėjas vykdė veiklą mažiau nei 3 metus) </w:t>
            </w:r>
            <w:r>
              <w:rPr>
                <w:sz w:val="24"/>
                <w:szCs w:val="24"/>
              </w:rPr>
              <w:t xml:space="preserve">yra tinkamai įvykdęs </w:t>
            </w:r>
            <w:r w:rsidRPr="00551DD6">
              <w:rPr>
                <w:sz w:val="24"/>
                <w:szCs w:val="24"/>
                <w:u w:val="single"/>
              </w:rPr>
              <w:t>bent vieną darbų sutartį</w:t>
            </w:r>
            <w:r>
              <w:rPr>
                <w:sz w:val="24"/>
                <w:szCs w:val="24"/>
              </w:rPr>
              <w:t xml:space="preserve">, kurią vykdant tiekėjo (nepriklausomai nuo jo statuso vykdant sutartį) atliktų pastato/ statinio griovimo/ardymo darbų vertė ne mažesnė nei 450 000 </w:t>
            </w:r>
            <w:proofErr w:type="spellStart"/>
            <w:r>
              <w:rPr>
                <w:sz w:val="24"/>
                <w:szCs w:val="24"/>
              </w:rPr>
              <w:t>eur</w:t>
            </w:r>
            <w:proofErr w:type="spellEnd"/>
            <w:r>
              <w:rPr>
                <w:sz w:val="24"/>
                <w:szCs w:val="24"/>
              </w:rPr>
              <w:t xml:space="preserve"> be PVM“ prieštarauja Įstatymo 51 straipsnio 7 dalies 1 punkto nuostatai, kad nustatant techninio, profesinio pajėgumo reikalavimus darbų pirkimo </w:t>
            </w:r>
            <w:r w:rsidRPr="00DA15FD">
              <w:rPr>
                <w:sz w:val="24"/>
                <w:szCs w:val="24"/>
              </w:rPr>
              <w:t>atvejais t</w:t>
            </w:r>
            <w:r>
              <w:rPr>
                <w:sz w:val="24"/>
                <w:szCs w:val="24"/>
              </w:rPr>
              <w:t xml:space="preserve">uri būti prašoma tiekėjų pateikti </w:t>
            </w:r>
            <w:proofErr w:type="spellStart"/>
            <w:r>
              <w:rPr>
                <w:sz w:val="24"/>
                <w:szCs w:val="24"/>
              </w:rPr>
              <w:t>įrodymus</w:t>
            </w:r>
            <w:proofErr w:type="spellEnd"/>
            <w:r>
              <w:rPr>
                <w:sz w:val="24"/>
                <w:szCs w:val="24"/>
              </w:rPr>
              <w:t xml:space="preserve"> „per paskutinius 5 metus“, o ne per pastaruosius tris, kaip Perkančioji organizacija nurodė. Taip pat </w:t>
            </w:r>
            <w:r>
              <w:rPr>
                <w:bCs/>
                <w:color w:val="000000"/>
                <w:sz w:val="24"/>
                <w:szCs w:val="24"/>
              </w:rPr>
              <w:t>a</w:t>
            </w:r>
            <w:r w:rsidRPr="00DC2441">
              <w:rPr>
                <w:bCs/>
                <w:color w:val="000000"/>
                <w:sz w:val="24"/>
                <w:szCs w:val="24"/>
              </w:rPr>
              <w:t>tsižvelgiant į Kvalifikacijos metodikos</w:t>
            </w:r>
            <w:r w:rsidRPr="00DC2441">
              <w:rPr>
                <w:rStyle w:val="Puslapioinaosnuoroda"/>
                <w:bCs/>
                <w:color w:val="000000"/>
                <w:sz w:val="24"/>
                <w:szCs w:val="24"/>
              </w:rPr>
              <w:footnoteReference w:id="6"/>
            </w:r>
            <w:r w:rsidRPr="00DC2441">
              <w:rPr>
                <w:bCs/>
                <w:color w:val="000000"/>
                <w:sz w:val="24"/>
                <w:szCs w:val="24"/>
              </w:rPr>
              <w:t xml:space="preserve"> 21.1.</w:t>
            </w:r>
            <w:r>
              <w:rPr>
                <w:bCs/>
                <w:color w:val="000000"/>
                <w:sz w:val="24"/>
                <w:szCs w:val="24"/>
              </w:rPr>
              <w:t>2</w:t>
            </w:r>
            <w:r w:rsidRPr="00DC2441">
              <w:rPr>
                <w:bCs/>
                <w:color w:val="000000"/>
                <w:sz w:val="24"/>
                <w:szCs w:val="24"/>
              </w:rPr>
              <w:t xml:space="preserve">. </w:t>
            </w:r>
            <w:r w:rsidR="00FA5C7A">
              <w:rPr>
                <w:bCs/>
                <w:color w:val="000000"/>
                <w:sz w:val="24"/>
                <w:szCs w:val="24"/>
              </w:rPr>
              <w:t>punkto</w:t>
            </w:r>
            <w:r w:rsidRPr="00DC2441">
              <w:rPr>
                <w:bCs/>
                <w:color w:val="000000"/>
                <w:sz w:val="24"/>
                <w:szCs w:val="24"/>
              </w:rPr>
              <w:t xml:space="preserve"> nuostatą</w:t>
            </w:r>
            <w:r w:rsidRPr="00DC2441">
              <w:rPr>
                <w:rStyle w:val="Puslapioinaosnuoroda"/>
                <w:bCs/>
                <w:color w:val="000000"/>
                <w:sz w:val="24"/>
                <w:szCs w:val="24"/>
              </w:rPr>
              <w:footnoteReference w:id="7"/>
            </w:r>
            <w:r w:rsidRPr="00DC2441">
              <w:rPr>
                <w:bCs/>
                <w:color w:val="000000"/>
                <w:sz w:val="24"/>
                <w:szCs w:val="24"/>
              </w:rPr>
              <w:t xml:space="preserve">, </w:t>
            </w:r>
            <w:r>
              <w:rPr>
                <w:sz w:val="24"/>
                <w:szCs w:val="24"/>
              </w:rPr>
              <w:t>reikalaujamas pirkimo sutarčių skaičius – priklauso nuo to,</w:t>
            </w:r>
            <w:r w:rsidR="00AD08E2">
              <w:rPr>
                <w:sz w:val="24"/>
                <w:szCs w:val="24"/>
              </w:rPr>
              <w:t xml:space="preserve"> ar pirkimo objektas yra dalus, o šio </w:t>
            </w:r>
            <w:r w:rsidR="00FA5C7A">
              <w:rPr>
                <w:sz w:val="24"/>
                <w:szCs w:val="24"/>
              </w:rPr>
              <w:t>punkto 2</w:t>
            </w:r>
            <w:r w:rsidR="00AD08E2">
              <w:rPr>
                <w:sz w:val="24"/>
                <w:szCs w:val="24"/>
              </w:rPr>
              <w:t xml:space="preserve"> </w:t>
            </w:r>
            <w:r w:rsidR="00FA5C7A">
              <w:rPr>
                <w:sz w:val="24"/>
                <w:szCs w:val="24"/>
              </w:rPr>
              <w:t>papunktyje</w:t>
            </w:r>
            <w:r w:rsidR="00AD08E2">
              <w:rPr>
                <w:sz w:val="24"/>
                <w:szCs w:val="24"/>
              </w:rPr>
              <w:t xml:space="preserve"> įtvirtinta </w:t>
            </w:r>
            <w:r w:rsidR="00FA5C7A">
              <w:rPr>
                <w:sz w:val="24"/>
                <w:szCs w:val="24"/>
              </w:rPr>
              <w:t xml:space="preserve">kad, </w:t>
            </w:r>
            <w:r w:rsidR="00AD08E2">
              <w:rPr>
                <w:sz w:val="24"/>
                <w:szCs w:val="24"/>
              </w:rPr>
              <w:t>„</w:t>
            </w:r>
            <w:r>
              <w:rPr>
                <w:sz w:val="24"/>
                <w:szCs w:val="24"/>
              </w:rPr>
              <w:t xml:space="preserve">jei pirkimo objektas yra sudėtinis ir gali būti dalus (pavyzdžiui perkami keli automobiliai, kelių objektų kadastriniai matavimai, maitinimo paslaugos, valymo paslaugos) ir / ar prekių pristatymo, paslaugų suteikimo ar darbų atlikimo terminas yra nevienkartinis &lt;...&gt; , tiekėjo prašoma būti įvykdžius / vykdyti </w:t>
            </w:r>
            <w:r w:rsidRPr="00B66432">
              <w:rPr>
                <w:sz w:val="24"/>
                <w:szCs w:val="24"/>
                <w:u w:val="single"/>
              </w:rPr>
              <w:t>bent 1 ar daugiau pirkimo sutarčių</w:t>
            </w:r>
            <w:r>
              <w:rPr>
                <w:sz w:val="24"/>
                <w:szCs w:val="24"/>
              </w:rPr>
              <w:t>, kurių bendra vertė būtų ne mažiau kaip 0,5 pirkimo objekto vertės.</w:t>
            </w:r>
            <w:r w:rsidR="00AD08E2">
              <w:rPr>
                <w:sz w:val="24"/>
                <w:szCs w:val="24"/>
              </w:rPr>
              <w:t>“</w:t>
            </w:r>
            <w:r>
              <w:rPr>
                <w:sz w:val="24"/>
                <w:szCs w:val="24"/>
              </w:rPr>
              <w:t xml:space="preserve"> Vadovaujantis Pirkimo sąlygų 2 priedu „Techninė specifikacija“ nustatyta, kad pirkimo objektą sudaro aštuoni skirtingų pavadinimų statinių griovimo, teritorijos išvalymo nuo naftos produktų užteršimo ir jos sutvarkymo darbai, kurie turi būti įvykdyti per 3 mėnesius t. y. šio vykdomo viešojo pirkimo objektas yra sudėtinis ir gali būti dalus, todėl </w:t>
            </w:r>
            <w:r w:rsidRPr="009A2603">
              <w:rPr>
                <w:sz w:val="24"/>
                <w:szCs w:val="24"/>
              </w:rPr>
              <w:t>toks kvalifikacijos reikalavimas</w:t>
            </w:r>
            <w:r>
              <w:rPr>
                <w:sz w:val="24"/>
                <w:szCs w:val="24"/>
              </w:rPr>
              <w:t xml:space="preserve"> </w:t>
            </w:r>
            <w:r w:rsidRPr="00316589">
              <w:rPr>
                <w:sz w:val="24"/>
                <w:szCs w:val="24"/>
                <w:u w:val="single"/>
              </w:rPr>
              <w:t>per tris metus viena</w:t>
            </w:r>
            <w:r w:rsidRPr="00444B4F">
              <w:rPr>
                <w:sz w:val="24"/>
                <w:szCs w:val="24"/>
                <w:u w:val="single"/>
              </w:rPr>
              <w:t xml:space="preserve"> sutartimi būti įvykdžiusiam</w:t>
            </w:r>
            <w:r w:rsidRPr="009A2603">
              <w:rPr>
                <w:sz w:val="24"/>
                <w:szCs w:val="24"/>
              </w:rPr>
              <w:t xml:space="preserve"> bent vieną</w:t>
            </w:r>
            <w:r>
              <w:rPr>
                <w:sz w:val="24"/>
                <w:szCs w:val="24"/>
              </w:rPr>
              <w:t xml:space="preserve"> </w:t>
            </w:r>
            <w:r w:rsidRPr="00444B4F">
              <w:rPr>
                <w:sz w:val="24"/>
                <w:szCs w:val="24"/>
                <w:u w:val="single"/>
              </w:rPr>
              <w:t>pastato / statinio griovimo / ard</w:t>
            </w:r>
            <w:r>
              <w:rPr>
                <w:sz w:val="24"/>
                <w:szCs w:val="24"/>
                <w:u w:val="single"/>
              </w:rPr>
              <w:t xml:space="preserve">ymo / darbų sutartį už 450 000 </w:t>
            </w:r>
            <w:proofErr w:type="spellStart"/>
            <w:r>
              <w:rPr>
                <w:sz w:val="24"/>
                <w:szCs w:val="24"/>
                <w:u w:val="single"/>
              </w:rPr>
              <w:t>e</w:t>
            </w:r>
            <w:r w:rsidRPr="00444B4F">
              <w:rPr>
                <w:sz w:val="24"/>
                <w:szCs w:val="24"/>
                <w:u w:val="single"/>
              </w:rPr>
              <w:t>ur</w:t>
            </w:r>
            <w:proofErr w:type="spellEnd"/>
            <w:r w:rsidRPr="00444B4F">
              <w:rPr>
                <w:sz w:val="24"/>
                <w:szCs w:val="24"/>
                <w:u w:val="single"/>
              </w:rPr>
              <w:t xml:space="preserve"> be PVM</w:t>
            </w:r>
            <w:r w:rsidRPr="009A2603">
              <w:rPr>
                <w:sz w:val="24"/>
                <w:szCs w:val="24"/>
              </w:rPr>
              <w:t xml:space="preserve"> yra nepagrįstas</w:t>
            </w:r>
            <w:r>
              <w:rPr>
                <w:sz w:val="24"/>
                <w:szCs w:val="24"/>
              </w:rPr>
              <w:t xml:space="preserve">, neproporcingas, </w:t>
            </w:r>
            <w:r w:rsidRPr="009A2603">
              <w:rPr>
                <w:sz w:val="24"/>
                <w:szCs w:val="24"/>
              </w:rPr>
              <w:t>dirbtinai ribojantis tiekėjų konkurenciją ir nesuteikiantis galimybės varžytis rinkoje esantiems patyrusiems tiekėjams</w:t>
            </w:r>
            <w:r>
              <w:rPr>
                <w:sz w:val="24"/>
                <w:szCs w:val="24"/>
              </w:rPr>
              <w:t xml:space="preserve">, kurie gali būti įvykdę kelias panašias sutartis. </w:t>
            </w:r>
            <w:r w:rsidR="00AD08E2">
              <w:rPr>
                <w:sz w:val="24"/>
                <w:szCs w:val="24"/>
              </w:rPr>
              <w:t>Tokiu būdu Perkančioji organizacija nustatydama Pirkimo sąlygų 3.8.2 papunktyje kvalifikacijos reikalavimą nesivadovavo Kvalifikacijos metodikos</w:t>
            </w:r>
            <w:r w:rsidR="00FA5C7A">
              <w:rPr>
                <w:sz w:val="24"/>
                <w:szCs w:val="24"/>
              </w:rPr>
              <w:t xml:space="preserve"> 21.1.2 punkto</w:t>
            </w:r>
            <w:r w:rsidR="00AD08E2">
              <w:rPr>
                <w:sz w:val="24"/>
                <w:szCs w:val="24"/>
              </w:rPr>
              <w:t xml:space="preserve"> nuostatomis ir pažeidė Įstatymo 47 straipsnio 7 dalies reikalavimus. </w:t>
            </w:r>
            <w:r w:rsidRPr="00444B4F">
              <w:rPr>
                <w:sz w:val="24"/>
                <w:szCs w:val="24"/>
              </w:rPr>
              <w:t xml:space="preserve">Tarnybos nuomone, tiekėjai, pagal </w:t>
            </w:r>
            <w:r>
              <w:rPr>
                <w:sz w:val="24"/>
                <w:szCs w:val="24"/>
              </w:rPr>
              <w:t>kelias atskiras sutartis turinty</w:t>
            </w:r>
            <w:r w:rsidRPr="00444B4F">
              <w:rPr>
                <w:sz w:val="24"/>
                <w:szCs w:val="24"/>
              </w:rPr>
              <w:t xml:space="preserve">s tinkamos patirties </w:t>
            </w:r>
            <w:r w:rsidRPr="00444B4F">
              <w:rPr>
                <w:sz w:val="24"/>
                <w:szCs w:val="24"/>
              </w:rPr>
              <w:lastRenderedPageBreak/>
              <w:t>pastatų</w:t>
            </w:r>
            <w:r>
              <w:rPr>
                <w:sz w:val="24"/>
                <w:szCs w:val="24"/>
              </w:rPr>
              <w:t xml:space="preserve"> </w:t>
            </w:r>
            <w:r w:rsidRPr="00444B4F">
              <w:rPr>
                <w:sz w:val="24"/>
                <w:szCs w:val="24"/>
              </w:rPr>
              <w:t>/</w:t>
            </w:r>
            <w:r>
              <w:rPr>
                <w:sz w:val="24"/>
                <w:szCs w:val="24"/>
              </w:rPr>
              <w:t xml:space="preserve"> </w:t>
            </w:r>
            <w:r w:rsidRPr="00444B4F">
              <w:rPr>
                <w:sz w:val="24"/>
                <w:szCs w:val="24"/>
              </w:rPr>
              <w:t>statinių griovimo / ardymo darbų atlikime taip pat būtų pajėgūs t</w:t>
            </w:r>
            <w:r>
              <w:rPr>
                <w:sz w:val="24"/>
                <w:szCs w:val="24"/>
              </w:rPr>
              <w:t xml:space="preserve">inkamai vykdyti Pirkimo sutartį. Pažymėtina, kad </w:t>
            </w:r>
            <w:r w:rsidRPr="00AB57AC">
              <w:rPr>
                <w:sz w:val="24"/>
                <w:szCs w:val="24"/>
              </w:rPr>
              <w:t>Perkančioji organizacija, nustatydama kvalifikacijos reikalavimus, turi įvertinti rinkoje veikiančių tiek</w:t>
            </w:r>
            <w:r>
              <w:rPr>
                <w:sz w:val="24"/>
                <w:szCs w:val="24"/>
              </w:rPr>
              <w:t xml:space="preserve">ėjų patirtį, veikimo principus </w:t>
            </w:r>
            <w:r w:rsidRPr="00AB57AC">
              <w:rPr>
                <w:sz w:val="24"/>
                <w:szCs w:val="24"/>
              </w:rPr>
              <w:t>ir nustatyti tik būtinus reikalavimus, pagrindžiančius tiekėjo pajėgumą tinkamai įvykdyti sutartį.</w:t>
            </w:r>
            <w:r>
              <w:rPr>
                <w:color w:val="000000"/>
                <w:spacing w:val="2"/>
                <w:sz w:val="24"/>
                <w:szCs w:val="24"/>
              </w:rPr>
              <w:t xml:space="preserve"> </w:t>
            </w:r>
          </w:p>
          <w:p w:rsidR="006D2C84" w:rsidRDefault="006D2C84" w:rsidP="006D2C84">
            <w:pPr>
              <w:ind w:firstLine="567"/>
              <w:jc w:val="both"/>
              <w:rPr>
                <w:sz w:val="24"/>
                <w:szCs w:val="24"/>
              </w:rPr>
            </w:pPr>
            <w:r>
              <w:rPr>
                <w:color w:val="000000"/>
                <w:spacing w:val="2"/>
                <w:sz w:val="24"/>
                <w:szCs w:val="24"/>
              </w:rPr>
              <w:t xml:space="preserve">Atsižvelgiant į aukščiau išdėstytą, Tarnyba konstatuoja, kad Perkančioji organizacija, nustatydama neproporcingą pirkimo objektui </w:t>
            </w:r>
            <w:r w:rsidRPr="00920057">
              <w:rPr>
                <w:sz w:val="24"/>
                <w:szCs w:val="24"/>
              </w:rPr>
              <w:t>Pirkimo sąlygų 3</w:t>
            </w:r>
            <w:r>
              <w:rPr>
                <w:sz w:val="24"/>
                <w:szCs w:val="24"/>
              </w:rPr>
              <w:t>.8.</w:t>
            </w:r>
            <w:r w:rsidRPr="00920057">
              <w:rPr>
                <w:sz w:val="24"/>
                <w:szCs w:val="24"/>
              </w:rPr>
              <w:t xml:space="preserve">2 </w:t>
            </w:r>
            <w:r>
              <w:rPr>
                <w:sz w:val="24"/>
                <w:szCs w:val="24"/>
              </w:rPr>
              <w:t>papunkčio reikalavimą, apribojo tiekėjų konkurenciją ir tuo pažeidė Įstatymo 5</w:t>
            </w:r>
            <w:r w:rsidR="00E37DA9">
              <w:rPr>
                <w:sz w:val="24"/>
                <w:szCs w:val="24"/>
              </w:rPr>
              <w:t>1</w:t>
            </w:r>
            <w:r>
              <w:rPr>
                <w:sz w:val="24"/>
                <w:szCs w:val="24"/>
              </w:rPr>
              <w:t xml:space="preserve"> straipsnio 7 dalies 1 punkto nuostatą, Įstatymo 47 straipsnio 1 dalies ir 7 dalies nuostatas, </w:t>
            </w:r>
            <w:r w:rsidRPr="00444B4F">
              <w:rPr>
                <w:sz w:val="24"/>
                <w:szCs w:val="24"/>
              </w:rPr>
              <w:t>Įstatymo 17 straipsnio 1 dalyje įtvirtintus lygiateisiš</w:t>
            </w:r>
            <w:r>
              <w:rPr>
                <w:sz w:val="24"/>
                <w:szCs w:val="24"/>
              </w:rPr>
              <w:t>kum</w:t>
            </w:r>
            <w:r w:rsidR="00E37DA9">
              <w:rPr>
                <w:sz w:val="24"/>
                <w:szCs w:val="24"/>
              </w:rPr>
              <w:t xml:space="preserve">o ir proporcingumo principus ir Įstatymo 17 straipsnio 3 dalį, kad </w:t>
            </w:r>
            <w:r w:rsidR="000D0FB3">
              <w:rPr>
                <w:sz w:val="24"/>
                <w:szCs w:val="24"/>
              </w:rPr>
              <w:t>planuojant pirkimus ir jiems rengiantis negali būti siekiama išvengti šiame Įstatyme nustatytos tvarkos taikymo ar dirbtinai sumažinti konkurenciją.</w:t>
            </w:r>
          </w:p>
          <w:p w:rsidR="0088148E" w:rsidRPr="0088148E" w:rsidRDefault="0088148E" w:rsidP="0088148E">
            <w:pPr>
              <w:tabs>
                <w:tab w:val="left" w:pos="0"/>
                <w:tab w:val="left" w:pos="709"/>
                <w:tab w:val="left" w:pos="1276"/>
              </w:tabs>
              <w:ind w:firstLine="426"/>
              <w:contextualSpacing/>
              <w:jc w:val="both"/>
              <w:rPr>
                <w:rFonts w:eastAsia="Calibri"/>
                <w:sz w:val="24"/>
                <w:szCs w:val="24"/>
              </w:rPr>
            </w:pPr>
          </w:p>
        </w:tc>
      </w:tr>
    </w:tbl>
    <w:p w:rsidR="0088148E" w:rsidRPr="0088148E" w:rsidRDefault="0088148E" w:rsidP="0088148E">
      <w:pPr>
        <w:rPr>
          <w:rFonts w:eastAsia="Calibri"/>
          <w:b/>
          <w:sz w:val="24"/>
          <w:szCs w:val="24"/>
        </w:rPr>
      </w:pPr>
      <w:r w:rsidRPr="0088148E">
        <w:rPr>
          <w:rFonts w:eastAsia="Calibri"/>
          <w:b/>
          <w:sz w:val="24"/>
          <w:szCs w:val="24"/>
        </w:rPr>
        <w:lastRenderedPageBreak/>
        <w:t>*kiekvienos sutarties vertinimas aprašomas atskirai</w:t>
      </w:r>
    </w:p>
    <w:p w:rsidR="0088148E" w:rsidRPr="0088148E" w:rsidRDefault="0088148E" w:rsidP="0088148E">
      <w:pPr>
        <w:jc w:val="center"/>
        <w:rPr>
          <w:rFonts w:eastAsia="Calibri"/>
          <w:b/>
          <w:sz w:val="24"/>
          <w:szCs w:val="24"/>
        </w:rPr>
      </w:pPr>
    </w:p>
    <w:p w:rsidR="0088148E" w:rsidRPr="0088148E" w:rsidRDefault="0088148E" w:rsidP="0088148E">
      <w:pPr>
        <w:jc w:val="center"/>
        <w:rPr>
          <w:rFonts w:eastAsia="Calibri"/>
          <w:b/>
          <w:sz w:val="24"/>
          <w:szCs w:val="24"/>
        </w:rPr>
      </w:pPr>
      <w:r w:rsidRPr="0088148E">
        <w:rPr>
          <w:rFonts w:eastAsia="Calibri"/>
          <w:b/>
          <w:sz w:val="24"/>
          <w:szCs w:val="24"/>
        </w:rPr>
        <w:t>III dalis. Pastabos, į kurias perkančioji organizacija turėtų atsižvelgti vykdydama kitus pirkimus</w:t>
      </w:r>
    </w:p>
    <w:p w:rsidR="0088148E" w:rsidRPr="0088148E" w:rsidRDefault="0088148E" w:rsidP="0088148E">
      <w:pPr>
        <w:jc w:val="center"/>
        <w:rPr>
          <w:rFonts w:eastAsia="Calibri"/>
          <w:b/>
          <w:sz w:val="24"/>
          <w:szCs w:val="24"/>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02"/>
      </w:tblGrid>
      <w:tr w:rsidR="0088148E" w:rsidRPr="0088148E" w:rsidTr="006D2C84">
        <w:tc>
          <w:tcPr>
            <w:tcW w:w="421" w:type="dxa"/>
            <w:shd w:val="clear" w:color="auto" w:fill="auto"/>
            <w:vAlign w:val="center"/>
          </w:tcPr>
          <w:p w:rsidR="0088148E" w:rsidRPr="0088148E" w:rsidRDefault="0088148E" w:rsidP="00601D8F">
            <w:pPr>
              <w:numPr>
                <w:ilvl w:val="0"/>
                <w:numId w:val="19"/>
              </w:numPr>
              <w:tabs>
                <w:tab w:val="left" w:pos="0"/>
              </w:tabs>
              <w:spacing w:after="160" w:line="259" w:lineRule="auto"/>
              <w:ind w:left="0" w:right="172" w:firstLine="29"/>
              <w:contextualSpacing/>
              <w:jc w:val="center"/>
              <w:rPr>
                <w:rFonts w:eastAsia="Calibri"/>
                <w:sz w:val="24"/>
                <w:szCs w:val="24"/>
              </w:rPr>
            </w:pPr>
          </w:p>
        </w:tc>
        <w:tc>
          <w:tcPr>
            <w:tcW w:w="9302" w:type="dxa"/>
            <w:shd w:val="clear" w:color="auto" w:fill="auto"/>
          </w:tcPr>
          <w:p w:rsidR="0088148E" w:rsidRPr="0088148E" w:rsidRDefault="0088148E" w:rsidP="0088148E">
            <w:pPr>
              <w:tabs>
                <w:tab w:val="left" w:pos="993"/>
              </w:tabs>
              <w:jc w:val="both"/>
              <w:rPr>
                <w:bCs/>
                <w:sz w:val="24"/>
                <w:szCs w:val="24"/>
              </w:rPr>
            </w:pPr>
            <w:r w:rsidRPr="0088148E">
              <w:rPr>
                <w:bCs/>
                <w:sz w:val="24"/>
                <w:szCs w:val="24"/>
              </w:rPr>
              <w:t>-</w:t>
            </w:r>
          </w:p>
        </w:tc>
      </w:tr>
    </w:tbl>
    <w:p w:rsidR="0088148E" w:rsidRPr="0088148E" w:rsidRDefault="0088148E" w:rsidP="0088148E">
      <w:pPr>
        <w:jc w:val="center"/>
        <w:rPr>
          <w:rFonts w:eastAsia="Calibri"/>
          <w:b/>
          <w:sz w:val="24"/>
          <w:szCs w:val="24"/>
        </w:rPr>
      </w:pPr>
    </w:p>
    <w:p w:rsidR="0088148E" w:rsidRPr="0088148E" w:rsidRDefault="0088148E" w:rsidP="0088148E">
      <w:pPr>
        <w:jc w:val="center"/>
        <w:rPr>
          <w:rFonts w:eastAsia="Calibri"/>
          <w:b/>
          <w:sz w:val="24"/>
          <w:szCs w:val="24"/>
        </w:rPr>
      </w:pPr>
      <w:r w:rsidRPr="0088148E">
        <w:rPr>
          <w:rFonts w:eastAsia="Calibri"/>
          <w:b/>
          <w:sz w:val="24"/>
          <w:szCs w:val="24"/>
        </w:rPr>
        <w:t>IV dalis. SPRENDIMAS</w:t>
      </w:r>
    </w:p>
    <w:p w:rsidR="0088148E" w:rsidRPr="0088148E" w:rsidRDefault="0088148E" w:rsidP="0088148E">
      <w:pPr>
        <w:tabs>
          <w:tab w:val="left" w:pos="993"/>
        </w:tabs>
        <w:ind w:firstLine="709"/>
        <w:jc w:val="both"/>
        <w:rPr>
          <w:rFonts w:eastAsia="Calibri"/>
          <w:bCs/>
          <w:sz w:val="24"/>
          <w:szCs w:val="24"/>
        </w:rPr>
      </w:pPr>
    </w:p>
    <w:p w:rsidR="006D2C84" w:rsidRPr="00E53AAB" w:rsidRDefault="006D2C84" w:rsidP="006D2C84">
      <w:pPr>
        <w:ind w:firstLine="708"/>
        <w:jc w:val="both"/>
        <w:rPr>
          <w:sz w:val="24"/>
          <w:szCs w:val="24"/>
          <w:lang w:eastAsia="lt-LT"/>
        </w:rPr>
      </w:pPr>
      <w:r w:rsidRPr="00D550DB">
        <w:rPr>
          <w:sz w:val="24"/>
          <w:szCs w:val="24"/>
        </w:rPr>
        <w:t>Atsižvelgdama į nustatytus Įstatymo pažeidimus, nuro</w:t>
      </w:r>
      <w:r>
        <w:rPr>
          <w:sz w:val="24"/>
          <w:szCs w:val="24"/>
        </w:rPr>
        <w:t>dytus šios vertinimo išvados II dalyje</w:t>
      </w:r>
      <w:r w:rsidRPr="00D550DB">
        <w:rPr>
          <w:sz w:val="24"/>
          <w:szCs w:val="24"/>
        </w:rPr>
        <w:t>, Tarnyb</w:t>
      </w:r>
      <w:r>
        <w:rPr>
          <w:sz w:val="24"/>
          <w:szCs w:val="24"/>
        </w:rPr>
        <w:t xml:space="preserve">a, </w:t>
      </w:r>
      <w:r w:rsidRPr="00E53AAB">
        <w:rPr>
          <w:sz w:val="24"/>
          <w:szCs w:val="24"/>
        </w:rPr>
        <w:t xml:space="preserve">vadovaudamasi </w:t>
      </w:r>
      <w:r>
        <w:rPr>
          <w:sz w:val="24"/>
          <w:szCs w:val="24"/>
        </w:rPr>
        <w:t>Į</w:t>
      </w:r>
      <w:r w:rsidRPr="00E53AAB">
        <w:rPr>
          <w:sz w:val="24"/>
          <w:szCs w:val="24"/>
        </w:rPr>
        <w:t xml:space="preserve">statymo </w:t>
      </w:r>
      <w:r>
        <w:rPr>
          <w:sz w:val="24"/>
          <w:szCs w:val="24"/>
        </w:rPr>
        <w:t>95</w:t>
      </w:r>
      <w:r w:rsidRPr="00C07795">
        <w:rPr>
          <w:color w:val="FF0000"/>
          <w:sz w:val="24"/>
          <w:szCs w:val="24"/>
        </w:rPr>
        <w:t xml:space="preserve"> </w:t>
      </w:r>
      <w:r w:rsidRPr="00CD7704">
        <w:rPr>
          <w:sz w:val="24"/>
          <w:szCs w:val="24"/>
        </w:rPr>
        <w:t>straipsnio 2 dalies 5 punktu</w:t>
      </w:r>
      <w:r w:rsidRPr="00E53AAB">
        <w:rPr>
          <w:sz w:val="24"/>
          <w:szCs w:val="24"/>
        </w:rPr>
        <w:t xml:space="preserve">, </w:t>
      </w:r>
      <w:r w:rsidRPr="00E53AAB">
        <w:rPr>
          <w:b/>
          <w:sz w:val="24"/>
          <w:szCs w:val="24"/>
        </w:rPr>
        <w:t>įpareigoja</w:t>
      </w:r>
      <w:r w:rsidRPr="00E53AAB">
        <w:rPr>
          <w:sz w:val="24"/>
          <w:szCs w:val="24"/>
        </w:rPr>
        <w:t xml:space="preserve"> Perkan</w:t>
      </w:r>
      <w:r>
        <w:rPr>
          <w:sz w:val="24"/>
          <w:szCs w:val="24"/>
        </w:rPr>
        <w:t>čiąją organizaciją</w:t>
      </w:r>
      <w:r w:rsidRPr="00E53AAB">
        <w:rPr>
          <w:sz w:val="24"/>
          <w:szCs w:val="24"/>
        </w:rPr>
        <w:t xml:space="preserve">: </w:t>
      </w:r>
    </w:p>
    <w:p w:rsidR="006D2C84" w:rsidRPr="00AA6886" w:rsidRDefault="006D2C84" w:rsidP="006D2C84">
      <w:pPr>
        <w:pStyle w:val="Normal12pt"/>
        <w:spacing w:before="0"/>
        <w:ind w:right="0" w:firstLine="851"/>
      </w:pPr>
      <w:r w:rsidRPr="00AA6886">
        <w:t>1. Nutraukti Pirkimo procedūras.</w:t>
      </w:r>
    </w:p>
    <w:p w:rsidR="006D2C84" w:rsidRPr="00AA6886" w:rsidRDefault="006D2C84" w:rsidP="006D2C84">
      <w:pPr>
        <w:pStyle w:val="Normal12pt"/>
        <w:spacing w:before="0"/>
        <w:ind w:right="0" w:firstLine="851"/>
      </w:pPr>
      <w:r w:rsidRPr="00AA6886">
        <w:t>2. Raštu informuoti Tarnybą apie įpareigojimo įvykdymą ir pateikti tai patvirtinančius dokumentus.</w:t>
      </w:r>
    </w:p>
    <w:p w:rsidR="006D2C84" w:rsidRPr="00780425" w:rsidRDefault="006D2C84" w:rsidP="006D2C84">
      <w:pPr>
        <w:ind w:firstLine="709"/>
        <w:jc w:val="both"/>
        <w:rPr>
          <w:sz w:val="24"/>
          <w:szCs w:val="24"/>
        </w:rPr>
      </w:pPr>
      <w:r w:rsidRPr="00780425">
        <w:rPr>
          <w:sz w:val="24"/>
          <w:szCs w:val="24"/>
        </w:rPr>
        <w:t xml:space="preserve">Vadovaujantis Lietuvos Respublikos administracinių bylų teisenos įstatymo 5 </w:t>
      </w:r>
      <w:r w:rsidRPr="00205465">
        <w:rPr>
          <w:sz w:val="24"/>
          <w:szCs w:val="24"/>
        </w:rPr>
        <w:t xml:space="preserve">ir </w:t>
      </w:r>
      <w:r>
        <w:rPr>
          <w:sz w:val="24"/>
          <w:szCs w:val="24"/>
        </w:rPr>
        <w:t>17</w:t>
      </w:r>
      <w:r w:rsidRPr="00780425">
        <w:rPr>
          <w:b/>
          <w:sz w:val="24"/>
          <w:szCs w:val="24"/>
        </w:rPr>
        <w:t xml:space="preserve"> </w:t>
      </w:r>
      <w:r w:rsidRPr="00780425">
        <w:rPr>
          <w:sz w:val="24"/>
          <w:szCs w:val="24"/>
        </w:rPr>
        <w:t>straipsniais, nesutikę su Tarnybos įpareigojimu, Jūs galite ją apskųsti teismui šio įstatymo nustatyta tvarka.</w:t>
      </w:r>
    </w:p>
    <w:p w:rsidR="006D2C84" w:rsidRDefault="006D2C84" w:rsidP="006D2C84">
      <w:pPr>
        <w:pStyle w:val="MediumGrid21"/>
        <w:spacing w:before="0" w:after="0"/>
        <w:ind w:firstLine="720"/>
        <w:rPr>
          <w:rFonts w:ascii="Times New Roman" w:hAnsi="Times New Roman"/>
          <w:bCs/>
          <w:sz w:val="24"/>
          <w:szCs w:val="24"/>
          <w:lang w:val="lt-LT"/>
        </w:rPr>
      </w:pPr>
    </w:p>
    <w:p w:rsidR="006D2C84" w:rsidRDefault="006D2C84" w:rsidP="006D2C84">
      <w:pPr>
        <w:pStyle w:val="MediumGrid21"/>
        <w:spacing w:before="0" w:after="0"/>
        <w:ind w:firstLine="720"/>
        <w:rPr>
          <w:rFonts w:ascii="Times New Roman" w:hAnsi="Times New Roman"/>
          <w:bCs/>
          <w:sz w:val="24"/>
          <w:szCs w:val="24"/>
          <w:lang w:val="lt-LT"/>
        </w:rPr>
      </w:pPr>
    </w:p>
    <w:p w:rsidR="0088148E" w:rsidRPr="0088148E" w:rsidRDefault="0088148E" w:rsidP="0088148E">
      <w:pPr>
        <w:jc w:val="both"/>
        <w:rPr>
          <w:rFonts w:eastAsia="Calibri"/>
          <w:sz w:val="24"/>
          <w:szCs w:val="24"/>
        </w:rPr>
      </w:pPr>
    </w:p>
    <w:p w:rsidR="0088148E" w:rsidRPr="0088148E" w:rsidRDefault="0088148E" w:rsidP="0088148E">
      <w:pPr>
        <w:jc w:val="both"/>
        <w:rPr>
          <w:rFonts w:eastAsia="Calibri"/>
          <w:sz w:val="24"/>
          <w:szCs w:val="24"/>
        </w:rPr>
      </w:pPr>
    </w:p>
    <w:tbl>
      <w:tblPr>
        <w:tblW w:w="0" w:type="auto"/>
        <w:tblLook w:val="04A0" w:firstRow="1" w:lastRow="0" w:firstColumn="1" w:lastColumn="0" w:noHBand="0" w:noVBand="1"/>
      </w:tblPr>
      <w:tblGrid>
        <w:gridCol w:w="4824"/>
        <w:gridCol w:w="4815"/>
      </w:tblGrid>
      <w:tr w:rsidR="0088148E" w:rsidRPr="0088148E" w:rsidTr="00FF0A00">
        <w:tc>
          <w:tcPr>
            <w:tcW w:w="4927" w:type="dxa"/>
            <w:shd w:val="clear" w:color="auto" w:fill="auto"/>
          </w:tcPr>
          <w:p w:rsidR="0088148E" w:rsidRPr="0088148E" w:rsidRDefault="0088148E" w:rsidP="0088148E">
            <w:pPr>
              <w:rPr>
                <w:rFonts w:eastAsia="Calibri"/>
                <w:b/>
                <w:sz w:val="24"/>
                <w:szCs w:val="24"/>
              </w:rPr>
            </w:pPr>
            <w:r w:rsidRPr="0088148E">
              <w:rPr>
                <w:rFonts w:eastAsia="Calibri"/>
                <w:sz w:val="24"/>
                <w:szCs w:val="24"/>
              </w:rPr>
              <w:t>Direktorė</w:t>
            </w:r>
          </w:p>
        </w:tc>
        <w:tc>
          <w:tcPr>
            <w:tcW w:w="4927" w:type="dxa"/>
            <w:shd w:val="clear" w:color="auto" w:fill="auto"/>
          </w:tcPr>
          <w:p w:rsidR="0088148E" w:rsidRPr="0088148E" w:rsidRDefault="0088148E" w:rsidP="0088148E">
            <w:pPr>
              <w:spacing w:line="360" w:lineRule="auto"/>
              <w:jc w:val="right"/>
              <w:rPr>
                <w:rFonts w:eastAsia="Calibri"/>
                <w:b/>
                <w:sz w:val="24"/>
                <w:szCs w:val="24"/>
              </w:rPr>
            </w:pPr>
            <w:r w:rsidRPr="0088148E">
              <w:rPr>
                <w:rFonts w:eastAsia="Calibri"/>
                <w:sz w:val="24"/>
                <w:szCs w:val="24"/>
              </w:rPr>
              <w:t>Diana Vilytė</w:t>
            </w:r>
          </w:p>
        </w:tc>
      </w:tr>
    </w:tbl>
    <w:p w:rsidR="0088148E" w:rsidRDefault="0088148E" w:rsidP="0088148E">
      <w:pPr>
        <w:rPr>
          <w:rFonts w:eastAsia="Calibri"/>
          <w:bCs/>
          <w:sz w:val="24"/>
          <w:szCs w:val="24"/>
        </w:rPr>
      </w:pPr>
    </w:p>
    <w:p w:rsidR="00601D8F" w:rsidRPr="0088148E" w:rsidRDefault="00601D8F" w:rsidP="0088148E">
      <w:pPr>
        <w:rPr>
          <w:rFonts w:eastAsia="Calibri"/>
          <w:bCs/>
          <w:sz w:val="24"/>
          <w:szCs w:val="24"/>
        </w:rPr>
      </w:pPr>
    </w:p>
    <w:p w:rsidR="0088148E" w:rsidRDefault="0088148E" w:rsidP="0088148E">
      <w:pPr>
        <w:rPr>
          <w:rFonts w:eastAsia="Calibri"/>
          <w:bCs/>
          <w:sz w:val="24"/>
          <w:szCs w:val="24"/>
        </w:rPr>
      </w:pPr>
    </w:p>
    <w:p w:rsidR="00601D8F" w:rsidRDefault="00601D8F" w:rsidP="0088148E">
      <w:pPr>
        <w:rPr>
          <w:rFonts w:eastAsia="Calibri"/>
          <w:bCs/>
          <w:sz w:val="24"/>
          <w:szCs w:val="24"/>
        </w:rPr>
      </w:pPr>
    </w:p>
    <w:p w:rsidR="00601D8F" w:rsidRDefault="00601D8F" w:rsidP="0088148E">
      <w:pPr>
        <w:rPr>
          <w:rFonts w:eastAsia="Calibri"/>
          <w:bCs/>
          <w:sz w:val="24"/>
          <w:szCs w:val="24"/>
        </w:rPr>
      </w:pPr>
    </w:p>
    <w:p w:rsidR="00601D8F" w:rsidRPr="0088148E" w:rsidRDefault="00601D8F" w:rsidP="0088148E">
      <w:pPr>
        <w:rPr>
          <w:rFonts w:eastAsia="Calibri"/>
          <w:bCs/>
          <w:sz w:val="24"/>
          <w:szCs w:val="24"/>
        </w:rPr>
      </w:pPr>
    </w:p>
    <w:p w:rsidR="000D0FB3" w:rsidRDefault="000D0FB3" w:rsidP="000D0FB3">
      <w:pPr>
        <w:tabs>
          <w:tab w:val="left" w:pos="900"/>
        </w:tabs>
        <w:rPr>
          <w:sz w:val="24"/>
          <w:szCs w:val="24"/>
        </w:rPr>
      </w:pPr>
    </w:p>
    <w:p w:rsidR="000D0FB3" w:rsidRDefault="000D0FB3" w:rsidP="000D0FB3">
      <w:pPr>
        <w:tabs>
          <w:tab w:val="left" w:pos="900"/>
        </w:tabs>
        <w:rPr>
          <w:sz w:val="24"/>
          <w:szCs w:val="24"/>
        </w:rPr>
      </w:pPr>
    </w:p>
    <w:p w:rsidR="000D0FB3" w:rsidRDefault="000D0FB3" w:rsidP="000D0FB3">
      <w:pPr>
        <w:tabs>
          <w:tab w:val="left" w:pos="900"/>
        </w:tabs>
        <w:rPr>
          <w:sz w:val="24"/>
          <w:szCs w:val="24"/>
        </w:rPr>
      </w:pPr>
    </w:p>
    <w:p w:rsidR="000D0FB3" w:rsidRDefault="000D0FB3" w:rsidP="000D0FB3">
      <w:pPr>
        <w:tabs>
          <w:tab w:val="left" w:pos="900"/>
        </w:tabs>
        <w:rPr>
          <w:sz w:val="24"/>
          <w:szCs w:val="24"/>
        </w:rPr>
      </w:pPr>
    </w:p>
    <w:p w:rsidR="000D0FB3" w:rsidRDefault="000D0FB3" w:rsidP="000D0FB3">
      <w:pPr>
        <w:tabs>
          <w:tab w:val="left" w:pos="900"/>
        </w:tabs>
        <w:rPr>
          <w:sz w:val="24"/>
          <w:szCs w:val="24"/>
        </w:rPr>
      </w:pPr>
    </w:p>
    <w:p w:rsidR="000D0FB3" w:rsidRDefault="000D0FB3" w:rsidP="000D0FB3">
      <w:pPr>
        <w:tabs>
          <w:tab w:val="left" w:pos="900"/>
        </w:tabs>
        <w:rPr>
          <w:sz w:val="24"/>
          <w:szCs w:val="24"/>
        </w:rPr>
      </w:pPr>
    </w:p>
    <w:p w:rsidR="000D0FB3" w:rsidRDefault="000D0FB3" w:rsidP="000D0FB3">
      <w:pPr>
        <w:tabs>
          <w:tab w:val="left" w:pos="900"/>
        </w:tabs>
        <w:rPr>
          <w:sz w:val="24"/>
          <w:szCs w:val="24"/>
        </w:rPr>
      </w:pPr>
    </w:p>
    <w:p w:rsidR="000D0FB3" w:rsidRDefault="000D0FB3" w:rsidP="000D0FB3">
      <w:pPr>
        <w:tabs>
          <w:tab w:val="left" w:pos="900"/>
        </w:tabs>
        <w:rPr>
          <w:sz w:val="24"/>
          <w:szCs w:val="24"/>
        </w:rPr>
      </w:pPr>
    </w:p>
    <w:p w:rsidR="000D0FB3" w:rsidRPr="008B661B" w:rsidRDefault="000D0FB3" w:rsidP="000D0FB3">
      <w:pPr>
        <w:tabs>
          <w:tab w:val="left" w:pos="900"/>
        </w:tabs>
        <w:rPr>
          <w:sz w:val="24"/>
          <w:szCs w:val="24"/>
        </w:rPr>
      </w:pPr>
      <w:r>
        <w:rPr>
          <w:sz w:val="24"/>
          <w:szCs w:val="24"/>
        </w:rPr>
        <w:t>Audronė Šatūnienė</w:t>
      </w:r>
      <w:r w:rsidRPr="008B661B">
        <w:rPr>
          <w:sz w:val="24"/>
          <w:szCs w:val="24"/>
        </w:rPr>
        <w:t>, tel. (8 5) 219 70</w:t>
      </w:r>
      <w:r>
        <w:rPr>
          <w:sz w:val="24"/>
          <w:szCs w:val="24"/>
        </w:rPr>
        <w:t>18</w:t>
      </w:r>
      <w:r w:rsidRPr="008B661B">
        <w:rPr>
          <w:sz w:val="24"/>
          <w:szCs w:val="24"/>
        </w:rPr>
        <w:t xml:space="preserve">, faks. (8 5) 213 6213, el. p. </w:t>
      </w:r>
      <w:r>
        <w:rPr>
          <w:sz w:val="24"/>
          <w:szCs w:val="24"/>
        </w:rPr>
        <w:t>Audrone.Satuniene</w:t>
      </w:r>
      <w:r w:rsidRPr="008B661B">
        <w:rPr>
          <w:sz w:val="24"/>
          <w:szCs w:val="24"/>
        </w:rPr>
        <w:t>@vpt.lt</w:t>
      </w:r>
    </w:p>
    <w:p w:rsidR="00840688" w:rsidRPr="00601D8F" w:rsidRDefault="00840688" w:rsidP="0088148E">
      <w:pPr>
        <w:rPr>
          <w:rFonts w:eastAsia="Calibri"/>
          <w:bCs/>
          <w:sz w:val="24"/>
          <w:szCs w:val="24"/>
        </w:rPr>
      </w:pPr>
    </w:p>
    <w:sectPr w:rsidR="00840688" w:rsidRPr="00601D8F" w:rsidSect="001C573C">
      <w:headerReference w:type="even" r:id="rId10"/>
      <w:headerReference w:type="default" r:id="rId11"/>
      <w:footerReference w:type="default" r:id="rId12"/>
      <w:footerReference w:type="first" r:id="rId13"/>
      <w:pgSz w:w="11907" w:h="16840" w:code="9"/>
      <w:pgMar w:top="1134" w:right="567" w:bottom="1134" w:left="1701" w:header="573"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855" w:rsidRDefault="00EA4855">
      <w:r>
        <w:separator/>
      </w:r>
    </w:p>
  </w:endnote>
  <w:endnote w:type="continuationSeparator" w:id="0">
    <w:p w:rsidR="00EA4855" w:rsidRDefault="00EA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C19" w:rsidRDefault="00C21C19">
    <w:pPr>
      <w:pStyle w:val="Porat"/>
    </w:pPr>
  </w:p>
  <w:p w:rsidR="00C21C19" w:rsidRDefault="00C21C19">
    <w:pPr>
      <w:pStyle w:val="Porat"/>
    </w:pPr>
  </w:p>
  <w:p w:rsidR="00C21C19" w:rsidRDefault="00C21C1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F" w:rsidRPr="00BB2F72" w:rsidRDefault="00D04BBF" w:rsidP="00D04BBF">
    <w:pPr>
      <w:pBdr>
        <w:top w:val="single" w:sz="4" w:space="1" w:color="auto"/>
      </w:pBdr>
      <w:rPr>
        <w:sz w:val="18"/>
      </w:rPr>
    </w:pPr>
    <w:r>
      <w:rPr>
        <w:noProof/>
        <w:lang w:eastAsia="lt-LT"/>
      </w:rPr>
      <w:drawing>
        <wp:anchor distT="0" distB="0" distL="114300" distR="114300" simplePos="0" relativeHeight="251659264" behindDoc="0" locked="0" layoutInCell="1" allowOverlap="1" wp14:anchorId="118B35FD" wp14:editId="24A2E3B5">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Biudžetinė įstaiga                                 Tel.  (8 5) 219 7001            </w:t>
    </w:r>
    <w:r w:rsidRPr="00E9516F">
      <w:rPr>
        <w:sz w:val="18"/>
      </w:rPr>
      <w:t>Duomenys kaupiami ir saugomi</w:t>
    </w:r>
    <w:r w:rsidRPr="00BB2F72">
      <w:rPr>
        <w:sz w:val="18"/>
      </w:rPr>
      <w:t> </w:t>
    </w:r>
  </w:p>
  <w:p w:rsidR="00D04BBF" w:rsidRPr="00BB2F72" w:rsidRDefault="00D04BBF" w:rsidP="00D04BBF">
    <w:pPr>
      <w:pBdr>
        <w:top w:val="single" w:sz="4" w:space="1" w:color="auto"/>
      </w:pBdr>
      <w:jc w:val="both"/>
      <w:rPr>
        <w:sz w:val="18"/>
      </w:rPr>
    </w:pPr>
    <w:r>
      <w:rPr>
        <w:sz w:val="18"/>
      </w:rPr>
      <w:t xml:space="preserve">Kareivių g. 1, LT-08221 Vilnius          Faks. (8 5) 213 6213          </w:t>
    </w:r>
    <w:r w:rsidRPr="00BB2F72">
      <w:rPr>
        <w:sz w:val="18"/>
      </w:rPr>
      <w:t xml:space="preserve">Juridinių asmenų registre </w:t>
    </w:r>
  </w:p>
  <w:p w:rsidR="00D04BBF" w:rsidRPr="00BB2F72" w:rsidRDefault="00D04BBF" w:rsidP="00D04BBF">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rsidR="00C21C19" w:rsidRPr="008F10BE" w:rsidRDefault="00C21C19"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855" w:rsidRDefault="00EA4855">
      <w:r>
        <w:separator/>
      </w:r>
    </w:p>
  </w:footnote>
  <w:footnote w:type="continuationSeparator" w:id="0">
    <w:p w:rsidR="00EA4855" w:rsidRDefault="00EA4855">
      <w:r>
        <w:continuationSeparator/>
      </w:r>
    </w:p>
  </w:footnote>
  <w:footnote w:id="1">
    <w:p w:rsidR="00FB2F66" w:rsidRPr="0052135D" w:rsidRDefault="00FB2F66" w:rsidP="006D2C84">
      <w:pPr>
        <w:pStyle w:val="Puslapioinaostekstas"/>
        <w:jc w:val="both"/>
      </w:pPr>
      <w:r>
        <w:rPr>
          <w:rStyle w:val="Puslapioinaosnuoroda"/>
        </w:rPr>
        <w:footnoteRef/>
      </w:r>
      <w:r>
        <w:t xml:space="preserve"> </w:t>
      </w:r>
      <w:r w:rsidRPr="0052135D">
        <w:t>Perkanči</w:t>
      </w:r>
      <w:r>
        <w:t>oji organizacija, atsižvelgdama</w:t>
      </w:r>
      <w:r w:rsidRPr="0052135D">
        <w:t xml:space="preserve"> į perk</w:t>
      </w:r>
      <w:r>
        <w:t>amų prekių, paslaugų ar darbų pobūdį, kiekį, svarbą ir paskirtį</w:t>
      </w:r>
      <w:r w:rsidRPr="0052135D">
        <w:t xml:space="preserve">, gali reikalauti </w:t>
      </w:r>
      <w:r>
        <w:t>iš tiekėjų pateikti dokumen</w:t>
      </w:r>
      <w:r w:rsidRPr="0052135D">
        <w:t xml:space="preserve">tus (viena ar kelis), patvirtinančius jų techninį ir profesinį pajėgumą: 1) per paskutinius 5 metus atliktų darbų sąrašą kartu su </w:t>
      </w:r>
      <w:r>
        <w:t xml:space="preserve">užsakovų </w:t>
      </w:r>
      <w:r w:rsidRPr="0052135D">
        <w:t>paž</w:t>
      </w:r>
      <w:r>
        <w:t>ymomis apie tai, kad svarbiausi</w:t>
      </w:r>
      <w:r w:rsidRPr="0052135D">
        <w:t>ų darbų atlikimas ir galutiniai rezultatai buvo tinkami. Perkančioji organizacija gali nurodyti, kad bus atsižvelgiama į atitinkam</w:t>
      </w:r>
      <w:r>
        <w:t>ų darbų</w:t>
      </w:r>
      <w:r w:rsidRPr="0052135D">
        <w:t>, atli</w:t>
      </w:r>
      <w:r>
        <w:t>ktų anksčiau negu prieš 5 metus</w:t>
      </w:r>
      <w:r w:rsidRPr="0052135D">
        <w:t xml:space="preserve">, </w:t>
      </w:r>
      <w:proofErr w:type="spellStart"/>
      <w:r w:rsidRPr="0052135D">
        <w:t>įrodymus</w:t>
      </w:r>
      <w:proofErr w:type="spellEnd"/>
      <w:r w:rsidRPr="0052135D">
        <w:t>, jeigu to reikia siekiant užtikrinti tinkamą konkurenciją.</w:t>
      </w:r>
    </w:p>
  </w:footnote>
  <w:footnote w:id="2">
    <w:p w:rsidR="00FB2F66" w:rsidRPr="009A2603" w:rsidRDefault="00FB2F66" w:rsidP="006D2C84">
      <w:pPr>
        <w:pStyle w:val="Puslapioinaostekstas"/>
        <w:jc w:val="both"/>
      </w:pPr>
      <w:r>
        <w:rPr>
          <w:rStyle w:val="Puslapioinaosnuoroda"/>
        </w:rPr>
        <w:footnoteRef/>
      </w:r>
      <w:r>
        <w:t xml:space="preserve"> </w:t>
      </w:r>
      <w:r w:rsidRPr="003A63C6">
        <w:t>„</w:t>
      </w:r>
      <w:r w:rsidRPr="009A2603">
        <w:t>Perkančiosios organizacijos nustatyti kandidatų ar dalyvių kvalifikacijos reikalavimai negali dirbtinai riboti konkurencijos, turi būti proporcingi ir susiję su pirkimo objektu, tikslūs ir aiškūs“;</w:t>
      </w:r>
    </w:p>
  </w:footnote>
  <w:footnote w:id="3">
    <w:p w:rsidR="00FB2F66" w:rsidRDefault="00FB2F66" w:rsidP="006D2C84">
      <w:pPr>
        <w:pStyle w:val="Puslapioinaostekstas"/>
        <w:jc w:val="both"/>
      </w:pPr>
      <w:r>
        <w:rPr>
          <w:rStyle w:val="Puslapioinaosnuoroda"/>
        </w:rPr>
        <w:footnoteRef/>
      </w:r>
      <w:r>
        <w:t xml:space="preserve"> Tiekėjo kvalifikacijos reikalavimai nustatomi pagal Viešųjų pirkimų </w:t>
      </w:r>
      <w:r w:rsidR="006D2C84">
        <w:t xml:space="preserve">tarnybos </w:t>
      </w:r>
      <w:r>
        <w:t>patvirtintą tiekėjo kvalifikacijos reikalavimų nustatymo metodiką.</w:t>
      </w:r>
    </w:p>
  </w:footnote>
  <w:footnote w:id="4">
    <w:p w:rsidR="00FB2F66" w:rsidRPr="009A2603" w:rsidRDefault="00FB2F66" w:rsidP="006D2C84">
      <w:pPr>
        <w:pStyle w:val="Puslapioinaostekstas"/>
        <w:jc w:val="both"/>
      </w:pPr>
      <w:r w:rsidRPr="009A2603">
        <w:rPr>
          <w:rStyle w:val="Puslapioinaosnuoroda"/>
        </w:rPr>
        <w:footnoteRef/>
      </w:r>
      <w:r w:rsidRPr="009A2603">
        <w:t xml:space="preserve"> </w:t>
      </w:r>
      <w:r w:rsidRPr="009A2603">
        <w:rPr>
          <w:color w:val="000000"/>
        </w:rPr>
        <w:t>Perkančioji organizacija užtikrina, kad vykdant pirkimą būtų laikomasi lygiateisiškumo, nediskriminavimo, abipusio pripažinimo, proporcingumo, skaidrumo principų“;</w:t>
      </w:r>
    </w:p>
  </w:footnote>
  <w:footnote w:id="5">
    <w:p w:rsidR="00FB2F66" w:rsidRPr="009A2603" w:rsidRDefault="00FB2F66" w:rsidP="006D2C84">
      <w:pPr>
        <w:pStyle w:val="Puslapioinaostekstas"/>
        <w:jc w:val="both"/>
      </w:pPr>
      <w:r w:rsidRPr="009A2603">
        <w:rPr>
          <w:rStyle w:val="Puslapioinaosnuoroda"/>
        </w:rPr>
        <w:footnoteRef/>
      </w:r>
      <w:r w:rsidRPr="009A2603">
        <w:t xml:space="preserve"> </w:t>
      </w:r>
      <w:r w:rsidRPr="009A2603">
        <w:rPr>
          <w:color w:val="000000"/>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6">
    <w:p w:rsidR="006D2C84" w:rsidRDefault="006D2C84" w:rsidP="006D2C84">
      <w:pPr>
        <w:pStyle w:val="Puslapioinaostekstas"/>
      </w:pPr>
      <w:r w:rsidRPr="00E75F31">
        <w:rPr>
          <w:rStyle w:val="Puslapioinaosnuoroda"/>
          <w:color w:val="000000"/>
        </w:rPr>
        <w:footnoteRef/>
      </w:r>
      <w:r w:rsidRPr="005D4B6E">
        <w:t>Viešųjų pirkimų tarnybos direktoriaus 2017-06-29</w:t>
      </w:r>
      <w:r w:rsidR="00D85DA1">
        <w:t xml:space="preserve"> įsakymu Nr. 1S-105 patvirtinta</w:t>
      </w:r>
      <w:r w:rsidRPr="005D4B6E">
        <w:t xml:space="preserve"> Tiekėjo kv</w:t>
      </w:r>
      <w:r>
        <w:t xml:space="preserve">alifikacijos nustatymo metodika </w:t>
      </w:r>
    </w:p>
  </w:footnote>
  <w:footnote w:id="7">
    <w:p w:rsidR="006D2C84" w:rsidRPr="00443B94" w:rsidRDefault="006D2C84" w:rsidP="006D2C84">
      <w:pPr>
        <w:suppressAutoHyphens/>
        <w:textAlignment w:val="baseline"/>
        <w:rPr>
          <w:szCs w:val="24"/>
          <w:lang w:eastAsia="lt-LT"/>
        </w:rPr>
      </w:pPr>
      <w:r w:rsidRPr="00443B94">
        <w:rPr>
          <w:rStyle w:val="Puslapioinaosnuoroda"/>
          <w:color w:val="000000"/>
        </w:rPr>
        <w:footnoteRef/>
      </w:r>
      <w:r>
        <w:t xml:space="preserve"> </w:t>
      </w:r>
      <w:r>
        <w:rPr>
          <w:color w:val="000000"/>
        </w:rPr>
        <w:t>„Reikalaujamas pirkimo sutarčių skaičius – priklauso nuo to, ar pirkimo objektas yra dalus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rsidR="00C21C19" w:rsidRDefault="00C21C1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9626E8">
      <w:rPr>
        <w:rStyle w:val="Puslapionumeris"/>
        <w:noProof/>
      </w:rPr>
      <w:t>2</w:t>
    </w:r>
    <w:r>
      <w:rPr>
        <w:rStyle w:val="Puslapionumeris"/>
      </w:rPr>
      <w:fldChar w:fldCharType="end"/>
    </w:r>
  </w:p>
  <w:p w:rsidR="00C21C19" w:rsidRDefault="00C21C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6"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13"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5"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18"/>
  </w:num>
  <w:num w:numId="3">
    <w:abstractNumId w:val="10"/>
  </w:num>
  <w:num w:numId="4">
    <w:abstractNumId w:val="12"/>
  </w:num>
  <w:num w:numId="5">
    <w:abstractNumId w:val="7"/>
  </w:num>
  <w:num w:numId="6">
    <w:abstractNumId w:val="5"/>
  </w:num>
  <w:num w:numId="7">
    <w:abstractNumId w:val="11"/>
  </w:num>
  <w:num w:numId="8">
    <w:abstractNumId w:val="17"/>
  </w:num>
  <w:num w:numId="9">
    <w:abstractNumId w:val="13"/>
  </w:num>
  <w:num w:numId="10">
    <w:abstractNumId w:val="20"/>
  </w:num>
  <w:num w:numId="11">
    <w:abstractNumId w:val="8"/>
  </w:num>
  <w:num w:numId="12">
    <w:abstractNumId w:val="15"/>
  </w:num>
  <w:num w:numId="13">
    <w:abstractNumId w:val="9"/>
  </w:num>
  <w:num w:numId="14">
    <w:abstractNumId w:val="2"/>
  </w:num>
  <w:num w:numId="15">
    <w:abstractNumId w:val="19"/>
  </w:num>
  <w:num w:numId="16">
    <w:abstractNumId w:val="3"/>
  </w:num>
  <w:num w:numId="17">
    <w:abstractNumId w:val="14"/>
  </w:num>
  <w:num w:numId="18">
    <w:abstractNumId w:val="16"/>
  </w:num>
  <w:num w:numId="19">
    <w:abstractNumId w:val="1"/>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5373"/>
    <w:rsid w:val="00007372"/>
    <w:rsid w:val="00012A03"/>
    <w:rsid w:val="00012ADC"/>
    <w:rsid w:val="00012CF3"/>
    <w:rsid w:val="00021053"/>
    <w:rsid w:val="000220AE"/>
    <w:rsid w:val="00023B43"/>
    <w:rsid w:val="00032628"/>
    <w:rsid w:val="000327A3"/>
    <w:rsid w:val="00033A32"/>
    <w:rsid w:val="00033CC7"/>
    <w:rsid w:val="00035EB7"/>
    <w:rsid w:val="00036B71"/>
    <w:rsid w:val="00044AFE"/>
    <w:rsid w:val="000506A7"/>
    <w:rsid w:val="00052C07"/>
    <w:rsid w:val="00063476"/>
    <w:rsid w:val="0006795B"/>
    <w:rsid w:val="00071704"/>
    <w:rsid w:val="000717C1"/>
    <w:rsid w:val="00072251"/>
    <w:rsid w:val="0008682A"/>
    <w:rsid w:val="00087CE3"/>
    <w:rsid w:val="00092283"/>
    <w:rsid w:val="0009375D"/>
    <w:rsid w:val="00097A68"/>
    <w:rsid w:val="00097F19"/>
    <w:rsid w:val="000A1C7A"/>
    <w:rsid w:val="000A449F"/>
    <w:rsid w:val="000A4E9C"/>
    <w:rsid w:val="000A5052"/>
    <w:rsid w:val="000B16A4"/>
    <w:rsid w:val="000B32CC"/>
    <w:rsid w:val="000B6318"/>
    <w:rsid w:val="000B6B7A"/>
    <w:rsid w:val="000B711A"/>
    <w:rsid w:val="000C1BD8"/>
    <w:rsid w:val="000C7CB3"/>
    <w:rsid w:val="000D0FB3"/>
    <w:rsid w:val="000D197A"/>
    <w:rsid w:val="000E0F48"/>
    <w:rsid w:val="000E5D45"/>
    <w:rsid w:val="000F219F"/>
    <w:rsid w:val="000F259D"/>
    <w:rsid w:val="000F3A51"/>
    <w:rsid w:val="00103DFB"/>
    <w:rsid w:val="0011054C"/>
    <w:rsid w:val="00117AAD"/>
    <w:rsid w:val="00124DA9"/>
    <w:rsid w:val="001316D9"/>
    <w:rsid w:val="001530D4"/>
    <w:rsid w:val="00153D28"/>
    <w:rsid w:val="00166628"/>
    <w:rsid w:val="0017077F"/>
    <w:rsid w:val="001709FB"/>
    <w:rsid w:val="00174911"/>
    <w:rsid w:val="00175CAB"/>
    <w:rsid w:val="00182F1B"/>
    <w:rsid w:val="00193F9C"/>
    <w:rsid w:val="001947C6"/>
    <w:rsid w:val="001962D7"/>
    <w:rsid w:val="001A02BA"/>
    <w:rsid w:val="001A1436"/>
    <w:rsid w:val="001A2A3C"/>
    <w:rsid w:val="001A334E"/>
    <w:rsid w:val="001A368C"/>
    <w:rsid w:val="001B762A"/>
    <w:rsid w:val="001C3E95"/>
    <w:rsid w:val="001C573C"/>
    <w:rsid w:val="001C64A9"/>
    <w:rsid w:val="001D5209"/>
    <w:rsid w:val="001E268A"/>
    <w:rsid w:val="001E4D19"/>
    <w:rsid w:val="001F556E"/>
    <w:rsid w:val="002011C3"/>
    <w:rsid w:val="0020247F"/>
    <w:rsid w:val="00223E47"/>
    <w:rsid w:val="00225780"/>
    <w:rsid w:val="00234FC6"/>
    <w:rsid w:val="00236A08"/>
    <w:rsid w:val="00244987"/>
    <w:rsid w:val="0024531A"/>
    <w:rsid w:val="00246C3A"/>
    <w:rsid w:val="002539B1"/>
    <w:rsid w:val="00255CC8"/>
    <w:rsid w:val="002563D1"/>
    <w:rsid w:val="00256CEF"/>
    <w:rsid w:val="002571B3"/>
    <w:rsid w:val="00264928"/>
    <w:rsid w:val="00282A9C"/>
    <w:rsid w:val="002859C8"/>
    <w:rsid w:val="00287365"/>
    <w:rsid w:val="002878B6"/>
    <w:rsid w:val="00297410"/>
    <w:rsid w:val="002A06B0"/>
    <w:rsid w:val="002B0D9C"/>
    <w:rsid w:val="002B52E1"/>
    <w:rsid w:val="002B5FFD"/>
    <w:rsid w:val="002B6A22"/>
    <w:rsid w:val="002C4A68"/>
    <w:rsid w:val="002D1F71"/>
    <w:rsid w:val="002D2221"/>
    <w:rsid w:val="002D5292"/>
    <w:rsid w:val="002F2B58"/>
    <w:rsid w:val="002F566D"/>
    <w:rsid w:val="002F6A88"/>
    <w:rsid w:val="00300CAD"/>
    <w:rsid w:val="00313FC6"/>
    <w:rsid w:val="003146FA"/>
    <w:rsid w:val="00323923"/>
    <w:rsid w:val="003406A1"/>
    <w:rsid w:val="0034536A"/>
    <w:rsid w:val="003507C5"/>
    <w:rsid w:val="00351E8D"/>
    <w:rsid w:val="0035640A"/>
    <w:rsid w:val="00356A47"/>
    <w:rsid w:val="00357A1F"/>
    <w:rsid w:val="00363575"/>
    <w:rsid w:val="00364784"/>
    <w:rsid w:val="00366A1E"/>
    <w:rsid w:val="00383E99"/>
    <w:rsid w:val="00394BAF"/>
    <w:rsid w:val="00396B0F"/>
    <w:rsid w:val="003A4571"/>
    <w:rsid w:val="003B006E"/>
    <w:rsid w:val="003B1CB8"/>
    <w:rsid w:val="003B3873"/>
    <w:rsid w:val="003B61F5"/>
    <w:rsid w:val="003B6F14"/>
    <w:rsid w:val="003C4F5A"/>
    <w:rsid w:val="003D3D13"/>
    <w:rsid w:val="003D4521"/>
    <w:rsid w:val="003D5878"/>
    <w:rsid w:val="003F2AFD"/>
    <w:rsid w:val="003F5351"/>
    <w:rsid w:val="003F6798"/>
    <w:rsid w:val="003F7ECB"/>
    <w:rsid w:val="00400419"/>
    <w:rsid w:val="00403221"/>
    <w:rsid w:val="00407574"/>
    <w:rsid w:val="00412169"/>
    <w:rsid w:val="00413ACA"/>
    <w:rsid w:val="0041421A"/>
    <w:rsid w:val="004306E5"/>
    <w:rsid w:val="00433CCA"/>
    <w:rsid w:val="0043638A"/>
    <w:rsid w:val="004434D2"/>
    <w:rsid w:val="0044729E"/>
    <w:rsid w:val="0045154A"/>
    <w:rsid w:val="00454D65"/>
    <w:rsid w:val="004567A8"/>
    <w:rsid w:val="00462A10"/>
    <w:rsid w:val="00462D1D"/>
    <w:rsid w:val="004653D9"/>
    <w:rsid w:val="004726CF"/>
    <w:rsid w:val="00475E85"/>
    <w:rsid w:val="004807C7"/>
    <w:rsid w:val="0048148B"/>
    <w:rsid w:val="00486E35"/>
    <w:rsid w:val="00491154"/>
    <w:rsid w:val="00493E4F"/>
    <w:rsid w:val="004A2BDD"/>
    <w:rsid w:val="004A32E9"/>
    <w:rsid w:val="004A37DB"/>
    <w:rsid w:val="004A6E8F"/>
    <w:rsid w:val="004A78DE"/>
    <w:rsid w:val="004C39B1"/>
    <w:rsid w:val="004C44D9"/>
    <w:rsid w:val="004D03A6"/>
    <w:rsid w:val="004D1BAD"/>
    <w:rsid w:val="004D2891"/>
    <w:rsid w:val="004D46F3"/>
    <w:rsid w:val="004D50DD"/>
    <w:rsid w:val="004D6A5A"/>
    <w:rsid w:val="004F2642"/>
    <w:rsid w:val="004F2FEC"/>
    <w:rsid w:val="004F6B07"/>
    <w:rsid w:val="004F733B"/>
    <w:rsid w:val="00510C55"/>
    <w:rsid w:val="00510D7D"/>
    <w:rsid w:val="00514B13"/>
    <w:rsid w:val="00516788"/>
    <w:rsid w:val="00532610"/>
    <w:rsid w:val="005428DC"/>
    <w:rsid w:val="00542FAC"/>
    <w:rsid w:val="00554E90"/>
    <w:rsid w:val="005700DD"/>
    <w:rsid w:val="005811EC"/>
    <w:rsid w:val="00582F9E"/>
    <w:rsid w:val="005832AB"/>
    <w:rsid w:val="00586530"/>
    <w:rsid w:val="005872B5"/>
    <w:rsid w:val="00597D0F"/>
    <w:rsid w:val="005A1DFA"/>
    <w:rsid w:val="005A3C6F"/>
    <w:rsid w:val="005B0F81"/>
    <w:rsid w:val="005B6914"/>
    <w:rsid w:val="005B6FCB"/>
    <w:rsid w:val="005C07E0"/>
    <w:rsid w:val="005C31BC"/>
    <w:rsid w:val="005C4A0B"/>
    <w:rsid w:val="005D3300"/>
    <w:rsid w:val="005E61D1"/>
    <w:rsid w:val="005E7486"/>
    <w:rsid w:val="005F3063"/>
    <w:rsid w:val="005F580D"/>
    <w:rsid w:val="005F5F70"/>
    <w:rsid w:val="00601D8F"/>
    <w:rsid w:val="006020F8"/>
    <w:rsid w:val="00604645"/>
    <w:rsid w:val="0060688B"/>
    <w:rsid w:val="006105C7"/>
    <w:rsid w:val="006130F2"/>
    <w:rsid w:val="00617673"/>
    <w:rsid w:val="006216A1"/>
    <w:rsid w:val="00626943"/>
    <w:rsid w:val="00633E2F"/>
    <w:rsid w:val="006358E2"/>
    <w:rsid w:val="00636C2D"/>
    <w:rsid w:val="006416BA"/>
    <w:rsid w:val="006416BB"/>
    <w:rsid w:val="00641920"/>
    <w:rsid w:val="00650A6B"/>
    <w:rsid w:val="00653884"/>
    <w:rsid w:val="00654627"/>
    <w:rsid w:val="00654BAE"/>
    <w:rsid w:val="006579F4"/>
    <w:rsid w:val="00657DCF"/>
    <w:rsid w:val="006608AC"/>
    <w:rsid w:val="00661BA7"/>
    <w:rsid w:val="00663222"/>
    <w:rsid w:val="00664877"/>
    <w:rsid w:val="00665CE3"/>
    <w:rsid w:val="00681F41"/>
    <w:rsid w:val="00691084"/>
    <w:rsid w:val="0069169D"/>
    <w:rsid w:val="00692322"/>
    <w:rsid w:val="006935D2"/>
    <w:rsid w:val="00693D78"/>
    <w:rsid w:val="00693F43"/>
    <w:rsid w:val="00694EC5"/>
    <w:rsid w:val="0069667B"/>
    <w:rsid w:val="006A189E"/>
    <w:rsid w:val="006A58F0"/>
    <w:rsid w:val="006B7199"/>
    <w:rsid w:val="006B7885"/>
    <w:rsid w:val="006C69AD"/>
    <w:rsid w:val="006C6FDB"/>
    <w:rsid w:val="006D2C84"/>
    <w:rsid w:val="006D44EB"/>
    <w:rsid w:val="006D6F78"/>
    <w:rsid w:val="006E2104"/>
    <w:rsid w:val="006E299F"/>
    <w:rsid w:val="006E49E8"/>
    <w:rsid w:val="006F40CE"/>
    <w:rsid w:val="00700508"/>
    <w:rsid w:val="00700704"/>
    <w:rsid w:val="00702DFF"/>
    <w:rsid w:val="007039AE"/>
    <w:rsid w:val="007064C6"/>
    <w:rsid w:val="00707161"/>
    <w:rsid w:val="00710079"/>
    <w:rsid w:val="0071380F"/>
    <w:rsid w:val="007139FB"/>
    <w:rsid w:val="007142D2"/>
    <w:rsid w:val="0072074D"/>
    <w:rsid w:val="007241FC"/>
    <w:rsid w:val="007265B1"/>
    <w:rsid w:val="00727CA6"/>
    <w:rsid w:val="00733D75"/>
    <w:rsid w:val="0073429E"/>
    <w:rsid w:val="00744E44"/>
    <w:rsid w:val="00760CBC"/>
    <w:rsid w:val="00765ED2"/>
    <w:rsid w:val="00782C55"/>
    <w:rsid w:val="007876D0"/>
    <w:rsid w:val="00792F77"/>
    <w:rsid w:val="00793418"/>
    <w:rsid w:val="00793677"/>
    <w:rsid w:val="007A3192"/>
    <w:rsid w:val="007A3CE6"/>
    <w:rsid w:val="007A7FEC"/>
    <w:rsid w:val="007B5C2E"/>
    <w:rsid w:val="007B7485"/>
    <w:rsid w:val="007C3867"/>
    <w:rsid w:val="007C762B"/>
    <w:rsid w:val="007D0FBD"/>
    <w:rsid w:val="007D4ED7"/>
    <w:rsid w:val="007D5459"/>
    <w:rsid w:val="007E3EAF"/>
    <w:rsid w:val="007E66B0"/>
    <w:rsid w:val="007E7008"/>
    <w:rsid w:val="007F39CC"/>
    <w:rsid w:val="007F62F4"/>
    <w:rsid w:val="00801D0A"/>
    <w:rsid w:val="00806986"/>
    <w:rsid w:val="00810BEB"/>
    <w:rsid w:val="008124CA"/>
    <w:rsid w:val="00813E6B"/>
    <w:rsid w:val="00814D7C"/>
    <w:rsid w:val="008175E3"/>
    <w:rsid w:val="00832DBE"/>
    <w:rsid w:val="00835A10"/>
    <w:rsid w:val="0083695F"/>
    <w:rsid w:val="00836AAA"/>
    <w:rsid w:val="00840688"/>
    <w:rsid w:val="00845929"/>
    <w:rsid w:val="008465EF"/>
    <w:rsid w:val="00846E64"/>
    <w:rsid w:val="008477DD"/>
    <w:rsid w:val="00853C52"/>
    <w:rsid w:val="00854F66"/>
    <w:rsid w:val="008602CD"/>
    <w:rsid w:val="00861C52"/>
    <w:rsid w:val="008631DC"/>
    <w:rsid w:val="00863D04"/>
    <w:rsid w:val="00864E0F"/>
    <w:rsid w:val="00877384"/>
    <w:rsid w:val="00877740"/>
    <w:rsid w:val="0088148E"/>
    <w:rsid w:val="0089022E"/>
    <w:rsid w:val="00897B60"/>
    <w:rsid w:val="008A03FE"/>
    <w:rsid w:val="008A3AD7"/>
    <w:rsid w:val="008A5A7B"/>
    <w:rsid w:val="008B223F"/>
    <w:rsid w:val="008B369B"/>
    <w:rsid w:val="008B4AF6"/>
    <w:rsid w:val="008C06E5"/>
    <w:rsid w:val="008C08DC"/>
    <w:rsid w:val="008C2F12"/>
    <w:rsid w:val="008E620F"/>
    <w:rsid w:val="008E6CDE"/>
    <w:rsid w:val="008E6EDF"/>
    <w:rsid w:val="008E7D4C"/>
    <w:rsid w:val="008F10BE"/>
    <w:rsid w:val="008F2919"/>
    <w:rsid w:val="008F68FF"/>
    <w:rsid w:val="00900135"/>
    <w:rsid w:val="009012E7"/>
    <w:rsid w:val="00907C82"/>
    <w:rsid w:val="00924869"/>
    <w:rsid w:val="009310AB"/>
    <w:rsid w:val="00943DBD"/>
    <w:rsid w:val="00945641"/>
    <w:rsid w:val="00946648"/>
    <w:rsid w:val="00951BF7"/>
    <w:rsid w:val="00951DC3"/>
    <w:rsid w:val="0095689C"/>
    <w:rsid w:val="00956B26"/>
    <w:rsid w:val="009607FC"/>
    <w:rsid w:val="00961D2E"/>
    <w:rsid w:val="009626E8"/>
    <w:rsid w:val="00962A1E"/>
    <w:rsid w:val="00964056"/>
    <w:rsid w:val="009647F1"/>
    <w:rsid w:val="009704A9"/>
    <w:rsid w:val="00970AF5"/>
    <w:rsid w:val="0097361A"/>
    <w:rsid w:val="00980F37"/>
    <w:rsid w:val="009831BF"/>
    <w:rsid w:val="0098570E"/>
    <w:rsid w:val="00987111"/>
    <w:rsid w:val="0098735F"/>
    <w:rsid w:val="00987795"/>
    <w:rsid w:val="00987F7F"/>
    <w:rsid w:val="00990937"/>
    <w:rsid w:val="0099427E"/>
    <w:rsid w:val="00995603"/>
    <w:rsid w:val="00995D7D"/>
    <w:rsid w:val="009A7CC2"/>
    <w:rsid w:val="009B0E76"/>
    <w:rsid w:val="009B4276"/>
    <w:rsid w:val="009B709B"/>
    <w:rsid w:val="009C217A"/>
    <w:rsid w:val="009D3EC8"/>
    <w:rsid w:val="009F1576"/>
    <w:rsid w:val="009F6CB9"/>
    <w:rsid w:val="00A06D15"/>
    <w:rsid w:val="00A07134"/>
    <w:rsid w:val="00A07FB5"/>
    <w:rsid w:val="00A10430"/>
    <w:rsid w:val="00A15ECC"/>
    <w:rsid w:val="00A24D9A"/>
    <w:rsid w:val="00A26FAE"/>
    <w:rsid w:val="00A4030A"/>
    <w:rsid w:val="00A41F79"/>
    <w:rsid w:val="00A43254"/>
    <w:rsid w:val="00A4740E"/>
    <w:rsid w:val="00A630A8"/>
    <w:rsid w:val="00A73A36"/>
    <w:rsid w:val="00A74A8A"/>
    <w:rsid w:val="00A74C7C"/>
    <w:rsid w:val="00A76D45"/>
    <w:rsid w:val="00A77BDD"/>
    <w:rsid w:val="00A82D4A"/>
    <w:rsid w:val="00A85D78"/>
    <w:rsid w:val="00AA2AEA"/>
    <w:rsid w:val="00AA3802"/>
    <w:rsid w:val="00AA6776"/>
    <w:rsid w:val="00AA6E20"/>
    <w:rsid w:val="00AA79D0"/>
    <w:rsid w:val="00AB25FD"/>
    <w:rsid w:val="00AB3B99"/>
    <w:rsid w:val="00AB46D2"/>
    <w:rsid w:val="00AB7516"/>
    <w:rsid w:val="00AC14C2"/>
    <w:rsid w:val="00AC24AE"/>
    <w:rsid w:val="00AC3287"/>
    <w:rsid w:val="00AC720E"/>
    <w:rsid w:val="00AD08E2"/>
    <w:rsid w:val="00AD4FCC"/>
    <w:rsid w:val="00AD6B9F"/>
    <w:rsid w:val="00AE1A79"/>
    <w:rsid w:val="00AF2D97"/>
    <w:rsid w:val="00AF3FBD"/>
    <w:rsid w:val="00AF77D9"/>
    <w:rsid w:val="00B1182C"/>
    <w:rsid w:val="00B13D09"/>
    <w:rsid w:val="00B23540"/>
    <w:rsid w:val="00B24DEE"/>
    <w:rsid w:val="00B32EA2"/>
    <w:rsid w:val="00B33E49"/>
    <w:rsid w:val="00B34117"/>
    <w:rsid w:val="00B36DDA"/>
    <w:rsid w:val="00B50E45"/>
    <w:rsid w:val="00B53DC4"/>
    <w:rsid w:val="00B550EB"/>
    <w:rsid w:val="00B55C56"/>
    <w:rsid w:val="00B55CDA"/>
    <w:rsid w:val="00B61E88"/>
    <w:rsid w:val="00B62719"/>
    <w:rsid w:val="00B62F9D"/>
    <w:rsid w:val="00B64871"/>
    <w:rsid w:val="00B67F07"/>
    <w:rsid w:val="00B734E3"/>
    <w:rsid w:val="00B75CE1"/>
    <w:rsid w:val="00B77328"/>
    <w:rsid w:val="00B85F0B"/>
    <w:rsid w:val="00BA13EE"/>
    <w:rsid w:val="00BA4F02"/>
    <w:rsid w:val="00BA51B7"/>
    <w:rsid w:val="00BB0636"/>
    <w:rsid w:val="00BB1BBF"/>
    <w:rsid w:val="00BB3371"/>
    <w:rsid w:val="00BB6D51"/>
    <w:rsid w:val="00BC2A65"/>
    <w:rsid w:val="00BC6417"/>
    <w:rsid w:val="00BE5F43"/>
    <w:rsid w:val="00BF30D4"/>
    <w:rsid w:val="00BF5913"/>
    <w:rsid w:val="00C00D92"/>
    <w:rsid w:val="00C04AB2"/>
    <w:rsid w:val="00C11535"/>
    <w:rsid w:val="00C17B58"/>
    <w:rsid w:val="00C21C19"/>
    <w:rsid w:val="00C267ED"/>
    <w:rsid w:val="00C3102D"/>
    <w:rsid w:val="00C347DD"/>
    <w:rsid w:val="00C55F76"/>
    <w:rsid w:val="00C63366"/>
    <w:rsid w:val="00C66CE8"/>
    <w:rsid w:val="00C71B4A"/>
    <w:rsid w:val="00C7210E"/>
    <w:rsid w:val="00C76A98"/>
    <w:rsid w:val="00C90612"/>
    <w:rsid w:val="00C9438A"/>
    <w:rsid w:val="00C95B7C"/>
    <w:rsid w:val="00C96CAB"/>
    <w:rsid w:val="00CA09B7"/>
    <w:rsid w:val="00CA181A"/>
    <w:rsid w:val="00CA2CC5"/>
    <w:rsid w:val="00CC1551"/>
    <w:rsid w:val="00CC5CDB"/>
    <w:rsid w:val="00CD0D68"/>
    <w:rsid w:val="00CD3767"/>
    <w:rsid w:val="00CE09C2"/>
    <w:rsid w:val="00CE2D44"/>
    <w:rsid w:val="00CE6C99"/>
    <w:rsid w:val="00CF04CE"/>
    <w:rsid w:val="00CF6ED4"/>
    <w:rsid w:val="00D021FE"/>
    <w:rsid w:val="00D04BBF"/>
    <w:rsid w:val="00D10D48"/>
    <w:rsid w:val="00D11A4A"/>
    <w:rsid w:val="00D215F6"/>
    <w:rsid w:val="00D22153"/>
    <w:rsid w:val="00D26C7E"/>
    <w:rsid w:val="00D30739"/>
    <w:rsid w:val="00D37AE0"/>
    <w:rsid w:val="00D405C3"/>
    <w:rsid w:val="00D40D40"/>
    <w:rsid w:val="00D5057E"/>
    <w:rsid w:val="00D57EA6"/>
    <w:rsid w:val="00D62AC2"/>
    <w:rsid w:val="00D63143"/>
    <w:rsid w:val="00D73CF3"/>
    <w:rsid w:val="00D74661"/>
    <w:rsid w:val="00D85DA1"/>
    <w:rsid w:val="00D87661"/>
    <w:rsid w:val="00D917BE"/>
    <w:rsid w:val="00D93ED9"/>
    <w:rsid w:val="00D944B0"/>
    <w:rsid w:val="00D96926"/>
    <w:rsid w:val="00DB2F39"/>
    <w:rsid w:val="00DB377D"/>
    <w:rsid w:val="00DB3D63"/>
    <w:rsid w:val="00DC6CB9"/>
    <w:rsid w:val="00DD083B"/>
    <w:rsid w:val="00DD2C9A"/>
    <w:rsid w:val="00DD7006"/>
    <w:rsid w:val="00DD75A6"/>
    <w:rsid w:val="00DE7300"/>
    <w:rsid w:val="00DF184E"/>
    <w:rsid w:val="00DF2C6A"/>
    <w:rsid w:val="00E00CCF"/>
    <w:rsid w:val="00E01475"/>
    <w:rsid w:val="00E02E4F"/>
    <w:rsid w:val="00E03CAA"/>
    <w:rsid w:val="00E05C3E"/>
    <w:rsid w:val="00E0756A"/>
    <w:rsid w:val="00E1020E"/>
    <w:rsid w:val="00E10488"/>
    <w:rsid w:val="00E117ED"/>
    <w:rsid w:val="00E11AC6"/>
    <w:rsid w:val="00E13347"/>
    <w:rsid w:val="00E1506E"/>
    <w:rsid w:val="00E1788F"/>
    <w:rsid w:val="00E200F6"/>
    <w:rsid w:val="00E244C5"/>
    <w:rsid w:val="00E3200B"/>
    <w:rsid w:val="00E34C4E"/>
    <w:rsid w:val="00E37DA9"/>
    <w:rsid w:val="00E50AEE"/>
    <w:rsid w:val="00E52781"/>
    <w:rsid w:val="00E57CC2"/>
    <w:rsid w:val="00E57E4F"/>
    <w:rsid w:val="00E67ED1"/>
    <w:rsid w:val="00E7655B"/>
    <w:rsid w:val="00E833A6"/>
    <w:rsid w:val="00E8449C"/>
    <w:rsid w:val="00E912C2"/>
    <w:rsid w:val="00E921DD"/>
    <w:rsid w:val="00E93062"/>
    <w:rsid w:val="00EA465B"/>
    <w:rsid w:val="00EA4855"/>
    <w:rsid w:val="00EB1882"/>
    <w:rsid w:val="00EB7DCC"/>
    <w:rsid w:val="00EC1185"/>
    <w:rsid w:val="00EC3B31"/>
    <w:rsid w:val="00EC7D09"/>
    <w:rsid w:val="00ED3CEF"/>
    <w:rsid w:val="00EE277F"/>
    <w:rsid w:val="00EE378D"/>
    <w:rsid w:val="00EE6BF4"/>
    <w:rsid w:val="00EF34FA"/>
    <w:rsid w:val="00F060A9"/>
    <w:rsid w:val="00F06805"/>
    <w:rsid w:val="00F139D9"/>
    <w:rsid w:val="00F170B2"/>
    <w:rsid w:val="00F17B34"/>
    <w:rsid w:val="00F21E4E"/>
    <w:rsid w:val="00F244B9"/>
    <w:rsid w:val="00F327BB"/>
    <w:rsid w:val="00F34035"/>
    <w:rsid w:val="00F40A0B"/>
    <w:rsid w:val="00F51022"/>
    <w:rsid w:val="00F5710E"/>
    <w:rsid w:val="00F606BC"/>
    <w:rsid w:val="00F72A76"/>
    <w:rsid w:val="00F75C32"/>
    <w:rsid w:val="00F75CB5"/>
    <w:rsid w:val="00F75D57"/>
    <w:rsid w:val="00F822F1"/>
    <w:rsid w:val="00F90553"/>
    <w:rsid w:val="00F90D16"/>
    <w:rsid w:val="00F91A5F"/>
    <w:rsid w:val="00F93201"/>
    <w:rsid w:val="00F94496"/>
    <w:rsid w:val="00F948CD"/>
    <w:rsid w:val="00FA0294"/>
    <w:rsid w:val="00FA0C34"/>
    <w:rsid w:val="00FA3073"/>
    <w:rsid w:val="00FA5C7A"/>
    <w:rsid w:val="00FA76E1"/>
    <w:rsid w:val="00FB200E"/>
    <w:rsid w:val="00FB2F66"/>
    <w:rsid w:val="00FB7CBA"/>
    <w:rsid w:val="00FC6632"/>
    <w:rsid w:val="00FE72D9"/>
    <w:rsid w:val="00FE7F47"/>
    <w:rsid w:val="00FF013B"/>
    <w:rsid w:val="00FF0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basedOn w:val="prastasis"/>
    <w:link w:val="PuslapioinaostekstasDiagrama"/>
    <w:uiPriority w:val="99"/>
    <w:unhideWhenUsed/>
    <w:rsid w:val="0088148E"/>
  </w:style>
  <w:style w:type="character" w:customStyle="1" w:styleId="PuslapioinaostekstasDiagrama">
    <w:name w:val="Puslapio išnašos tekstas Diagrama"/>
    <w:basedOn w:val="Numatytasispastraiposriftas"/>
    <w:link w:val="Puslapioinaostekstas"/>
    <w:uiPriority w:val="99"/>
    <w:rsid w:val="0088148E"/>
    <w:rPr>
      <w:lang w:eastAsia="en-US"/>
    </w:rPr>
  </w:style>
  <w:style w:type="character" w:styleId="Puslapioinaosnuoroda">
    <w:name w:val="footnote reference"/>
    <w:uiPriority w:val="99"/>
    <w:unhideWhenUsed/>
    <w:rsid w:val="0088148E"/>
    <w:rPr>
      <w:vertAlign w:val="superscript"/>
    </w:rPr>
  </w:style>
  <w:style w:type="paragraph" w:customStyle="1" w:styleId="Normal12pt">
    <w:name w:val="Normal + 12 pt"/>
    <w:basedOn w:val="prastasis"/>
    <w:link w:val="Normal12ptChar"/>
    <w:rsid w:val="006D2C84"/>
    <w:pPr>
      <w:tabs>
        <w:tab w:val="left" w:pos="737"/>
      </w:tabs>
      <w:spacing w:before="120"/>
      <w:ind w:right="-283" w:firstLine="425"/>
      <w:jc w:val="both"/>
    </w:pPr>
    <w:rPr>
      <w:sz w:val="24"/>
      <w:szCs w:val="24"/>
      <w:lang w:eastAsia="x-none"/>
    </w:rPr>
  </w:style>
  <w:style w:type="character" w:customStyle="1" w:styleId="Normal12ptChar">
    <w:name w:val="Normal + 12 pt Char"/>
    <w:link w:val="Normal12pt"/>
    <w:rsid w:val="006D2C84"/>
    <w:rPr>
      <w:sz w:val="24"/>
      <w:szCs w:val="24"/>
      <w:lang w:eastAsia="x-none"/>
    </w:rPr>
  </w:style>
  <w:style w:type="paragraph" w:customStyle="1" w:styleId="MediumGrid21">
    <w:name w:val="Medium Grid 21"/>
    <w:uiPriority w:val="1"/>
    <w:qFormat/>
    <w:rsid w:val="006D2C84"/>
    <w:pPr>
      <w:spacing w:before="120" w:after="120"/>
      <w:ind w:firstLine="425"/>
      <w:jc w:val="both"/>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6B3F0-FC4C-4B5D-92FD-B03F20B0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142</TotalTime>
  <Pages>3</Pages>
  <Words>819</Words>
  <Characters>5737</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Audronė Šatūnienė</cp:lastModifiedBy>
  <cp:revision>6</cp:revision>
  <cp:lastPrinted>2018-08-01T09:50:00Z</cp:lastPrinted>
  <dcterms:created xsi:type="dcterms:W3CDTF">2018-07-31T09:39:00Z</dcterms:created>
  <dcterms:modified xsi:type="dcterms:W3CDTF">2018-08-01T09:58:00Z</dcterms:modified>
</cp:coreProperties>
</file>