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06" w:rsidRPr="00674C40" w:rsidRDefault="00413B06" w:rsidP="00413B06">
      <w:pPr>
        <w:spacing w:after="0" w:line="240" w:lineRule="auto"/>
        <w:jc w:val="center"/>
        <w:rPr>
          <w:rFonts w:ascii="Times New Roman" w:hAnsi="Times New Roman"/>
          <w:b/>
          <w:sz w:val="24"/>
          <w:szCs w:val="24"/>
        </w:rPr>
      </w:pPr>
      <w:r>
        <w:rPr>
          <w:rFonts w:ascii="Times New Roman" w:hAnsi="Times New Roman"/>
          <w:noProof/>
          <w:sz w:val="24"/>
          <w:szCs w:val="24"/>
          <w:lang w:eastAsia="lt-LT"/>
        </w:rPr>
        <w:drawing>
          <wp:inline distT="0" distB="0" distL="0" distR="0">
            <wp:extent cx="552450" cy="561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rsidR="00413B06" w:rsidRPr="00674C40" w:rsidRDefault="00413B06" w:rsidP="00413B06">
      <w:pPr>
        <w:spacing w:after="0" w:line="240" w:lineRule="auto"/>
        <w:jc w:val="center"/>
        <w:rPr>
          <w:rFonts w:ascii="Times New Roman" w:hAnsi="Times New Roman"/>
          <w:b/>
          <w:bCs/>
          <w:sz w:val="24"/>
          <w:szCs w:val="24"/>
        </w:rPr>
      </w:pPr>
    </w:p>
    <w:p w:rsidR="00413B06" w:rsidRPr="00674C40" w:rsidRDefault="00413B06" w:rsidP="00413B06">
      <w:pPr>
        <w:spacing w:after="0" w:line="240" w:lineRule="auto"/>
        <w:jc w:val="center"/>
        <w:rPr>
          <w:rFonts w:ascii="Times New Roman" w:hAnsi="Times New Roman"/>
          <w:b/>
          <w:bCs/>
          <w:sz w:val="24"/>
          <w:szCs w:val="24"/>
        </w:rPr>
      </w:pPr>
      <w:r w:rsidRPr="00674C40">
        <w:rPr>
          <w:rFonts w:ascii="Times New Roman" w:hAnsi="Times New Roman"/>
          <w:b/>
          <w:bCs/>
          <w:sz w:val="24"/>
          <w:szCs w:val="24"/>
        </w:rPr>
        <w:t>VIEŠŲJŲ PIRKIMŲ TARNYBA</w:t>
      </w:r>
    </w:p>
    <w:p w:rsidR="00413B06" w:rsidRPr="00674C40" w:rsidRDefault="00413B06" w:rsidP="00413B06">
      <w:pPr>
        <w:spacing w:after="0" w:line="240" w:lineRule="auto"/>
        <w:jc w:val="center"/>
        <w:rPr>
          <w:rFonts w:ascii="Times New Roman" w:hAnsi="Times New Roman"/>
          <w:b/>
          <w:bCs/>
          <w:sz w:val="24"/>
          <w:szCs w:val="24"/>
        </w:rPr>
      </w:pPr>
      <w:r w:rsidRPr="00674C40">
        <w:rPr>
          <w:rFonts w:ascii="Times New Roman" w:hAnsi="Times New Roman"/>
          <w:b/>
          <w:bCs/>
          <w:sz w:val="24"/>
          <w:szCs w:val="24"/>
        </w:rPr>
        <w:t>KONTROLĖS SKYRIUS</w:t>
      </w:r>
    </w:p>
    <w:p w:rsidR="00413B06" w:rsidRPr="00674C40" w:rsidRDefault="00413B06" w:rsidP="00413B06">
      <w:pPr>
        <w:spacing w:after="0" w:line="240" w:lineRule="auto"/>
        <w:jc w:val="center"/>
        <w:rPr>
          <w:rFonts w:ascii="Times New Roman" w:hAnsi="Times New Roman"/>
          <w:b/>
          <w:bCs/>
          <w:sz w:val="24"/>
          <w:szCs w:val="24"/>
        </w:rPr>
      </w:pPr>
    </w:p>
    <w:p w:rsidR="00413B06" w:rsidRPr="00674C40" w:rsidRDefault="00413B06" w:rsidP="00413B06">
      <w:pPr>
        <w:spacing w:after="0" w:line="240" w:lineRule="auto"/>
        <w:jc w:val="center"/>
        <w:rPr>
          <w:rFonts w:ascii="Times New Roman" w:hAnsi="Times New Roman"/>
          <w:b/>
          <w:bCs/>
          <w:sz w:val="24"/>
          <w:szCs w:val="24"/>
        </w:rPr>
      </w:pPr>
      <w:r w:rsidRPr="00674C40">
        <w:rPr>
          <w:rFonts w:ascii="Times New Roman" w:hAnsi="Times New Roman"/>
          <w:b/>
          <w:bCs/>
          <w:sz w:val="24"/>
          <w:szCs w:val="24"/>
        </w:rPr>
        <w:t>PIRKIMŲ VERTINIMO IŠVADA</w:t>
      </w:r>
    </w:p>
    <w:p w:rsidR="00413B06" w:rsidRPr="00674C40" w:rsidRDefault="00413B06" w:rsidP="00413B06">
      <w:pPr>
        <w:spacing w:after="0" w:line="240" w:lineRule="auto"/>
        <w:rPr>
          <w:rFonts w:ascii="Times New Roman" w:hAnsi="Times New Roman"/>
          <w:b/>
          <w:sz w:val="24"/>
          <w:szCs w:val="24"/>
        </w:rPr>
      </w:pPr>
    </w:p>
    <w:p w:rsidR="00413B06" w:rsidRPr="006760D4" w:rsidRDefault="00413B06" w:rsidP="00413B06">
      <w:pPr>
        <w:jc w:val="center"/>
        <w:rPr>
          <w:rFonts w:ascii="Times New Roman" w:hAnsi="Times New Roman"/>
          <w:sz w:val="24"/>
          <w:szCs w:val="24"/>
          <w:lang w:val="en-US"/>
        </w:rPr>
      </w:pPr>
      <w:r w:rsidRPr="006760D4">
        <w:rPr>
          <w:rFonts w:ascii="Times New Roman" w:hAnsi="Times New Roman"/>
          <w:sz w:val="24"/>
          <w:szCs w:val="24"/>
          <w:lang w:val="en-US"/>
        </w:rPr>
        <w:t>__________Nr. 4S-_________</w:t>
      </w:r>
    </w:p>
    <w:p w:rsidR="00413B06" w:rsidRPr="00413B06" w:rsidRDefault="00413B06" w:rsidP="00413B06">
      <w:pPr>
        <w:jc w:val="center"/>
        <w:rPr>
          <w:rFonts w:ascii="Times New Roman" w:hAnsi="Times New Roman"/>
          <w:sz w:val="24"/>
          <w:szCs w:val="24"/>
          <w:lang w:val="en-US"/>
        </w:rPr>
      </w:pPr>
      <w:r w:rsidRPr="006760D4">
        <w:rPr>
          <w:rFonts w:ascii="Times New Roman" w:hAnsi="Times New Roman"/>
          <w:sz w:val="24"/>
          <w:szCs w:val="24"/>
          <w:lang w:val="en-US"/>
        </w:rPr>
        <w:t>(</w:t>
      </w:r>
      <w:proofErr w:type="gramStart"/>
      <w:r w:rsidRPr="006760D4">
        <w:rPr>
          <w:rFonts w:ascii="Times New Roman" w:hAnsi="Times New Roman"/>
          <w:sz w:val="24"/>
          <w:szCs w:val="24"/>
          <w:lang w:val="en-US"/>
        </w:rPr>
        <w:t>data</w:t>
      </w:r>
      <w:proofErr w:type="gramEnd"/>
      <w:r w:rsidRPr="006760D4">
        <w:rPr>
          <w:rFonts w:ascii="Times New Roman" w:hAnsi="Times New Roman"/>
          <w:sz w:val="24"/>
          <w:szCs w:val="24"/>
          <w:lang w:val="en-US"/>
        </w:rPr>
        <w:t>)                     (</w:t>
      </w:r>
      <w:proofErr w:type="spellStart"/>
      <w:proofErr w:type="gramStart"/>
      <w:r w:rsidRPr="006760D4">
        <w:rPr>
          <w:rFonts w:ascii="Times New Roman" w:hAnsi="Times New Roman"/>
          <w:sz w:val="24"/>
          <w:szCs w:val="24"/>
          <w:lang w:val="en-US"/>
        </w:rPr>
        <w:t>numeris</w:t>
      </w:r>
      <w:proofErr w:type="spellEnd"/>
      <w:proofErr w:type="gramEnd"/>
      <w:r w:rsidRPr="006760D4">
        <w:rPr>
          <w:rFonts w:ascii="Times New Roman" w:hAnsi="Times New Roman"/>
          <w:sz w:val="24"/>
          <w:szCs w:val="24"/>
          <w:lang w:val="en-US"/>
        </w:rPr>
        <w:t>)</w:t>
      </w:r>
    </w:p>
    <w:p w:rsidR="00413B06" w:rsidRPr="00674C40" w:rsidRDefault="00413B06" w:rsidP="00413B06">
      <w:pPr>
        <w:spacing w:after="0" w:line="240" w:lineRule="auto"/>
        <w:jc w:val="center"/>
        <w:rPr>
          <w:rFonts w:ascii="Times New Roman" w:hAnsi="Times New Roman"/>
          <w:sz w:val="24"/>
          <w:szCs w:val="24"/>
        </w:rPr>
      </w:pPr>
      <w:r w:rsidRPr="00674C40">
        <w:rPr>
          <w:rFonts w:ascii="Times New Roman" w:hAnsi="Times New Roman"/>
          <w:sz w:val="24"/>
          <w:szCs w:val="24"/>
        </w:rPr>
        <w:t>Vilnius</w:t>
      </w:r>
    </w:p>
    <w:p w:rsidR="00413B06" w:rsidRDefault="00413B06" w:rsidP="00413B06">
      <w:pPr>
        <w:spacing w:after="0" w:line="240" w:lineRule="auto"/>
        <w:rPr>
          <w:rFonts w:ascii="Times New Roman" w:hAnsi="Times New Roman"/>
          <w:sz w:val="24"/>
          <w:szCs w:val="24"/>
        </w:rPr>
      </w:pPr>
    </w:p>
    <w:p w:rsidR="00413B06" w:rsidRDefault="00413B06" w:rsidP="00413B06">
      <w:pPr>
        <w:spacing w:after="0" w:line="240" w:lineRule="auto"/>
        <w:ind w:left="-142" w:firstLine="993"/>
        <w:jc w:val="both"/>
        <w:rPr>
          <w:rFonts w:ascii="Times New Roman" w:hAnsi="Times New Roman"/>
          <w:sz w:val="24"/>
          <w:szCs w:val="24"/>
        </w:rPr>
      </w:pPr>
      <w:r w:rsidRPr="00AB3B89">
        <w:rPr>
          <w:rFonts w:ascii="Times New Roman" w:hAnsi="Times New Roman"/>
          <w:bCs/>
          <w:sz w:val="24"/>
          <w:szCs w:val="24"/>
        </w:rPr>
        <w:t xml:space="preserve">Viešųjų pirkimų tarnyba (toliau – Tarnyba), vadovaudamasi Lietuvos Respublikos viešųjų pirkimų įstatymo 8² straipsnio 1 dalies 2 punktu, įvertino </w:t>
      </w:r>
      <w:r>
        <w:rPr>
          <w:rFonts w:ascii="Times New Roman" w:hAnsi="Times New Roman"/>
          <w:bCs/>
          <w:sz w:val="24"/>
          <w:szCs w:val="24"/>
        </w:rPr>
        <w:t>Lietuvos darbo biržos prie Socialinės apsaugos ir darbo ministerijos, įgaliotos teritorinių darbo biržų atlikti pirkimo procedūras (toliau – Perkančioji</w:t>
      </w:r>
      <w:r w:rsidRPr="00AB3B89">
        <w:rPr>
          <w:rFonts w:ascii="Times New Roman" w:hAnsi="Times New Roman"/>
          <w:bCs/>
          <w:sz w:val="24"/>
          <w:szCs w:val="24"/>
        </w:rPr>
        <w:t xml:space="preserve"> organizacija)</w:t>
      </w:r>
      <w:r>
        <w:rPr>
          <w:rFonts w:ascii="Times New Roman" w:hAnsi="Times New Roman"/>
          <w:bCs/>
          <w:sz w:val="24"/>
          <w:szCs w:val="24"/>
        </w:rPr>
        <w:t>,</w:t>
      </w:r>
      <w:r w:rsidRPr="00AB3B89">
        <w:rPr>
          <w:rFonts w:ascii="Times New Roman" w:hAnsi="Times New Roman"/>
          <w:bCs/>
          <w:sz w:val="24"/>
          <w:szCs w:val="24"/>
        </w:rPr>
        <w:t xml:space="preserve"> pateiktus dokumentus, susijusius </w:t>
      </w:r>
      <w:r>
        <w:rPr>
          <w:rFonts w:ascii="Times New Roman" w:hAnsi="Times New Roman"/>
          <w:bCs/>
          <w:sz w:val="24"/>
          <w:szCs w:val="24"/>
        </w:rPr>
        <w:t xml:space="preserve">su </w:t>
      </w:r>
      <w:r w:rsidRPr="00AB3B89">
        <w:rPr>
          <w:rFonts w:ascii="Times New Roman" w:hAnsi="Times New Roman"/>
          <w:bCs/>
          <w:sz w:val="24"/>
          <w:szCs w:val="24"/>
        </w:rPr>
        <w:t>vykd</w:t>
      </w:r>
      <w:r>
        <w:rPr>
          <w:rFonts w:ascii="Times New Roman" w:hAnsi="Times New Roman"/>
          <w:bCs/>
          <w:sz w:val="24"/>
          <w:szCs w:val="24"/>
        </w:rPr>
        <w:t>omu viešuoju pirkimu.</w:t>
      </w:r>
    </w:p>
    <w:p w:rsidR="00413B06" w:rsidRDefault="00413B06" w:rsidP="00413B06">
      <w:pPr>
        <w:spacing w:after="0" w:line="240" w:lineRule="auto"/>
        <w:rPr>
          <w:rFonts w:ascii="Times New Roman" w:hAnsi="Times New Roman"/>
          <w:sz w:val="24"/>
          <w:szCs w:val="24"/>
        </w:rPr>
      </w:pPr>
    </w:p>
    <w:p w:rsidR="00413B06" w:rsidRPr="00674C40" w:rsidRDefault="00413B06" w:rsidP="00413B06">
      <w:pPr>
        <w:spacing w:after="0" w:line="240" w:lineRule="auto"/>
        <w:jc w:val="center"/>
        <w:rPr>
          <w:rFonts w:ascii="Times New Roman" w:hAnsi="Times New Roman"/>
          <w:b/>
          <w:sz w:val="24"/>
          <w:szCs w:val="24"/>
        </w:rPr>
      </w:pPr>
      <w:r w:rsidRPr="00674C40">
        <w:rPr>
          <w:rFonts w:ascii="Times New Roman" w:hAnsi="Times New Roman"/>
          <w:b/>
          <w:sz w:val="24"/>
          <w:szCs w:val="24"/>
        </w:rPr>
        <w:t>I dalis. Bendra informacija</w:t>
      </w:r>
    </w:p>
    <w:p w:rsidR="00413B06" w:rsidRPr="00674C40" w:rsidRDefault="00413B06" w:rsidP="00413B06">
      <w:pPr>
        <w:spacing w:after="0" w:line="240" w:lineRule="auto"/>
        <w:jc w:val="center"/>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934"/>
      </w:tblGrid>
      <w:tr w:rsidR="00413B06" w:rsidRPr="00674C40" w:rsidTr="007D70DC">
        <w:tc>
          <w:tcPr>
            <w:tcW w:w="4672" w:type="dxa"/>
            <w:shd w:val="clear" w:color="auto" w:fill="auto"/>
            <w:vAlign w:val="center"/>
          </w:tcPr>
          <w:p w:rsidR="00413B06" w:rsidRPr="00674C40" w:rsidRDefault="00413B06" w:rsidP="007D70DC">
            <w:pPr>
              <w:spacing w:after="0" w:line="240" w:lineRule="auto"/>
              <w:jc w:val="both"/>
              <w:rPr>
                <w:rFonts w:ascii="Times New Roman" w:hAnsi="Times New Roman"/>
                <w:sz w:val="24"/>
                <w:szCs w:val="24"/>
              </w:rPr>
            </w:pPr>
            <w:r w:rsidRPr="00674C40">
              <w:rPr>
                <w:rFonts w:ascii="Times New Roman" w:hAnsi="Times New Roman"/>
                <w:sz w:val="24"/>
                <w:szCs w:val="24"/>
              </w:rPr>
              <w:t>Pirkimo pavadinimas, numeris (jeigu skelbtas), pirkimo paskelbimo (kvietimo pateikti pasiūlymą) data</w:t>
            </w:r>
          </w:p>
        </w:tc>
        <w:tc>
          <w:tcPr>
            <w:tcW w:w="4934" w:type="dxa"/>
            <w:shd w:val="clear" w:color="auto" w:fill="auto"/>
            <w:vAlign w:val="center"/>
          </w:tcPr>
          <w:p w:rsidR="00413B06" w:rsidRPr="00674C40" w:rsidRDefault="00413B06" w:rsidP="00413B06">
            <w:pPr>
              <w:spacing w:after="0" w:line="240" w:lineRule="auto"/>
              <w:jc w:val="both"/>
              <w:rPr>
                <w:rFonts w:ascii="Times New Roman" w:hAnsi="Times New Roman"/>
                <w:sz w:val="24"/>
                <w:szCs w:val="24"/>
              </w:rPr>
            </w:pPr>
            <w:r w:rsidRPr="008A06A9">
              <w:rPr>
                <w:rFonts w:ascii="Times New Roman" w:hAnsi="Times New Roman"/>
                <w:sz w:val="24"/>
                <w:szCs w:val="24"/>
              </w:rPr>
              <w:t xml:space="preserve">„Nepasirengusių darbo rinkai bedarbių, orientuotų į </w:t>
            </w:r>
            <w:r>
              <w:rPr>
                <w:rFonts w:ascii="Times New Roman" w:hAnsi="Times New Roman"/>
                <w:sz w:val="24"/>
                <w:szCs w:val="24"/>
              </w:rPr>
              <w:t>samdomą darbą</w:t>
            </w:r>
            <w:r w:rsidRPr="008A06A9">
              <w:rPr>
                <w:rFonts w:ascii="Times New Roman" w:hAnsi="Times New Roman"/>
                <w:sz w:val="24"/>
                <w:szCs w:val="24"/>
              </w:rPr>
              <w:t xml:space="preserve">, supažindinimo su </w:t>
            </w:r>
            <w:r>
              <w:rPr>
                <w:rFonts w:ascii="Times New Roman" w:hAnsi="Times New Roman"/>
                <w:sz w:val="24"/>
                <w:szCs w:val="24"/>
              </w:rPr>
              <w:t>darbo rinka</w:t>
            </w:r>
            <w:r w:rsidRPr="008A06A9">
              <w:rPr>
                <w:rFonts w:ascii="Times New Roman" w:hAnsi="Times New Roman"/>
                <w:sz w:val="24"/>
                <w:szCs w:val="24"/>
              </w:rPr>
              <w:t xml:space="preserve"> paslaugų pirkimas“</w:t>
            </w:r>
            <w:r>
              <w:rPr>
                <w:sz w:val="24"/>
                <w:szCs w:val="24"/>
              </w:rPr>
              <w:t xml:space="preserve"> </w:t>
            </w:r>
            <w:r w:rsidRPr="00674C40">
              <w:rPr>
                <w:rFonts w:ascii="Times New Roman" w:hAnsi="Times New Roman"/>
                <w:bCs/>
                <w:sz w:val="24"/>
                <w:szCs w:val="24"/>
              </w:rPr>
              <w:t>(Centrinėje viešųjų pirkimų informacinėje sistemoje skelbtas 201</w:t>
            </w:r>
            <w:r>
              <w:rPr>
                <w:rFonts w:ascii="Times New Roman" w:hAnsi="Times New Roman"/>
                <w:bCs/>
                <w:sz w:val="24"/>
                <w:szCs w:val="24"/>
              </w:rPr>
              <w:t>6-05-13</w:t>
            </w:r>
            <w:r w:rsidRPr="00674C40">
              <w:rPr>
                <w:rFonts w:ascii="Times New Roman" w:hAnsi="Times New Roman"/>
                <w:bCs/>
                <w:sz w:val="24"/>
                <w:szCs w:val="24"/>
              </w:rPr>
              <w:t>, pirkimo Nr. 17</w:t>
            </w:r>
            <w:r>
              <w:rPr>
                <w:rFonts w:ascii="Times New Roman" w:hAnsi="Times New Roman"/>
                <w:bCs/>
                <w:sz w:val="24"/>
                <w:szCs w:val="24"/>
              </w:rPr>
              <w:t>4493,</w:t>
            </w:r>
            <w:r w:rsidRPr="00674C40">
              <w:rPr>
                <w:rFonts w:ascii="Times New Roman" w:hAnsi="Times New Roman"/>
                <w:bCs/>
                <w:sz w:val="24"/>
                <w:szCs w:val="24"/>
              </w:rPr>
              <w:t xml:space="preserve"> toliau – Pirkimas</w:t>
            </w:r>
            <w:r>
              <w:rPr>
                <w:rFonts w:ascii="Times New Roman" w:hAnsi="Times New Roman"/>
                <w:bCs/>
                <w:sz w:val="24"/>
                <w:szCs w:val="24"/>
              </w:rPr>
              <w:t>).</w:t>
            </w:r>
          </w:p>
        </w:tc>
      </w:tr>
      <w:tr w:rsidR="00413B06" w:rsidRPr="00674C40" w:rsidTr="007D70DC">
        <w:tc>
          <w:tcPr>
            <w:tcW w:w="4672" w:type="dxa"/>
            <w:shd w:val="clear" w:color="auto" w:fill="auto"/>
            <w:vAlign w:val="center"/>
          </w:tcPr>
          <w:p w:rsidR="00413B06" w:rsidRPr="00674C40" w:rsidRDefault="00413B06" w:rsidP="007D70DC">
            <w:pPr>
              <w:spacing w:after="0" w:line="240" w:lineRule="auto"/>
              <w:rPr>
                <w:rFonts w:ascii="Times New Roman" w:hAnsi="Times New Roman"/>
                <w:sz w:val="24"/>
                <w:szCs w:val="24"/>
              </w:rPr>
            </w:pPr>
            <w:r w:rsidRPr="00674C40">
              <w:rPr>
                <w:rFonts w:ascii="Times New Roman" w:hAnsi="Times New Roman"/>
                <w:sz w:val="24"/>
                <w:szCs w:val="24"/>
              </w:rPr>
              <w:t>Pirkimo būdas</w:t>
            </w:r>
          </w:p>
        </w:tc>
        <w:tc>
          <w:tcPr>
            <w:tcW w:w="4934" w:type="dxa"/>
            <w:shd w:val="clear" w:color="auto" w:fill="auto"/>
            <w:vAlign w:val="center"/>
          </w:tcPr>
          <w:p w:rsidR="00413B06" w:rsidRPr="00674C40" w:rsidRDefault="00413B06" w:rsidP="007D70DC">
            <w:pPr>
              <w:spacing w:after="0" w:line="240" w:lineRule="auto"/>
              <w:ind w:hanging="136"/>
              <w:jc w:val="center"/>
              <w:rPr>
                <w:rFonts w:ascii="Times New Roman" w:hAnsi="Times New Roman"/>
                <w:sz w:val="24"/>
                <w:szCs w:val="24"/>
              </w:rPr>
            </w:pPr>
            <w:r>
              <w:rPr>
                <w:rFonts w:ascii="Times New Roman" w:hAnsi="Times New Roman"/>
                <w:bCs/>
                <w:sz w:val="24"/>
                <w:szCs w:val="24"/>
              </w:rPr>
              <w:t>Supaprastintas atviras</w:t>
            </w:r>
            <w:r w:rsidRPr="00674C40">
              <w:rPr>
                <w:rFonts w:ascii="Times New Roman" w:hAnsi="Times New Roman"/>
                <w:bCs/>
                <w:sz w:val="24"/>
                <w:szCs w:val="24"/>
              </w:rPr>
              <w:t xml:space="preserve"> konkurs</w:t>
            </w:r>
            <w:r>
              <w:rPr>
                <w:rFonts w:ascii="Times New Roman" w:hAnsi="Times New Roman"/>
                <w:bCs/>
                <w:sz w:val="24"/>
                <w:szCs w:val="24"/>
              </w:rPr>
              <w:t>as.</w:t>
            </w:r>
          </w:p>
        </w:tc>
      </w:tr>
      <w:tr w:rsidR="00413B06" w:rsidRPr="00674C40" w:rsidTr="007D70DC">
        <w:tc>
          <w:tcPr>
            <w:tcW w:w="4672" w:type="dxa"/>
            <w:shd w:val="clear" w:color="auto" w:fill="auto"/>
            <w:vAlign w:val="center"/>
          </w:tcPr>
          <w:p w:rsidR="00413B06" w:rsidRPr="00674C40" w:rsidRDefault="00413B06" w:rsidP="007D70DC">
            <w:pPr>
              <w:spacing w:after="0" w:line="240" w:lineRule="auto"/>
              <w:jc w:val="both"/>
              <w:rPr>
                <w:rFonts w:ascii="Times New Roman" w:hAnsi="Times New Roman"/>
                <w:sz w:val="24"/>
                <w:szCs w:val="24"/>
              </w:rPr>
            </w:pPr>
            <w:r w:rsidRPr="00674C40">
              <w:rPr>
                <w:rFonts w:ascii="Times New Roman" w:hAnsi="Times New Roman"/>
                <w:sz w:val="24"/>
                <w:szCs w:val="24"/>
              </w:rPr>
              <w:t>Planuojama (nenurodoma, jeigu pirkimas vertinamas iki vokų su pasiūlymais atplėšimo procedūros) pirkimo sutarties vertė, su PVM/be PVM</w:t>
            </w:r>
          </w:p>
        </w:tc>
        <w:tc>
          <w:tcPr>
            <w:tcW w:w="4934" w:type="dxa"/>
            <w:shd w:val="clear" w:color="auto" w:fill="auto"/>
            <w:vAlign w:val="center"/>
          </w:tcPr>
          <w:p w:rsidR="00413B06" w:rsidRDefault="00413B06" w:rsidP="007D70DC">
            <w:pPr>
              <w:spacing w:after="0" w:line="240" w:lineRule="auto"/>
              <w:jc w:val="both"/>
              <w:rPr>
                <w:rFonts w:ascii="Times New Roman" w:hAnsi="Times New Roman"/>
                <w:sz w:val="24"/>
                <w:szCs w:val="24"/>
              </w:rPr>
            </w:pPr>
            <w:r>
              <w:rPr>
                <w:rFonts w:ascii="Times New Roman" w:hAnsi="Times New Roman"/>
                <w:sz w:val="24"/>
                <w:szCs w:val="24"/>
              </w:rPr>
              <w:t xml:space="preserve">Planuojama Pirkimo sutarties vertė – </w:t>
            </w:r>
            <w:r w:rsidR="00FB4B60">
              <w:rPr>
                <w:rFonts w:ascii="Times New Roman" w:hAnsi="Times New Roman"/>
                <w:sz w:val="24"/>
                <w:szCs w:val="24"/>
              </w:rPr>
              <w:t>9.450.000</w:t>
            </w:r>
            <w:r>
              <w:rPr>
                <w:rFonts w:ascii="Times New Roman" w:hAnsi="Times New Roman"/>
                <w:sz w:val="24"/>
                <w:szCs w:val="24"/>
              </w:rPr>
              <w:t xml:space="preserve">,00 </w:t>
            </w:r>
            <w:proofErr w:type="spellStart"/>
            <w:r>
              <w:rPr>
                <w:rFonts w:ascii="Times New Roman" w:hAnsi="Times New Roman"/>
                <w:sz w:val="24"/>
                <w:szCs w:val="24"/>
              </w:rPr>
              <w:t>Eur</w:t>
            </w:r>
            <w:proofErr w:type="spellEnd"/>
            <w:r>
              <w:rPr>
                <w:rFonts w:ascii="Times New Roman" w:hAnsi="Times New Roman"/>
                <w:sz w:val="24"/>
                <w:szCs w:val="24"/>
              </w:rPr>
              <w:t xml:space="preserve"> su PVM.</w:t>
            </w:r>
          </w:p>
          <w:p w:rsidR="00413B06" w:rsidRPr="00674C40" w:rsidRDefault="00413B06" w:rsidP="007D70DC">
            <w:pPr>
              <w:spacing w:after="0" w:line="240" w:lineRule="auto"/>
              <w:rPr>
                <w:rFonts w:ascii="Times New Roman" w:hAnsi="Times New Roman"/>
                <w:sz w:val="24"/>
                <w:szCs w:val="24"/>
              </w:rPr>
            </w:pPr>
          </w:p>
        </w:tc>
      </w:tr>
      <w:tr w:rsidR="00413B06" w:rsidRPr="00674C40" w:rsidTr="007D70DC">
        <w:tc>
          <w:tcPr>
            <w:tcW w:w="4672" w:type="dxa"/>
            <w:shd w:val="clear" w:color="auto" w:fill="auto"/>
            <w:vAlign w:val="center"/>
          </w:tcPr>
          <w:p w:rsidR="00413B06" w:rsidRPr="00674C40" w:rsidRDefault="00413B06" w:rsidP="007D70DC">
            <w:pPr>
              <w:spacing w:after="0" w:line="240" w:lineRule="auto"/>
              <w:jc w:val="both"/>
              <w:rPr>
                <w:rFonts w:ascii="Times New Roman" w:hAnsi="Times New Roman"/>
                <w:sz w:val="24"/>
                <w:szCs w:val="24"/>
              </w:rPr>
            </w:pPr>
            <w:r w:rsidRPr="00674C40">
              <w:rPr>
                <w:rFonts w:ascii="Times New Roman" w:hAnsi="Times New Roman"/>
                <w:sz w:val="24"/>
                <w:szCs w:val="24"/>
              </w:rPr>
              <w:t>Pirkimas finansuojamas ES lėšomis, projekto pavadinimas, Įgyvendinančioji institucija</w:t>
            </w:r>
          </w:p>
        </w:tc>
        <w:tc>
          <w:tcPr>
            <w:tcW w:w="4934" w:type="dxa"/>
            <w:shd w:val="clear" w:color="auto" w:fill="auto"/>
            <w:vAlign w:val="center"/>
          </w:tcPr>
          <w:p w:rsidR="00413B06" w:rsidRDefault="00413B06" w:rsidP="007D70DC">
            <w:pPr>
              <w:spacing w:after="0" w:line="240" w:lineRule="auto"/>
              <w:jc w:val="both"/>
              <w:rPr>
                <w:rFonts w:ascii="Times New Roman" w:hAnsi="Times New Roman"/>
                <w:sz w:val="24"/>
                <w:szCs w:val="24"/>
              </w:rPr>
            </w:pPr>
            <w:r>
              <w:rPr>
                <w:rFonts w:ascii="Times New Roman" w:hAnsi="Times New Roman"/>
                <w:sz w:val="24"/>
                <w:szCs w:val="24"/>
              </w:rPr>
              <w:t>Projektas Nr. 07.4.1-ESFA-V-404-01-0001 „Atrask save“ finansuojamas pagal 2014-2020 m. Europos Sąjungos fondų investicijų veiksmų programos 7 prioriteto „Kokybiško užimtumo ir dalyvavimo darbo rinkoje skatinimas“ įgyvendinimo priemonę 07.4.1-ESFA-404 „Jaunimo užimtumo didinimas“.</w:t>
            </w:r>
          </w:p>
          <w:p w:rsidR="00413B06" w:rsidRPr="00674C40" w:rsidRDefault="00413B06" w:rsidP="007D70DC">
            <w:pPr>
              <w:spacing w:after="0" w:line="240" w:lineRule="auto"/>
              <w:jc w:val="both"/>
              <w:rPr>
                <w:rFonts w:ascii="Times New Roman" w:hAnsi="Times New Roman"/>
                <w:sz w:val="24"/>
                <w:szCs w:val="24"/>
              </w:rPr>
            </w:pPr>
            <w:r w:rsidRPr="00674C40">
              <w:rPr>
                <w:rFonts w:ascii="Times New Roman" w:hAnsi="Times New Roman"/>
                <w:sz w:val="24"/>
                <w:szCs w:val="24"/>
              </w:rPr>
              <w:t>Įgyvendinančioji institucija</w:t>
            </w:r>
            <w:r>
              <w:rPr>
                <w:rFonts w:ascii="Times New Roman" w:hAnsi="Times New Roman"/>
                <w:sz w:val="24"/>
                <w:szCs w:val="24"/>
              </w:rPr>
              <w:t xml:space="preserve"> – </w:t>
            </w:r>
            <w:proofErr w:type="spellStart"/>
            <w:r>
              <w:rPr>
                <w:rFonts w:ascii="Times New Roman" w:hAnsi="Times New Roman"/>
                <w:sz w:val="24"/>
                <w:szCs w:val="24"/>
              </w:rPr>
              <w:t>VšĮ</w:t>
            </w:r>
            <w:proofErr w:type="spellEnd"/>
            <w:r>
              <w:rPr>
                <w:rFonts w:ascii="Times New Roman" w:hAnsi="Times New Roman"/>
                <w:sz w:val="24"/>
                <w:szCs w:val="24"/>
              </w:rPr>
              <w:t xml:space="preserve"> Europos socialinio fondo agentūra</w:t>
            </w:r>
          </w:p>
        </w:tc>
      </w:tr>
      <w:tr w:rsidR="00413B06" w:rsidRPr="00674C40" w:rsidTr="007D70DC">
        <w:tc>
          <w:tcPr>
            <w:tcW w:w="4672" w:type="dxa"/>
            <w:shd w:val="clear" w:color="auto" w:fill="auto"/>
            <w:vAlign w:val="center"/>
          </w:tcPr>
          <w:p w:rsidR="00413B06" w:rsidRPr="00674C40" w:rsidRDefault="00413B06" w:rsidP="007D70DC">
            <w:pPr>
              <w:spacing w:after="0" w:line="240" w:lineRule="auto"/>
              <w:jc w:val="both"/>
              <w:rPr>
                <w:rFonts w:ascii="Times New Roman" w:hAnsi="Times New Roman"/>
                <w:sz w:val="24"/>
                <w:szCs w:val="24"/>
              </w:rPr>
            </w:pPr>
            <w:r w:rsidRPr="00674C40">
              <w:rPr>
                <w:rFonts w:ascii="Times New Roman" w:hAnsi="Times New Roman"/>
                <w:sz w:val="24"/>
                <w:szCs w:val="24"/>
              </w:rPr>
              <w:t xml:space="preserve">Pirkimo vykdymo teisinis pagrindas (pirkimui taikomo įstatymo, supaprastintų pirkimų </w:t>
            </w:r>
            <w:proofErr w:type="gramStart"/>
            <w:r w:rsidRPr="00674C40">
              <w:rPr>
                <w:rFonts w:ascii="Times New Roman" w:hAnsi="Times New Roman"/>
                <w:sz w:val="24"/>
                <w:szCs w:val="24"/>
              </w:rPr>
              <w:t>taisyklių</w:t>
            </w:r>
            <w:proofErr w:type="gramEnd"/>
            <w:r w:rsidRPr="00674C40">
              <w:rPr>
                <w:rFonts w:ascii="Times New Roman" w:hAnsi="Times New Roman"/>
                <w:sz w:val="24"/>
                <w:szCs w:val="24"/>
              </w:rPr>
              <w:t xml:space="preserve"> redakcija)</w:t>
            </w:r>
          </w:p>
        </w:tc>
        <w:tc>
          <w:tcPr>
            <w:tcW w:w="4934" w:type="dxa"/>
            <w:shd w:val="clear" w:color="auto" w:fill="auto"/>
            <w:vAlign w:val="center"/>
          </w:tcPr>
          <w:p w:rsidR="00413B06" w:rsidRPr="00674C40" w:rsidRDefault="00413B06" w:rsidP="00FB4B60">
            <w:pPr>
              <w:spacing w:after="0" w:line="240" w:lineRule="auto"/>
              <w:jc w:val="both"/>
              <w:rPr>
                <w:rFonts w:ascii="Times New Roman" w:hAnsi="Times New Roman"/>
                <w:sz w:val="24"/>
                <w:szCs w:val="24"/>
              </w:rPr>
            </w:pPr>
            <w:r w:rsidRPr="00674C40">
              <w:rPr>
                <w:rFonts w:ascii="Times New Roman" w:hAnsi="Times New Roman"/>
                <w:bCs/>
                <w:sz w:val="24"/>
                <w:szCs w:val="24"/>
              </w:rPr>
              <w:t>Lietuvos Respublikos viešųjų pirkimų įstatym</w:t>
            </w:r>
            <w:r>
              <w:rPr>
                <w:rFonts w:ascii="Times New Roman" w:hAnsi="Times New Roman"/>
                <w:bCs/>
                <w:sz w:val="24"/>
                <w:szCs w:val="24"/>
              </w:rPr>
              <w:t>as</w:t>
            </w:r>
            <w:r w:rsidRPr="00674C40">
              <w:rPr>
                <w:rFonts w:ascii="Times New Roman" w:hAnsi="Times New Roman"/>
                <w:bCs/>
                <w:sz w:val="24"/>
                <w:szCs w:val="24"/>
              </w:rPr>
              <w:t xml:space="preserve"> (redakcija nuo 201</w:t>
            </w:r>
            <w:r>
              <w:rPr>
                <w:rFonts w:ascii="Times New Roman" w:hAnsi="Times New Roman"/>
                <w:bCs/>
                <w:sz w:val="24"/>
                <w:szCs w:val="24"/>
              </w:rPr>
              <w:t>6-01-01</w:t>
            </w:r>
            <w:r w:rsidRPr="00674C40">
              <w:rPr>
                <w:rFonts w:ascii="Times New Roman" w:hAnsi="Times New Roman"/>
                <w:bCs/>
                <w:sz w:val="24"/>
                <w:szCs w:val="24"/>
              </w:rPr>
              <w:t>) (toliau – Įstatymas)</w:t>
            </w:r>
            <w:r w:rsidRPr="00DB3CCA">
              <w:rPr>
                <w:rFonts w:ascii="Times New Roman" w:hAnsi="Times New Roman"/>
                <w:sz w:val="24"/>
                <w:szCs w:val="24"/>
              </w:rPr>
              <w:t xml:space="preserve">, Lietuvos darbo biržos prie Socialinės apsaugos ir darbo ministerijos supaprastintų viešųjų pirkimų </w:t>
            </w:r>
            <w:proofErr w:type="gramStart"/>
            <w:r w:rsidRPr="00DB3CCA">
              <w:rPr>
                <w:rFonts w:ascii="Times New Roman" w:hAnsi="Times New Roman"/>
                <w:sz w:val="24"/>
                <w:szCs w:val="24"/>
              </w:rPr>
              <w:t>taisykles</w:t>
            </w:r>
            <w:proofErr w:type="gramEnd"/>
            <w:r w:rsidRPr="00DB3CCA">
              <w:rPr>
                <w:rFonts w:ascii="Times New Roman" w:hAnsi="Times New Roman"/>
                <w:sz w:val="24"/>
                <w:szCs w:val="24"/>
              </w:rPr>
              <w:t>, patvirtintas perkančiosios organizacijos direktoriaus 2014-02-20 įsakymu Nr. V-124</w:t>
            </w:r>
            <w:r>
              <w:rPr>
                <w:rFonts w:ascii="Times New Roman" w:hAnsi="Times New Roman"/>
                <w:sz w:val="24"/>
                <w:szCs w:val="24"/>
              </w:rPr>
              <w:t xml:space="preserve"> (</w:t>
            </w:r>
            <w:r w:rsidR="00B7709A">
              <w:rPr>
                <w:rFonts w:ascii="Times New Roman" w:hAnsi="Times New Roman"/>
                <w:sz w:val="24"/>
                <w:szCs w:val="24"/>
              </w:rPr>
              <w:t xml:space="preserve">redakcija nuo – 2015-01-01; </w:t>
            </w:r>
            <w:r>
              <w:rPr>
                <w:rFonts w:ascii="Times New Roman" w:hAnsi="Times New Roman"/>
                <w:sz w:val="24"/>
                <w:szCs w:val="24"/>
              </w:rPr>
              <w:t>toliau – Taisyklės)</w:t>
            </w:r>
            <w:r w:rsidRPr="00DB3CCA">
              <w:rPr>
                <w:rFonts w:ascii="Times New Roman" w:hAnsi="Times New Roman"/>
                <w:sz w:val="24"/>
                <w:szCs w:val="24"/>
              </w:rPr>
              <w:t xml:space="preserve"> </w:t>
            </w:r>
          </w:p>
        </w:tc>
      </w:tr>
      <w:tr w:rsidR="00413B06" w:rsidRPr="00674C40" w:rsidTr="007D70DC">
        <w:tc>
          <w:tcPr>
            <w:tcW w:w="4672" w:type="dxa"/>
            <w:shd w:val="clear" w:color="auto" w:fill="auto"/>
            <w:vAlign w:val="center"/>
          </w:tcPr>
          <w:p w:rsidR="00413B06" w:rsidRPr="00674C40" w:rsidRDefault="00413B06" w:rsidP="007D70DC">
            <w:pPr>
              <w:spacing w:after="0" w:line="240" w:lineRule="auto"/>
              <w:rPr>
                <w:rFonts w:ascii="Times New Roman" w:hAnsi="Times New Roman"/>
                <w:sz w:val="24"/>
                <w:szCs w:val="24"/>
              </w:rPr>
            </w:pPr>
            <w:r w:rsidRPr="00674C40">
              <w:rPr>
                <w:rFonts w:ascii="Times New Roman" w:hAnsi="Times New Roman"/>
                <w:sz w:val="24"/>
                <w:szCs w:val="24"/>
              </w:rPr>
              <w:lastRenderedPageBreak/>
              <w:t>Vertinimo apimtys/etapas</w:t>
            </w:r>
          </w:p>
        </w:tc>
        <w:tc>
          <w:tcPr>
            <w:tcW w:w="4934" w:type="dxa"/>
            <w:shd w:val="clear" w:color="auto" w:fill="auto"/>
            <w:vAlign w:val="center"/>
          </w:tcPr>
          <w:p w:rsidR="00413B06" w:rsidRPr="00674C40" w:rsidRDefault="00413B06" w:rsidP="007D70DC">
            <w:pPr>
              <w:spacing w:after="0" w:line="240" w:lineRule="auto"/>
              <w:jc w:val="both"/>
              <w:rPr>
                <w:rFonts w:ascii="Times New Roman" w:hAnsi="Times New Roman"/>
                <w:sz w:val="24"/>
                <w:szCs w:val="24"/>
              </w:rPr>
            </w:pPr>
            <w:r>
              <w:rPr>
                <w:rFonts w:ascii="Times New Roman" w:hAnsi="Times New Roman"/>
                <w:sz w:val="24"/>
                <w:szCs w:val="24"/>
              </w:rPr>
              <w:t>Išsamus vertinimas / Pirkimo procedūrų vertinimas po vokų atplėšimo procedūros, bet iki pirkimo pabaigos.</w:t>
            </w:r>
          </w:p>
        </w:tc>
      </w:tr>
      <w:tr w:rsidR="00413B06" w:rsidRPr="00674C40" w:rsidTr="007D70DC">
        <w:tc>
          <w:tcPr>
            <w:tcW w:w="4672" w:type="dxa"/>
            <w:shd w:val="clear" w:color="auto" w:fill="auto"/>
            <w:vAlign w:val="center"/>
          </w:tcPr>
          <w:p w:rsidR="00413B06" w:rsidRPr="00674C40" w:rsidRDefault="00413B06" w:rsidP="007D70DC">
            <w:pPr>
              <w:spacing w:after="0" w:line="240" w:lineRule="auto"/>
              <w:jc w:val="both"/>
              <w:rPr>
                <w:rFonts w:ascii="Times New Roman" w:hAnsi="Times New Roman"/>
                <w:sz w:val="24"/>
                <w:szCs w:val="24"/>
              </w:rPr>
            </w:pPr>
            <w:r w:rsidRPr="00674C40">
              <w:rPr>
                <w:rFonts w:ascii="Times New Roman" w:hAnsi="Times New Roman"/>
                <w:sz w:val="24"/>
                <w:szCs w:val="24"/>
              </w:rPr>
              <w:t>Dėl pirkimo vyksta teismo procesas (nurodyti ieškinio (skundo) dalykus, bylos šalių pavadinimus, ar taikomos laikinosios apsaugos priemonės, teisminio nagrinėjimo stadija, pvz., apygardos, apeliacinis teismas)</w:t>
            </w:r>
          </w:p>
        </w:tc>
        <w:tc>
          <w:tcPr>
            <w:tcW w:w="4934" w:type="dxa"/>
            <w:shd w:val="clear" w:color="auto" w:fill="auto"/>
            <w:vAlign w:val="center"/>
          </w:tcPr>
          <w:p w:rsidR="00413B06" w:rsidRPr="00674C40" w:rsidRDefault="00BA1F74" w:rsidP="00BA1F74">
            <w:pPr>
              <w:spacing w:after="0" w:line="240" w:lineRule="auto"/>
              <w:jc w:val="center"/>
              <w:rPr>
                <w:rFonts w:ascii="Times New Roman" w:hAnsi="Times New Roman"/>
                <w:sz w:val="24"/>
                <w:szCs w:val="24"/>
              </w:rPr>
            </w:pPr>
            <w:r>
              <w:rPr>
                <w:rFonts w:ascii="Times New Roman" w:hAnsi="Times New Roman"/>
                <w:sz w:val="24"/>
                <w:szCs w:val="24"/>
              </w:rPr>
              <w:t>-</w:t>
            </w:r>
          </w:p>
        </w:tc>
      </w:tr>
    </w:tbl>
    <w:p w:rsidR="00413B06" w:rsidRDefault="00413B06" w:rsidP="00413B06">
      <w:pPr>
        <w:spacing w:after="0" w:line="240" w:lineRule="auto"/>
        <w:rPr>
          <w:rFonts w:ascii="Times New Roman" w:hAnsi="Times New Roman"/>
          <w:sz w:val="24"/>
          <w:szCs w:val="24"/>
        </w:rPr>
      </w:pPr>
    </w:p>
    <w:p w:rsidR="00413B06" w:rsidRPr="00674C40" w:rsidRDefault="00413B06" w:rsidP="00413B06">
      <w:pPr>
        <w:spacing w:after="0" w:line="240" w:lineRule="auto"/>
        <w:jc w:val="center"/>
        <w:rPr>
          <w:rFonts w:ascii="Times New Roman" w:hAnsi="Times New Roman"/>
          <w:b/>
          <w:sz w:val="24"/>
          <w:szCs w:val="24"/>
        </w:rPr>
      </w:pPr>
      <w:r w:rsidRPr="00674C40">
        <w:rPr>
          <w:rFonts w:ascii="Times New Roman" w:hAnsi="Times New Roman"/>
          <w:b/>
          <w:sz w:val="24"/>
          <w:szCs w:val="24"/>
        </w:rPr>
        <w:t>II dalis. Vertinimo metu nustatyti pažeidimai</w:t>
      </w:r>
    </w:p>
    <w:p w:rsidR="00413B06" w:rsidRDefault="00413B06" w:rsidP="00413B06">
      <w:pPr>
        <w:spacing w:after="0" w:line="240" w:lineRule="auto"/>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9214"/>
      </w:tblGrid>
      <w:tr w:rsidR="00413B06" w:rsidRPr="00A74648" w:rsidTr="007D70DC">
        <w:tc>
          <w:tcPr>
            <w:tcW w:w="392" w:type="dxa"/>
            <w:shd w:val="clear" w:color="auto" w:fill="auto"/>
            <w:vAlign w:val="center"/>
          </w:tcPr>
          <w:p w:rsidR="00413B06" w:rsidRPr="00674C40" w:rsidRDefault="00413B06" w:rsidP="00413B06">
            <w:pPr>
              <w:pStyle w:val="ListParagraph"/>
              <w:numPr>
                <w:ilvl w:val="0"/>
                <w:numId w:val="1"/>
              </w:numPr>
              <w:spacing w:after="0" w:line="240" w:lineRule="auto"/>
              <w:ind w:left="0" w:right="459" w:firstLine="0"/>
              <w:rPr>
                <w:rFonts w:ascii="Times New Roman" w:hAnsi="Times New Roman"/>
                <w:sz w:val="24"/>
                <w:szCs w:val="24"/>
              </w:rPr>
            </w:pPr>
          </w:p>
        </w:tc>
        <w:tc>
          <w:tcPr>
            <w:tcW w:w="9214" w:type="dxa"/>
            <w:shd w:val="clear" w:color="auto" w:fill="auto"/>
          </w:tcPr>
          <w:p w:rsidR="00413B06" w:rsidRPr="00A74648" w:rsidRDefault="00550730" w:rsidP="007D70DC">
            <w:pPr>
              <w:pStyle w:val="ListParagraph"/>
              <w:tabs>
                <w:tab w:val="left" w:pos="0"/>
                <w:tab w:val="left" w:pos="993"/>
                <w:tab w:val="left" w:pos="1276"/>
              </w:tabs>
              <w:spacing w:after="0" w:line="240" w:lineRule="auto"/>
              <w:ind w:left="0"/>
              <w:jc w:val="both"/>
              <w:rPr>
                <w:rFonts w:ascii="Times New Roman" w:hAnsi="Times New Roman"/>
                <w:sz w:val="24"/>
                <w:szCs w:val="24"/>
              </w:rPr>
            </w:pPr>
            <w:proofErr w:type="gramStart"/>
            <w:r>
              <w:rPr>
                <w:rFonts w:ascii="Times New Roman" w:hAnsi="Times New Roman"/>
                <w:bCs/>
                <w:sz w:val="24"/>
                <w:szCs w:val="24"/>
              </w:rPr>
              <w:t>Taisyklių</w:t>
            </w:r>
            <w:proofErr w:type="gramEnd"/>
            <w:r>
              <w:rPr>
                <w:rFonts w:ascii="Times New Roman" w:hAnsi="Times New Roman"/>
                <w:bCs/>
                <w:sz w:val="24"/>
                <w:szCs w:val="24"/>
              </w:rPr>
              <w:t xml:space="preserve"> 38 punktas</w:t>
            </w:r>
            <w:r>
              <w:rPr>
                <w:rStyle w:val="FootnoteReference"/>
                <w:rFonts w:ascii="Times New Roman" w:hAnsi="Times New Roman"/>
                <w:bCs/>
                <w:sz w:val="24"/>
                <w:szCs w:val="24"/>
              </w:rPr>
              <w:footnoteReference w:id="1"/>
            </w:r>
            <w:r>
              <w:rPr>
                <w:rFonts w:ascii="Times New Roman" w:hAnsi="Times New Roman"/>
                <w:bCs/>
                <w:sz w:val="24"/>
                <w:szCs w:val="24"/>
              </w:rPr>
              <w:t>, Įstatymo 85 straipsnio 2 dalis</w:t>
            </w:r>
            <w:r>
              <w:rPr>
                <w:rStyle w:val="FootnoteReference"/>
                <w:rFonts w:ascii="Times New Roman" w:hAnsi="Times New Roman"/>
                <w:bCs/>
                <w:sz w:val="24"/>
                <w:szCs w:val="24"/>
              </w:rPr>
              <w:footnoteReference w:id="2"/>
            </w:r>
            <w:r>
              <w:rPr>
                <w:rFonts w:ascii="Times New Roman" w:hAnsi="Times New Roman"/>
                <w:bCs/>
                <w:sz w:val="24"/>
                <w:szCs w:val="24"/>
              </w:rPr>
              <w:t xml:space="preserve"> ir 27 straipsnio 1 dalis</w:t>
            </w:r>
            <w:r>
              <w:rPr>
                <w:rStyle w:val="FootnoteReference"/>
                <w:rFonts w:ascii="Times New Roman" w:hAnsi="Times New Roman"/>
                <w:bCs/>
                <w:sz w:val="24"/>
                <w:szCs w:val="24"/>
              </w:rPr>
              <w:footnoteReference w:id="3"/>
            </w:r>
          </w:p>
        </w:tc>
      </w:tr>
      <w:tr w:rsidR="00413B06" w:rsidRPr="00591DB9" w:rsidTr="007D70DC">
        <w:tc>
          <w:tcPr>
            <w:tcW w:w="9606" w:type="dxa"/>
            <w:gridSpan w:val="2"/>
            <w:shd w:val="clear" w:color="auto" w:fill="auto"/>
            <w:vAlign w:val="center"/>
          </w:tcPr>
          <w:p w:rsidR="00413B06" w:rsidRPr="00165773" w:rsidRDefault="00550730" w:rsidP="00550730">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Perkančioji organizacija, atsakydama </w:t>
            </w:r>
            <w:r w:rsidRPr="00B552FD">
              <w:rPr>
                <w:rFonts w:ascii="Times New Roman" w:hAnsi="Times New Roman"/>
                <w:bCs/>
                <w:sz w:val="24"/>
                <w:szCs w:val="24"/>
              </w:rPr>
              <w:t>į tiekėjų CVP IS priemonėmis pateiktus paklausimus</w:t>
            </w:r>
            <w:r>
              <w:rPr>
                <w:rFonts w:ascii="Times New Roman" w:hAnsi="Times New Roman"/>
                <w:bCs/>
                <w:sz w:val="24"/>
                <w:szCs w:val="24"/>
              </w:rPr>
              <w:t>, viešai CVP IS nepaskelbė 2016-05-26 atsakymo į tiekėjų klausimus (2016-05-26 CVP IS pranešimas Nr. 4320178)</w:t>
            </w:r>
            <w:r w:rsidR="005B2F7F">
              <w:rPr>
                <w:rFonts w:ascii="Times New Roman" w:hAnsi="Times New Roman"/>
                <w:bCs/>
                <w:sz w:val="24"/>
                <w:szCs w:val="24"/>
              </w:rPr>
              <w:t>.</w:t>
            </w:r>
          </w:p>
        </w:tc>
      </w:tr>
      <w:tr w:rsidR="000E77C3" w:rsidRPr="00A74648" w:rsidTr="000E77C3">
        <w:tc>
          <w:tcPr>
            <w:tcW w:w="392" w:type="dxa"/>
            <w:shd w:val="clear" w:color="auto" w:fill="auto"/>
            <w:vAlign w:val="center"/>
          </w:tcPr>
          <w:p w:rsidR="000E77C3" w:rsidRPr="00674C40" w:rsidRDefault="000E77C3" w:rsidP="000E77C3">
            <w:pPr>
              <w:pStyle w:val="ListParagraph"/>
              <w:numPr>
                <w:ilvl w:val="0"/>
                <w:numId w:val="1"/>
              </w:numPr>
              <w:spacing w:after="0" w:line="240" w:lineRule="auto"/>
              <w:ind w:left="0" w:right="459" w:firstLine="0"/>
              <w:rPr>
                <w:rFonts w:ascii="Times New Roman" w:hAnsi="Times New Roman"/>
                <w:sz w:val="24"/>
                <w:szCs w:val="24"/>
              </w:rPr>
            </w:pPr>
          </w:p>
        </w:tc>
        <w:tc>
          <w:tcPr>
            <w:tcW w:w="9214" w:type="dxa"/>
            <w:shd w:val="clear" w:color="auto" w:fill="auto"/>
          </w:tcPr>
          <w:p w:rsidR="000E77C3" w:rsidRPr="00A74648" w:rsidRDefault="000E77C3" w:rsidP="000E77C3">
            <w:pPr>
              <w:pStyle w:val="ListParagraph"/>
              <w:tabs>
                <w:tab w:val="left" w:pos="0"/>
                <w:tab w:val="left" w:pos="993"/>
                <w:tab w:val="left" w:pos="1276"/>
              </w:tabs>
              <w:spacing w:after="0" w:line="240" w:lineRule="auto"/>
              <w:ind w:left="0"/>
              <w:jc w:val="both"/>
              <w:rPr>
                <w:rFonts w:ascii="Times New Roman" w:hAnsi="Times New Roman"/>
                <w:sz w:val="24"/>
                <w:szCs w:val="24"/>
              </w:rPr>
            </w:pPr>
            <w:proofErr w:type="gramStart"/>
            <w:r>
              <w:rPr>
                <w:rFonts w:ascii="Times New Roman" w:hAnsi="Times New Roman"/>
                <w:sz w:val="24"/>
                <w:szCs w:val="24"/>
              </w:rPr>
              <w:t>Taisyklių</w:t>
            </w:r>
            <w:proofErr w:type="gramEnd"/>
            <w:r>
              <w:rPr>
                <w:rFonts w:ascii="Times New Roman" w:hAnsi="Times New Roman"/>
                <w:sz w:val="24"/>
                <w:szCs w:val="24"/>
              </w:rPr>
              <w:t xml:space="preserve"> 133 punktas</w:t>
            </w:r>
            <w:r>
              <w:rPr>
                <w:rStyle w:val="FootnoteReference"/>
                <w:rFonts w:ascii="Times New Roman" w:hAnsi="Times New Roman"/>
                <w:sz w:val="24"/>
                <w:szCs w:val="24"/>
              </w:rPr>
              <w:footnoteReference w:id="4"/>
            </w:r>
            <w:r>
              <w:rPr>
                <w:rFonts w:ascii="Times New Roman" w:hAnsi="Times New Roman"/>
                <w:sz w:val="24"/>
                <w:szCs w:val="24"/>
              </w:rPr>
              <w:t>, Įstatymo 94¹ straipsnio 3 dalis</w:t>
            </w:r>
            <w:r>
              <w:rPr>
                <w:rStyle w:val="FootnoteReference"/>
                <w:rFonts w:ascii="Times New Roman" w:hAnsi="Times New Roman"/>
                <w:sz w:val="24"/>
                <w:szCs w:val="24"/>
              </w:rPr>
              <w:footnoteReference w:id="5"/>
            </w:r>
            <w:r>
              <w:rPr>
                <w:rFonts w:ascii="Times New Roman" w:hAnsi="Times New Roman"/>
                <w:sz w:val="24"/>
                <w:szCs w:val="24"/>
              </w:rPr>
              <w:t>, Įstatymo 85 straipsnio 2 dalis</w:t>
            </w:r>
            <w:r>
              <w:rPr>
                <w:rStyle w:val="FootnoteReference"/>
                <w:rFonts w:ascii="Times New Roman" w:hAnsi="Times New Roman"/>
                <w:sz w:val="24"/>
                <w:szCs w:val="24"/>
              </w:rPr>
              <w:footnoteReference w:id="6"/>
            </w:r>
          </w:p>
        </w:tc>
      </w:tr>
      <w:tr w:rsidR="000E77C3" w:rsidRPr="00591DB9" w:rsidTr="000E77C3">
        <w:tc>
          <w:tcPr>
            <w:tcW w:w="9606" w:type="dxa"/>
            <w:gridSpan w:val="2"/>
            <w:shd w:val="clear" w:color="auto" w:fill="auto"/>
            <w:vAlign w:val="center"/>
          </w:tcPr>
          <w:p w:rsidR="000E77C3" w:rsidRPr="00165773" w:rsidRDefault="00CF7488" w:rsidP="000E77C3">
            <w:pPr>
              <w:spacing w:after="0" w:line="240" w:lineRule="auto"/>
              <w:ind w:firstLine="709"/>
              <w:jc w:val="both"/>
              <w:rPr>
                <w:rFonts w:ascii="Times New Roman" w:hAnsi="Times New Roman"/>
                <w:bCs/>
                <w:sz w:val="24"/>
                <w:szCs w:val="24"/>
              </w:rPr>
            </w:pPr>
            <w:r>
              <w:rPr>
                <w:rFonts w:ascii="Times New Roman" w:hAnsi="Times New Roman"/>
                <w:bCs/>
                <w:sz w:val="24"/>
                <w:szCs w:val="24"/>
              </w:rPr>
              <w:t>Perkančioji org</w:t>
            </w:r>
            <w:r w:rsidR="000E77C3">
              <w:rPr>
                <w:rFonts w:ascii="Times New Roman" w:hAnsi="Times New Roman"/>
                <w:bCs/>
                <w:sz w:val="24"/>
                <w:szCs w:val="24"/>
              </w:rPr>
              <w:t>anizac</w:t>
            </w:r>
            <w:r>
              <w:rPr>
                <w:rFonts w:ascii="Times New Roman" w:hAnsi="Times New Roman"/>
                <w:bCs/>
                <w:sz w:val="24"/>
                <w:szCs w:val="24"/>
              </w:rPr>
              <w:t>ija, išnagrinėjusi 2016-08-26 CVP IS pranešimu Nr. 4544408 gautą pretenziją, apie priimtą sprendimą informavo tik pretenziją pateikusį tiekėją, tačiau neinformavo kitų suinteresuotų dalyvių.</w:t>
            </w:r>
          </w:p>
        </w:tc>
      </w:tr>
    </w:tbl>
    <w:p w:rsidR="00413B06" w:rsidRPr="00674C40" w:rsidRDefault="00413B06" w:rsidP="00413B06">
      <w:pPr>
        <w:spacing w:after="0" w:line="240" w:lineRule="auto"/>
        <w:rPr>
          <w:rFonts w:ascii="Times New Roman" w:hAnsi="Times New Roman"/>
          <w:b/>
          <w:sz w:val="24"/>
          <w:szCs w:val="24"/>
        </w:rPr>
      </w:pPr>
    </w:p>
    <w:p w:rsidR="00413B06" w:rsidRDefault="00413B06" w:rsidP="00413B06">
      <w:pPr>
        <w:spacing w:after="0" w:line="240" w:lineRule="auto"/>
        <w:jc w:val="center"/>
        <w:rPr>
          <w:rFonts w:ascii="Times New Roman" w:hAnsi="Times New Roman"/>
          <w:b/>
          <w:sz w:val="24"/>
          <w:szCs w:val="24"/>
        </w:rPr>
      </w:pPr>
      <w:r w:rsidRPr="00674C40">
        <w:rPr>
          <w:rFonts w:ascii="Times New Roman" w:hAnsi="Times New Roman"/>
          <w:b/>
          <w:sz w:val="24"/>
          <w:szCs w:val="24"/>
        </w:rPr>
        <w:t>III dalis</w:t>
      </w:r>
      <w:r>
        <w:rPr>
          <w:rFonts w:ascii="Times New Roman" w:hAnsi="Times New Roman"/>
          <w:b/>
          <w:sz w:val="24"/>
          <w:szCs w:val="24"/>
        </w:rPr>
        <w:t>.</w:t>
      </w:r>
      <w:r w:rsidRPr="00674C40">
        <w:rPr>
          <w:rFonts w:ascii="Times New Roman" w:hAnsi="Times New Roman"/>
          <w:b/>
          <w:sz w:val="24"/>
          <w:szCs w:val="24"/>
        </w:rPr>
        <w:t xml:space="preserve"> Pastabos, į kurias perkančioji organizacija turėtų atsižvelgti vykdydama kitus pirkimus</w:t>
      </w:r>
    </w:p>
    <w:p w:rsidR="00413B06" w:rsidRDefault="00413B06" w:rsidP="00413B06">
      <w:pPr>
        <w:spacing w:after="0" w:line="240" w:lineRule="auto"/>
        <w:jc w:val="center"/>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072"/>
      </w:tblGrid>
      <w:tr w:rsidR="00413B06" w:rsidRPr="00355A4A" w:rsidTr="00550730">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13B06" w:rsidRPr="00674C40" w:rsidRDefault="00413B06" w:rsidP="002C15E3">
            <w:pPr>
              <w:pStyle w:val="ListParagraph"/>
              <w:spacing w:after="0" w:line="240" w:lineRule="auto"/>
              <w:ind w:left="142" w:right="-108"/>
              <w:rPr>
                <w:rFonts w:ascii="Times New Roman" w:hAnsi="Times New Roman"/>
                <w:sz w:val="24"/>
                <w:szCs w:val="24"/>
              </w:rPr>
            </w:pPr>
            <w:r>
              <w:rPr>
                <w:rFonts w:ascii="Times New Roman" w:hAnsi="Times New Roman"/>
                <w:sz w:val="24"/>
                <w:szCs w:val="24"/>
              </w:rPr>
              <w:t>1.</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413B06" w:rsidRPr="00607CD8" w:rsidRDefault="000E36D3" w:rsidP="007D70DC">
            <w:pPr>
              <w:pStyle w:val="Normal12pt"/>
              <w:rPr>
                <w:bCs/>
              </w:rPr>
            </w:pPr>
            <w:r w:rsidRPr="00C92760">
              <w:t>Įstatymo 32 straipsnio 2 dalis</w:t>
            </w:r>
            <w:r w:rsidRPr="00C92760">
              <w:rPr>
                <w:rStyle w:val="FootnoteReference"/>
              </w:rPr>
              <w:footnoteReference w:id="7"/>
            </w:r>
          </w:p>
        </w:tc>
      </w:tr>
      <w:tr w:rsidR="00413B06" w:rsidRPr="00BB7A50" w:rsidTr="00550730">
        <w:tc>
          <w:tcPr>
            <w:tcW w:w="9606" w:type="dxa"/>
            <w:gridSpan w:val="2"/>
            <w:shd w:val="clear" w:color="auto" w:fill="auto"/>
            <w:vAlign w:val="center"/>
          </w:tcPr>
          <w:p w:rsidR="00413B06" w:rsidRPr="00BB7A50" w:rsidRDefault="00C92760" w:rsidP="000E36D3">
            <w:pPr>
              <w:spacing w:after="0" w:line="240" w:lineRule="auto"/>
              <w:ind w:right="191" w:firstLine="709"/>
              <w:jc w:val="both"/>
              <w:rPr>
                <w:rFonts w:ascii="Times New Roman" w:hAnsi="Times New Roman"/>
                <w:bCs/>
                <w:sz w:val="24"/>
                <w:szCs w:val="24"/>
              </w:rPr>
            </w:pPr>
            <w:r>
              <w:rPr>
                <w:rFonts w:ascii="Times New Roman" w:hAnsi="Times New Roman"/>
                <w:sz w:val="24"/>
                <w:szCs w:val="24"/>
              </w:rPr>
              <w:t>Nepasirengusių darbo rinkai bedarbių, orientuotų į samdomą darbą, supažindinimo su darbo rinka paslaugų pirkimo supaprastinto atviro konkurso sąlygų, patvirtintų, Perkančiosios organizacijos nuolatinės viešųjų pirkimų komisijos, sudarytos Perkančiosios organizacijos direktoriaus 2015-12-02 įsakymu Nr. V-734 (su vėlesniais pakeitimais; toliau - Komisija), 2016-05-05 posėdžio protokolu Nr. VP4-2 (toliau - Pirkimo sąlygos), 10.8 punkte nustatytas kvalifikacijos reikalavimas</w:t>
            </w:r>
            <w:r w:rsidR="00654D7A">
              <w:rPr>
                <w:rFonts w:ascii="Times New Roman" w:hAnsi="Times New Roman"/>
                <w:sz w:val="24"/>
                <w:szCs w:val="24"/>
              </w:rPr>
              <w:t xml:space="preserve">, kad „Tiekėjas per pastaruosius 3 metus &lt;...&gt; turi būti sėkmingai įvykdęs arba sėkmingai vykdo bent vieną mokymo paslaugų sutartį, kurios vertė arba įvykdytos dalies vertė su PVM iki pasiūlymo pateikimo termino pabaigos turi būti ne mažesnė kaip: 390.000,00 eurų I daliai,780.000,00 eurų II daliai, 550.000,00 eurų III daliai, 230.000,00 eurų IV daliai, 550.000,00 eurų V daliai, 230.000,00 eurų VI daliai, 630.000,00 eurų VII daliai, 230.000,00 eurų VIII daliai, 350.000,00 eurų IX daliai, 740.000,00 eurų X daliai“. </w:t>
            </w:r>
            <w:r w:rsidR="00C94E5B">
              <w:rPr>
                <w:rFonts w:ascii="Times New Roman" w:hAnsi="Times New Roman"/>
                <w:sz w:val="24"/>
                <w:szCs w:val="24"/>
              </w:rPr>
              <w:t xml:space="preserve">Nors šis kvalifikacijos reikalavimas nustatytas, vadovaujantis Tiekėjų kvalifikacijos vertinimo metodinių rekomendacijų, patvirtintų Tarnybos direktoriaus 2003-10-20 įsakymu Nr. 1S-100 (toliau – Rekomendacijos), 20.1 punktu, tačiau, atsižvelgus į dideles reikalaujamų </w:t>
            </w:r>
            <w:r w:rsidR="000E36D3">
              <w:rPr>
                <w:rFonts w:ascii="Times New Roman" w:hAnsi="Times New Roman"/>
                <w:sz w:val="24"/>
                <w:szCs w:val="24"/>
              </w:rPr>
              <w:t xml:space="preserve">pateikti sutarčių vertes, Tarnybos nuomone, Perkančioji organizacija galėjo numatyti, kad tiekėjai </w:t>
            </w:r>
            <w:r w:rsidR="000E36D3">
              <w:rPr>
                <w:rFonts w:ascii="Times New Roman" w:hAnsi="Times New Roman"/>
                <w:sz w:val="24"/>
                <w:szCs w:val="24"/>
              </w:rPr>
              <w:lastRenderedPageBreak/>
              <w:t xml:space="preserve">pateiktų ne vieną atitinkamos vertės sutartį, o kelias sutartis, kurių bendra vertė būtų ne mažesnė kaip </w:t>
            </w:r>
            <w:r w:rsidR="000E36D3" w:rsidRPr="00AC11EA">
              <w:rPr>
                <w:rFonts w:ascii="Times New Roman" w:hAnsi="Times New Roman"/>
                <w:sz w:val="24"/>
                <w:szCs w:val="24"/>
              </w:rPr>
              <w:t xml:space="preserve">0,7 </w:t>
            </w:r>
            <w:r w:rsidR="000E36D3">
              <w:rPr>
                <w:rFonts w:ascii="Times New Roman" w:hAnsi="Times New Roman"/>
                <w:sz w:val="24"/>
                <w:szCs w:val="24"/>
              </w:rPr>
              <w:t>pasiūlymo</w:t>
            </w:r>
            <w:r w:rsidR="000E36D3" w:rsidRPr="00AC11EA">
              <w:rPr>
                <w:rFonts w:ascii="Times New Roman" w:hAnsi="Times New Roman"/>
                <w:sz w:val="24"/>
                <w:szCs w:val="24"/>
              </w:rPr>
              <w:t xml:space="preserve"> vertės</w:t>
            </w:r>
            <w:r w:rsidR="00F86792">
              <w:rPr>
                <w:rFonts w:ascii="Times New Roman" w:hAnsi="Times New Roman"/>
                <w:sz w:val="24"/>
                <w:szCs w:val="24"/>
              </w:rPr>
              <w:t>.</w:t>
            </w:r>
          </w:p>
        </w:tc>
      </w:tr>
      <w:tr w:rsidR="00413B06" w:rsidRPr="00A74648" w:rsidTr="00550730">
        <w:tc>
          <w:tcPr>
            <w:tcW w:w="534" w:type="dxa"/>
            <w:shd w:val="clear" w:color="auto" w:fill="auto"/>
            <w:vAlign w:val="center"/>
          </w:tcPr>
          <w:p w:rsidR="00413B06" w:rsidRPr="00674C40" w:rsidRDefault="00CB0A8E" w:rsidP="002C15E3">
            <w:pPr>
              <w:pStyle w:val="ListParagraph"/>
              <w:spacing w:after="0" w:line="240" w:lineRule="auto"/>
              <w:ind w:left="0" w:right="34"/>
              <w:rPr>
                <w:rFonts w:ascii="Times New Roman" w:hAnsi="Times New Roman"/>
                <w:sz w:val="24"/>
                <w:szCs w:val="24"/>
              </w:rPr>
            </w:pPr>
            <w:r>
              <w:rPr>
                <w:rFonts w:ascii="Times New Roman" w:hAnsi="Times New Roman"/>
                <w:sz w:val="24"/>
                <w:szCs w:val="24"/>
              </w:rPr>
              <w:lastRenderedPageBreak/>
              <w:t>2</w:t>
            </w:r>
            <w:r w:rsidR="00413B06">
              <w:rPr>
                <w:rFonts w:ascii="Times New Roman" w:hAnsi="Times New Roman"/>
                <w:sz w:val="24"/>
                <w:szCs w:val="24"/>
              </w:rPr>
              <w:t>.</w:t>
            </w:r>
          </w:p>
        </w:tc>
        <w:tc>
          <w:tcPr>
            <w:tcW w:w="9072" w:type="dxa"/>
            <w:shd w:val="clear" w:color="auto" w:fill="auto"/>
          </w:tcPr>
          <w:p w:rsidR="00413B06" w:rsidRPr="00C92760" w:rsidRDefault="008D1432" w:rsidP="007D70DC">
            <w:pPr>
              <w:pStyle w:val="ListParagraph"/>
              <w:tabs>
                <w:tab w:val="left" w:pos="0"/>
                <w:tab w:val="left" w:pos="993"/>
                <w:tab w:val="left" w:pos="1276"/>
              </w:tabs>
              <w:spacing w:after="0" w:line="240" w:lineRule="auto"/>
              <w:ind w:left="0"/>
              <w:jc w:val="both"/>
              <w:rPr>
                <w:rFonts w:ascii="Times New Roman" w:hAnsi="Times New Roman"/>
                <w:sz w:val="24"/>
                <w:szCs w:val="24"/>
              </w:rPr>
            </w:pPr>
            <w:r w:rsidRPr="00C92760">
              <w:rPr>
                <w:rFonts w:ascii="Times New Roman" w:hAnsi="Times New Roman"/>
              </w:rPr>
              <w:t>Įstatymo 32 straipsnio 2 dalis</w:t>
            </w:r>
            <w:r w:rsidRPr="00C92760">
              <w:rPr>
                <w:rStyle w:val="FootnoteReference"/>
                <w:rFonts w:ascii="Times New Roman" w:hAnsi="Times New Roman"/>
              </w:rPr>
              <w:footnoteReference w:id="8"/>
            </w:r>
          </w:p>
        </w:tc>
      </w:tr>
      <w:tr w:rsidR="00413B06" w:rsidRPr="00591DB9" w:rsidTr="00550730">
        <w:tc>
          <w:tcPr>
            <w:tcW w:w="9606" w:type="dxa"/>
            <w:gridSpan w:val="2"/>
            <w:shd w:val="clear" w:color="auto" w:fill="auto"/>
            <w:vAlign w:val="center"/>
          </w:tcPr>
          <w:p w:rsidR="008D1432" w:rsidRDefault="00C92760" w:rsidP="008D1432">
            <w:pPr>
              <w:spacing w:after="0" w:line="240" w:lineRule="auto"/>
              <w:ind w:right="191" w:firstLine="709"/>
              <w:jc w:val="both"/>
              <w:rPr>
                <w:rFonts w:ascii="Times New Roman" w:hAnsi="Times New Roman"/>
                <w:sz w:val="24"/>
                <w:szCs w:val="24"/>
              </w:rPr>
            </w:pPr>
            <w:r>
              <w:rPr>
                <w:rFonts w:ascii="Times New Roman" w:hAnsi="Times New Roman"/>
                <w:sz w:val="24"/>
                <w:szCs w:val="24"/>
              </w:rPr>
              <w:t>Pirkimo sąlygų</w:t>
            </w:r>
            <w:r w:rsidR="008D1432">
              <w:rPr>
                <w:rFonts w:ascii="Times New Roman" w:hAnsi="Times New Roman"/>
                <w:sz w:val="24"/>
                <w:szCs w:val="24"/>
              </w:rPr>
              <w:t xml:space="preserve"> 10.9 punkte nustatytas reikalavimas, kad „Tiekėjas (ūkio subjekto grupės jungtinės veiklos sutarties šalis atsakinga už mokymų organizavimą) yra įdiegęs kokybės vadybos </w:t>
            </w:r>
            <w:r w:rsidR="008D1432" w:rsidRPr="00483641">
              <w:rPr>
                <w:rFonts w:ascii="Times New Roman" w:hAnsi="Times New Roman"/>
                <w:sz w:val="24"/>
                <w:szCs w:val="24"/>
              </w:rPr>
              <w:t>sis</w:t>
            </w:r>
            <w:r w:rsidR="008D1432">
              <w:rPr>
                <w:rFonts w:ascii="Times New Roman" w:hAnsi="Times New Roman"/>
                <w:sz w:val="24"/>
                <w:szCs w:val="24"/>
              </w:rPr>
              <w:t>temą atitinkančią LST EN ISO 9001 (arba lygiaverčio) standarto reikalavimus mokymų srityje“</w:t>
            </w:r>
            <w:r w:rsidR="008D1432" w:rsidRPr="00483641">
              <w:rPr>
                <w:rStyle w:val="Emphasis"/>
                <w:rFonts w:ascii="Times New Roman" w:hAnsi="Times New Roman"/>
                <w:sz w:val="24"/>
                <w:szCs w:val="24"/>
              </w:rPr>
              <w:t xml:space="preserve">. </w:t>
            </w:r>
            <w:r w:rsidR="008D1432" w:rsidRPr="00483641">
              <w:rPr>
                <w:rFonts w:ascii="Times New Roman" w:hAnsi="Times New Roman"/>
                <w:sz w:val="24"/>
                <w:szCs w:val="24"/>
              </w:rPr>
              <w:t xml:space="preserve">Tarnybos nuomone, reikalaudama vadybos sistemų, </w:t>
            </w:r>
            <w:r w:rsidR="008D1432">
              <w:rPr>
                <w:rFonts w:ascii="Times New Roman" w:hAnsi="Times New Roman"/>
                <w:sz w:val="24"/>
                <w:szCs w:val="24"/>
              </w:rPr>
              <w:t>P</w:t>
            </w:r>
            <w:r w:rsidR="008D1432" w:rsidRPr="00483641">
              <w:rPr>
                <w:rFonts w:ascii="Times New Roman" w:hAnsi="Times New Roman"/>
                <w:sz w:val="24"/>
                <w:szCs w:val="24"/>
              </w:rPr>
              <w:t xml:space="preserve">erkančioji organizacija dirbtinai riboja tiekėjų (ypač smulkaus verslo), kurie turi teisę teikti </w:t>
            </w:r>
            <w:r w:rsidR="008D1432">
              <w:rPr>
                <w:rFonts w:ascii="Times New Roman" w:hAnsi="Times New Roman"/>
                <w:sz w:val="24"/>
                <w:szCs w:val="24"/>
              </w:rPr>
              <w:t>mokymų</w:t>
            </w:r>
            <w:r w:rsidR="008D1432" w:rsidRPr="00483641">
              <w:rPr>
                <w:rFonts w:ascii="Times New Roman" w:hAnsi="Times New Roman"/>
                <w:sz w:val="24"/>
                <w:szCs w:val="24"/>
              </w:rPr>
              <w:t xml:space="preserve"> paslaugas, atitinka </w:t>
            </w:r>
            <w:r w:rsidR="008D1432">
              <w:rPr>
                <w:rFonts w:ascii="Times New Roman" w:hAnsi="Times New Roman"/>
                <w:sz w:val="24"/>
                <w:szCs w:val="24"/>
              </w:rPr>
              <w:t>mokymų</w:t>
            </w:r>
            <w:r w:rsidR="008D1432" w:rsidRPr="00483641">
              <w:rPr>
                <w:rFonts w:ascii="Times New Roman" w:hAnsi="Times New Roman"/>
                <w:sz w:val="24"/>
                <w:szCs w:val="24"/>
              </w:rPr>
              <w:t xml:space="preserve"> sritį reglamentuojančių teisės aktų privalomus reikalavimus, nors ir nėra įsidiegę atitinkamų vadybos sistemų, dalyvavimą viešuosiuose pirkimuose. Be to, minėtų sertifikatų turėjimas pats savaime nepatvirtina ir neužtikrina tiekėjo ge</w:t>
            </w:r>
            <w:r w:rsidR="008D1432">
              <w:rPr>
                <w:rFonts w:ascii="Times New Roman" w:hAnsi="Times New Roman"/>
                <w:sz w:val="24"/>
                <w:szCs w:val="24"/>
              </w:rPr>
              <w:t xml:space="preserve">bėjimų tinkamai vykdyti sutartį. </w:t>
            </w:r>
          </w:p>
          <w:p w:rsidR="00413B06" w:rsidRPr="00165773" w:rsidRDefault="008D1432" w:rsidP="00C94E5B">
            <w:pPr>
              <w:spacing w:after="0" w:line="240" w:lineRule="auto"/>
              <w:jc w:val="both"/>
              <w:rPr>
                <w:rFonts w:ascii="Times New Roman" w:hAnsi="Times New Roman"/>
                <w:bCs/>
                <w:sz w:val="24"/>
                <w:szCs w:val="24"/>
              </w:rPr>
            </w:pPr>
            <w:r>
              <w:rPr>
                <w:rFonts w:ascii="Times New Roman" w:hAnsi="Times New Roman"/>
                <w:sz w:val="24"/>
                <w:szCs w:val="24"/>
              </w:rPr>
              <w:t>Papildomai Tarnyba atkreipia dėmesį, kad Pirkimo sąlygų 12 punktas, kuriame nurodyta, kad „</w:t>
            </w:r>
            <w:r w:rsidRPr="008551AD">
              <w:rPr>
                <w:rFonts w:ascii="Times New Roman" w:eastAsia="Times New Roman" w:hAnsi="Times New Roman"/>
                <w:sz w:val="24"/>
                <w:szCs w:val="24"/>
              </w:rPr>
              <w:t>2 lentelė</w:t>
            </w:r>
            <w:r>
              <w:rPr>
                <w:rFonts w:ascii="Times New Roman" w:eastAsia="Times New Roman" w:hAnsi="Times New Roman"/>
                <w:sz w:val="24"/>
                <w:szCs w:val="24"/>
              </w:rPr>
              <w:t xml:space="preserve">s </w:t>
            </w:r>
            <w:r w:rsidRPr="008551AD">
              <w:rPr>
                <w:rFonts w:ascii="Times New Roman" w:eastAsia="Times New Roman" w:hAnsi="Times New Roman"/>
                <w:sz w:val="24"/>
                <w:szCs w:val="24"/>
              </w:rPr>
              <w:t>„Techninio ir profesinio pajėgumo reikalavimai“ 10.8 ir 10.9 punktuose nustatytus techninio ir profesinio pajėgumo reikalavimus turi atitikti ir pateikti nurodytus dokumentus bent vienas ūkio subjektų grupės narys, o 10.7, 10.10 bent vienas ūkio subjektų grupės narys arba visi ūkio subjektų grupės nariai kartu</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neatitinka</w:t>
            </w:r>
            <w:proofErr w:type="gramEnd"/>
            <w:r>
              <w:rPr>
                <w:rFonts w:ascii="Times New Roman" w:eastAsia="Times New Roman" w:hAnsi="Times New Roman"/>
                <w:color w:val="000000"/>
                <w:sz w:val="24"/>
                <w:szCs w:val="24"/>
              </w:rPr>
              <w:t xml:space="preserve"> </w:t>
            </w:r>
            <w:r w:rsidR="00C94E5B">
              <w:rPr>
                <w:rFonts w:ascii="Times New Roman" w:hAnsi="Times New Roman"/>
                <w:sz w:val="24"/>
                <w:szCs w:val="24"/>
              </w:rPr>
              <w:t>Rekomendacijų</w:t>
            </w:r>
            <w:r>
              <w:rPr>
                <w:rFonts w:ascii="Times New Roman" w:hAnsi="Times New Roman"/>
                <w:sz w:val="24"/>
                <w:szCs w:val="24"/>
              </w:rPr>
              <w:t xml:space="preserve"> 21 punkto nuostatos</w:t>
            </w:r>
            <w:r>
              <w:rPr>
                <w:rStyle w:val="FootnoteReference"/>
                <w:rFonts w:ascii="Times New Roman" w:hAnsi="Times New Roman"/>
                <w:sz w:val="24"/>
                <w:szCs w:val="24"/>
              </w:rPr>
              <w:footnoteReference w:id="9"/>
            </w:r>
            <w:r>
              <w:rPr>
                <w:rFonts w:ascii="Times New Roman" w:eastAsia="Times New Roman" w:hAnsi="Times New Roman"/>
                <w:color w:val="000000"/>
                <w:sz w:val="24"/>
                <w:szCs w:val="24"/>
              </w:rPr>
              <w:t>.</w:t>
            </w:r>
          </w:p>
        </w:tc>
      </w:tr>
      <w:tr w:rsidR="00413B06" w:rsidRPr="00A74648" w:rsidTr="00550730">
        <w:tc>
          <w:tcPr>
            <w:tcW w:w="534" w:type="dxa"/>
            <w:shd w:val="clear" w:color="auto" w:fill="auto"/>
            <w:vAlign w:val="center"/>
          </w:tcPr>
          <w:p w:rsidR="00413B06" w:rsidRPr="00674C40" w:rsidRDefault="00CB0A8E" w:rsidP="002C15E3">
            <w:pPr>
              <w:pStyle w:val="ListParagraph"/>
              <w:spacing w:after="0" w:line="240" w:lineRule="auto"/>
              <w:ind w:left="0" w:right="33"/>
              <w:rPr>
                <w:rFonts w:ascii="Times New Roman" w:hAnsi="Times New Roman"/>
                <w:sz w:val="24"/>
                <w:szCs w:val="24"/>
              </w:rPr>
            </w:pPr>
            <w:r>
              <w:rPr>
                <w:rFonts w:ascii="Times New Roman" w:hAnsi="Times New Roman"/>
                <w:sz w:val="24"/>
                <w:szCs w:val="24"/>
              </w:rPr>
              <w:t>3</w:t>
            </w:r>
            <w:r w:rsidR="00413B06">
              <w:rPr>
                <w:rFonts w:ascii="Times New Roman" w:hAnsi="Times New Roman"/>
                <w:sz w:val="24"/>
                <w:szCs w:val="24"/>
              </w:rPr>
              <w:t>.</w:t>
            </w:r>
          </w:p>
        </w:tc>
        <w:tc>
          <w:tcPr>
            <w:tcW w:w="9072" w:type="dxa"/>
            <w:shd w:val="clear" w:color="auto" w:fill="auto"/>
          </w:tcPr>
          <w:p w:rsidR="00413B06" w:rsidRPr="00A74648" w:rsidRDefault="008D1432" w:rsidP="007D70DC">
            <w:pPr>
              <w:pStyle w:val="ListParagraph"/>
              <w:tabs>
                <w:tab w:val="left" w:pos="0"/>
                <w:tab w:val="left" w:pos="993"/>
                <w:tab w:val="left" w:pos="1276"/>
              </w:tabs>
              <w:spacing w:after="0" w:line="240" w:lineRule="auto"/>
              <w:ind w:left="0"/>
              <w:jc w:val="both"/>
              <w:rPr>
                <w:rFonts w:ascii="Times New Roman" w:hAnsi="Times New Roman"/>
                <w:sz w:val="24"/>
                <w:szCs w:val="24"/>
              </w:rPr>
            </w:pPr>
            <w:r>
              <w:rPr>
                <w:rFonts w:ascii="Times New Roman" w:hAnsi="Times New Roman"/>
                <w:sz w:val="24"/>
                <w:szCs w:val="24"/>
              </w:rPr>
              <w:t>-</w:t>
            </w:r>
          </w:p>
        </w:tc>
      </w:tr>
      <w:tr w:rsidR="00413B06" w:rsidRPr="00591DB9" w:rsidTr="00550730">
        <w:tc>
          <w:tcPr>
            <w:tcW w:w="9606" w:type="dxa"/>
            <w:gridSpan w:val="2"/>
            <w:shd w:val="clear" w:color="auto" w:fill="auto"/>
            <w:vAlign w:val="center"/>
          </w:tcPr>
          <w:p w:rsidR="00413B06" w:rsidRPr="00165773" w:rsidRDefault="008D1432" w:rsidP="007D70DC">
            <w:pPr>
              <w:spacing w:after="0" w:line="240" w:lineRule="auto"/>
              <w:ind w:firstLine="709"/>
              <w:jc w:val="both"/>
              <w:rPr>
                <w:rFonts w:ascii="Times New Roman" w:hAnsi="Times New Roman"/>
                <w:bCs/>
                <w:sz w:val="24"/>
                <w:szCs w:val="24"/>
              </w:rPr>
            </w:pPr>
            <w:r w:rsidRPr="00A15536">
              <w:rPr>
                <w:rFonts w:ascii="Times New Roman" w:hAnsi="Times New Roman"/>
                <w:bCs/>
                <w:sz w:val="24"/>
                <w:szCs w:val="24"/>
              </w:rPr>
              <w:t>Pirkimo sąlygų 16 punktą</w:t>
            </w:r>
            <w:r>
              <w:rPr>
                <w:rFonts w:ascii="Times New Roman" w:hAnsi="Times New Roman"/>
                <w:bCs/>
                <w:sz w:val="24"/>
                <w:szCs w:val="24"/>
              </w:rPr>
              <w:t>, susijusį su reikalavimais jungtinės veiklos sutarčiai, P</w:t>
            </w:r>
            <w:r w:rsidRPr="00A15536">
              <w:rPr>
                <w:rFonts w:ascii="Times New Roman" w:hAnsi="Times New Roman"/>
                <w:bCs/>
                <w:sz w:val="24"/>
                <w:szCs w:val="24"/>
              </w:rPr>
              <w:t xml:space="preserve">erkančioji organizacija, atsižvelgdama į Civilinio kodekso 6.975 punktą, turėtų patikslinti, kad </w:t>
            </w:r>
            <w:r w:rsidRPr="00A15536">
              <w:rPr>
                <w:rFonts w:ascii="Times New Roman" w:hAnsi="Times New Roman"/>
                <w:color w:val="000000"/>
                <w:sz w:val="24"/>
                <w:szCs w:val="24"/>
                <w:shd w:val="clear" w:color="auto" w:fill="FFFFFF"/>
              </w:rPr>
              <w:t>visi jungtinės veiklos partneriai pagal bendras prievoles atsako solidariai, nepaisant šių prievolių atsiradimo pagrindo.</w:t>
            </w:r>
          </w:p>
        </w:tc>
      </w:tr>
      <w:tr w:rsidR="008D1432" w:rsidRPr="00A74648" w:rsidTr="008D1432">
        <w:tc>
          <w:tcPr>
            <w:tcW w:w="534" w:type="dxa"/>
            <w:shd w:val="clear" w:color="auto" w:fill="auto"/>
            <w:vAlign w:val="center"/>
          </w:tcPr>
          <w:p w:rsidR="008D1432" w:rsidRPr="00674C40" w:rsidRDefault="008D1432" w:rsidP="008D1432">
            <w:pPr>
              <w:pStyle w:val="ListParagraph"/>
              <w:spacing w:after="0" w:line="240" w:lineRule="auto"/>
              <w:ind w:left="0" w:right="33"/>
              <w:rPr>
                <w:rFonts w:ascii="Times New Roman" w:hAnsi="Times New Roman"/>
                <w:sz w:val="24"/>
                <w:szCs w:val="24"/>
              </w:rPr>
            </w:pPr>
            <w:r>
              <w:rPr>
                <w:rFonts w:ascii="Times New Roman" w:hAnsi="Times New Roman"/>
                <w:sz w:val="24"/>
                <w:szCs w:val="24"/>
              </w:rPr>
              <w:t>4.</w:t>
            </w:r>
          </w:p>
        </w:tc>
        <w:tc>
          <w:tcPr>
            <w:tcW w:w="9072" w:type="dxa"/>
            <w:shd w:val="clear" w:color="auto" w:fill="auto"/>
          </w:tcPr>
          <w:p w:rsidR="008D1432" w:rsidRPr="00A74648" w:rsidRDefault="008D1432" w:rsidP="008D1432">
            <w:pPr>
              <w:pStyle w:val="ListParagraph"/>
              <w:tabs>
                <w:tab w:val="left" w:pos="0"/>
                <w:tab w:val="left" w:pos="993"/>
                <w:tab w:val="left" w:pos="1276"/>
              </w:tabs>
              <w:spacing w:after="0" w:line="240" w:lineRule="auto"/>
              <w:ind w:left="0"/>
              <w:jc w:val="both"/>
              <w:rPr>
                <w:rFonts w:ascii="Times New Roman" w:hAnsi="Times New Roman"/>
                <w:sz w:val="24"/>
                <w:szCs w:val="24"/>
              </w:rPr>
            </w:pPr>
            <w:proofErr w:type="gramStart"/>
            <w:r>
              <w:rPr>
                <w:rFonts w:ascii="Times New Roman" w:hAnsi="Times New Roman"/>
                <w:sz w:val="24"/>
                <w:szCs w:val="24"/>
              </w:rPr>
              <w:t>Taisyklių</w:t>
            </w:r>
            <w:proofErr w:type="gramEnd"/>
            <w:r>
              <w:rPr>
                <w:rFonts w:ascii="Times New Roman" w:hAnsi="Times New Roman"/>
                <w:sz w:val="24"/>
                <w:szCs w:val="24"/>
              </w:rPr>
              <w:t xml:space="preserve"> 130.2 punktas</w:t>
            </w:r>
            <w:r>
              <w:rPr>
                <w:rStyle w:val="FootnoteReference"/>
                <w:rFonts w:ascii="Times New Roman" w:hAnsi="Times New Roman"/>
                <w:sz w:val="24"/>
                <w:szCs w:val="24"/>
              </w:rPr>
              <w:footnoteReference w:id="10"/>
            </w:r>
            <w:r>
              <w:rPr>
                <w:rFonts w:ascii="Times New Roman" w:hAnsi="Times New Roman"/>
                <w:sz w:val="24"/>
                <w:szCs w:val="24"/>
              </w:rPr>
              <w:t>, Įstatymo 41 straipsnio 2 dalies 2 punktas</w:t>
            </w:r>
            <w:r>
              <w:rPr>
                <w:rStyle w:val="FootnoteReference"/>
                <w:rFonts w:ascii="Times New Roman" w:hAnsi="Times New Roman"/>
                <w:sz w:val="24"/>
                <w:szCs w:val="24"/>
              </w:rPr>
              <w:footnoteReference w:id="11"/>
            </w:r>
            <w:r>
              <w:rPr>
                <w:rFonts w:ascii="Times New Roman" w:hAnsi="Times New Roman"/>
                <w:sz w:val="24"/>
                <w:szCs w:val="24"/>
              </w:rPr>
              <w:t>, 6 straipsnio 1 dalis</w:t>
            </w:r>
            <w:r>
              <w:rPr>
                <w:rStyle w:val="FootnoteReference"/>
                <w:rFonts w:ascii="Times New Roman" w:hAnsi="Times New Roman"/>
                <w:sz w:val="24"/>
                <w:szCs w:val="24"/>
              </w:rPr>
              <w:footnoteReference w:id="12"/>
            </w:r>
          </w:p>
        </w:tc>
      </w:tr>
      <w:tr w:rsidR="008D1432" w:rsidRPr="00591DB9" w:rsidTr="008D1432">
        <w:tc>
          <w:tcPr>
            <w:tcW w:w="9606" w:type="dxa"/>
            <w:gridSpan w:val="2"/>
            <w:shd w:val="clear" w:color="auto" w:fill="auto"/>
            <w:vAlign w:val="center"/>
          </w:tcPr>
          <w:p w:rsidR="008D1432" w:rsidRPr="00165773" w:rsidRDefault="008D1432" w:rsidP="008D1432">
            <w:pPr>
              <w:spacing w:after="0" w:line="240" w:lineRule="auto"/>
              <w:ind w:firstLine="709"/>
              <w:jc w:val="both"/>
              <w:rPr>
                <w:rFonts w:ascii="Times New Roman" w:hAnsi="Times New Roman"/>
                <w:bCs/>
                <w:sz w:val="24"/>
                <w:szCs w:val="24"/>
              </w:rPr>
            </w:pPr>
            <w:r w:rsidRPr="00A15536">
              <w:rPr>
                <w:rFonts w:ascii="Times New Roman" w:hAnsi="Times New Roman"/>
                <w:bCs/>
                <w:sz w:val="24"/>
                <w:szCs w:val="24"/>
              </w:rPr>
              <w:t xml:space="preserve">Pirkimo sąlygų </w:t>
            </w:r>
            <w:r>
              <w:rPr>
                <w:rFonts w:ascii="Times New Roman" w:hAnsi="Times New Roman"/>
                <w:bCs/>
                <w:sz w:val="24"/>
                <w:szCs w:val="24"/>
              </w:rPr>
              <w:t>29 punkte numatyta procedūra „</w:t>
            </w:r>
            <w:r w:rsidRPr="008551AD">
              <w:rPr>
                <w:rFonts w:ascii="Times New Roman" w:hAnsi="Times New Roman"/>
                <w:sz w:val="24"/>
                <w:szCs w:val="24"/>
              </w:rPr>
              <w:t>Dalyviai su kitų dalyvių pasiūlymais supažindinami „klausimų – atsakymų“ forma. Dalyvis įgaliotajai organizacijai pateikia savo klausimus, kurie jį domina iš kito dalyvio pasiūlymo, o įgaliotoji organizacija pagal dalyvio pasiūlyme esančią informaciją (nekonfidencialią) pateikia</w:t>
            </w:r>
            <w:r>
              <w:rPr>
                <w:rFonts w:ascii="Times New Roman" w:hAnsi="Times New Roman"/>
                <w:sz w:val="24"/>
                <w:szCs w:val="24"/>
              </w:rPr>
              <w:t xml:space="preserve"> atsakymus į užduotus klausimus“ </w:t>
            </w:r>
            <w:proofErr w:type="gramStart"/>
            <w:r>
              <w:rPr>
                <w:rFonts w:ascii="Times New Roman" w:hAnsi="Times New Roman"/>
                <w:sz w:val="24"/>
                <w:szCs w:val="24"/>
              </w:rPr>
              <w:t>neatitinka</w:t>
            </w:r>
            <w:proofErr w:type="gramEnd"/>
            <w:r>
              <w:rPr>
                <w:rFonts w:ascii="Times New Roman" w:hAnsi="Times New Roman"/>
                <w:sz w:val="24"/>
                <w:szCs w:val="24"/>
              </w:rPr>
              <w:t xml:space="preserve"> nei Taisyklių, nei Įstatyme nustatyto reglamento.</w:t>
            </w:r>
          </w:p>
        </w:tc>
      </w:tr>
      <w:tr w:rsidR="008D1432" w:rsidRPr="00A74648" w:rsidTr="008D1432">
        <w:tc>
          <w:tcPr>
            <w:tcW w:w="534" w:type="dxa"/>
            <w:shd w:val="clear" w:color="auto" w:fill="auto"/>
            <w:vAlign w:val="center"/>
          </w:tcPr>
          <w:p w:rsidR="008D1432" w:rsidRPr="00674C40" w:rsidRDefault="008D1432" w:rsidP="008D1432">
            <w:pPr>
              <w:pStyle w:val="ListParagraph"/>
              <w:spacing w:after="0" w:line="240" w:lineRule="auto"/>
              <w:ind w:left="0" w:right="33"/>
              <w:rPr>
                <w:rFonts w:ascii="Times New Roman" w:hAnsi="Times New Roman"/>
                <w:sz w:val="24"/>
                <w:szCs w:val="24"/>
              </w:rPr>
            </w:pPr>
            <w:r>
              <w:rPr>
                <w:rFonts w:ascii="Times New Roman" w:hAnsi="Times New Roman"/>
                <w:sz w:val="24"/>
                <w:szCs w:val="24"/>
              </w:rPr>
              <w:t>5.</w:t>
            </w:r>
          </w:p>
        </w:tc>
        <w:tc>
          <w:tcPr>
            <w:tcW w:w="9072" w:type="dxa"/>
            <w:shd w:val="clear" w:color="auto" w:fill="auto"/>
          </w:tcPr>
          <w:p w:rsidR="008D1432" w:rsidRPr="00A74648" w:rsidRDefault="00F86792" w:rsidP="008D1432">
            <w:pPr>
              <w:pStyle w:val="ListParagraph"/>
              <w:tabs>
                <w:tab w:val="left" w:pos="0"/>
                <w:tab w:val="left" w:pos="993"/>
                <w:tab w:val="left" w:pos="1276"/>
              </w:tabs>
              <w:spacing w:after="0" w:line="240" w:lineRule="auto"/>
              <w:ind w:left="0"/>
              <w:jc w:val="both"/>
              <w:rPr>
                <w:rFonts w:ascii="Times New Roman" w:hAnsi="Times New Roman"/>
                <w:sz w:val="24"/>
                <w:szCs w:val="24"/>
              </w:rPr>
            </w:pPr>
            <w:r>
              <w:rPr>
                <w:rFonts w:ascii="Times New Roman" w:hAnsi="Times New Roman"/>
                <w:sz w:val="24"/>
                <w:szCs w:val="24"/>
              </w:rPr>
              <w:t>Įstatymo 3 straipsnio 1 dalis</w:t>
            </w:r>
            <w:r>
              <w:rPr>
                <w:rStyle w:val="FootnoteReference"/>
                <w:rFonts w:ascii="Times New Roman" w:hAnsi="Times New Roman"/>
                <w:sz w:val="24"/>
                <w:szCs w:val="24"/>
              </w:rPr>
              <w:footnoteReference w:id="13"/>
            </w:r>
          </w:p>
        </w:tc>
      </w:tr>
      <w:tr w:rsidR="008D1432" w:rsidRPr="00591DB9" w:rsidTr="008D1432">
        <w:tc>
          <w:tcPr>
            <w:tcW w:w="9606" w:type="dxa"/>
            <w:gridSpan w:val="2"/>
            <w:shd w:val="clear" w:color="auto" w:fill="auto"/>
            <w:vAlign w:val="center"/>
          </w:tcPr>
          <w:p w:rsidR="008D1432" w:rsidRPr="00165773" w:rsidRDefault="00F86792" w:rsidP="00C227E2">
            <w:pPr>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Komisija 2016-05-30 posėdžio protokolo Nr. VP4-8 1 priede „Tiekėjų pasiūlymai Nepasirengusių darbo rinkai bedarbių, orientuotų į samdomą darbą</w:t>
            </w:r>
            <w:r w:rsidR="00981C94">
              <w:rPr>
                <w:rFonts w:ascii="Times New Roman" w:hAnsi="Times New Roman"/>
                <w:bCs/>
                <w:sz w:val="24"/>
                <w:szCs w:val="24"/>
              </w:rPr>
              <w:t>, supažindinimo su darbo rinka paslaugų pirkimui“</w:t>
            </w:r>
            <w:r w:rsidR="001D08D1">
              <w:rPr>
                <w:rFonts w:ascii="Times New Roman" w:hAnsi="Times New Roman"/>
                <w:bCs/>
                <w:sz w:val="24"/>
                <w:szCs w:val="24"/>
              </w:rPr>
              <w:t xml:space="preserve"> (toliau – Priedas)</w:t>
            </w:r>
            <w:r w:rsidR="00981C94">
              <w:rPr>
                <w:rFonts w:ascii="Times New Roman" w:hAnsi="Times New Roman"/>
                <w:bCs/>
                <w:sz w:val="24"/>
                <w:szCs w:val="24"/>
              </w:rPr>
              <w:t xml:space="preserve"> nurodė, kad pasiūlymus pateikė 5 tiekėjai: </w:t>
            </w:r>
            <w:proofErr w:type="spellStart"/>
            <w:r w:rsidR="00981C94">
              <w:rPr>
                <w:rFonts w:ascii="Times New Roman" w:hAnsi="Times New Roman"/>
                <w:bCs/>
                <w:sz w:val="24"/>
                <w:szCs w:val="24"/>
              </w:rPr>
              <w:t>Ademo</w:t>
            </w:r>
            <w:proofErr w:type="spellEnd"/>
            <w:r w:rsidR="00981C94">
              <w:rPr>
                <w:rFonts w:ascii="Times New Roman" w:hAnsi="Times New Roman"/>
                <w:bCs/>
                <w:sz w:val="24"/>
                <w:szCs w:val="24"/>
              </w:rPr>
              <w:t xml:space="preserve"> grupė, UAB – visoms 10 </w:t>
            </w:r>
            <w:r w:rsidR="001D08D1">
              <w:rPr>
                <w:rFonts w:ascii="Times New Roman" w:hAnsi="Times New Roman"/>
                <w:bCs/>
                <w:sz w:val="24"/>
                <w:szCs w:val="24"/>
              </w:rPr>
              <w:t xml:space="preserve">Pirkimo </w:t>
            </w:r>
            <w:r w:rsidR="00981C94">
              <w:rPr>
                <w:rFonts w:ascii="Times New Roman" w:hAnsi="Times New Roman"/>
                <w:bCs/>
                <w:sz w:val="24"/>
                <w:szCs w:val="24"/>
              </w:rPr>
              <w:t>dalių, UAB „ETKC“ jungtinės veiklos partneris su UAB „ULA Technologies“ ir Vytauto Didžiojo universitetas, Asociacija „Europos judėjimas Lietuvoje“, Vilniaus paramos ir verslo</w:t>
            </w:r>
            <w:r w:rsidR="001D08D1">
              <w:rPr>
                <w:rFonts w:ascii="Times New Roman" w:hAnsi="Times New Roman"/>
                <w:bCs/>
                <w:sz w:val="24"/>
                <w:szCs w:val="24"/>
              </w:rPr>
              <w:t xml:space="preserve"> asociacija, </w:t>
            </w:r>
            <w:proofErr w:type="spellStart"/>
            <w:r w:rsidR="001D08D1">
              <w:rPr>
                <w:rFonts w:ascii="Times New Roman" w:hAnsi="Times New Roman"/>
                <w:bCs/>
                <w:sz w:val="24"/>
                <w:szCs w:val="24"/>
              </w:rPr>
              <w:t>VšĮ</w:t>
            </w:r>
            <w:proofErr w:type="spellEnd"/>
            <w:r w:rsidR="001D08D1">
              <w:rPr>
                <w:rFonts w:ascii="Times New Roman" w:hAnsi="Times New Roman"/>
                <w:bCs/>
                <w:sz w:val="24"/>
                <w:szCs w:val="24"/>
              </w:rPr>
              <w:t xml:space="preserve"> „Projektų valdymo ir mokymo centras“ – visoms Pirkimo dalims, UAB „</w:t>
            </w:r>
            <w:proofErr w:type="spellStart"/>
            <w:r w:rsidR="001D08D1">
              <w:rPr>
                <w:rFonts w:ascii="Times New Roman" w:hAnsi="Times New Roman"/>
                <w:bCs/>
                <w:sz w:val="24"/>
                <w:szCs w:val="24"/>
              </w:rPr>
              <w:t>Inlinen</w:t>
            </w:r>
            <w:proofErr w:type="spellEnd"/>
            <w:r w:rsidR="001D08D1">
              <w:rPr>
                <w:rFonts w:ascii="Times New Roman" w:hAnsi="Times New Roman"/>
                <w:bCs/>
                <w:sz w:val="24"/>
                <w:szCs w:val="24"/>
              </w:rPr>
              <w:t xml:space="preserve">“ jungtinės veiklos sutartis su Vilniaus Gedimino technikos universitetu – visoms Pirkimo dalims, </w:t>
            </w:r>
            <w:proofErr w:type="spellStart"/>
            <w:r w:rsidR="001D08D1">
              <w:rPr>
                <w:rFonts w:ascii="Times New Roman" w:hAnsi="Times New Roman"/>
                <w:bCs/>
                <w:sz w:val="24"/>
                <w:szCs w:val="24"/>
              </w:rPr>
              <w:t>VšĮ</w:t>
            </w:r>
            <w:proofErr w:type="spellEnd"/>
            <w:r w:rsidR="001D08D1">
              <w:rPr>
                <w:rFonts w:ascii="Times New Roman" w:hAnsi="Times New Roman"/>
                <w:bCs/>
                <w:sz w:val="24"/>
                <w:szCs w:val="24"/>
              </w:rPr>
              <w:t xml:space="preserve"> Vilniaus Jeruzalės darbo rinkos mokymo centras – X Pirkimo daliai ir </w:t>
            </w:r>
            <w:proofErr w:type="spellStart"/>
            <w:r w:rsidR="001D08D1">
              <w:rPr>
                <w:rFonts w:ascii="Times New Roman" w:hAnsi="Times New Roman"/>
                <w:bCs/>
                <w:sz w:val="24"/>
                <w:szCs w:val="24"/>
              </w:rPr>
              <w:t>VšĮ</w:t>
            </w:r>
            <w:proofErr w:type="spellEnd"/>
            <w:r w:rsidR="001D08D1">
              <w:rPr>
                <w:rFonts w:ascii="Times New Roman" w:hAnsi="Times New Roman"/>
                <w:bCs/>
                <w:sz w:val="24"/>
                <w:szCs w:val="24"/>
              </w:rPr>
              <w:t xml:space="preserve"> Vilniaus Žirmūnų darbo rinkos mokymo centras – IV Pirkimo daliai. Šis Priedas buvo persiųstas ir visiems tiekėjams, norėjusiems susipažinti su vokų plėšimo metu pateikta informacija.</w:t>
            </w:r>
            <w:r w:rsidR="00C227E2">
              <w:rPr>
                <w:rFonts w:ascii="Times New Roman" w:hAnsi="Times New Roman"/>
                <w:bCs/>
                <w:sz w:val="24"/>
                <w:szCs w:val="24"/>
              </w:rPr>
              <w:t xml:space="preserve"> Tačiau, peržiūrėjus dokumentus, pateiktus kartu su pasiūlymais, išaiškėjo, kad UAB „ETKC“ pasiūlymus V, VII, IX ir X Pirkimo dalims pateikė jungtinės veiklos pagrindu veikdama kartu su UAB „ULA Technologies“, Vilniaus Gedimino technikos universitetu, Asociacija „Europos judėjimas Lietuvoje“, Vilniaus paramos ir verslo asociacija ir </w:t>
            </w:r>
            <w:proofErr w:type="spellStart"/>
            <w:r w:rsidR="00C227E2">
              <w:rPr>
                <w:rFonts w:ascii="Times New Roman" w:hAnsi="Times New Roman"/>
                <w:bCs/>
                <w:sz w:val="24"/>
                <w:szCs w:val="24"/>
              </w:rPr>
              <w:t>VšĮ</w:t>
            </w:r>
            <w:proofErr w:type="spellEnd"/>
            <w:r w:rsidR="00C227E2">
              <w:rPr>
                <w:rFonts w:ascii="Times New Roman" w:hAnsi="Times New Roman"/>
                <w:bCs/>
                <w:sz w:val="24"/>
                <w:szCs w:val="24"/>
              </w:rPr>
              <w:t xml:space="preserve"> „Projektų valdymo ir mokymo centras“, tačiau </w:t>
            </w:r>
            <w:r w:rsidR="004839B3">
              <w:rPr>
                <w:rFonts w:ascii="Times New Roman" w:hAnsi="Times New Roman"/>
                <w:bCs/>
                <w:sz w:val="24"/>
                <w:szCs w:val="24"/>
              </w:rPr>
              <w:t xml:space="preserve">Perkančioji organizacija </w:t>
            </w:r>
            <w:r w:rsidR="00C227E2">
              <w:rPr>
                <w:rFonts w:ascii="Times New Roman" w:hAnsi="Times New Roman"/>
                <w:bCs/>
                <w:sz w:val="24"/>
                <w:szCs w:val="24"/>
              </w:rPr>
              <w:t>kitiems suinteresuotiems tiekėjams šios informacijos nepatikslino.</w:t>
            </w:r>
          </w:p>
        </w:tc>
      </w:tr>
    </w:tbl>
    <w:p w:rsidR="00413B06" w:rsidRDefault="00413B06" w:rsidP="00413B06">
      <w:pPr>
        <w:spacing w:after="0" w:line="240" w:lineRule="auto"/>
        <w:rPr>
          <w:rFonts w:ascii="Times New Roman" w:hAnsi="Times New Roman"/>
          <w:b/>
          <w:sz w:val="24"/>
          <w:szCs w:val="24"/>
        </w:rPr>
      </w:pPr>
    </w:p>
    <w:p w:rsidR="00413B06" w:rsidRDefault="00413B06" w:rsidP="00413B06">
      <w:pPr>
        <w:spacing w:after="0" w:line="240" w:lineRule="auto"/>
        <w:jc w:val="center"/>
        <w:rPr>
          <w:rFonts w:ascii="Times New Roman" w:hAnsi="Times New Roman"/>
          <w:b/>
          <w:sz w:val="24"/>
          <w:szCs w:val="24"/>
        </w:rPr>
      </w:pPr>
      <w:r w:rsidRPr="00674C40">
        <w:rPr>
          <w:rFonts w:ascii="Times New Roman" w:hAnsi="Times New Roman"/>
          <w:b/>
          <w:sz w:val="24"/>
          <w:szCs w:val="24"/>
        </w:rPr>
        <w:t>IV dalis. SPRENDIMAS</w:t>
      </w:r>
    </w:p>
    <w:p w:rsidR="00413B06" w:rsidRPr="00C04980" w:rsidRDefault="00413B06" w:rsidP="00413B06">
      <w:pPr>
        <w:spacing w:after="0" w:line="240" w:lineRule="auto"/>
        <w:jc w:val="center"/>
        <w:rPr>
          <w:rFonts w:ascii="Times New Roman" w:hAnsi="Times New Roman"/>
          <w:b/>
          <w:sz w:val="24"/>
          <w:szCs w:val="24"/>
        </w:rPr>
      </w:pPr>
    </w:p>
    <w:p w:rsidR="00413B06" w:rsidRDefault="00413B06" w:rsidP="00413B06">
      <w:pPr>
        <w:keepLines/>
        <w:tabs>
          <w:tab w:val="left" w:pos="700"/>
        </w:tabs>
        <w:spacing w:after="0" w:line="240" w:lineRule="auto"/>
        <w:ind w:firstLine="697"/>
        <w:jc w:val="both"/>
        <w:rPr>
          <w:color w:val="000000"/>
        </w:rPr>
      </w:pPr>
      <w:r w:rsidRPr="00C04980">
        <w:rPr>
          <w:rFonts w:ascii="Times New Roman" w:hAnsi="Times New Roman"/>
          <w:sz w:val="24"/>
          <w:szCs w:val="24"/>
        </w:rPr>
        <w:t>Tarnyba, įvertinusi su Pirkimu susijusius dokumentus ir CVP IS pateiktą Pirkimo informaciją, nenustatė Įstatymo pažeidimų galinčių tu</w:t>
      </w:r>
      <w:r>
        <w:rPr>
          <w:rFonts w:ascii="Times New Roman" w:hAnsi="Times New Roman"/>
          <w:sz w:val="24"/>
          <w:szCs w:val="24"/>
        </w:rPr>
        <w:t>rėti įtakos Pirkimo rezultatams</w:t>
      </w:r>
      <w:r w:rsidR="00F25F7B">
        <w:rPr>
          <w:rFonts w:ascii="Times New Roman" w:hAnsi="Times New Roman"/>
          <w:sz w:val="24"/>
          <w:szCs w:val="24"/>
        </w:rPr>
        <w:t xml:space="preserve">, todėl </w:t>
      </w:r>
      <w:r w:rsidRPr="00C04980">
        <w:rPr>
          <w:rFonts w:ascii="Times New Roman" w:hAnsi="Times New Roman"/>
          <w:sz w:val="24"/>
          <w:szCs w:val="24"/>
        </w:rPr>
        <w:t>neprieštarauja tolesniam Pirkimo procedūrų tęsimui.</w:t>
      </w:r>
      <w:r>
        <w:t xml:space="preserve"> </w:t>
      </w:r>
    </w:p>
    <w:p w:rsidR="00413B06" w:rsidRDefault="00413B06" w:rsidP="00413B06">
      <w:pPr>
        <w:tabs>
          <w:tab w:val="left" w:pos="0"/>
        </w:tabs>
        <w:spacing w:after="0" w:line="240" w:lineRule="auto"/>
        <w:jc w:val="both"/>
        <w:rPr>
          <w:rFonts w:ascii="Times New Roman" w:hAnsi="Times New Roman"/>
          <w:bCs/>
          <w:sz w:val="24"/>
          <w:szCs w:val="24"/>
        </w:rPr>
      </w:pPr>
    </w:p>
    <w:p w:rsidR="00413B06" w:rsidRDefault="00413B06" w:rsidP="00413B06">
      <w:pPr>
        <w:tabs>
          <w:tab w:val="left" w:pos="0"/>
        </w:tabs>
        <w:spacing w:after="0" w:line="240" w:lineRule="auto"/>
        <w:jc w:val="both"/>
        <w:rPr>
          <w:rFonts w:ascii="Times New Roman" w:hAnsi="Times New Roman"/>
          <w:bCs/>
          <w:sz w:val="24"/>
          <w:szCs w:val="24"/>
        </w:rPr>
      </w:pPr>
    </w:p>
    <w:p w:rsidR="00413B06" w:rsidRPr="002B02DA" w:rsidRDefault="00413B06" w:rsidP="00413B06">
      <w:pPr>
        <w:tabs>
          <w:tab w:val="left" w:pos="0"/>
        </w:tabs>
        <w:spacing w:after="0" w:line="240" w:lineRule="auto"/>
        <w:jc w:val="both"/>
        <w:rPr>
          <w:rFonts w:ascii="Times New Roman" w:hAnsi="Times New Roman"/>
          <w:bCs/>
          <w:sz w:val="24"/>
          <w:szCs w:val="24"/>
        </w:rPr>
      </w:pPr>
    </w:p>
    <w:p w:rsidR="00413B06" w:rsidRPr="004A646D" w:rsidRDefault="00413B06" w:rsidP="00413B06">
      <w:pPr>
        <w:tabs>
          <w:tab w:val="left" w:pos="0"/>
        </w:tabs>
        <w:spacing w:after="0" w:line="240" w:lineRule="auto"/>
        <w:jc w:val="both"/>
        <w:rPr>
          <w:rFonts w:ascii="Times New Roman" w:hAnsi="Times New Roman"/>
          <w:color w:val="000000"/>
          <w:sz w:val="24"/>
          <w:szCs w:val="24"/>
        </w:rPr>
      </w:pPr>
      <w:r w:rsidRPr="002B02DA">
        <w:rPr>
          <w:rFonts w:ascii="Times New Roman" w:hAnsi="Times New Roman"/>
          <w:bCs/>
          <w:sz w:val="24"/>
          <w:szCs w:val="24"/>
        </w:rPr>
        <w:t>Kontrolės skyriaus vyriausioji specialistė</w:t>
      </w:r>
      <w:r w:rsidRPr="002B02DA">
        <w:rPr>
          <w:rFonts w:ascii="Times New Roman" w:hAnsi="Times New Roman"/>
          <w:bCs/>
          <w:sz w:val="24"/>
          <w:szCs w:val="24"/>
        </w:rPr>
        <w:tab/>
      </w:r>
      <w:r w:rsidRPr="002B02DA">
        <w:rPr>
          <w:rFonts w:ascii="Times New Roman" w:hAnsi="Times New Roman"/>
          <w:bCs/>
          <w:sz w:val="24"/>
          <w:szCs w:val="24"/>
        </w:rPr>
        <w:tab/>
      </w:r>
      <w:proofErr w:type="gramStart"/>
      <w:r w:rsidR="00FB4B60">
        <w:rPr>
          <w:rFonts w:ascii="Times New Roman" w:hAnsi="Times New Roman"/>
          <w:bCs/>
          <w:sz w:val="24"/>
          <w:szCs w:val="24"/>
        </w:rPr>
        <w:t xml:space="preserve">                  </w:t>
      </w:r>
      <w:proofErr w:type="gramEnd"/>
      <w:r w:rsidR="00FB4B60">
        <w:rPr>
          <w:rFonts w:ascii="Times New Roman" w:hAnsi="Times New Roman"/>
          <w:bCs/>
          <w:sz w:val="24"/>
          <w:szCs w:val="24"/>
        </w:rPr>
        <w:t xml:space="preserve">Jurgita </w:t>
      </w:r>
      <w:proofErr w:type="spellStart"/>
      <w:r w:rsidR="00FB4B60">
        <w:rPr>
          <w:rFonts w:ascii="Times New Roman" w:hAnsi="Times New Roman"/>
          <w:bCs/>
          <w:sz w:val="24"/>
          <w:szCs w:val="24"/>
        </w:rPr>
        <w:t>Valeikienė</w:t>
      </w:r>
      <w:proofErr w:type="spellEnd"/>
    </w:p>
    <w:p w:rsidR="00413B06" w:rsidRDefault="00413B06" w:rsidP="00413B06">
      <w:pPr>
        <w:tabs>
          <w:tab w:val="left" w:pos="851"/>
        </w:tabs>
        <w:spacing w:after="0" w:line="240" w:lineRule="auto"/>
        <w:rPr>
          <w:rFonts w:ascii="Times New Roman" w:hAnsi="Times New Roman"/>
          <w:sz w:val="24"/>
          <w:szCs w:val="24"/>
        </w:rPr>
      </w:pPr>
    </w:p>
    <w:p w:rsidR="00413B06" w:rsidRDefault="00413B06" w:rsidP="00413B06">
      <w:pPr>
        <w:tabs>
          <w:tab w:val="left" w:pos="851"/>
        </w:tabs>
        <w:spacing w:after="0" w:line="240" w:lineRule="auto"/>
        <w:rPr>
          <w:rFonts w:ascii="Times New Roman" w:hAnsi="Times New Roman"/>
          <w:sz w:val="24"/>
          <w:szCs w:val="24"/>
        </w:rPr>
      </w:pPr>
    </w:p>
    <w:p w:rsidR="00413B06" w:rsidRDefault="00413B06" w:rsidP="00413B06">
      <w:pPr>
        <w:tabs>
          <w:tab w:val="left" w:pos="851"/>
        </w:tabs>
        <w:spacing w:after="0" w:line="240" w:lineRule="auto"/>
        <w:rPr>
          <w:rFonts w:ascii="Times New Roman" w:hAnsi="Times New Roman"/>
          <w:sz w:val="24"/>
          <w:szCs w:val="24"/>
        </w:rPr>
      </w:pPr>
    </w:p>
    <w:p w:rsidR="00413B06" w:rsidRPr="00420BE6" w:rsidRDefault="00413B06" w:rsidP="00413B06">
      <w:pPr>
        <w:tabs>
          <w:tab w:val="left" w:pos="851"/>
        </w:tabs>
        <w:spacing w:after="0" w:line="240" w:lineRule="auto"/>
        <w:rPr>
          <w:rFonts w:ascii="Times New Roman" w:hAnsi="Times New Roman"/>
          <w:sz w:val="16"/>
          <w:szCs w:val="16"/>
        </w:rPr>
      </w:pPr>
    </w:p>
    <w:p w:rsidR="00413B06" w:rsidRDefault="00413B06" w:rsidP="00413B06">
      <w:pPr>
        <w:tabs>
          <w:tab w:val="left" w:pos="851"/>
        </w:tabs>
        <w:spacing w:after="0" w:line="240" w:lineRule="auto"/>
        <w:rPr>
          <w:rFonts w:ascii="Times New Roman" w:hAnsi="Times New Roman"/>
          <w:sz w:val="16"/>
          <w:szCs w:val="16"/>
        </w:rPr>
      </w:pPr>
    </w:p>
    <w:p w:rsidR="00413B06" w:rsidRPr="00016EB9" w:rsidRDefault="00413B06" w:rsidP="00413B06">
      <w:pPr>
        <w:tabs>
          <w:tab w:val="left" w:pos="851"/>
        </w:tabs>
        <w:spacing w:after="0" w:line="240" w:lineRule="auto"/>
        <w:rPr>
          <w:rFonts w:ascii="Times New Roman" w:hAnsi="Times New Roman"/>
          <w:sz w:val="16"/>
          <w:szCs w:val="16"/>
        </w:rPr>
      </w:pPr>
    </w:p>
    <w:p w:rsidR="00550730" w:rsidRDefault="00550730"/>
    <w:p w:rsidR="00550730" w:rsidRDefault="00550730"/>
    <w:p w:rsidR="00550730" w:rsidRDefault="00550730"/>
    <w:p w:rsidR="00C227E2" w:rsidRDefault="00C227E2"/>
    <w:p w:rsidR="00C227E2" w:rsidRDefault="00C227E2"/>
    <w:p w:rsidR="00C227E2" w:rsidRDefault="00C227E2"/>
    <w:p w:rsidR="00C227E2" w:rsidRDefault="00C227E2"/>
    <w:p w:rsidR="00C227E2" w:rsidRDefault="00C227E2"/>
    <w:p w:rsidR="00550730" w:rsidRDefault="00550730"/>
    <w:p w:rsidR="00FB4B60" w:rsidRDefault="00FB4B60"/>
    <w:p w:rsidR="00FB4B60" w:rsidRDefault="00FB4B60" w:rsidP="002C15E3">
      <w:r w:rsidRPr="00E1714E">
        <w:rPr>
          <w:rFonts w:ascii="Times New Roman" w:hAnsi="Times New Roman"/>
          <w:bCs/>
          <w:sz w:val="24"/>
          <w:szCs w:val="24"/>
        </w:rPr>
        <w:t xml:space="preserve">J. </w:t>
      </w:r>
      <w:proofErr w:type="spellStart"/>
      <w:r w:rsidRPr="00E1714E">
        <w:rPr>
          <w:rFonts w:ascii="Times New Roman" w:hAnsi="Times New Roman"/>
          <w:bCs/>
          <w:sz w:val="24"/>
          <w:szCs w:val="24"/>
        </w:rPr>
        <w:t>Valeikienė</w:t>
      </w:r>
      <w:proofErr w:type="spellEnd"/>
      <w:r w:rsidRPr="00E1714E">
        <w:rPr>
          <w:rFonts w:ascii="Times New Roman" w:hAnsi="Times New Roman"/>
          <w:bCs/>
          <w:sz w:val="24"/>
          <w:szCs w:val="24"/>
        </w:rPr>
        <w:t>, tel. (8 5) 203 4835, el. p. Jurgita.Valeikiene@vpt.l</w:t>
      </w:r>
      <w:r>
        <w:rPr>
          <w:rFonts w:ascii="Times New Roman" w:hAnsi="Times New Roman"/>
          <w:bCs/>
          <w:sz w:val="24"/>
          <w:szCs w:val="24"/>
        </w:rPr>
        <w:t>t</w:t>
      </w:r>
    </w:p>
    <w:sectPr w:rsidR="00FB4B60" w:rsidSect="004E6FCD">
      <w:headerReference w:type="default" r:id="rId9"/>
      <w:pgSz w:w="11906" w:h="16838"/>
      <w:pgMar w:top="1440" w:right="849" w:bottom="144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7E2" w:rsidRDefault="00C227E2" w:rsidP="00413B06">
      <w:pPr>
        <w:spacing w:after="0" w:line="240" w:lineRule="auto"/>
      </w:pPr>
      <w:r>
        <w:separator/>
      </w:r>
    </w:p>
  </w:endnote>
  <w:endnote w:type="continuationSeparator" w:id="0">
    <w:p w:rsidR="00C227E2" w:rsidRDefault="00C227E2" w:rsidP="00413B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7E2" w:rsidRDefault="00C227E2" w:rsidP="00413B06">
      <w:pPr>
        <w:spacing w:after="0" w:line="240" w:lineRule="auto"/>
      </w:pPr>
      <w:r>
        <w:separator/>
      </w:r>
    </w:p>
  </w:footnote>
  <w:footnote w:type="continuationSeparator" w:id="0">
    <w:p w:rsidR="00C227E2" w:rsidRDefault="00C227E2" w:rsidP="00413B06">
      <w:pPr>
        <w:spacing w:after="0" w:line="240" w:lineRule="auto"/>
      </w:pPr>
      <w:r>
        <w:continuationSeparator/>
      </w:r>
    </w:p>
  </w:footnote>
  <w:footnote w:id="1">
    <w:p w:rsidR="00C227E2" w:rsidRPr="008A3C5C" w:rsidRDefault="00C227E2" w:rsidP="008A3C5C">
      <w:pPr>
        <w:pStyle w:val="FootnoteText"/>
        <w:jc w:val="both"/>
        <w:rPr>
          <w:rFonts w:ascii="Times New Roman" w:hAnsi="Times New Roman"/>
        </w:rPr>
      </w:pPr>
      <w:r w:rsidRPr="008A3C5C">
        <w:rPr>
          <w:rStyle w:val="FootnoteReference"/>
          <w:rFonts w:ascii="Times New Roman" w:hAnsi="Times New Roman"/>
        </w:rPr>
        <w:footnoteRef/>
      </w:r>
      <w:r w:rsidRPr="008A3C5C">
        <w:rPr>
          <w:rFonts w:ascii="Times New Roman" w:hAnsi="Times New Roman"/>
        </w:rPr>
        <w:t xml:space="preserve"> “Jeigu pirkimo dokumentai skelbiami CVP IS, ten pat skelbiama apie pirkimo dokumentų paaiškinimus (patikslinimus), ir prireikus pratęsiamas pasiūlymų pateikimo terminas“.</w:t>
      </w:r>
    </w:p>
  </w:footnote>
  <w:footnote w:id="2">
    <w:p w:rsidR="00C227E2" w:rsidRPr="008A3C5C" w:rsidRDefault="00C227E2" w:rsidP="008A3C5C">
      <w:pPr>
        <w:pStyle w:val="FootnoteText"/>
        <w:jc w:val="both"/>
        <w:rPr>
          <w:rFonts w:ascii="Times New Roman" w:hAnsi="Times New Roman"/>
        </w:rPr>
      </w:pPr>
      <w:r w:rsidRPr="008A3C5C">
        <w:rPr>
          <w:rStyle w:val="FootnoteReference"/>
          <w:rFonts w:ascii="Times New Roman" w:hAnsi="Times New Roman"/>
        </w:rPr>
        <w:footnoteRef/>
      </w:r>
      <w:r w:rsidRPr="008A3C5C">
        <w:rPr>
          <w:rFonts w:ascii="Times New Roman" w:hAnsi="Times New Roman"/>
        </w:rPr>
        <w:t xml:space="preserve"> </w:t>
      </w:r>
      <w:r w:rsidRPr="008A3C5C">
        <w:rPr>
          <w:rFonts w:ascii="Times New Roman" w:hAnsi="Times New Roman"/>
          <w:bCs/>
        </w:rPr>
        <w:t xml:space="preserve">„Perkančioji organizacija &lt;...&gt; supaprastintus pirkimus atlieka pagal pasitvirtintas </w:t>
      </w:r>
      <w:proofErr w:type="gramStart"/>
      <w:r w:rsidRPr="008A3C5C">
        <w:rPr>
          <w:rFonts w:ascii="Times New Roman" w:hAnsi="Times New Roman"/>
          <w:bCs/>
        </w:rPr>
        <w:t>taisykles</w:t>
      </w:r>
      <w:proofErr w:type="gramEnd"/>
      <w:r w:rsidRPr="008A3C5C">
        <w:rPr>
          <w:rFonts w:ascii="Times New Roman" w:hAnsi="Times New Roman"/>
          <w:bCs/>
        </w:rPr>
        <w:t xml:space="preserve"> &lt;...&gt;“.</w:t>
      </w:r>
    </w:p>
  </w:footnote>
  <w:footnote w:id="3">
    <w:p w:rsidR="00C227E2" w:rsidRPr="008A3C5C" w:rsidRDefault="00C227E2" w:rsidP="008A3C5C">
      <w:pPr>
        <w:pStyle w:val="FootnoteText"/>
        <w:jc w:val="both"/>
        <w:rPr>
          <w:rFonts w:ascii="Times New Roman" w:hAnsi="Times New Roman"/>
        </w:rPr>
      </w:pPr>
      <w:r w:rsidRPr="008A3C5C">
        <w:rPr>
          <w:rStyle w:val="FootnoteReference"/>
          <w:rFonts w:ascii="Times New Roman" w:hAnsi="Times New Roman"/>
        </w:rPr>
        <w:footnoteRef/>
      </w:r>
      <w:r w:rsidRPr="008A3C5C">
        <w:rPr>
          <w:rFonts w:ascii="Times New Roman" w:hAnsi="Times New Roman"/>
        </w:rPr>
        <w:t xml:space="preserve"> </w:t>
      </w:r>
      <w:r w:rsidRPr="008A3C5C">
        <w:rPr>
          <w:rFonts w:ascii="Times New Roman" w:hAnsi="Times New Roman"/>
          <w:bCs/>
        </w:rPr>
        <w:t>„Perkančioji organizacija dokumentų paaiškinimus (patikslinimus), taip pat atsakymus į tiekėjų klausimus, skelbia Centrinėje viešųjų pirkimų informacinėje sistemoje kartu su skelbimu apie pirkimą &lt;...&gt;“.</w:t>
      </w:r>
    </w:p>
  </w:footnote>
  <w:footnote w:id="4">
    <w:p w:rsidR="00C227E2" w:rsidRPr="008A3C5C" w:rsidRDefault="00C227E2" w:rsidP="008A3C5C">
      <w:pPr>
        <w:pStyle w:val="FootnoteText"/>
        <w:jc w:val="both"/>
        <w:rPr>
          <w:rFonts w:ascii="Times New Roman" w:hAnsi="Times New Roman"/>
        </w:rPr>
      </w:pPr>
      <w:r w:rsidRPr="008A3C5C">
        <w:rPr>
          <w:rStyle w:val="FootnoteReference"/>
          <w:rFonts w:ascii="Times New Roman" w:hAnsi="Times New Roman"/>
        </w:rPr>
        <w:footnoteRef/>
      </w:r>
      <w:r w:rsidRPr="008A3C5C">
        <w:rPr>
          <w:rFonts w:ascii="Times New Roman" w:hAnsi="Times New Roman"/>
        </w:rPr>
        <w:t xml:space="preserve">  „Ginčų nagrinėjimas &lt;...&gt; atliekamas vadovaujantis Įstatymo V skyriaus nuostatomis“.</w:t>
      </w:r>
    </w:p>
  </w:footnote>
  <w:footnote w:id="5">
    <w:p w:rsidR="00C227E2" w:rsidRPr="008A3C5C" w:rsidRDefault="00C227E2" w:rsidP="008A3C5C">
      <w:pPr>
        <w:pStyle w:val="FootnoteText"/>
        <w:jc w:val="both"/>
        <w:rPr>
          <w:rFonts w:ascii="Times New Roman" w:hAnsi="Times New Roman"/>
        </w:rPr>
      </w:pPr>
      <w:r w:rsidRPr="008A3C5C">
        <w:rPr>
          <w:rStyle w:val="FootnoteReference"/>
          <w:rFonts w:ascii="Times New Roman" w:hAnsi="Times New Roman"/>
        </w:rPr>
        <w:footnoteRef/>
      </w:r>
      <w:r w:rsidRPr="008A3C5C">
        <w:rPr>
          <w:rFonts w:ascii="Times New Roman" w:hAnsi="Times New Roman"/>
        </w:rPr>
        <w:t xml:space="preserve">  „Perkančioji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&lt;...&gt;“.</w:t>
      </w:r>
    </w:p>
  </w:footnote>
  <w:footnote w:id="6">
    <w:p w:rsidR="00C227E2" w:rsidRPr="008A3C5C" w:rsidRDefault="00C227E2" w:rsidP="008A3C5C">
      <w:pPr>
        <w:pStyle w:val="FootnoteText"/>
        <w:jc w:val="both"/>
        <w:rPr>
          <w:rFonts w:ascii="Times New Roman" w:hAnsi="Times New Roman"/>
        </w:rPr>
      </w:pPr>
      <w:r w:rsidRPr="008A3C5C">
        <w:rPr>
          <w:rStyle w:val="FootnoteReference"/>
          <w:rFonts w:ascii="Times New Roman" w:hAnsi="Times New Roman"/>
        </w:rPr>
        <w:footnoteRef/>
      </w:r>
      <w:r w:rsidRPr="008A3C5C">
        <w:rPr>
          <w:rFonts w:ascii="Times New Roman" w:hAnsi="Times New Roman"/>
        </w:rPr>
        <w:t xml:space="preserve">  Žr. išnašą Nr. 2.</w:t>
      </w:r>
    </w:p>
  </w:footnote>
  <w:footnote w:id="7">
    <w:p w:rsidR="00C227E2" w:rsidRPr="008A3C5C" w:rsidRDefault="00C227E2" w:rsidP="000E36D3">
      <w:pPr>
        <w:pStyle w:val="FootnoteText"/>
        <w:jc w:val="both"/>
        <w:rPr>
          <w:rFonts w:ascii="Times New Roman" w:hAnsi="Times New Roman"/>
        </w:rPr>
      </w:pPr>
      <w:r w:rsidRPr="008A3C5C">
        <w:rPr>
          <w:rStyle w:val="FootnoteReference"/>
          <w:rFonts w:ascii="Times New Roman" w:hAnsi="Times New Roman"/>
        </w:rPr>
        <w:footnoteRef/>
      </w:r>
      <w:r w:rsidRPr="008A3C5C">
        <w:rPr>
          <w:rFonts w:ascii="Times New Roman" w:hAnsi="Times New Roman"/>
        </w:rPr>
        <w:t xml:space="preserve"> „Perkančiosios organizacijos nustatyti minimalūs kandidatų ar dalyvių kvalifikacijos reikalavimai negali dirbtinai riboti konkurencijos. Jie turi būti pagrįsti ir proporcingi pirkimo objektui, tikslūs ir aiškūs.“</w:t>
      </w:r>
    </w:p>
  </w:footnote>
  <w:footnote w:id="8">
    <w:p w:rsidR="00C227E2" w:rsidRPr="008A3C5C" w:rsidRDefault="00C227E2" w:rsidP="008D1432">
      <w:pPr>
        <w:pStyle w:val="FootnoteText"/>
        <w:jc w:val="both"/>
        <w:rPr>
          <w:rFonts w:ascii="Times New Roman" w:hAnsi="Times New Roman"/>
        </w:rPr>
      </w:pPr>
      <w:r w:rsidRPr="008A3C5C">
        <w:rPr>
          <w:rStyle w:val="FootnoteReference"/>
          <w:rFonts w:ascii="Times New Roman" w:hAnsi="Times New Roman"/>
        </w:rPr>
        <w:footnoteRef/>
      </w:r>
      <w:r w:rsidRPr="008A3C5C">
        <w:rPr>
          <w:rFonts w:ascii="Times New Roman" w:hAnsi="Times New Roman"/>
        </w:rPr>
        <w:t xml:space="preserve"> </w:t>
      </w:r>
      <w:r>
        <w:rPr>
          <w:rFonts w:ascii="Times New Roman" w:hAnsi="Times New Roman"/>
        </w:rPr>
        <w:t>Žr. išnašą Nr. 7.</w:t>
      </w:r>
    </w:p>
  </w:footnote>
  <w:footnote w:id="9">
    <w:p w:rsidR="00C227E2" w:rsidRPr="0021622A" w:rsidRDefault="00C227E2" w:rsidP="008D1432">
      <w:pPr>
        <w:pStyle w:val="FootnoteText"/>
        <w:jc w:val="both"/>
        <w:rPr>
          <w:rFonts w:ascii="Times New Roman" w:hAnsi="Times New Roman"/>
        </w:rPr>
      </w:pPr>
      <w:r w:rsidRPr="0021622A">
        <w:rPr>
          <w:rStyle w:val="FootnoteReference"/>
          <w:rFonts w:ascii="Times New Roman" w:hAnsi="Times New Roman"/>
        </w:rPr>
        <w:footnoteRef/>
      </w:r>
      <w:r w:rsidRPr="0021622A">
        <w:rPr>
          <w:rFonts w:ascii="Times New Roman" w:hAnsi="Times New Roman"/>
        </w:rPr>
        <w:t xml:space="preserve"> „</w:t>
      </w:r>
      <w:r w:rsidRPr="0021622A">
        <w:rPr>
          <w:rFonts w:ascii="Times New Roman" w:hAnsi="Times New Roman"/>
          <w:color w:val="000000"/>
        </w:rPr>
        <w:t>Paraišką ar pasiūlymą gali pateikti ūkio subjektų grupė, todėl perkančioji organizacija pirkimo dokumentuose turi nurodyti, kokius iš tiekėjų kvalifikacijai keliamų reikalavimų turi atitikti visi ūkio subjektų grupės nariai kartu ir kokius kiekvienas narys atskirai. Nurodydama šiuos reikalavimus perkančioji organizacija turi užtikrinti, kad nebūtų dirbtinai ribojama galimybė ūkio subjektų grupei dalyvauti pirkime. Perkančioji organizacija turi siekti, kad ūkio subjektų grupės narių pajėgumai būtų sumuojami, ir tik pagrįstais atvejais gali reikalauti, kad kai kuriuos kvalifikacijos reikalavimus ūkio subjektų grupės nariai tenkintų kiekvienas atskirai. Rekomendacijų 19.2, 19.3, 20, 25, 26 ir 27.3 punktuose nurodytus reikalavimus turėtų atitikti visi grupėje dalyvaujantys tiekėjai kartu. Šis reikalavimas netaikomas prašant pateikti pirkimo sutarčiai vykdyti privalomus atestatus, licencijas, leidimus, verslo liudijimus ir panašius dokumentus. Tokius dokumentus turėtų pateikti tos ūkio subjektų grupės nariai, kurių prisiimtoms prievolėms pagal pirkimo sutartį vykdyti reikia atitinkamų atestatų, licencijų, leidimų, verslo liudijimų ir panašių dokumentų. Taip pat rekomenduojama pirkimo dokumentuose nustatyti, kad Rekomendacijų 15, 16, 19.4 ir 19.5 punktuose nurodytus reikalavimus atitiktų kiekvienas ūkio subjektų grupės narys atskirai, o Rekomendacijų 18, 19.1 ir 26.1 punktų reikalavimus – tie ūkio subjektų grupės nariai, kurių prisiimtoms prievolėms pagal pirkimo sutartį vykdyti reikia turėti profesinį civilinės atsakomybės draudimą bei atitinkamus dokumentus verstis ta veikla, kuri reikalinga pirkimo sutarčiai įvykdyti“.</w:t>
      </w:r>
    </w:p>
  </w:footnote>
  <w:footnote w:id="10">
    <w:p w:rsidR="00C227E2" w:rsidRPr="00420BE6" w:rsidRDefault="00C227E2" w:rsidP="008D1432">
      <w:pPr>
        <w:tabs>
          <w:tab w:val="left" w:pos="851"/>
        </w:tabs>
        <w:spacing w:after="0" w:line="240" w:lineRule="auto"/>
        <w:jc w:val="both"/>
        <w:rPr>
          <w:rFonts w:ascii="Times New Roman" w:hAnsi="Times New Roman"/>
          <w:sz w:val="20"/>
          <w:szCs w:val="20"/>
        </w:rPr>
      </w:pPr>
      <w:r w:rsidRPr="00420BE6">
        <w:rPr>
          <w:rStyle w:val="FootnoteReference"/>
          <w:rFonts w:ascii="Times New Roman" w:hAnsi="Times New Roman"/>
          <w:sz w:val="20"/>
          <w:szCs w:val="20"/>
        </w:rPr>
        <w:footnoteRef/>
      </w:r>
      <w:r w:rsidRPr="00420BE6">
        <w:rPr>
          <w:rFonts w:ascii="Times New Roman" w:hAnsi="Times New Roman"/>
          <w:sz w:val="20"/>
          <w:szCs w:val="20"/>
        </w:rPr>
        <w:t xml:space="preserve"> „dalyviui, kurio pasiūlymas nebuvo atmestas, – laimėjusio pasiūlymo charakteristikas ir santykinius pranašumus, dėl kurių šis pasiūlymas buvo pripažintas geriausiu, taip pat šį pasiūlymą pateikusio dalyvio ar preliminariosi</w:t>
      </w:r>
      <w:r>
        <w:rPr>
          <w:rFonts w:ascii="Times New Roman" w:hAnsi="Times New Roman"/>
          <w:sz w:val="20"/>
          <w:szCs w:val="20"/>
        </w:rPr>
        <w:t>os sutarties šalių pavadinimus“.</w:t>
      </w:r>
    </w:p>
  </w:footnote>
  <w:footnote w:id="11">
    <w:p w:rsidR="00C227E2" w:rsidRPr="00420BE6" w:rsidRDefault="00C227E2" w:rsidP="008D1432">
      <w:pPr>
        <w:pStyle w:val="FootnoteText"/>
        <w:jc w:val="both"/>
        <w:rPr>
          <w:rFonts w:ascii="Times New Roman" w:hAnsi="Times New Roman"/>
        </w:rPr>
      </w:pPr>
      <w:r w:rsidRPr="00420BE6">
        <w:rPr>
          <w:rStyle w:val="FootnoteReference"/>
          <w:rFonts w:ascii="Times New Roman" w:hAnsi="Times New Roman"/>
        </w:rPr>
        <w:footnoteRef/>
      </w:r>
      <w:r w:rsidRPr="00420BE6">
        <w:rPr>
          <w:rFonts w:ascii="Times New Roman" w:hAnsi="Times New Roman"/>
        </w:rPr>
        <w:t xml:space="preserve"> „dalyviui, kurio pasiūlymas nebuvo atmestas, – laimėjusio pasiūlymo charakteristikas ir santykinius pranašumus, dėl kurių šis pasiūlymas buvo pripažintas geriausiu, taip pat šį pasiūlymą pateikusio dalyvio ar preliminariosi</w:t>
      </w:r>
      <w:r>
        <w:rPr>
          <w:rFonts w:ascii="Times New Roman" w:hAnsi="Times New Roman"/>
        </w:rPr>
        <w:t>os sutarties šalių pavadinimus“.</w:t>
      </w:r>
    </w:p>
  </w:footnote>
  <w:footnote w:id="12">
    <w:p w:rsidR="00C227E2" w:rsidRPr="00420BE6" w:rsidRDefault="00C227E2" w:rsidP="008D1432">
      <w:pPr>
        <w:pStyle w:val="FootnoteText"/>
        <w:jc w:val="both"/>
        <w:rPr>
          <w:rFonts w:ascii="Times New Roman" w:hAnsi="Times New Roman"/>
        </w:rPr>
      </w:pPr>
      <w:r w:rsidRPr="00420BE6">
        <w:rPr>
          <w:rStyle w:val="FootnoteReference"/>
          <w:rFonts w:ascii="Times New Roman" w:hAnsi="Times New Roman"/>
        </w:rPr>
        <w:footnoteRef/>
      </w:r>
      <w:r w:rsidRPr="00420BE6">
        <w:rPr>
          <w:rFonts w:ascii="Times New Roman" w:hAnsi="Times New Roman"/>
        </w:rPr>
        <w:t xml:space="preserve"> „&lt;...&gt;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footnote>
  <w:footnote w:id="13">
    <w:p w:rsidR="00C227E2" w:rsidRPr="00F86792" w:rsidRDefault="00C227E2">
      <w:pPr>
        <w:pStyle w:val="FootnoteText"/>
        <w:rPr>
          <w:rFonts w:ascii="Times New Roman" w:hAnsi="Times New Roman"/>
        </w:rPr>
      </w:pPr>
      <w:r w:rsidRPr="00F86792">
        <w:rPr>
          <w:rStyle w:val="FootnoteReference"/>
          <w:rFonts w:ascii="Times New Roman" w:hAnsi="Times New Roman"/>
        </w:rPr>
        <w:footnoteRef/>
      </w:r>
      <w:r w:rsidRPr="00F86792">
        <w:rPr>
          <w:rFonts w:ascii="Times New Roman" w:hAnsi="Times New Roman"/>
        </w:rPr>
        <w:t xml:space="preserve"> Perkančioji organizacija, pateikdama netikslią informaciją, neužtikrino skaidrumo principo įgyvendinimo.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9263"/>
      <w:docPartObj>
        <w:docPartGallery w:val="Page Numbers (Top of Page)"/>
        <w:docPartUnique/>
      </w:docPartObj>
    </w:sdtPr>
    <w:sdtContent>
      <w:p w:rsidR="00C227E2" w:rsidRDefault="00C227E2">
        <w:pPr>
          <w:pStyle w:val="Header"/>
          <w:jc w:val="center"/>
        </w:pPr>
        <w:fldSimple w:instr=" PAGE   \* MERGEFORMAT ">
          <w:r w:rsidR="004839B3">
            <w:rPr>
              <w:noProof/>
            </w:rPr>
            <w:t>4</w:t>
          </w:r>
        </w:fldSimple>
      </w:p>
    </w:sdtContent>
  </w:sdt>
  <w:p w:rsidR="00C227E2" w:rsidRDefault="00C227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2F6"/>
    <w:multiLevelType w:val="hybridMultilevel"/>
    <w:tmpl w:val="CD12DAFC"/>
    <w:lvl w:ilvl="0" w:tplc="0427000F">
      <w:start w:val="1"/>
      <w:numFmt w:val="decimal"/>
      <w:lvlText w:val="%1."/>
      <w:lvlJc w:val="left"/>
      <w:pPr>
        <w:ind w:left="502"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13B06"/>
    <w:rsid w:val="000E36D3"/>
    <w:rsid w:val="000E77C3"/>
    <w:rsid w:val="00195833"/>
    <w:rsid w:val="001D08D1"/>
    <w:rsid w:val="002C15E3"/>
    <w:rsid w:val="003E0A42"/>
    <w:rsid w:val="00413B06"/>
    <w:rsid w:val="004340EE"/>
    <w:rsid w:val="004839B3"/>
    <w:rsid w:val="004D5A54"/>
    <w:rsid w:val="004E6FCD"/>
    <w:rsid w:val="00550730"/>
    <w:rsid w:val="00584C48"/>
    <w:rsid w:val="005B2F7F"/>
    <w:rsid w:val="00654D7A"/>
    <w:rsid w:val="00720402"/>
    <w:rsid w:val="007D70DC"/>
    <w:rsid w:val="007F4CB8"/>
    <w:rsid w:val="008A3C5C"/>
    <w:rsid w:val="008D1432"/>
    <w:rsid w:val="00932EEF"/>
    <w:rsid w:val="00981C94"/>
    <w:rsid w:val="00B7709A"/>
    <w:rsid w:val="00BA1F74"/>
    <w:rsid w:val="00C13050"/>
    <w:rsid w:val="00C227E2"/>
    <w:rsid w:val="00C92760"/>
    <w:rsid w:val="00C94E5B"/>
    <w:rsid w:val="00CB0A8E"/>
    <w:rsid w:val="00CF7488"/>
    <w:rsid w:val="00F25F7B"/>
    <w:rsid w:val="00F86792"/>
    <w:rsid w:val="00FB4B6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B0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B06"/>
    <w:pPr>
      <w:ind w:left="720"/>
      <w:contextualSpacing/>
    </w:pPr>
  </w:style>
  <w:style w:type="paragraph" w:customStyle="1" w:styleId="Normal12pt">
    <w:name w:val="Normal + 12 pt"/>
    <w:basedOn w:val="Normal"/>
    <w:link w:val="Normal12ptChar"/>
    <w:rsid w:val="00413B06"/>
    <w:pPr>
      <w:tabs>
        <w:tab w:val="left" w:pos="737"/>
      </w:tabs>
      <w:spacing w:after="0" w:line="240" w:lineRule="auto"/>
      <w:ind w:right="-283"/>
      <w:jc w:val="both"/>
    </w:pPr>
    <w:rPr>
      <w:rFonts w:ascii="Times New Roman" w:eastAsia="Times New Roman" w:hAnsi="Times New Roman"/>
      <w:sz w:val="24"/>
      <w:szCs w:val="24"/>
    </w:rPr>
  </w:style>
  <w:style w:type="character" w:customStyle="1" w:styleId="Normal12ptChar">
    <w:name w:val="Normal + 12 pt Char"/>
    <w:link w:val="Normal12pt"/>
    <w:rsid w:val="00413B0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13B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3B06"/>
    <w:rPr>
      <w:rFonts w:ascii="Calibri" w:eastAsia="Calibri" w:hAnsi="Calibri" w:cs="Times New Roman"/>
      <w:sz w:val="20"/>
      <w:szCs w:val="20"/>
    </w:rPr>
  </w:style>
  <w:style w:type="character" w:styleId="FootnoteReference">
    <w:name w:val="footnote reference"/>
    <w:uiPriority w:val="99"/>
    <w:unhideWhenUsed/>
    <w:rsid w:val="00413B06"/>
    <w:rPr>
      <w:vertAlign w:val="superscript"/>
    </w:rPr>
  </w:style>
  <w:style w:type="character" w:styleId="Emphasis">
    <w:name w:val="Emphasis"/>
    <w:basedOn w:val="DefaultParagraphFont"/>
    <w:uiPriority w:val="20"/>
    <w:qFormat/>
    <w:rsid w:val="00413B06"/>
    <w:rPr>
      <w:i/>
      <w:iCs/>
    </w:rPr>
  </w:style>
  <w:style w:type="paragraph" w:styleId="BalloonText">
    <w:name w:val="Balloon Text"/>
    <w:basedOn w:val="Normal"/>
    <w:link w:val="BalloonTextChar"/>
    <w:uiPriority w:val="99"/>
    <w:semiHidden/>
    <w:unhideWhenUsed/>
    <w:rsid w:val="00413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B06"/>
    <w:rPr>
      <w:rFonts w:ascii="Tahoma" w:eastAsia="Calibri" w:hAnsi="Tahoma" w:cs="Tahoma"/>
      <w:sz w:val="16"/>
      <w:szCs w:val="16"/>
    </w:rPr>
  </w:style>
  <w:style w:type="paragraph" w:styleId="Header">
    <w:name w:val="header"/>
    <w:basedOn w:val="Normal"/>
    <w:link w:val="HeaderChar"/>
    <w:uiPriority w:val="99"/>
    <w:unhideWhenUsed/>
    <w:rsid w:val="004E6F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E6FCD"/>
    <w:rPr>
      <w:rFonts w:ascii="Calibri" w:eastAsia="Calibri" w:hAnsi="Calibri" w:cs="Times New Roman"/>
    </w:rPr>
  </w:style>
  <w:style w:type="paragraph" w:styleId="Footer">
    <w:name w:val="footer"/>
    <w:basedOn w:val="Normal"/>
    <w:link w:val="FooterChar"/>
    <w:uiPriority w:val="99"/>
    <w:semiHidden/>
    <w:unhideWhenUsed/>
    <w:rsid w:val="004E6FCD"/>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E6FC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5680A-9AA3-43C1-A21D-56BF7444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Pages>
  <Words>5421</Words>
  <Characters>3091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JValeikiene</cp:lastModifiedBy>
  <cp:revision>13</cp:revision>
  <cp:lastPrinted>2016-10-06T13:16:00Z</cp:lastPrinted>
  <dcterms:created xsi:type="dcterms:W3CDTF">2016-09-23T05:50:00Z</dcterms:created>
  <dcterms:modified xsi:type="dcterms:W3CDTF">2016-10-06T13:31:00Z</dcterms:modified>
</cp:coreProperties>
</file>