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34B81F79" w14:textId="77777777" w:rsidR="0079583D" w:rsidRPr="00945269" w:rsidRDefault="0079583D" w:rsidP="0079583D">
      <w:pPr>
        <w:jc w:val="center"/>
        <w:rPr>
          <w:b/>
          <w:bCs/>
          <w:szCs w:val="24"/>
        </w:rPr>
      </w:pPr>
      <w:r w:rsidRPr="00945269">
        <w:rPr>
          <w:b/>
          <w:bCs/>
          <w:szCs w:val="24"/>
        </w:rPr>
        <w:t>VERTINIMO IŠVADA</w:t>
      </w:r>
    </w:p>
    <w:p w14:paraId="7E6C27E7" w14:textId="77777777" w:rsidR="0083730F" w:rsidRPr="00945269" w:rsidRDefault="0083730F" w:rsidP="009C3BAE">
      <w:pPr>
        <w:tabs>
          <w:tab w:val="left" w:pos="709"/>
        </w:tabs>
        <w:spacing w:line="259" w:lineRule="auto"/>
        <w:ind w:right="3" w:firstLine="426"/>
        <w:jc w:val="center"/>
        <w:rPr>
          <w:szCs w:val="24"/>
          <w:vertAlign w:val="superscript"/>
        </w:rPr>
      </w:pPr>
    </w:p>
    <w:tbl>
      <w:tblPr>
        <w:tblW w:w="10225" w:type="dxa"/>
        <w:tblLayout w:type="fixed"/>
        <w:tblLook w:val="0000" w:firstRow="0" w:lastRow="0" w:firstColumn="0" w:lastColumn="0" w:noHBand="0" w:noVBand="0"/>
      </w:tblPr>
      <w:tblGrid>
        <w:gridCol w:w="4832"/>
        <w:gridCol w:w="1523"/>
        <w:gridCol w:w="3001"/>
        <w:gridCol w:w="869"/>
      </w:tblGrid>
      <w:tr w:rsidR="0083730F" w:rsidRPr="00945269" w14:paraId="071B5230" w14:textId="77777777" w:rsidTr="009C3BAE">
        <w:trPr>
          <w:cantSplit/>
          <w:trHeight w:val="775"/>
        </w:trPr>
        <w:tc>
          <w:tcPr>
            <w:tcW w:w="4832" w:type="dxa"/>
          </w:tcPr>
          <w:p w14:paraId="6FC811F6" w14:textId="77777777" w:rsidR="009204DA" w:rsidRPr="009204DA" w:rsidRDefault="009204DA" w:rsidP="009C3BAE">
            <w:pPr>
              <w:shd w:val="clear" w:color="auto" w:fill="FFFFFF"/>
              <w:spacing w:line="300" w:lineRule="atLeast"/>
              <w:ind w:hanging="110"/>
              <w:rPr>
                <w:szCs w:val="24"/>
                <w:lang w:eastAsia="lt-LT"/>
              </w:rPr>
            </w:pPr>
            <w:r w:rsidRPr="009204DA">
              <w:rPr>
                <w:szCs w:val="24"/>
                <w:lang w:eastAsia="lt-LT"/>
              </w:rPr>
              <w:t>Šiaulių miesto savivaldybės administracijai</w:t>
            </w:r>
          </w:p>
          <w:p w14:paraId="6966016D" w14:textId="34BA9A60" w:rsidR="009204DA" w:rsidRPr="009204DA" w:rsidRDefault="009204DA" w:rsidP="009C3BAE">
            <w:pPr>
              <w:shd w:val="clear" w:color="auto" w:fill="FFFFFF"/>
              <w:spacing w:line="300" w:lineRule="atLeast"/>
              <w:ind w:hanging="110"/>
              <w:rPr>
                <w:szCs w:val="24"/>
                <w:lang w:eastAsia="lt-LT"/>
              </w:rPr>
            </w:pPr>
            <w:r w:rsidRPr="009204DA">
              <w:rPr>
                <w:szCs w:val="24"/>
                <w:lang w:eastAsia="lt-LT"/>
              </w:rPr>
              <w:t>Vasario 16-osios g. 62</w:t>
            </w:r>
            <w:r>
              <w:rPr>
                <w:szCs w:val="24"/>
                <w:lang w:eastAsia="lt-LT"/>
              </w:rPr>
              <w:t>,</w:t>
            </w:r>
            <w:r w:rsidRPr="009204DA">
              <w:rPr>
                <w:szCs w:val="24"/>
                <w:lang w:eastAsia="lt-LT"/>
              </w:rPr>
              <w:t xml:space="preserve"> </w:t>
            </w:r>
          </w:p>
          <w:p w14:paraId="0951A491" w14:textId="77777777" w:rsidR="009204DA" w:rsidRPr="009204DA" w:rsidRDefault="009204DA" w:rsidP="009C3BAE">
            <w:pPr>
              <w:shd w:val="clear" w:color="auto" w:fill="FFFFFF"/>
              <w:spacing w:line="300" w:lineRule="atLeast"/>
              <w:ind w:hanging="110"/>
              <w:rPr>
                <w:szCs w:val="24"/>
                <w:lang w:eastAsia="lt-LT"/>
              </w:rPr>
            </w:pPr>
            <w:r w:rsidRPr="009204DA">
              <w:rPr>
                <w:szCs w:val="24"/>
                <w:lang w:eastAsia="lt-LT"/>
              </w:rPr>
              <w:t>LT-76295 Šiauliai</w:t>
            </w:r>
          </w:p>
          <w:p w14:paraId="7A1DABE4" w14:textId="577716ED" w:rsidR="00F226FC" w:rsidRPr="00F226FC" w:rsidRDefault="00F226FC" w:rsidP="009C3BAE">
            <w:pPr>
              <w:shd w:val="clear" w:color="auto" w:fill="FFFFFF"/>
              <w:spacing w:line="300" w:lineRule="atLeast"/>
              <w:ind w:hanging="110"/>
              <w:rPr>
                <w:lang w:val="en-US" w:eastAsia="lt-LT"/>
              </w:rPr>
            </w:pPr>
          </w:p>
          <w:p w14:paraId="200D67B6" w14:textId="0F3A445E" w:rsidR="00C13BD9" w:rsidRPr="00D23006" w:rsidRDefault="000F0425" w:rsidP="009C3BAE">
            <w:pPr>
              <w:tabs>
                <w:tab w:val="left" w:pos="900"/>
              </w:tabs>
              <w:ind w:left="-87"/>
              <w:rPr>
                <w:szCs w:val="24"/>
              </w:rPr>
            </w:pPr>
            <w:r>
              <w:rPr>
                <w:szCs w:val="24"/>
              </w:rPr>
              <w:t xml:space="preserve">          </w:t>
            </w:r>
          </w:p>
        </w:tc>
        <w:tc>
          <w:tcPr>
            <w:tcW w:w="1523" w:type="dxa"/>
          </w:tcPr>
          <w:p w14:paraId="3892616A" w14:textId="7B6A20E4" w:rsidR="0083730F" w:rsidRPr="00441029" w:rsidRDefault="0083730F" w:rsidP="009C3BAE">
            <w:pPr>
              <w:ind w:firstLine="0"/>
              <w:rPr>
                <w:szCs w:val="24"/>
              </w:rPr>
            </w:pPr>
            <w:r w:rsidRPr="00B94B51">
              <w:rPr>
                <w:szCs w:val="24"/>
              </w:rPr>
              <w:t>202</w:t>
            </w:r>
            <w:r w:rsidR="00B94B51">
              <w:rPr>
                <w:szCs w:val="24"/>
              </w:rPr>
              <w:t>3-</w:t>
            </w:r>
            <w:r w:rsidR="00FF77C8">
              <w:rPr>
                <w:szCs w:val="24"/>
              </w:rPr>
              <w:t>07</w:t>
            </w:r>
            <w:r w:rsidR="00B54EE4">
              <w:rPr>
                <w:szCs w:val="24"/>
              </w:rPr>
              <w:t>-</w:t>
            </w:r>
            <w:r w:rsidR="009C3BAE">
              <w:rPr>
                <w:szCs w:val="24"/>
              </w:rPr>
              <w:t>04</w:t>
            </w:r>
          </w:p>
          <w:p w14:paraId="62AFE929" w14:textId="14778C64" w:rsidR="0083730F" w:rsidRPr="00945269" w:rsidRDefault="0083730F" w:rsidP="009C3BAE">
            <w:pPr>
              <w:ind w:firstLine="0"/>
              <w:rPr>
                <w:szCs w:val="24"/>
              </w:rPr>
            </w:pPr>
            <w:r w:rsidRPr="00945269">
              <w:rPr>
                <w:szCs w:val="24"/>
              </w:rPr>
              <w:t>Į 202</w:t>
            </w:r>
            <w:r w:rsidR="00E21942">
              <w:rPr>
                <w:szCs w:val="24"/>
              </w:rPr>
              <w:t>3-</w:t>
            </w:r>
            <w:r w:rsidR="009204DA">
              <w:rPr>
                <w:szCs w:val="24"/>
              </w:rPr>
              <w:t>06-07</w:t>
            </w:r>
          </w:p>
          <w:p w14:paraId="01945D47" w14:textId="327F2E4B" w:rsidR="008305EB" w:rsidRPr="00945269" w:rsidRDefault="009204DA" w:rsidP="009C3BAE">
            <w:pPr>
              <w:ind w:firstLine="0"/>
              <w:rPr>
                <w:szCs w:val="24"/>
              </w:rPr>
            </w:pPr>
            <w:r>
              <w:rPr>
                <w:szCs w:val="24"/>
              </w:rPr>
              <w:t>Į 2023-06-14</w:t>
            </w:r>
          </w:p>
          <w:p w14:paraId="55A4CF8B" w14:textId="77777777" w:rsidR="008305EB" w:rsidRPr="00945269" w:rsidRDefault="008305EB" w:rsidP="009C3BAE">
            <w:pPr>
              <w:rPr>
                <w:szCs w:val="24"/>
              </w:rPr>
            </w:pPr>
          </w:p>
          <w:p w14:paraId="0906230C" w14:textId="77777777" w:rsidR="008305EB" w:rsidRPr="00945269" w:rsidRDefault="008305EB" w:rsidP="009C3BAE">
            <w:pPr>
              <w:rPr>
                <w:szCs w:val="24"/>
              </w:rPr>
            </w:pPr>
          </w:p>
          <w:p w14:paraId="5104A352" w14:textId="3A559456" w:rsidR="00B94B51" w:rsidRPr="00945269" w:rsidRDefault="00B94B51" w:rsidP="009C3BAE">
            <w:pPr>
              <w:rPr>
                <w:szCs w:val="24"/>
              </w:rPr>
            </w:pPr>
          </w:p>
        </w:tc>
        <w:tc>
          <w:tcPr>
            <w:tcW w:w="3001" w:type="dxa"/>
          </w:tcPr>
          <w:p w14:paraId="39FA5C21" w14:textId="57B95244" w:rsidR="0083730F" w:rsidRPr="00945269" w:rsidRDefault="0083730F" w:rsidP="009C3BAE">
            <w:pPr>
              <w:tabs>
                <w:tab w:val="left" w:pos="900"/>
              </w:tabs>
              <w:jc w:val="left"/>
              <w:rPr>
                <w:szCs w:val="24"/>
              </w:rPr>
            </w:pPr>
            <w:r w:rsidRPr="00945269">
              <w:rPr>
                <w:szCs w:val="24"/>
              </w:rPr>
              <w:t xml:space="preserve">Nr. </w:t>
            </w:r>
            <w:r w:rsidR="00CB4C6A" w:rsidRPr="00945269">
              <w:rPr>
                <w:szCs w:val="24"/>
              </w:rPr>
              <w:t>4S-</w:t>
            </w:r>
            <w:r w:rsidR="009C3BAE">
              <w:rPr>
                <w:szCs w:val="24"/>
              </w:rPr>
              <w:t>741</w:t>
            </w:r>
            <w:r w:rsidR="009204DA">
              <w:rPr>
                <w:szCs w:val="24"/>
              </w:rPr>
              <w:t xml:space="preserve">  </w:t>
            </w:r>
            <w:r w:rsidR="009C3BAE" w:rsidRPr="00945269">
              <w:rPr>
                <w:szCs w:val="24"/>
              </w:rPr>
              <w:t>(7.4Mr)</w:t>
            </w:r>
            <w:r w:rsidR="007113E9">
              <w:rPr>
                <w:szCs w:val="24"/>
              </w:rPr>
              <w:t xml:space="preserve"> </w:t>
            </w:r>
          </w:p>
          <w:p w14:paraId="54AD2193" w14:textId="1D42C76F" w:rsidR="0083730F" w:rsidRPr="00945269" w:rsidRDefault="00385546" w:rsidP="009C3BAE">
            <w:pPr>
              <w:tabs>
                <w:tab w:val="left" w:pos="900"/>
              </w:tabs>
              <w:ind w:right="-513"/>
              <w:rPr>
                <w:szCs w:val="24"/>
              </w:rPr>
            </w:pPr>
            <w:r>
              <w:rPr>
                <w:szCs w:val="24"/>
              </w:rPr>
              <w:t xml:space="preserve">Nr. </w:t>
            </w:r>
            <w:r w:rsidR="009204DA">
              <w:rPr>
                <w:szCs w:val="24"/>
              </w:rPr>
              <w:t>S-2175</w:t>
            </w:r>
          </w:p>
          <w:p w14:paraId="47DE2EBC" w14:textId="2BD2BFAC" w:rsidR="008305EB" w:rsidRPr="00945269" w:rsidRDefault="009204DA" w:rsidP="009C3BAE">
            <w:pPr>
              <w:tabs>
                <w:tab w:val="left" w:pos="900"/>
              </w:tabs>
              <w:rPr>
                <w:szCs w:val="24"/>
              </w:rPr>
            </w:pPr>
            <w:r>
              <w:rPr>
                <w:szCs w:val="24"/>
              </w:rPr>
              <w:t xml:space="preserve">Nr. </w:t>
            </w:r>
            <w:r w:rsidRPr="009204DA">
              <w:rPr>
                <w:szCs w:val="24"/>
              </w:rPr>
              <w:t>BS-919</w:t>
            </w:r>
          </w:p>
          <w:p w14:paraId="6B6E7236" w14:textId="77777777" w:rsidR="008305EB" w:rsidRPr="00945269" w:rsidRDefault="008305EB" w:rsidP="009C3BAE">
            <w:pPr>
              <w:tabs>
                <w:tab w:val="left" w:pos="900"/>
              </w:tabs>
              <w:rPr>
                <w:szCs w:val="24"/>
              </w:rPr>
            </w:pPr>
          </w:p>
          <w:p w14:paraId="7328E9B6" w14:textId="09774398" w:rsidR="008305EB" w:rsidRDefault="008305EB" w:rsidP="009C3BAE">
            <w:pPr>
              <w:tabs>
                <w:tab w:val="left" w:pos="900"/>
              </w:tabs>
              <w:rPr>
                <w:szCs w:val="24"/>
              </w:rPr>
            </w:pPr>
          </w:p>
          <w:p w14:paraId="1B328DB0" w14:textId="7D72510E" w:rsidR="00A267B7" w:rsidRDefault="00A267B7" w:rsidP="009C3BAE">
            <w:pPr>
              <w:tabs>
                <w:tab w:val="left" w:pos="900"/>
              </w:tabs>
              <w:rPr>
                <w:szCs w:val="24"/>
              </w:rPr>
            </w:pPr>
          </w:p>
          <w:p w14:paraId="0F880CCE" w14:textId="541FC631" w:rsidR="00D31480" w:rsidRPr="00945269" w:rsidRDefault="00D31480" w:rsidP="009C3BAE">
            <w:pPr>
              <w:tabs>
                <w:tab w:val="left" w:pos="900"/>
              </w:tabs>
              <w:rPr>
                <w:szCs w:val="24"/>
              </w:rPr>
            </w:pPr>
          </w:p>
        </w:tc>
        <w:tc>
          <w:tcPr>
            <w:tcW w:w="869" w:type="dxa"/>
          </w:tcPr>
          <w:p w14:paraId="715FE684" w14:textId="77777777" w:rsidR="0083730F" w:rsidRPr="00945269" w:rsidRDefault="0083730F" w:rsidP="009C3BAE">
            <w:pPr>
              <w:tabs>
                <w:tab w:val="left" w:pos="1422"/>
              </w:tabs>
              <w:ind w:left="-108"/>
              <w:rPr>
                <w:szCs w:val="24"/>
              </w:rPr>
            </w:pPr>
          </w:p>
        </w:tc>
      </w:tr>
    </w:tbl>
    <w:p w14:paraId="7B5D7F54" w14:textId="77777777" w:rsidR="00FC5CFE" w:rsidRPr="00945269" w:rsidRDefault="00FC5CFE">
      <w:pPr>
        <w:ind w:right="49"/>
        <w:jc w:val="center"/>
        <w:rPr>
          <w:b/>
          <w:color w:val="000000"/>
          <w:szCs w:val="24"/>
          <w:lang w:eastAsia="lt-LT"/>
        </w:rPr>
      </w:pPr>
    </w:p>
    <w:p w14:paraId="75610E15" w14:textId="4220D7CE" w:rsidR="00126296" w:rsidRPr="00126296" w:rsidRDefault="003B0A68" w:rsidP="00126296">
      <w:pPr>
        <w:tabs>
          <w:tab w:val="left" w:pos="993"/>
        </w:tabs>
        <w:rPr>
          <w:szCs w:val="24"/>
        </w:rPr>
      </w:pPr>
      <w:r>
        <w:rPr>
          <w:bCs/>
          <w:szCs w:val="24"/>
          <w:lang w:eastAsia="lt-LT"/>
        </w:rPr>
        <w:t xml:space="preserve">         </w:t>
      </w:r>
      <w:r w:rsidR="00183555" w:rsidRPr="00183555">
        <w:rPr>
          <w:bCs/>
          <w:szCs w:val="24"/>
          <w:lang w:eastAsia="lt-LT"/>
        </w:rPr>
        <w:t xml:space="preserve">Viešųjų pirkimų tarnyba (toliau – Tarnyba), vadovaudamasi </w:t>
      </w:r>
      <w:r w:rsidR="000F0425" w:rsidRPr="00736B20">
        <w:rPr>
          <w:bCs/>
          <w:szCs w:val="24"/>
        </w:rPr>
        <w:t>Lietuvos Respublikos viešųjų pirkimų įstatymo</w:t>
      </w:r>
      <w:r w:rsidR="000F0425">
        <w:rPr>
          <w:bCs/>
          <w:szCs w:val="24"/>
        </w:rPr>
        <w:t xml:space="preserve"> </w:t>
      </w:r>
      <w:r w:rsidR="000F0425" w:rsidRPr="0062406E">
        <w:rPr>
          <w:bCs/>
          <w:szCs w:val="24"/>
        </w:rPr>
        <w:t>(toliau – Įstatymas)</w:t>
      </w:r>
      <w:r w:rsidR="000F0425" w:rsidRPr="00736B20">
        <w:rPr>
          <w:bCs/>
          <w:szCs w:val="24"/>
        </w:rPr>
        <w:t xml:space="preserve"> 95 straipsnio 1 dalies 2 punktu</w:t>
      </w:r>
      <w:r w:rsidR="000F0425" w:rsidRPr="00183555">
        <w:rPr>
          <w:bCs/>
          <w:szCs w:val="24"/>
          <w:lang w:eastAsia="lt-LT"/>
        </w:rPr>
        <w:t xml:space="preserve"> </w:t>
      </w:r>
      <w:r w:rsidR="00183555" w:rsidRPr="00183555">
        <w:rPr>
          <w:bCs/>
          <w:szCs w:val="24"/>
          <w:lang w:eastAsia="lt-LT"/>
        </w:rPr>
        <w:t xml:space="preserve">ir </w:t>
      </w:r>
      <w:r w:rsidR="000F0425" w:rsidRPr="00A96873">
        <w:rPr>
          <w:color w:val="000000"/>
          <w:szCs w:val="24"/>
        </w:rPr>
        <w:t>Pirkimų ir koncesijų priežiūros vykdymo tvarkos apraš</w:t>
      </w:r>
      <w:r w:rsidR="000F0425">
        <w:rPr>
          <w:color w:val="000000"/>
          <w:szCs w:val="24"/>
        </w:rPr>
        <w:t>u</w:t>
      </w:r>
      <w:r w:rsidR="000F0425" w:rsidRPr="00A96873">
        <w:rPr>
          <w:color w:val="000000"/>
          <w:szCs w:val="24"/>
        </w:rPr>
        <w:t>, patvirtint</w:t>
      </w:r>
      <w:r w:rsidR="000F0425">
        <w:rPr>
          <w:color w:val="000000"/>
          <w:szCs w:val="24"/>
        </w:rPr>
        <w:t>u</w:t>
      </w:r>
      <w:r w:rsidR="000F0425" w:rsidRPr="00A96873">
        <w:rPr>
          <w:color w:val="000000"/>
          <w:szCs w:val="24"/>
        </w:rPr>
        <w:t xml:space="preserve"> Tarnybos direktoriaus 2023 m. kovo 24 d.</w:t>
      </w:r>
      <w:r w:rsidR="000F0425">
        <w:rPr>
          <w:color w:val="000000"/>
          <w:szCs w:val="24"/>
        </w:rPr>
        <w:t xml:space="preserve"> įsakymu</w:t>
      </w:r>
      <w:r w:rsidR="000F0425" w:rsidRPr="00A96873">
        <w:rPr>
          <w:color w:val="000000"/>
          <w:szCs w:val="24"/>
        </w:rPr>
        <w:t xml:space="preserve"> Nr. 1S-44</w:t>
      </w:r>
      <w:r w:rsidR="009A67D5">
        <w:rPr>
          <w:bCs/>
          <w:szCs w:val="24"/>
          <w:lang w:eastAsia="lt-LT"/>
        </w:rPr>
        <w:t>,</w:t>
      </w:r>
      <w:r w:rsidR="00183555" w:rsidRPr="00183555">
        <w:rPr>
          <w:bCs/>
          <w:szCs w:val="24"/>
          <w:lang w:eastAsia="lt-LT"/>
        </w:rPr>
        <w:t xml:space="preserve"> </w:t>
      </w:r>
      <w:r w:rsidR="00346C41">
        <w:rPr>
          <w:bCs/>
          <w:szCs w:val="24"/>
          <w:lang w:eastAsia="lt-LT"/>
        </w:rPr>
        <w:t xml:space="preserve">savo iniciatyva </w:t>
      </w:r>
      <w:r w:rsidR="00183555" w:rsidRPr="00183555">
        <w:rPr>
          <w:bCs/>
          <w:szCs w:val="24"/>
          <w:lang w:eastAsia="lt-LT"/>
        </w:rPr>
        <w:t xml:space="preserve">atliko </w:t>
      </w:r>
      <w:r w:rsidR="00126296" w:rsidRPr="00126296">
        <w:rPr>
          <w:szCs w:val="24"/>
        </w:rPr>
        <w:t xml:space="preserve">Šiaulių miesto savivaldybės administracijos (toliau – Perkančioji organizacija) ir UAB „Socialinė integracija“ (toliau – Tiekėjas) sudarytos sutarties Nr. CPO168466 </w:t>
      </w:r>
      <w:r w:rsidR="001E30CB">
        <w:rPr>
          <w:szCs w:val="24"/>
        </w:rPr>
        <w:t>vykdymo</w:t>
      </w:r>
      <w:r w:rsidR="001E30CB" w:rsidRPr="00126296">
        <w:rPr>
          <w:szCs w:val="24"/>
        </w:rPr>
        <w:t xml:space="preserve"> </w:t>
      </w:r>
      <w:r w:rsidR="00126296" w:rsidRPr="00126296">
        <w:rPr>
          <w:szCs w:val="24"/>
        </w:rPr>
        <w:t xml:space="preserve">dalinį vertinimą. Sutartis sudaryta 2021 m. birželio 1 d. dinaminės pirkimo sistemos </w:t>
      </w:r>
      <w:r w:rsidR="00126296" w:rsidRPr="00126296">
        <w:rPr>
          <w:i/>
          <w:iCs/>
          <w:szCs w:val="24"/>
        </w:rPr>
        <w:t>„Valymo paslaugų iš socialinių įmonių užsakymai per CPO LT elektroninį katalogą (2020)“</w:t>
      </w:r>
      <w:r w:rsidR="00126296" w:rsidRPr="00126296">
        <w:rPr>
          <w:szCs w:val="24"/>
        </w:rPr>
        <w:t xml:space="preserve"> Nr. 522028 pagrindu įvykdžius konkretų pirkimą</w:t>
      </w:r>
      <w:r w:rsidR="001E30CB">
        <w:rPr>
          <w:rStyle w:val="Puslapioinaosnuoroda"/>
          <w:szCs w:val="24"/>
        </w:rPr>
        <w:footnoteReference w:id="1"/>
      </w:r>
      <w:r w:rsidR="00126296" w:rsidRPr="00126296">
        <w:rPr>
          <w:szCs w:val="24"/>
        </w:rPr>
        <w:t xml:space="preserve"> Nr. CPO168466 (toliau –</w:t>
      </w:r>
      <w:r w:rsidR="0072264F">
        <w:rPr>
          <w:szCs w:val="24"/>
        </w:rPr>
        <w:t xml:space="preserve"> </w:t>
      </w:r>
      <w:r w:rsidR="00126296" w:rsidRPr="00126296">
        <w:rPr>
          <w:szCs w:val="24"/>
        </w:rPr>
        <w:t>Pirkimas).</w:t>
      </w:r>
    </w:p>
    <w:p w14:paraId="009540B0" w14:textId="7E9C85BD" w:rsidR="003B0A68" w:rsidRPr="003B0A68" w:rsidRDefault="003B0A68" w:rsidP="003B0A68">
      <w:pPr>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528ABB87" w:rsidR="00B200E6" w:rsidRPr="00497206" w:rsidRDefault="00126296" w:rsidP="003B0A68">
            <w:pPr>
              <w:spacing w:line="254" w:lineRule="auto"/>
              <w:rPr>
                <w:bCs/>
                <w:szCs w:val="24"/>
              </w:rPr>
            </w:pPr>
            <w:r w:rsidRPr="00126296">
              <w:rPr>
                <w:szCs w:val="24"/>
              </w:rPr>
              <w:t xml:space="preserve">„Valymo paslaugų iš socialinių įmonių užsakymai per CPO LT elektroninį katalogą (2020)“ </w:t>
            </w:r>
            <w:r w:rsidR="003B0A68" w:rsidRPr="003B0A68">
              <w:rPr>
                <w:bCs/>
                <w:szCs w:val="24"/>
              </w:rPr>
              <w:t>(</w:t>
            </w:r>
            <w:r w:rsidR="00AA499E">
              <w:rPr>
                <w:color w:val="000000"/>
                <w:szCs w:val="24"/>
              </w:rPr>
              <w:t>202</w:t>
            </w:r>
            <w:r>
              <w:rPr>
                <w:color w:val="000000"/>
                <w:szCs w:val="24"/>
              </w:rPr>
              <w:t>0</w:t>
            </w:r>
            <w:r w:rsidR="00AA499E">
              <w:rPr>
                <w:color w:val="000000"/>
                <w:szCs w:val="24"/>
              </w:rPr>
              <w:t>-</w:t>
            </w:r>
            <w:r>
              <w:rPr>
                <w:color w:val="000000"/>
                <w:szCs w:val="24"/>
              </w:rPr>
              <w:t>11</w:t>
            </w:r>
            <w:r w:rsidR="00AA499E">
              <w:rPr>
                <w:color w:val="000000"/>
                <w:szCs w:val="24"/>
              </w:rPr>
              <w:t>-</w:t>
            </w:r>
            <w:r>
              <w:rPr>
                <w:color w:val="000000"/>
                <w:szCs w:val="24"/>
              </w:rPr>
              <w:t>28</w:t>
            </w:r>
            <w:r w:rsidR="00AA499E">
              <w:rPr>
                <w:color w:val="000000"/>
                <w:szCs w:val="24"/>
              </w:rPr>
              <w:t xml:space="preserve"> skelbtas Centrinėje viešųjų pirkimų informacinėje sistemoje (toliau – </w:t>
            </w:r>
            <w:r w:rsidR="00AA499E" w:rsidRPr="00BD3139">
              <w:rPr>
                <w:color w:val="000000"/>
                <w:szCs w:val="24"/>
              </w:rPr>
              <w:t>CVP IS</w:t>
            </w:r>
            <w:r w:rsidR="00AA499E">
              <w:rPr>
                <w:color w:val="000000"/>
                <w:szCs w:val="24"/>
              </w:rPr>
              <w:t xml:space="preserve">), pirkimo Nr. </w:t>
            </w:r>
            <w:r>
              <w:rPr>
                <w:color w:val="000000"/>
                <w:szCs w:val="24"/>
              </w:rPr>
              <w:t>522028</w:t>
            </w:r>
            <w:r w:rsidR="00AA499E" w:rsidRPr="002D7A8B">
              <w:rPr>
                <w:color w:val="000000"/>
                <w:szCs w:val="24"/>
              </w:rPr>
              <w:t xml:space="preserve">) </w:t>
            </w:r>
            <w:r w:rsidR="003B0A68" w:rsidRPr="002D7A8B">
              <w:rPr>
                <w:color w:val="000000"/>
                <w:szCs w:val="24"/>
              </w:rPr>
              <w:t>(toliau –</w:t>
            </w:r>
            <w:r w:rsidR="0072264F">
              <w:rPr>
                <w:color w:val="000000"/>
                <w:szCs w:val="24"/>
              </w:rPr>
              <w:t xml:space="preserve"> CPO</w:t>
            </w:r>
            <w:r w:rsidR="003B0A68" w:rsidRPr="002D7A8B">
              <w:rPr>
                <w:color w:val="000000"/>
                <w:szCs w:val="24"/>
              </w:rPr>
              <w:t xml:space="preserve"> Pirkimas</w:t>
            </w:r>
            <w:r>
              <w:rPr>
                <w:color w:val="000000"/>
                <w:szCs w:val="24"/>
              </w:rPr>
              <w:t>)</w:t>
            </w:r>
            <w:r w:rsidR="0020201B" w:rsidRPr="002D7A8B">
              <w:rPr>
                <w:color w:val="000000"/>
                <w:szCs w:val="24"/>
              </w:rPr>
              <w:t xml:space="preserve">, </w:t>
            </w:r>
            <w:r w:rsidR="0020201B" w:rsidRPr="002F5D55">
              <w:rPr>
                <w:color w:val="000000"/>
                <w:szCs w:val="24"/>
              </w:rPr>
              <w:t>202</w:t>
            </w:r>
            <w:r>
              <w:rPr>
                <w:color w:val="000000"/>
                <w:szCs w:val="24"/>
              </w:rPr>
              <w:t>1</w:t>
            </w:r>
            <w:r w:rsidR="0020201B" w:rsidRPr="002F5D55">
              <w:rPr>
                <w:color w:val="000000"/>
                <w:szCs w:val="24"/>
              </w:rPr>
              <w:t>-</w:t>
            </w:r>
            <w:r>
              <w:rPr>
                <w:color w:val="000000"/>
                <w:szCs w:val="24"/>
              </w:rPr>
              <w:t>06</w:t>
            </w:r>
            <w:r w:rsidR="0020201B">
              <w:rPr>
                <w:color w:val="000000"/>
                <w:szCs w:val="24"/>
              </w:rPr>
              <w:t>-0</w:t>
            </w:r>
            <w:r>
              <w:rPr>
                <w:color w:val="000000"/>
                <w:szCs w:val="24"/>
              </w:rPr>
              <w:t>1</w:t>
            </w:r>
            <w:r w:rsidR="0020201B" w:rsidRPr="002F5D55">
              <w:rPr>
                <w:color w:val="000000"/>
                <w:szCs w:val="24"/>
              </w:rPr>
              <w:t xml:space="preserve"> </w:t>
            </w:r>
            <w:r w:rsidR="0020201B">
              <w:rPr>
                <w:color w:val="000000"/>
                <w:szCs w:val="24"/>
              </w:rPr>
              <w:t>Pirkimo</w:t>
            </w:r>
            <w:r w:rsidR="0020201B" w:rsidRPr="002F5D55">
              <w:rPr>
                <w:color w:val="000000"/>
                <w:szCs w:val="24"/>
              </w:rPr>
              <w:t xml:space="preserve"> sutartis </w:t>
            </w:r>
            <w:r w:rsidR="0020201B" w:rsidRPr="002D7A8B">
              <w:rPr>
                <w:color w:val="000000"/>
                <w:szCs w:val="24"/>
              </w:rPr>
              <w:t xml:space="preserve">Nr. </w:t>
            </w:r>
            <w:r>
              <w:rPr>
                <w:color w:val="000000"/>
                <w:szCs w:val="24"/>
              </w:rPr>
              <w:t>CPO168466</w:t>
            </w:r>
            <w:r w:rsidR="000563BF">
              <w:rPr>
                <w:color w:val="000000"/>
                <w:szCs w:val="24"/>
              </w:rPr>
              <w:t xml:space="preserve"> (toliau –Sutar</w:t>
            </w:r>
            <w:r w:rsidR="001E30CB">
              <w:rPr>
                <w:color w:val="000000"/>
                <w:szCs w:val="24"/>
              </w:rPr>
              <w:t>t</w:t>
            </w:r>
            <w:r w:rsidR="000563BF">
              <w:rPr>
                <w:color w:val="000000"/>
                <w:szCs w:val="24"/>
              </w:rPr>
              <w:t>is)</w:t>
            </w:r>
            <w:r>
              <w:rPr>
                <w:color w:val="000000"/>
                <w:szCs w:val="24"/>
              </w:rPr>
              <w:t>.</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0402F4B0" w:rsidR="00B200E6" w:rsidRPr="00497206" w:rsidRDefault="005D2529" w:rsidP="008254E8">
            <w:pPr>
              <w:spacing w:line="254" w:lineRule="auto"/>
            </w:pPr>
            <w:r w:rsidRPr="00491E35">
              <w:rPr>
                <w:color w:val="000000"/>
                <w:szCs w:val="24"/>
              </w:rPr>
              <w:t>Įstatymas (</w:t>
            </w:r>
            <w:r w:rsidR="00D66814" w:rsidRPr="00893B34">
              <w:rPr>
                <w:color w:val="000000"/>
                <w:szCs w:val="24"/>
              </w:rPr>
              <w:t>redakcija galiojusi n</w:t>
            </w:r>
            <w:r w:rsidR="003F4A7F" w:rsidRPr="00893B34">
              <w:rPr>
                <w:color w:val="000000"/>
                <w:szCs w:val="24"/>
              </w:rPr>
              <w:t xml:space="preserve">uo </w:t>
            </w:r>
            <w:r w:rsidR="004E7C10" w:rsidRPr="00893B34">
              <w:t>202</w:t>
            </w:r>
            <w:r w:rsidR="00126296">
              <w:t>0</w:t>
            </w:r>
            <w:r w:rsidR="004E7C10" w:rsidRPr="00893B34">
              <w:t xml:space="preserve"> m. </w:t>
            </w:r>
            <w:r w:rsidR="00126296">
              <w:t>rugpjūčio 1</w:t>
            </w:r>
            <w:r w:rsidR="004E7C10" w:rsidRPr="00893B34">
              <w:t xml:space="preserve"> d. iki 202</w:t>
            </w:r>
            <w:r w:rsidR="00126296">
              <w:t>1</w:t>
            </w:r>
            <w:r w:rsidR="004E7C10" w:rsidRPr="00893B34">
              <w:t xml:space="preserve"> m. </w:t>
            </w:r>
            <w:r w:rsidR="00126296">
              <w:t>lapkričio 30</w:t>
            </w:r>
            <w:r w:rsidR="00B25589" w:rsidRPr="00893B34">
              <w:t xml:space="preserve"> </w:t>
            </w:r>
            <w:r w:rsidR="004E7C10" w:rsidRPr="00893B34">
              <w:t>d</w:t>
            </w:r>
            <w:r w:rsidR="004E7C10">
              <w:t>.)</w:t>
            </w:r>
            <w:r w:rsidR="0072264F">
              <w:t>.</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rPr>
                <w:rFonts w:eastAsia="Calibri"/>
                <w:szCs w:val="24"/>
              </w:rPr>
            </w:pPr>
            <w:bookmarkStart w:id="0" w:name="_Hlk137649467"/>
            <w:r w:rsidRPr="00945269">
              <w:rPr>
                <w:rFonts w:eastAsia="Calibri"/>
                <w:szCs w:val="24"/>
              </w:rPr>
              <w:t xml:space="preserve">Pirkimo rūšis pagal vertės ribas </w:t>
            </w:r>
            <w:bookmarkEnd w:id="0"/>
            <w:r w:rsidRPr="00945269">
              <w:rPr>
                <w:rFonts w:eastAsia="Calibri"/>
                <w:szCs w:val="24"/>
              </w:rPr>
              <w:t>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A81BA6C" w14:textId="59AD5086" w:rsidR="001C3CEF" w:rsidRPr="0072264F" w:rsidRDefault="00B154DD" w:rsidP="0072264F">
            <w:pPr>
              <w:rPr>
                <w:color w:val="000000"/>
                <w:szCs w:val="24"/>
              </w:rPr>
            </w:pPr>
            <w:r w:rsidRPr="0072264F">
              <w:rPr>
                <w:color w:val="000000"/>
                <w:szCs w:val="24"/>
              </w:rPr>
              <w:t>Tarptautinės</w:t>
            </w:r>
            <w:r w:rsidR="00604525" w:rsidRPr="0072264F">
              <w:rPr>
                <w:color w:val="000000"/>
                <w:szCs w:val="24"/>
              </w:rPr>
              <w:t xml:space="preserve"> vertės </w:t>
            </w:r>
            <w:r w:rsidR="00162E24" w:rsidRPr="0072264F">
              <w:rPr>
                <w:color w:val="000000"/>
                <w:szCs w:val="24"/>
              </w:rPr>
              <w:t>pirkimas</w:t>
            </w:r>
            <w:r w:rsidR="00AE5CB1" w:rsidRPr="0072264F">
              <w:rPr>
                <w:color w:val="000000"/>
                <w:szCs w:val="24"/>
              </w:rPr>
              <w:t xml:space="preserve">, </w:t>
            </w:r>
            <w:r w:rsidR="00AE5CB1" w:rsidRPr="0072264F">
              <w:rPr>
                <w:szCs w:val="24"/>
                <w:lang w:eastAsia="lt-LT"/>
              </w:rPr>
              <w:t>ribot</w:t>
            </w:r>
            <w:r w:rsidR="00893341">
              <w:rPr>
                <w:szCs w:val="24"/>
                <w:lang w:eastAsia="lt-LT"/>
              </w:rPr>
              <w:t>as</w:t>
            </w:r>
            <w:r w:rsidR="00AE5CB1" w:rsidRPr="0072264F">
              <w:rPr>
                <w:szCs w:val="24"/>
                <w:lang w:eastAsia="lt-LT"/>
              </w:rPr>
              <w:t xml:space="preserve"> konkurs</w:t>
            </w:r>
            <w:r w:rsidR="00893341">
              <w:rPr>
                <w:szCs w:val="24"/>
                <w:lang w:eastAsia="lt-LT"/>
              </w:rPr>
              <w:t>as,</w:t>
            </w:r>
            <w:r w:rsidR="00893341">
              <w:rPr>
                <w:szCs w:val="24"/>
              </w:rPr>
              <w:t xml:space="preserve"> </w:t>
            </w:r>
            <w:r w:rsidRPr="0072264F">
              <w:rPr>
                <w:szCs w:val="24"/>
              </w:rPr>
              <w:t>atliekamas taikant dinaminę pirkimo sistemą</w:t>
            </w:r>
            <w:r w:rsidRPr="0072264F" w:rsidDel="00D64091">
              <w:rPr>
                <w:szCs w:val="24"/>
                <w:vertAlign w:val="superscript"/>
              </w:rPr>
              <w:t xml:space="preserve"> </w:t>
            </w:r>
            <w:r w:rsidRPr="0072264F">
              <w:rPr>
                <w:szCs w:val="24"/>
              </w:rPr>
              <w:t>(toliau – DPS).</w:t>
            </w:r>
          </w:p>
          <w:p w14:paraId="5F53F75C" w14:textId="280532FC" w:rsidR="00B200E6" w:rsidRPr="0072264F" w:rsidRDefault="00B200E6" w:rsidP="0072264F">
            <w:pPr>
              <w:rPr>
                <w:szCs w:val="24"/>
              </w:rPr>
            </w:pP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412F3FFE" w14:textId="599C937A" w:rsidR="00633692" w:rsidRPr="0072264F" w:rsidRDefault="00633692" w:rsidP="0072264F">
            <w:pPr>
              <w:rPr>
                <w:szCs w:val="24"/>
              </w:rPr>
            </w:pPr>
            <w:r w:rsidRPr="0072264F">
              <w:rPr>
                <w:szCs w:val="24"/>
              </w:rPr>
              <w:t xml:space="preserve">Planuota </w:t>
            </w:r>
            <w:r w:rsidR="0072264F" w:rsidRPr="0072264F">
              <w:rPr>
                <w:szCs w:val="24"/>
              </w:rPr>
              <w:t>P</w:t>
            </w:r>
            <w:r w:rsidRPr="0072264F">
              <w:rPr>
                <w:szCs w:val="24"/>
              </w:rPr>
              <w:t xml:space="preserve">irkimo vertė – </w:t>
            </w:r>
            <w:bookmarkStart w:id="1" w:name="_Hlk137649671"/>
            <w:r w:rsidR="00B154DD" w:rsidRPr="0072264F">
              <w:rPr>
                <w:szCs w:val="24"/>
              </w:rPr>
              <w:t>82 644,63</w:t>
            </w:r>
            <w:r w:rsidR="00F952AB" w:rsidRPr="0072264F">
              <w:rPr>
                <w:szCs w:val="24"/>
              </w:rPr>
              <w:t xml:space="preserve"> </w:t>
            </w:r>
            <w:bookmarkEnd w:id="1"/>
            <w:r w:rsidR="00F952AB" w:rsidRPr="0072264F">
              <w:rPr>
                <w:szCs w:val="24"/>
              </w:rPr>
              <w:t>EUR</w:t>
            </w:r>
            <w:r w:rsidRPr="0072264F">
              <w:rPr>
                <w:szCs w:val="24"/>
              </w:rPr>
              <w:t xml:space="preserve"> be PVM</w:t>
            </w:r>
            <w:r w:rsidR="00F952AB" w:rsidRPr="0072264F">
              <w:rPr>
                <w:szCs w:val="24"/>
              </w:rPr>
              <w:t>.</w:t>
            </w:r>
          </w:p>
          <w:p w14:paraId="3FB69916" w14:textId="078E7DE7" w:rsidR="00B200E6" w:rsidRPr="0072264F" w:rsidRDefault="00633692" w:rsidP="0072264F">
            <w:pPr>
              <w:rPr>
                <w:szCs w:val="24"/>
              </w:rPr>
            </w:pPr>
            <w:r w:rsidRPr="0072264F">
              <w:rPr>
                <w:szCs w:val="24"/>
              </w:rPr>
              <w:t xml:space="preserve">Sudarytos </w:t>
            </w:r>
            <w:r w:rsidR="001E30CB">
              <w:rPr>
                <w:szCs w:val="24"/>
              </w:rPr>
              <w:t>S</w:t>
            </w:r>
            <w:r w:rsidRPr="0072264F">
              <w:rPr>
                <w:szCs w:val="24"/>
              </w:rPr>
              <w:t>utarties vertė –</w:t>
            </w:r>
            <w:r w:rsidR="0072264F" w:rsidRPr="0072264F">
              <w:rPr>
                <w:szCs w:val="24"/>
              </w:rPr>
              <w:t xml:space="preserve"> 82 487,04 </w:t>
            </w:r>
            <w:r w:rsidRPr="0072264F">
              <w:rPr>
                <w:szCs w:val="24"/>
              </w:rPr>
              <w:t>EUR be PVM</w:t>
            </w:r>
            <w:r w:rsidR="0072264F">
              <w:rPr>
                <w:szCs w:val="24"/>
              </w:rPr>
              <w:t>.</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66CE7722" w:rsidR="00B200E6" w:rsidRPr="0072264F" w:rsidRDefault="00795C09" w:rsidP="0072264F">
            <w:pPr>
              <w:rPr>
                <w:szCs w:val="24"/>
              </w:rPr>
            </w:pPr>
            <w:r w:rsidRPr="0072264F">
              <w:rPr>
                <w:szCs w:val="24"/>
              </w:rPr>
              <w:t xml:space="preserve"> </w:t>
            </w:r>
            <w:r w:rsidR="00EC3DB8" w:rsidRPr="0072264F">
              <w:rPr>
                <w:szCs w:val="24"/>
              </w:rPr>
              <w:t>UAB</w:t>
            </w:r>
            <w:r w:rsidR="0072264F" w:rsidRPr="0072264F">
              <w:rPr>
                <w:szCs w:val="24"/>
              </w:rPr>
              <w:t xml:space="preserve"> „Socialinė integracija“, </w:t>
            </w:r>
            <w:r w:rsidR="0023068D" w:rsidRPr="0072264F">
              <w:rPr>
                <w:szCs w:val="24"/>
              </w:rPr>
              <w:t xml:space="preserve">juridinio asmens kodas </w:t>
            </w:r>
            <w:r w:rsidR="0072264F" w:rsidRPr="0072264F">
              <w:rPr>
                <w:szCs w:val="24"/>
              </w:rPr>
              <w:t>302496427</w:t>
            </w:r>
            <w:r w:rsidR="00271E69">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rPr>
                <w:rFonts w:eastAsia="Calibri"/>
                <w:szCs w:val="24"/>
              </w:rPr>
            </w:pPr>
            <w:r w:rsidRPr="00945269">
              <w:rPr>
                <w:rFonts w:eastAsia="Calibri"/>
                <w:szCs w:val="24"/>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60F484C7" w:rsidR="00B200E6" w:rsidRPr="0072264F" w:rsidRDefault="00851806" w:rsidP="009E63D6">
            <w:pPr>
              <w:spacing w:line="254" w:lineRule="auto"/>
              <w:rPr>
                <w:szCs w:val="24"/>
              </w:rPr>
            </w:pPr>
            <w:r w:rsidRPr="0072264F">
              <w:rPr>
                <w:rFonts w:eastAsia="Calibri"/>
                <w:szCs w:val="24"/>
                <w:lang w:eastAsia="lt-LT"/>
              </w:rPr>
              <w:t xml:space="preserve">Dalinis </w:t>
            </w:r>
            <w:r w:rsidR="001E30CB">
              <w:rPr>
                <w:rFonts w:eastAsia="Calibri"/>
                <w:szCs w:val="24"/>
                <w:lang w:eastAsia="lt-LT"/>
              </w:rPr>
              <w:t>Pirkimo Sutarties</w:t>
            </w:r>
            <w:r w:rsidRPr="0072264F">
              <w:rPr>
                <w:rFonts w:eastAsia="Calibri"/>
                <w:szCs w:val="24"/>
                <w:lang w:eastAsia="lt-LT"/>
              </w:rPr>
              <w:t xml:space="preserve"> vertinimas </w:t>
            </w:r>
            <w:r w:rsidR="0072264F" w:rsidRPr="0072264F">
              <w:rPr>
                <w:color w:val="222222"/>
                <w:szCs w:val="24"/>
                <w:shd w:val="clear" w:color="auto" w:fill="FFFFFF"/>
              </w:rPr>
              <w:t> dėl</w:t>
            </w:r>
            <w:r w:rsidR="001E30CB">
              <w:rPr>
                <w:color w:val="222222"/>
                <w:szCs w:val="24"/>
                <w:shd w:val="clear" w:color="auto" w:fill="FFFFFF"/>
              </w:rPr>
              <w:t xml:space="preserve"> Sutarties</w:t>
            </w:r>
            <w:r w:rsidR="0072264F" w:rsidRPr="0072264F">
              <w:rPr>
                <w:color w:val="222222"/>
                <w:szCs w:val="24"/>
                <w:shd w:val="clear" w:color="auto" w:fill="FFFFFF"/>
              </w:rPr>
              <w:t xml:space="preserve"> keitimo teisėtumo</w:t>
            </w:r>
            <w:r w:rsidR="0072264F">
              <w:rPr>
                <w:color w:val="222222"/>
                <w:szCs w:val="24"/>
                <w:shd w:val="clear" w:color="auto" w:fill="FFFFFF"/>
              </w:rPr>
              <w:t>.</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53E75E8A" w:rsidR="00B200E6" w:rsidRPr="009E63D6" w:rsidRDefault="0072264F" w:rsidP="008254E8">
            <w:pPr>
              <w:rPr>
                <w:szCs w:val="24"/>
                <w:lang w:eastAsia="lt-LT"/>
              </w:rPr>
            </w:pPr>
            <w:r>
              <w:rPr>
                <w:szCs w:val="24"/>
                <w:lang w:eastAsia="lt-LT"/>
              </w:rPr>
              <w:t>–</w:t>
            </w:r>
          </w:p>
        </w:tc>
      </w:tr>
      <w:tr w:rsidR="001C3CEF" w:rsidRPr="00945269" w14:paraId="0E1C56DE" w14:textId="77777777" w:rsidTr="003A17D8">
        <w:tc>
          <w:tcPr>
            <w:tcW w:w="9781" w:type="dxa"/>
            <w:gridSpan w:val="2"/>
            <w:shd w:val="clear" w:color="auto" w:fill="auto"/>
            <w:vAlign w:val="center"/>
          </w:tcPr>
          <w:p w14:paraId="55BC97DD" w14:textId="77777777" w:rsidR="001C3CEF" w:rsidRDefault="001C3CEF" w:rsidP="008254E8">
            <w:pPr>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77669A">
              <w:rPr>
                <w:szCs w:val="24"/>
              </w:rPr>
              <w:t>–</w:t>
            </w:r>
            <w:r w:rsidR="00D423FF">
              <w:rPr>
                <w:szCs w:val="24"/>
              </w:rPr>
              <w:t>.</w:t>
            </w:r>
          </w:p>
          <w:p w14:paraId="362D9791" w14:textId="6E192565" w:rsidR="00B200E6" w:rsidRPr="00945269" w:rsidRDefault="00B200E6" w:rsidP="008254E8">
            <w:pPr>
              <w:rPr>
                <w:szCs w:val="24"/>
              </w:rPr>
            </w:pPr>
          </w:p>
        </w:tc>
      </w:tr>
    </w:tbl>
    <w:p w14:paraId="393CA7B5" w14:textId="77777777" w:rsidR="00FC5CFE" w:rsidRPr="00945269" w:rsidRDefault="006970CE" w:rsidP="009A4F8B">
      <w:pPr>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5C428B6D" w:rsidR="0074149F" w:rsidRPr="00945269" w:rsidRDefault="00AA0131" w:rsidP="00A75757">
            <w:pPr>
              <w:jc w:val="left"/>
              <w:rPr>
                <w:bCs/>
                <w:szCs w:val="24"/>
                <w:lang w:eastAsia="lt-LT"/>
              </w:rPr>
            </w:pPr>
            <w:r>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08312745" w:rsidR="001D3144" w:rsidRPr="00945269" w:rsidRDefault="005260E8" w:rsidP="0074149F">
            <w:pPr>
              <w:rPr>
                <w:bCs/>
                <w:iCs/>
                <w:szCs w:val="24"/>
                <w:lang w:eastAsia="lt-LT"/>
              </w:rPr>
            </w:pPr>
            <w:r>
              <w:rPr>
                <w:bCs/>
                <w:iCs/>
                <w:szCs w:val="24"/>
                <w:lang w:eastAsia="lt-LT"/>
              </w:rPr>
              <w:t>-</w:t>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54E63D4C" w:rsidR="005D0E2C" w:rsidRPr="003C7563" w:rsidRDefault="005D0E2C" w:rsidP="005260E8">
            <w:pPr>
              <w:rPr>
                <w:szCs w:val="24"/>
              </w:rPr>
            </w:pP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2B968DBD" w:rsidR="00F62560" w:rsidRPr="00945269" w:rsidRDefault="00971753" w:rsidP="00C803B6">
            <w:pPr>
              <w:rPr>
                <w:bCs/>
                <w:szCs w:val="24"/>
                <w:lang w:eastAsia="lt-LT"/>
              </w:rPr>
            </w:pPr>
            <w:bookmarkStart w:id="2" w:name="_Hlk98485144"/>
            <w:r>
              <w:rPr>
                <w:bCs/>
                <w:szCs w:val="24"/>
                <w:lang w:eastAsia="lt-LT"/>
              </w:rPr>
              <w:t>2</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0666AA0E" w:rsidR="00F62560" w:rsidRPr="00D14E52" w:rsidRDefault="00795C09" w:rsidP="00C803B6">
            <w:pPr>
              <w:rPr>
                <w:bCs/>
                <w:iCs/>
                <w:szCs w:val="24"/>
                <w:lang w:eastAsia="lt-LT"/>
              </w:rPr>
            </w:pPr>
            <w:r>
              <w:rPr>
                <w:szCs w:val="24"/>
              </w:rPr>
              <w:t xml:space="preserve"> </w:t>
            </w:r>
            <w:r w:rsidR="00971753" w:rsidRPr="00971753">
              <w:rPr>
                <w:bCs/>
                <w:iCs/>
                <w:szCs w:val="24"/>
                <w:lang w:eastAsia="lt-LT"/>
              </w:rPr>
              <w:t xml:space="preserve"> </w:t>
            </w:r>
            <w:r w:rsidR="00B51CD4">
              <w:rPr>
                <w:bCs/>
                <w:iCs/>
                <w:szCs w:val="24"/>
                <w:lang w:eastAsia="lt-LT"/>
              </w:rPr>
              <w:t>-</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5F0414BB" w:rsidR="005E2AC1" w:rsidRPr="000E110D" w:rsidRDefault="005E2AC1" w:rsidP="00924F8A">
            <w:pPr>
              <w:rPr>
                <w:bCs/>
                <w:szCs w:val="24"/>
                <w:lang w:eastAsia="lt-LT"/>
              </w:rPr>
            </w:pPr>
          </w:p>
        </w:tc>
      </w:tr>
      <w:bookmarkEnd w:id="2"/>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DCE6C5C" w14:textId="66CFC01F" w:rsidR="00FD21D4" w:rsidRDefault="00FD21D4" w:rsidP="00FD21D4">
            <w:pPr>
              <w:pStyle w:val="Komentarotekstas"/>
              <w:rPr>
                <w:sz w:val="24"/>
                <w:szCs w:val="24"/>
              </w:rPr>
            </w:pPr>
            <w:r>
              <w:rPr>
                <w:sz w:val="24"/>
                <w:szCs w:val="24"/>
              </w:rPr>
              <w:t xml:space="preserve">Dalinio vertinimo metu sprendžiama, ar viešojo pirkimo Sutartis jos galiojimo laikotarpiu buvo pakeista laikantis Įstatymo ir kitų poįstatyminių </w:t>
            </w:r>
            <w:r w:rsidR="00EF4845">
              <w:rPr>
                <w:sz w:val="24"/>
                <w:szCs w:val="24"/>
              </w:rPr>
              <w:t xml:space="preserve">teisės </w:t>
            </w:r>
            <w:r>
              <w:rPr>
                <w:sz w:val="24"/>
                <w:szCs w:val="24"/>
              </w:rPr>
              <w:t>aktų, reglamentuojančių viešojo pirkimo sutarties keitimą.</w:t>
            </w:r>
          </w:p>
          <w:p w14:paraId="131FC497" w14:textId="77777777" w:rsidR="00FD21D4" w:rsidRPr="00733DAD" w:rsidRDefault="00FD21D4" w:rsidP="00FD21D4">
            <w:pPr>
              <w:pStyle w:val="Komentarotekstas"/>
              <w:rPr>
                <w:b/>
                <w:bCs/>
                <w:sz w:val="24"/>
                <w:szCs w:val="24"/>
              </w:rPr>
            </w:pPr>
            <w:r w:rsidRPr="00733DAD">
              <w:rPr>
                <w:b/>
                <w:bCs/>
                <w:sz w:val="24"/>
                <w:szCs w:val="24"/>
              </w:rPr>
              <w:t>Dėl Sutarties pakeitim</w:t>
            </w:r>
            <w:r>
              <w:rPr>
                <w:b/>
                <w:bCs/>
                <w:sz w:val="24"/>
                <w:szCs w:val="24"/>
              </w:rPr>
              <w:t xml:space="preserve">o ir Perkančiosios organizacijos nurodytų aplinkybių </w:t>
            </w:r>
          </w:p>
          <w:p w14:paraId="44C58D0D" w14:textId="5B1F0B95" w:rsidR="00FD21D4" w:rsidRPr="00A55B9F" w:rsidRDefault="00FD21D4" w:rsidP="00FD21D4">
            <w:pPr>
              <w:pStyle w:val="Komentarotekstas"/>
              <w:rPr>
                <w:sz w:val="24"/>
                <w:szCs w:val="24"/>
                <w:lang w:val="en-GB"/>
              </w:rPr>
            </w:pPr>
            <w:r>
              <w:rPr>
                <w:sz w:val="24"/>
                <w:szCs w:val="24"/>
              </w:rPr>
              <w:t>Iš CVP IS sistemoje patalpintų ir vertinimui pateiktų dokumentų matyti, kad 2022 m. gruodžio 16 d. Sutarties šalys sudarė papildomą susitarimą</w:t>
            </w:r>
            <w:r>
              <w:rPr>
                <w:rStyle w:val="Puslapioinaosnuoroda"/>
                <w:sz w:val="24"/>
                <w:szCs w:val="24"/>
              </w:rPr>
              <w:footnoteReference w:id="2"/>
            </w:r>
            <w:r>
              <w:rPr>
                <w:sz w:val="24"/>
                <w:szCs w:val="24"/>
              </w:rPr>
              <w:t xml:space="preserve"> dėl Sutarties pakeitimo (toliau – Susitarimas) bei susitarė pakeisti Sutarties 5.7 punktą</w:t>
            </w:r>
            <w:r>
              <w:rPr>
                <w:rStyle w:val="Puslapioinaosnuoroda"/>
                <w:sz w:val="24"/>
                <w:szCs w:val="24"/>
              </w:rPr>
              <w:footnoteReference w:id="3"/>
            </w:r>
            <w:r>
              <w:rPr>
                <w:sz w:val="24"/>
                <w:szCs w:val="24"/>
              </w:rPr>
              <w:t xml:space="preserve"> ir jį išdėstyti taip: „</w:t>
            </w:r>
            <w:r w:rsidRPr="00A55B9F">
              <w:rPr>
                <w:i/>
                <w:iCs/>
                <w:sz w:val="24"/>
                <w:szCs w:val="24"/>
              </w:rPr>
              <w:t xml:space="preserve">Paslaugų kaina gali būti keičiama pasikeitus Lietuvos Respublikos Vyriausybės nustatytai minimaliam darbo užmokesčiui (MMA). Paslaugų kaina perskaičiuojama pagal tokią formulę: </w:t>
            </w:r>
            <m:oMath>
              <m:sSub>
                <m:sSubPr>
                  <m:ctrlPr>
                    <w:rPr>
                      <w:rFonts w:ascii="Cambria Math" w:hAnsi="Cambria Math"/>
                      <w:i/>
                      <w:iCs/>
                      <w:sz w:val="24"/>
                      <w:szCs w:val="24"/>
                      <w:lang w:val="en-GB"/>
                    </w:rPr>
                  </m:ctrlPr>
                </m:sSubPr>
                <m:e>
                  <m:r>
                    <w:rPr>
                      <w:rFonts w:ascii="Cambria Math" w:hAnsi="Cambria Math"/>
                      <w:sz w:val="24"/>
                      <w:szCs w:val="24"/>
                      <w:lang w:val="en-GB"/>
                    </w:rPr>
                    <m:t>K</m:t>
                  </m:r>
                </m:e>
                <m:sub>
                  <m:r>
                    <w:rPr>
                      <w:rFonts w:ascii="Cambria Math" w:hAnsi="Cambria Math"/>
                      <w:sz w:val="24"/>
                      <w:szCs w:val="24"/>
                      <w:lang w:val="en-GB"/>
                    </w:rPr>
                    <m:t>1</m:t>
                  </m:r>
                </m:sub>
              </m:sSub>
              <m:r>
                <w:rPr>
                  <w:rFonts w:ascii="Cambria Math" w:hAnsi="Cambria Math"/>
                  <w:sz w:val="24"/>
                  <w:szCs w:val="24"/>
                  <w:lang w:val="en-GB"/>
                </w:rPr>
                <m:t>=</m:t>
              </m:r>
              <m:f>
                <m:fPr>
                  <m:ctrlPr>
                    <w:rPr>
                      <w:rFonts w:ascii="Cambria Math" w:hAnsi="Cambria Math"/>
                      <w:i/>
                      <w:iCs/>
                      <w:sz w:val="24"/>
                      <w:szCs w:val="24"/>
                      <w:lang w:val="en-GB"/>
                    </w:rPr>
                  </m:ctrlPr>
                </m:fPr>
                <m:num>
                  <m:sSub>
                    <m:sSubPr>
                      <m:ctrlPr>
                        <w:rPr>
                          <w:rFonts w:ascii="Cambria Math" w:hAnsi="Cambria Math"/>
                          <w:i/>
                          <w:iCs/>
                          <w:sz w:val="24"/>
                          <w:szCs w:val="24"/>
                          <w:lang w:val="en-GB"/>
                        </w:rPr>
                      </m:ctrlPr>
                    </m:sSubPr>
                    <m:e>
                      <m:r>
                        <w:rPr>
                          <w:rFonts w:ascii="Cambria Math" w:hAnsi="Cambria Math"/>
                          <w:sz w:val="24"/>
                          <w:szCs w:val="24"/>
                          <w:lang w:val="en-GB"/>
                        </w:rPr>
                        <m:t>M</m:t>
                      </m:r>
                    </m:e>
                    <m:sub>
                      <m:r>
                        <w:rPr>
                          <w:rFonts w:ascii="Cambria Math" w:hAnsi="Cambria Math"/>
                          <w:sz w:val="24"/>
                          <w:szCs w:val="24"/>
                          <w:lang w:val="en-GB"/>
                        </w:rPr>
                        <m:t>1</m:t>
                      </m:r>
                    </m:sub>
                  </m:sSub>
                </m:num>
                <m:den>
                  <m:r>
                    <w:rPr>
                      <w:rFonts w:ascii="Cambria Math" w:hAnsi="Cambria Math"/>
                      <w:sz w:val="24"/>
                      <w:szCs w:val="24"/>
                      <w:lang w:val="en-GB"/>
                    </w:rPr>
                    <m:t>M</m:t>
                  </m:r>
                </m:den>
              </m:f>
              <m:r>
                <w:rPr>
                  <w:rFonts w:ascii="Cambria Math" w:hAnsi="Cambria Math"/>
                  <w:sz w:val="24"/>
                  <w:szCs w:val="24"/>
                  <w:lang w:val="en-GB"/>
                </w:rPr>
                <m:t>*K</m:t>
              </m:r>
            </m:oMath>
            <w:r w:rsidRPr="00A55B9F">
              <w:rPr>
                <w:i/>
                <w:iCs/>
                <w:sz w:val="24"/>
                <w:szCs w:val="24"/>
                <w:lang w:val="en-GB"/>
              </w:rPr>
              <w:t xml:space="preserve"> &lt;…&gt;</w:t>
            </w:r>
            <w:r w:rsidR="00FF77C8" w:rsidRPr="00A55B9F">
              <w:rPr>
                <w:i/>
                <w:iCs/>
                <w:sz w:val="24"/>
                <w:szCs w:val="24"/>
                <w:lang w:val="en-GB"/>
              </w:rPr>
              <w:t>”</w:t>
            </w:r>
            <w:r w:rsidR="00FF77C8">
              <w:rPr>
                <w:i/>
                <w:iCs/>
                <w:sz w:val="24"/>
                <w:szCs w:val="24"/>
                <w:lang w:val="en-GB"/>
              </w:rPr>
              <w:t>,</w:t>
            </w:r>
            <w:r w:rsidRPr="00A55B9F">
              <w:rPr>
                <w:i/>
                <w:iCs/>
                <w:sz w:val="24"/>
                <w:szCs w:val="24"/>
                <w:lang w:val="en-GB"/>
              </w:rPr>
              <w:t xml:space="preserve"> </w:t>
            </w:r>
            <w:r w:rsidRPr="00A55B9F">
              <w:rPr>
                <w:sz w:val="24"/>
                <w:szCs w:val="24"/>
              </w:rPr>
              <w:t xml:space="preserve">kur </w:t>
            </w:r>
          </w:p>
          <w:p w14:paraId="69C10E67" w14:textId="77777777" w:rsidR="00FD21D4" w:rsidRPr="00A55B9F" w:rsidRDefault="00FD21D4" w:rsidP="00FD21D4">
            <w:pPr>
              <w:ind w:left="357" w:firstLine="794"/>
              <w:rPr>
                <w:rFonts w:eastAsia="HG Mincho Light J"/>
                <w:color w:val="000000"/>
                <w:szCs w:val="24"/>
                <w:lang w:eastAsia="lt-LT"/>
              </w:rPr>
            </w:pPr>
            <w:r w:rsidRPr="00A55B9F">
              <w:rPr>
                <w:rFonts w:eastAsia="Calibri"/>
                <w:szCs w:val="24"/>
                <w14:ligatures w14:val="standardContextual"/>
              </w:rPr>
              <w:t>K</w:t>
            </w:r>
            <w:r w:rsidRPr="00A55B9F">
              <w:rPr>
                <w:rFonts w:eastAsia="Calibri"/>
                <w:sz w:val="14"/>
                <w:szCs w:val="14"/>
                <w14:ligatures w14:val="standardContextual"/>
              </w:rPr>
              <w:t>1</w:t>
            </w:r>
            <w:r w:rsidRPr="00A55B9F">
              <w:rPr>
                <w:rFonts w:eastAsia="HG Mincho Light J"/>
                <w:color w:val="000000"/>
                <w:szCs w:val="24"/>
                <w:lang w:eastAsia="lt-LT"/>
              </w:rPr>
              <w:t>– paslaugų įkainiai, kurie bus taikomi po perskaičiavimo;</w:t>
            </w:r>
          </w:p>
          <w:p w14:paraId="2E5267BA" w14:textId="77777777" w:rsidR="00FD21D4" w:rsidRPr="00A55B9F" w:rsidRDefault="00FD21D4" w:rsidP="00FD21D4">
            <w:pPr>
              <w:ind w:left="357" w:firstLine="794"/>
              <w:rPr>
                <w:rFonts w:eastAsia="HG Mincho Light J"/>
                <w:color w:val="000000"/>
                <w:szCs w:val="24"/>
                <w:lang w:eastAsia="lt-LT"/>
              </w:rPr>
            </w:pPr>
            <w:r w:rsidRPr="00A55B9F">
              <w:rPr>
                <w:rFonts w:eastAsia="HG Mincho Light J"/>
                <w:color w:val="000000"/>
                <w:szCs w:val="24"/>
                <w:lang w:eastAsia="lt-LT"/>
              </w:rPr>
              <w:t>K – paslaugų įkainiai nurodyti sutartyje;</w:t>
            </w:r>
          </w:p>
          <w:p w14:paraId="2A620A09" w14:textId="77777777" w:rsidR="00FD21D4" w:rsidRPr="00A55B9F" w:rsidRDefault="00FD21D4" w:rsidP="00FD21D4">
            <w:pPr>
              <w:ind w:left="357" w:firstLine="794"/>
              <w:rPr>
                <w:rFonts w:eastAsia="HG Mincho Light J"/>
                <w:color w:val="000000"/>
                <w:szCs w:val="24"/>
                <w:lang w:eastAsia="lt-LT"/>
              </w:rPr>
            </w:pPr>
            <w:r w:rsidRPr="00A55B9F">
              <w:rPr>
                <w:rFonts w:eastAsia="Calibri"/>
                <w:szCs w:val="24"/>
                <w14:ligatures w14:val="standardContextual"/>
              </w:rPr>
              <w:t>M</w:t>
            </w:r>
            <w:r w:rsidRPr="00A55B9F">
              <w:rPr>
                <w:rFonts w:eastAsia="Calibri"/>
                <w:sz w:val="14"/>
                <w:szCs w:val="14"/>
                <w14:ligatures w14:val="standardContextual"/>
              </w:rPr>
              <w:t>1</w:t>
            </w:r>
            <w:r w:rsidRPr="00A55B9F">
              <w:rPr>
                <w:rFonts w:eastAsia="HG Mincho Light J"/>
                <w:color w:val="000000"/>
                <w:szCs w:val="24"/>
                <w:lang w:eastAsia="lt-LT"/>
              </w:rPr>
              <w:t>– Lietuvos Respublikos Vyriausybės nustatytas MMA;</w:t>
            </w:r>
          </w:p>
          <w:p w14:paraId="0E27CF58" w14:textId="77777777" w:rsidR="00FD21D4" w:rsidRDefault="00FD21D4" w:rsidP="00FD21D4">
            <w:pPr>
              <w:ind w:left="357" w:firstLine="794"/>
              <w:rPr>
                <w:rFonts w:eastAsia="HG Mincho Light J"/>
                <w:color w:val="000000"/>
                <w:szCs w:val="24"/>
                <w:lang w:eastAsia="lt-LT"/>
              </w:rPr>
            </w:pPr>
            <w:r w:rsidRPr="00A55B9F">
              <w:rPr>
                <w:rFonts w:eastAsia="HG Mincho Light J"/>
                <w:color w:val="000000"/>
                <w:szCs w:val="24"/>
                <w:lang w:eastAsia="lt-LT"/>
              </w:rPr>
              <w:t>M – Lietuvos Respublikos Vyriausybės nustatytas MMA sutarties sudarymo metu.</w:t>
            </w:r>
          </w:p>
          <w:p w14:paraId="284A0ECE" w14:textId="77777777" w:rsidR="00FD21D4" w:rsidRDefault="00FD21D4" w:rsidP="00FD21D4">
            <w:pPr>
              <w:rPr>
                <w:rFonts w:eastAsia="HG Mincho Light J"/>
                <w:color w:val="000000"/>
                <w:szCs w:val="24"/>
                <w:lang w:eastAsia="lt-LT"/>
              </w:rPr>
            </w:pPr>
            <w:r>
              <w:rPr>
                <w:rFonts w:eastAsia="HG Mincho Light J"/>
                <w:color w:val="000000"/>
                <w:szCs w:val="24"/>
                <w:lang w:eastAsia="lt-LT"/>
              </w:rPr>
              <w:t xml:space="preserve">Susitarimas įsigaliojo 2023 m. sausio 1 d., pagal pakeistą Sutarties 5.7 punktą buvo perskaičiuota ir nuo jo įsigaliojimo iš naujo nustatyta (perskaičiuota) paslaugų kaina (įkainiai).  </w:t>
            </w:r>
          </w:p>
          <w:p w14:paraId="3C26B247" w14:textId="35E5CEC0" w:rsidR="00FD21D4" w:rsidRDefault="00FD21D4" w:rsidP="00FD21D4">
            <w:pPr>
              <w:rPr>
                <w:rFonts w:eastAsia="Calibri"/>
                <w:szCs w:val="24"/>
                <w:lang w:eastAsia="lt-LT"/>
              </w:rPr>
            </w:pPr>
            <w:r>
              <w:rPr>
                <w:rFonts w:eastAsia="HG Mincho Light J"/>
                <w:color w:val="000000"/>
                <w:szCs w:val="24"/>
                <w:lang w:eastAsia="lt-LT"/>
              </w:rPr>
              <w:t>Atsakydama į Tarnybos paklausimą</w:t>
            </w:r>
            <w:r>
              <w:rPr>
                <w:rStyle w:val="Puslapioinaosnuoroda"/>
                <w:rFonts w:eastAsia="HG Mincho Light J"/>
                <w:color w:val="000000"/>
                <w:szCs w:val="24"/>
                <w:lang w:eastAsia="lt-LT"/>
              </w:rPr>
              <w:footnoteReference w:id="4"/>
            </w:r>
            <w:r>
              <w:t xml:space="preserve"> ir prašymą </w:t>
            </w:r>
            <w:r w:rsidRPr="00733DAD">
              <w:rPr>
                <w:rFonts w:eastAsia="HG Mincho Light J"/>
                <w:color w:val="000000"/>
                <w:szCs w:val="24"/>
                <w:lang w:eastAsia="lt-LT"/>
              </w:rPr>
              <w:t xml:space="preserve">paaiškinti </w:t>
            </w:r>
            <w:r>
              <w:rPr>
                <w:rFonts w:eastAsia="HG Mincho Light J"/>
                <w:color w:val="000000"/>
                <w:szCs w:val="24"/>
                <w:lang w:eastAsia="lt-LT"/>
              </w:rPr>
              <w:t>bei</w:t>
            </w:r>
            <w:r w:rsidRPr="00733DAD">
              <w:rPr>
                <w:rFonts w:eastAsia="HG Mincho Light J"/>
                <w:color w:val="000000"/>
                <w:szCs w:val="24"/>
                <w:lang w:eastAsia="lt-LT"/>
              </w:rPr>
              <w:t xml:space="preserve"> išsamiai pagrįsti, kokiu teisiniu pagrindu remiantis buvo sudarytas Susitarimas, kuriuo iš esmės buvo nustatytos papildomos aplinkybės, išplečiančios teikiamų paslaugų kainos perskaičiavimo galimybes</w:t>
            </w:r>
            <w:r>
              <w:rPr>
                <w:rFonts w:eastAsia="HG Mincho Light J"/>
                <w:color w:val="000000"/>
                <w:szCs w:val="24"/>
                <w:lang w:eastAsia="lt-LT"/>
              </w:rPr>
              <w:t>, Perkančioji organizacija paaiškino</w:t>
            </w:r>
            <w:r>
              <w:rPr>
                <w:rStyle w:val="Puslapioinaosnuoroda"/>
                <w:rFonts w:eastAsia="HG Mincho Light J"/>
                <w:color w:val="000000"/>
                <w:szCs w:val="24"/>
                <w:lang w:eastAsia="lt-LT"/>
              </w:rPr>
              <w:footnoteReference w:id="5"/>
            </w:r>
            <w:r>
              <w:rPr>
                <w:rFonts w:eastAsia="HG Mincho Light J"/>
                <w:color w:val="000000"/>
                <w:szCs w:val="24"/>
                <w:lang w:eastAsia="lt-LT"/>
              </w:rPr>
              <w:t>, kad s</w:t>
            </w:r>
            <w:r w:rsidRPr="00733DAD">
              <w:rPr>
                <w:rFonts w:eastAsia="HG Mincho Light J"/>
                <w:color w:val="000000"/>
                <w:szCs w:val="24"/>
                <w:lang w:eastAsia="lt-LT"/>
              </w:rPr>
              <w:t>prendimas pasirašyti</w:t>
            </w:r>
            <w:r>
              <w:rPr>
                <w:rFonts w:eastAsia="HG Mincho Light J"/>
                <w:color w:val="000000"/>
                <w:szCs w:val="24"/>
                <w:lang w:eastAsia="lt-LT"/>
              </w:rPr>
              <w:t xml:space="preserve"> p</w:t>
            </w:r>
            <w:r w:rsidRPr="00733DAD">
              <w:rPr>
                <w:rFonts w:eastAsia="HG Mincho Light J"/>
                <w:color w:val="000000"/>
                <w:szCs w:val="24"/>
                <w:lang w:eastAsia="lt-LT"/>
              </w:rPr>
              <w:t xml:space="preserve">apildomą </w:t>
            </w:r>
            <w:r>
              <w:rPr>
                <w:rFonts w:eastAsia="HG Mincho Light J"/>
                <w:color w:val="000000"/>
                <w:szCs w:val="24"/>
                <w:lang w:eastAsia="lt-LT"/>
              </w:rPr>
              <w:t>S</w:t>
            </w:r>
            <w:r w:rsidRPr="00733DAD">
              <w:rPr>
                <w:rFonts w:eastAsia="HG Mincho Light J"/>
                <w:color w:val="000000"/>
                <w:szCs w:val="24"/>
                <w:lang w:eastAsia="lt-LT"/>
              </w:rPr>
              <w:t>usitarimą prie 2021</w:t>
            </w:r>
            <w:r w:rsidR="00EF4845">
              <w:rPr>
                <w:rFonts w:eastAsia="HG Mincho Light J"/>
                <w:color w:val="000000"/>
                <w:szCs w:val="24"/>
                <w:lang w:eastAsia="lt-LT"/>
              </w:rPr>
              <w:t xml:space="preserve"> m. birželio 1 d.</w:t>
            </w:r>
            <w:r w:rsidRPr="00733DAD">
              <w:rPr>
                <w:rFonts w:eastAsia="HG Mincho Light J"/>
                <w:color w:val="000000"/>
                <w:szCs w:val="24"/>
                <w:lang w:eastAsia="lt-LT"/>
              </w:rPr>
              <w:t xml:space="preserve"> </w:t>
            </w:r>
            <w:r w:rsidRPr="00733DAD">
              <w:rPr>
                <w:rFonts w:eastAsia="HG Mincho Light J"/>
                <w:color w:val="000000"/>
                <w:szCs w:val="24"/>
                <w:lang w:eastAsia="lt-LT"/>
              </w:rPr>
              <w:lastRenderedPageBreak/>
              <w:t xml:space="preserve">pirkimo </w:t>
            </w:r>
            <w:r>
              <w:rPr>
                <w:rFonts w:eastAsia="HG Mincho Light J"/>
                <w:color w:val="000000"/>
                <w:szCs w:val="24"/>
                <w:lang w:eastAsia="lt-LT"/>
              </w:rPr>
              <w:t>S</w:t>
            </w:r>
            <w:r w:rsidRPr="00733DAD">
              <w:rPr>
                <w:rFonts w:eastAsia="HG Mincho Light J"/>
                <w:color w:val="000000"/>
                <w:szCs w:val="24"/>
                <w:lang w:eastAsia="lt-LT"/>
              </w:rPr>
              <w:t xml:space="preserve">utarties buvo priimtas vadovaujantis: </w:t>
            </w:r>
            <w:r w:rsidRPr="00733DAD">
              <w:rPr>
                <w:rFonts w:eastAsia="Calibri"/>
                <w:szCs w:val="24"/>
                <w:lang w:eastAsia="lt-LT"/>
              </w:rPr>
              <w:t>Sutarti</w:t>
            </w:r>
            <w:r>
              <w:rPr>
                <w:rFonts w:eastAsia="Calibri"/>
                <w:szCs w:val="24"/>
                <w:lang w:eastAsia="lt-LT"/>
              </w:rPr>
              <w:t xml:space="preserve">es </w:t>
            </w:r>
            <w:r w:rsidRPr="00733DAD">
              <w:rPr>
                <w:rFonts w:eastAsia="Calibri"/>
                <w:szCs w:val="24"/>
                <w:lang w:eastAsia="lt-LT"/>
              </w:rPr>
              <w:t>10.1.7 papunkčiu</w:t>
            </w:r>
            <w:r>
              <w:rPr>
                <w:rStyle w:val="Puslapioinaosnuoroda"/>
                <w:rFonts w:eastAsia="Calibri"/>
                <w:szCs w:val="24"/>
                <w:lang w:eastAsia="lt-LT"/>
              </w:rPr>
              <w:footnoteReference w:id="6"/>
            </w:r>
            <w:r w:rsidRPr="00733DAD">
              <w:rPr>
                <w:rFonts w:eastAsia="Calibri"/>
                <w:szCs w:val="24"/>
                <w:lang w:eastAsia="lt-LT"/>
              </w:rPr>
              <w:t>;</w:t>
            </w:r>
            <w:r>
              <w:rPr>
                <w:rFonts w:eastAsia="Calibri"/>
                <w:szCs w:val="24"/>
                <w:lang w:eastAsia="lt-LT"/>
              </w:rPr>
              <w:t xml:space="preserve"> </w:t>
            </w:r>
            <w:r w:rsidRPr="00733DAD">
              <w:rPr>
                <w:rFonts w:eastAsia="Calibri"/>
                <w:szCs w:val="24"/>
                <w:lang w:eastAsia="lt-LT"/>
              </w:rPr>
              <w:t>Lietuvos Respublikos viešųjų pirkimų įstatymo 89 straipsnio 1 dalies 3 punktu</w:t>
            </w:r>
            <w:r>
              <w:rPr>
                <w:rFonts w:eastAsia="Calibri"/>
                <w:szCs w:val="24"/>
                <w:lang w:eastAsia="lt-LT"/>
              </w:rPr>
              <w:t>;</w:t>
            </w:r>
            <w:r w:rsidRPr="00733DAD">
              <w:rPr>
                <w:rFonts w:eastAsia="Calibri"/>
                <w:szCs w:val="24"/>
                <w:lang w:eastAsia="lt-LT"/>
              </w:rPr>
              <w:t xml:space="preserve"> Lietuvos Respublikos civilinio kodekso </w:t>
            </w:r>
            <w:r>
              <w:rPr>
                <w:rFonts w:eastAsia="Calibri"/>
                <w:szCs w:val="24"/>
                <w:lang w:eastAsia="lt-LT"/>
              </w:rPr>
              <w:t xml:space="preserve">(toliau – CK) </w:t>
            </w:r>
            <w:r w:rsidRPr="00733DAD">
              <w:rPr>
                <w:rFonts w:eastAsia="Calibri"/>
                <w:szCs w:val="24"/>
                <w:lang w:eastAsia="lt-LT"/>
              </w:rPr>
              <w:t>6.204 str. nuostatomis</w:t>
            </w:r>
            <w:r>
              <w:rPr>
                <w:rFonts w:eastAsia="Calibri"/>
                <w:szCs w:val="24"/>
                <w:lang w:eastAsia="lt-LT"/>
              </w:rPr>
              <w:t xml:space="preserve"> </w:t>
            </w:r>
            <w:r w:rsidRPr="00733DAD">
              <w:rPr>
                <w:rFonts w:eastAsia="Calibri"/>
                <w:szCs w:val="24"/>
                <w:lang w:eastAsia="lt-LT"/>
              </w:rPr>
              <w:t>4)</w:t>
            </w:r>
            <w:r>
              <w:rPr>
                <w:rFonts w:eastAsia="Calibri"/>
                <w:szCs w:val="24"/>
                <w:lang w:eastAsia="lt-LT"/>
              </w:rPr>
              <w:t xml:space="preserve"> </w:t>
            </w:r>
            <w:r w:rsidRPr="00733DAD">
              <w:rPr>
                <w:rFonts w:eastAsia="Calibri"/>
                <w:szCs w:val="24"/>
                <w:lang w:eastAsia="lt-LT"/>
              </w:rPr>
              <w:t xml:space="preserve">2022 m. kovo 24 d. </w:t>
            </w:r>
            <w:r>
              <w:rPr>
                <w:rFonts w:eastAsia="Calibri"/>
                <w:szCs w:val="24"/>
                <w:lang w:eastAsia="lt-LT"/>
              </w:rPr>
              <w:t>Tarnybos</w:t>
            </w:r>
            <w:r w:rsidRPr="00733DAD">
              <w:rPr>
                <w:rFonts w:eastAsia="Calibri"/>
                <w:szCs w:val="24"/>
                <w:lang w:eastAsia="lt-LT"/>
              </w:rPr>
              <w:t xml:space="preserve"> pranešimu „Dėl viešojo pirkimo-pardavimo sutarčių kainų ir kitų sąlygų peržiūrėjimo“.</w:t>
            </w:r>
            <w:r>
              <w:rPr>
                <w:rFonts w:eastAsia="Calibri"/>
                <w:szCs w:val="24"/>
                <w:lang w:eastAsia="lt-LT"/>
              </w:rPr>
              <w:t xml:space="preserve"> Be to, nurodė, kad </w:t>
            </w:r>
            <w:r w:rsidRPr="00DF2B4E">
              <w:rPr>
                <w:rFonts w:eastAsia="Calibri"/>
                <w:i/>
                <w:iCs/>
                <w:szCs w:val="24"/>
                <w:lang w:eastAsia="lt-LT"/>
              </w:rPr>
              <w:t>„&lt;...&gt; buvo nustatyta, kad aplinkybės, darančios įtaką įkainiui, atsirado ir tampa žinomos Tiekėjui, tik po sutarties sudarymo, dėl ko sutarties šalys sutarties sudarymo metu negalėjo protingai jų numatyti, o Tiekėjas prisiimti jų atsiradimo rizikos. Todėl įvertinus tiek teisinį reglamentavimą, tiek ir faktines  aplinkybes, bei atsižvelgus į tai, kad nutraukus Sutartį, viešojo administravimo institucija likt</w:t>
            </w:r>
            <w:r>
              <w:rPr>
                <w:rFonts w:eastAsia="Calibri"/>
                <w:i/>
                <w:iCs/>
                <w:szCs w:val="24"/>
                <w:lang w:eastAsia="lt-LT"/>
              </w:rPr>
              <w:t>ų</w:t>
            </w:r>
            <w:r w:rsidRPr="00DF2B4E">
              <w:rPr>
                <w:rFonts w:eastAsia="Calibri"/>
                <w:i/>
                <w:iCs/>
                <w:szCs w:val="24"/>
                <w:lang w:eastAsia="lt-LT"/>
              </w:rPr>
              <w:t xml:space="preserve"> be valymo paslaugų ( nes naujų paslaugų pirkimas užtrunka 1-2 mėn., o iki Sutarties galiojimo  pabaigos buvo likę 6 mėn.), buvo priimtas sprendimas pakeisti Sutarties 5.7. punktą, nustatant  naują peržiūros sąlygą“</w:t>
            </w:r>
            <w:r w:rsidRPr="00DF2B4E">
              <w:rPr>
                <w:rStyle w:val="Puslapioinaosnuoroda"/>
                <w:rFonts w:eastAsia="Calibri"/>
                <w:szCs w:val="24"/>
                <w:lang w:eastAsia="lt-LT"/>
              </w:rPr>
              <w:footnoteReference w:id="7"/>
            </w:r>
            <w:r w:rsidRPr="00DF2B4E">
              <w:rPr>
                <w:rFonts w:eastAsia="Calibri"/>
                <w:szCs w:val="24"/>
                <w:lang w:eastAsia="lt-LT"/>
              </w:rPr>
              <w:t>.</w:t>
            </w:r>
          </w:p>
          <w:p w14:paraId="33922589" w14:textId="14DF5CB9" w:rsidR="00FD21D4" w:rsidRDefault="00FD21D4" w:rsidP="00FD21D4">
            <w:pPr>
              <w:rPr>
                <w:rFonts w:eastAsia="Calibri"/>
                <w:szCs w:val="24"/>
                <w:lang w:eastAsia="lt-LT"/>
              </w:rPr>
            </w:pPr>
            <w:r>
              <w:rPr>
                <w:rFonts w:eastAsia="Calibri"/>
                <w:szCs w:val="24"/>
                <w:lang w:eastAsia="lt-LT"/>
              </w:rPr>
              <w:t>Perkančioji organizacija pateikė Tiekėjo raštą</w:t>
            </w:r>
            <w:r>
              <w:rPr>
                <w:rStyle w:val="Puslapioinaosnuoroda"/>
                <w:rFonts w:eastAsia="Calibri"/>
                <w:szCs w:val="24"/>
                <w:lang w:eastAsia="lt-LT"/>
              </w:rPr>
              <w:footnoteReference w:id="8"/>
            </w:r>
            <w:r>
              <w:rPr>
                <w:rFonts w:eastAsia="Calibri"/>
                <w:szCs w:val="24"/>
                <w:lang w:eastAsia="lt-LT"/>
              </w:rPr>
              <w:t>, kuriuo Tiekėjas prašė inicijuoti Sutarties pakeitimą joje numatant kainos perskaičiavimo tvarką pagal pirmiau nurodytą formulę, t. y. atsižvelgiant tik į MMA padidėjimą.  Atkreiptinas dėmesys, kad Tiekėjas be MMA padidėjimo Sutarties vykdymo metu ir planuojamo jo padidėjimą nuo 2023 m. sausio 1 d., nurodė ir kitas, jo manymu, svarbias aplinkybes – energijos, žaliavų, transportavimo išlaidų kainų ir infliacijos pokyčius, higienos priemonių ir valymui būtinų priemonių kainų padidėjimą, o taip pat tai, kad nuo 2023 m. sausio 1 d. įmonė neturės galimybės gauti subsidijų darbuotojų darbo užmokesčiui, pasikeitus teisiniam reglamentavimui dėl socialinių įmonių statuso</w:t>
            </w:r>
            <w:r>
              <w:rPr>
                <w:rStyle w:val="Puslapioinaosnuoroda"/>
                <w:rFonts w:eastAsia="Calibri"/>
                <w:szCs w:val="24"/>
                <w:lang w:eastAsia="lt-LT"/>
              </w:rPr>
              <w:footnoteReference w:id="9"/>
            </w:r>
            <w:r>
              <w:rPr>
                <w:rFonts w:eastAsia="Calibri"/>
                <w:szCs w:val="24"/>
                <w:lang w:eastAsia="lt-LT"/>
              </w:rPr>
              <w:t>.</w:t>
            </w:r>
          </w:p>
          <w:p w14:paraId="08B6C726" w14:textId="57F4EFE9" w:rsidR="00FD21D4" w:rsidRDefault="00FD21D4" w:rsidP="00FD21D4">
            <w:pPr>
              <w:rPr>
                <w:szCs w:val="24"/>
              </w:rPr>
            </w:pPr>
            <w:r>
              <w:rPr>
                <w:szCs w:val="24"/>
              </w:rPr>
              <w:t>Perkančioji organizacija vertinimo metu papildomai informavo</w:t>
            </w:r>
            <w:r>
              <w:rPr>
                <w:rStyle w:val="Puslapioinaosnuoroda"/>
                <w:szCs w:val="24"/>
              </w:rPr>
              <w:footnoteReference w:id="10"/>
            </w:r>
            <w:r>
              <w:rPr>
                <w:szCs w:val="24"/>
              </w:rPr>
              <w:t xml:space="preserve">, kad </w:t>
            </w:r>
            <w:r w:rsidRPr="007340CD">
              <w:rPr>
                <w:szCs w:val="24"/>
              </w:rPr>
              <w:t>Sutartis įsigaliojo 2021 m. liepos 9 d</w:t>
            </w:r>
            <w:r>
              <w:rPr>
                <w:szCs w:val="24"/>
              </w:rPr>
              <w:t xml:space="preserve">. ir su Sutarties pakeitimais, įsigaliojusiais  2023 m. sausio 1 d., buvo vykdoma </w:t>
            </w:r>
            <w:r w:rsidRPr="007340CD">
              <w:rPr>
                <w:szCs w:val="24"/>
              </w:rPr>
              <w:t>iki 2023 m. gegužės 31 d.</w:t>
            </w:r>
            <w:r>
              <w:rPr>
                <w:szCs w:val="24"/>
              </w:rPr>
              <w:t xml:space="preserve"> Įvertinus atliktus Sutarties paslaugų kainos pakeitimus (įkainių perskaičiavimą), iš viso Tiekėjui </w:t>
            </w:r>
            <w:r w:rsidR="00EF4845">
              <w:rPr>
                <w:szCs w:val="24"/>
              </w:rPr>
              <w:t>papildomai sumokėta</w:t>
            </w:r>
            <w:r>
              <w:rPr>
                <w:szCs w:val="24"/>
              </w:rPr>
              <w:t xml:space="preserve"> suma yra </w:t>
            </w:r>
            <w:r w:rsidRPr="00E501C7">
              <w:rPr>
                <w:b/>
                <w:bCs/>
                <w:szCs w:val="24"/>
              </w:rPr>
              <w:t>1</w:t>
            </w:r>
            <w:r>
              <w:rPr>
                <w:b/>
                <w:bCs/>
                <w:szCs w:val="24"/>
              </w:rPr>
              <w:t xml:space="preserve"> </w:t>
            </w:r>
            <w:r w:rsidRPr="00E501C7">
              <w:rPr>
                <w:b/>
                <w:bCs/>
                <w:szCs w:val="24"/>
              </w:rPr>
              <w:t>127, 28 Eur su PVM</w:t>
            </w:r>
            <w:r>
              <w:rPr>
                <w:szCs w:val="24"/>
              </w:rPr>
              <w:t xml:space="preserve">. Tai sudaro </w:t>
            </w:r>
            <w:r w:rsidRPr="00E501C7">
              <w:rPr>
                <w:b/>
                <w:bCs/>
                <w:szCs w:val="24"/>
              </w:rPr>
              <w:t>1,13 proc.</w:t>
            </w:r>
            <w:r>
              <w:rPr>
                <w:szCs w:val="24"/>
              </w:rPr>
              <w:t xml:space="preserve"> nuo pradinės sutarties vertės su PVM.</w:t>
            </w:r>
          </w:p>
          <w:p w14:paraId="6702B021" w14:textId="77777777" w:rsidR="00FD21D4" w:rsidRDefault="00FD21D4" w:rsidP="00FD21D4">
            <w:pPr>
              <w:rPr>
                <w:rFonts w:eastAsia="Calibri"/>
                <w:b/>
                <w:bCs/>
                <w:szCs w:val="24"/>
                <w:lang w:eastAsia="lt-LT"/>
              </w:rPr>
            </w:pPr>
            <w:r w:rsidRPr="009A21D3">
              <w:rPr>
                <w:rFonts w:eastAsia="Calibri"/>
                <w:b/>
                <w:bCs/>
                <w:szCs w:val="24"/>
                <w:lang w:eastAsia="lt-LT"/>
              </w:rPr>
              <w:t>Dėl teisinio reglamentavimo</w:t>
            </w:r>
            <w:r>
              <w:rPr>
                <w:rFonts w:eastAsia="Calibri"/>
                <w:b/>
                <w:bCs/>
                <w:szCs w:val="24"/>
                <w:lang w:eastAsia="lt-LT"/>
              </w:rPr>
              <w:t xml:space="preserve"> </w:t>
            </w:r>
          </w:p>
          <w:p w14:paraId="6D2BCC16" w14:textId="77777777" w:rsidR="00FD21D4" w:rsidRDefault="00FD21D4" w:rsidP="00FD21D4">
            <w:pPr>
              <w:rPr>
                <w:color w:val="000000"/>
              </w:rPr>
            </w:pPr>
            <w:r>
              <w:rPr>
                <w:rFonts w:eastAsia="Calibri"/>
                <w:szCs w:val="24"/>
                <w:lang w:eastAsia="lt-LT"/>
              </w:rPr>
              <w:t xml:space="preserve">Pažymėtina, kad pagal </w:t>
            </w:r>
            <w:r w:rsidRPr="009A21D3">
              <w:rPr>
                <w:rFonts w:eastAsia="Calibri"/>
                <w:szCs w:val="24"/>
                <w:lang w:eastAsia="lt-LT"/>
              </w:rPr>
              <w:t xml:space="preserve">Įstatymo </w:t>
            </w:r>
            <w:r>
              <w:rPr>
                <w:rFonts w:eastAsia="Calibri"/>
                <w:szCs w:val="24"/>
                <w:lang w:eastAsia="lt-LT"/>
              </w:rPr>
              <w:t xml:space="preserve">89 straipsnio 1 dalies 3 punktą </w:t>
            </w:r>
            <w:r w:rsidRPr="00BF34AE">
              <w:rPr>
                <w:rFonts w:eastAsia="Calibri"/>
                <w:szCs w:val="24"/>
                <w:lang w:eastAsia="lt-LT"/>
              </w:rPr>
              <w:t>pirkimo sutartis jos galiojimo laikotarpiu gali būti keičiama neatliekant naujos pirkimo procedūros,</w:t>
            </w:r>
            <w:r>
              <w:rPr>
                <w:rFonts w:eastAsia="Calibri"/>
                <w:szCs w:val="24"/>
                <w:lang w:eastAsia="lt-LT"/>
              </w:rPr>
              <w:t xml:space="preserve"> „</w:t>
            </w:r>
            <w:r w:rsidRPr="00BF34AE">
              <w:rPr>
                <w:rFonts w:eastAsia="Calibri"/>
                <w:szCs w:val="24"/>
                <w:lang w:eastAsia="lt-LT"/>
              </w:rPr>
              <w:t xml:space="preserve"> </w:t>
            </w:r>
            <w:r>
              <w:rPr>
                <w:rFonts w:eastAsia="Calibri"/>
                <w:szCs w:val="24"/>
                <w:lang w:eastAsia="lt-LT"/>
              </w:rPr>
              <w:t>&lt;...&gt;</w:t>
            </w:r>
            <w:r w:rsidRPr="00BF34AE">
              <w:rPr>
                <w:rFonts w:eastAsia="Calibri"/>
                <w:szCs w:val="24"/>
                <w:lang w:eastAsia="lt-LT"/>
              </w:rPr>
              <w:t xml:space="preserve"> kai</w:t>
            </w:r>
            <w:r>
              <w:rPr>
                <w:rFonts w:eastAsia="Calibri"/>
                <w:szCs w:val="24"/>
                <w:lang w:eastAsia="lt-LT"/>
              </w:rPr>
              <w:t xml:space="preserve"> </w:t>
            </w:r>
            <w:r w:rsidRPr="00BF34AE">
              <w:rPr>
                <w:rFonts w:eastAsia="Calibri"/>
                <w:szCs w:val="24"/>
                <w:lang w:eastAsia="lt-LT"/>
              </w:rPr>
              <w:t xml:space="preserve">pakeitimo poreikis atsirado dėl aplinkybių, kurių protinga ir apdairi perkančioji organizacija negalėjo numatyti ir kai kartu yra šios sąlygos: </w:t>
            </w:r>
            <w:r>
              <w:rPr>
                <w:rFonts w:eastAsia="Calibri"/>
                <w:szCs w:val="24"/>
                <w:lang w:eastAsia="lt-LT"/>
              </w:rPr>
              <w:t xml:space="preserve">1) </w:t>
            </w:r>
            <w:r w:rsidRPr="00BF34AE">
              <w:rPr>
                <w:rFonts w:eastAsia="Calibri"/>
                <w:szCs w:val="24"/>
                <w:lang w:eastAsia="lt-LT"/>
              </w:rPr>
              <w:t xml:space="preserve">pakeitimas iš esmės nepakeičia pirkimo sutarties </w:t>
            </w:r>
            <w:r>
              <w:rPr>
                <w:rFonts w:eastAsia="Calibri"/>
                <w:szCs w:val="24"/>
                <w:lang w:eastAsia="lt-LT"/>
              </w:rPr>
              <w:t>&lt;...&gt;</w:t>
            </w:r>
            <w:r w:rsidRPr="00BF34AE">
              <w:rPr>
                <w:rFonts w:eastAsia="Calibri"/>
                <w:szCs w:val="24"/>
                <w:lang w:eastAsia="lt-LT"/>
              </w:rPr>
              <w:t xml:space="preserve"> pobūdžio </w:t>
            </w:r>
            <w:r>
              <w:t xml:space="preserve">2) atskiro pakeitimo vertė neviršija 50 procentų, o </w:t>
            </w:r>
            <w:r>
              <w:rPr>
                <w:color w:val="000000"/>
              </w:rPr>
              <w:t> bendra atskirų pakeitimų pagal šį punktą vertė – 100 procentų pradinės pirkimo sutarties &lt;...&gt; vertės &lt;...&gt;“.</w:t>
            </w:r>
          </w:p>
          <w:p w14:paraId="444149A0" w14:textId="77777777" w:rsidR="00FD21D4" w:rsidRPr="00A75757" w:rsidRDefault="00FD21D4" w:rsidP="00FD21D4">
            <w:pPr>
              <w:ind w:firstLine="709"/>
              <w:rPr>
                <w:szCs w:val="24"/>
                <w:lang w:eastAsia="lt-LT"/>
              </w:rPr>
            </w:pPr>
            <w:r w:rsidRPr="00A75757">
              <w:rPr>
                <w:spacing w:val="2"/>
                <w:shd w:val="clear" w:color="auto" w:fill="FFFFFF"/>
              </w:rPr>
              <w:t>Pagal Kainodaros taisyklių nustatymo metodik</w:t>
            </w:r>
            <w:r>
              <w:rPr>
                <w:spacing w:val="2"/>
                <w:shd w:val="clear" w:color="auto" w:fill="FFFFFF"/>
              </w:rPr>
              <w:t>os, patvirtintos</w:t>
            </w:r>
            <w:r w:rsidRPr="00A75757">
              <w:rPr>
                <w:spacing w:val="2"/>
                <w:shd w:val="clear" w:color="auto" w:fill="FFFFFF"/>
              </w:rPr>
              <w:t xml:space="preserve"> Tarnybos direktoriaus 2017</w:t>
            </w:r>
            <w:r>
              <w:rPr>
                <w:spacing w:val="2"/>
                <w:shd w:val="clear" w:color="auto" w:fill="FFFFFF"/>
              </w:rPr>
              <w:t> </w:t>
            </w:r>
            <w:r w:rsidRPr="00A75757">
              <w:rPr>
                <w:spacing w:val="2"/>
                <w:shd w:val="clear" w:color="auto" w:fill="FFFFFF"/>
              </w:rPr>
              <w:t>m. birželio 28 d. įsakymu Nr. 1S-95</w:t>
            </w:r>
            <w:r>
              <w:rPr>
                <w:spacing w:val="2"/>
                <w:shd w:val="clear" w:color="auto" w:fill="FFFFFF"/>
              </w:rPr>
              <w:t xml:space="preserve"> </w:t>
            </w:r>
            <w:r w:rsidRPr="00A75757">
              <w:rPr>
                <w:spacing w:val="2"/>
                <w:shd w:val="clear" w:color="auto" w:fill="FFFFFF"/>
              </w:rPr>
              <w:t>(suvestinė redakcija</w:t>
            </w:r>
            <w:r>
              <w:rPr>
                <w:spacing w:val="2"/>
                <w:shd w:val="clear" w:color="auto" w:fill="FFFFFF"/>
              </w:rPr>
              <w:t>,</w:t>
            </w:r>
            <w:r w:rsidRPr="00A75757">
              <w:rPr>
                <w:spacing w:val="2"/>
                <w:shd w:val="clear" w:color="auto" w:fill="FFFFFF"/>
              </w:rPr>
              <w:t xml:space="preserve"> galiojusi Sutarties sudarymo metu)</w:t>
            </w:r>
            <w:r>
              <w:rPr>
                <w:spacing w:val="2"/>
                <w:shd w:val="clear" w:color="auto" w:fill="FFFFFF"/>
              </w:rPr>
              <w:t>,</w:t>
            </w:r>
            <w:r w:rsidRPr="00A75757">
              <w:rPr>
                <w:spacing w:val="2"/>
                <w:shd w:val="clear" w:color="auto" w:fill="FFFFFF"/>
              </w:rPr>
              <w:t xml:space="preserve"> </w:t>
            </w:r>
            <w:r w:rsidRPr="00A75757">
              <w:t>8 punktą</w:t>
            </w:r>
            <w:r>
              <w:t>:</w:t>
            </w:r>
            <w:r w:rsidRPr="00A75757">
              <w:t xml:space="preserve"> „Pirkimo dokumentuose ir sutartyje turi būti nustatytos kainodaros taisyklės, taikomos sutartyje numatytiems galimiems sutarties keitimo atvejams“</w:t>
            </w:r>
            <w:r>
              <w:t>. Šios metodikos</w:t>
            </w:r>
            <w:r w:rsidRPr="00A75757">
              <w:t xml:space="preserve"> 9 punkt</w:t>
            </w:r>
            <w:r>
              <w:t>e numatyta:</w:t>
            </w:r>
            <w:r w:rsidRPr="00A75757">
              <w:t xml:space="preserve"> </w:t>
            </w:r>
            <w:r>
              <w:t>„</w:t>
            </w:r>
            <w:r w:rsidRPr="00A75757">
              <w:t>Pirkimo vykdytojas pirkimo dokumentuose ir sutartyje privalo nurodyti, koks sutarties kainos apskaičiavimo būdas ar jų derinys yra taikomas. &lt;....&gt; Pirkimo dokumentuose ir sutartyje nustatytas sutarties kainos apskaičiavimo būdas yra viena iš esminių sutarties sąlygų, kuri negali būti keičiama vykdant sutartį“,</w:t>
            </w:r>
            <w:r w:rsidRPr="00A75757">
              <w:rPr>
                <w:szCs w:val="24"/>
              </w:rPr>
              <w:t xml:space="preserve"> o 10 punkte </w:t>
            </w:r>
            <w:r>
              <w:rPr>
                <w:szCs w:val="24"/>
              </w:rPr>
              <w:t>aptar</w:t>
            </w:r>
            <w:r w:rsidRPr="00A75757">
              <w:rPr>
                <w:szCs w:val="24"/>
              </w:rPr>
              <w:t>ta, kad</w:t>
            </w:r>
            <w:r>
              <w:rPr>
                <w:szCs w:val="24"/>
              </w:rPr>
              <w:t>:</w:t>
            </w:r>
            <w:r w:rsidRPr="00A75757">
              <w:rPr>
                <w:szCs w:val="24"/>
              </w:rPr>
              <w:t xml:space="preserve"> „</w:t>
            </w:r>
            <w:r w:rsidRPr="00A75757">
              <w:rPr>
                <w:szCs w:val="24"/>
                <w:lang w:eastAsia="lt-LT"/>
              </w:rPr>
              <w:t>Pirkimo vykdytojas, nustatydamas kainodaros taisykles, gali nustatyti šiuos sutarties kainos apskaičiavimo būdus: &lt;...&gt; 10.4.  fiksuoto įkainio su peržiūra &lt;...&gt;“.</w:t>
            </w:r>
          </w:p>
          <w:p w14:paraId="17B24CAE" w14:textId="77777777" w:rsidR="00FD21D4" w:rsidRPr="00A75757" w:rsidRDefault="00FD21D4" w:rsidP="00FD21D4">
            <w:r w:rsidRPr="00A75757">
              <w:t>Atkreiptinas dėmesys, kad</w:t>
            </w:r>
            <w:r w:rsidRPr="00A75757">
              <w:rPr>
                <w:spacing w:val="2"/>
                <w:shd w:val="clear" w:color="auto" w:fill="FFFFFF"/>
              </w:rPr>
              <w:t xml:space="preserve"> Direktyvos 2014/24/ES preambulėje (109) nurodyta, </w:t>
            </w:r>
            <w:r>
              <w:rPr>
                <w:spacing w:val="2"/>
                <w:shd w:val="clear" w:color="auto" w:fill="FFFFFF"/>
              </w:rPr>
              <w:t>jog</w:t>
            </w:r>
            <w:r w:rsidRPr="00A75757">
              <w:rPr>
                <w:spacing w:val="2"/>
                <w:shd w:val="clear" w:color="auto" w:fill="FFFFFF"/>
              </w:rPr>
              <w:t xml:space="preserve"> </w:t>
            </w:r>
            <w:r w:rsidRPr="00A75757">
              <w:t xml:space="preserve"> </w:t>
            </w:r>
            <w:r w:rsidRPr="00A75757">
              <w:rPr>
                <w:i/>
                <w:iCs/>
              </w:rPr>
              <w:t>nenumatytos aplinkybės</w:t>
            </w:r>
            <w:r w:rsidRPr="00A75757">
              <w:t xml:space="preserve"> reiškia aplinkybes, kurių nebuvo įmanoma nuspėti, nepaisant to, kad Perkančioji organizacija pagrįstai apdairiai rengėsi pradiniam sutarties skyrimui, atsižvelgdama į </w:t>
            </w:r>
            <w:r w:rsidRPr="00A75757">
              <w:lastRenderedPageBreak/>
              <w:t xml:space="preserve">(i) visas jos turimas priemones, (ii) konkretaus projekto pobūdį ir charakteristikas, (iii) gerąją praktiką atitinkamoje srityje ir (iv) poreikį užtikrinti tinkamą panaudotų išteklių ir numatomos sutarties vertės santykį rengiantis jos skyrimui.  </w:t>
            </w:r>
          </w:p>
          <w:p w14:paraId="2E34629D" w14:textId="6AA49B27" w:rsidR="00FD21D4" w:rsidRDefault="00FD21D4" w:rsidP="00FD21D4">
            <w:pPr>
              <w:rPr>
                <w:rFonts w:eastAsia="HG Mincho Light J"/>
                <w:color w:val="000000"/>
                <w:szCs w:val="24"/>
                <w:lang w:eastAsia="lt-LT"/>
              </w:rPr>
            </w:pPr>
            <w:r>
              <w:rPr>
                <w:rFonts w:eastAsia="HG Mincho Light J"/>
                <w:color w:val="000000"/>
                <w:szCs w:val="24"/>
                <w:lang w:eastAsia="lt-LT"/>
              </w:rPr>
              <w:t xml:space="preserve">CK </w:t>
            </w:r>
            <w:r w:rsidRPr="00477172">
              <w:rPr>
                <w:rFonts w:eastAsia="HG Mincho Light J"/>
                <w:color w:val="000000"/>
                <w:szCs w:val="24"/>
                <w:lang w:eastAsia="lt-LT"/>
              </w:rPr>
              <w:t>6.204 str</w:t>
            </w:r>
            <w:r>
              <w:rPr>
                <w:rFonts w:eastAsia="HG Mincho Light J"/>
                <w:color w:val="000000"/>
                <w:szCs w:val="24"/>
                <w:lang w:eastAsia="lt-LT"/>
              </w:rPr>
              <w:t>aipsnio</w:t>
            </w:r>
            <w:r w:rsidRPr="00477172">
              <w:rPr>
                <w:rFonts w:eastAsia="HG Mincho Light J"/>
                <w:color w:val="000000"/>
                <w:szCs w:val="24"/>
                <w:lang w:eastAsia="lt-LT"/>
              </w:rPr>
              <w:t xml:space="preserve"> 1</w:t>
            </w:r>
            <w:r>
              <w:rPr>
                <w:rFonts w:eastAsia="HG Mincho Light J"/>
                <w:color w:val="000000"/>
                <w:szCs w:val="24"/>
                <w:lang w:eastAsia="lt-LT"/>
              </w:rPr>
              <w:t xml:space="preserve"> </w:t>
            </w:r>
            <w:r w:rsidRPr="00477172">
              <w:rPr>
                <w:rFonts w:eastAsia="HG Mincho Light J"/>
                <w:color w:val="000000"/>
                <w:szCs w:val="24"/>
                <w:lang w:eastAsia="lt-LT"/>
              </w:rPr>
              <w:t>d</w:t>
            </w:r>
            <w:r>
              <w:rPr>
                <w:rFonts w:eastAsia="HG Mincho Light J"/>
                <w:color w:val="000000"/>
                <w:szCs w:val="24"/>
                <w:lang w:eastAsia="lt-LT"/>
              </w:rPr>
              <w:t>alyje</w:t>
            </w:r>
            <w:r w:rsidRPr="00477172">
              <w:rPr>
                <w:rFonts w:eastAsia="HG Mincho Light J"/>
                <w:color w:val="000000"/>
                <w:szCs w:val="24"/>
                <w:lang w:eastAsia="lt-LT"/>
              </w:rPr>
              <w:t xml:space="preserve"> </w:t>
            </w:r>
            <w:r>
              <w:rPr>
                <w:rFonts w:eastAsia="HG Mincho Light J"/>
                <w:color w:val="000000"/>
                <w:szCs w:val="24"/>
                <w:lang w:eastAsia="lt-LT"/>
              </w:rPr>
              <w:t xml:space="preserve">nustatyta, kad </w:t>
            </w:r>
            <w:r w:rsidRPr="00477172">
              <w:rPr>
                <w:rFonts w:eastAsia="HG Mincho Light J"/>
                <w:color w:val="000000"/>
                <w:szCs w:val="24"/>
                <w:lang w:eastAsia="lt-LT"/>
              </w:rPr>
              <w:t xml:space="preserve"> „</w:t>
            </w:r>
            <w:r>
              <w:rPr>
                <w:rFonts w:eastAsia="HG Mincho Light J"/>
                <w:color w:val="000000"/>
                <w:szCs w:val="24"/>
                <w:lang w:eastAsia="lt-LT"/>
              </w:rPr>
              <w:t>j</w:t>
            </w:r>
            <w:r w:rsidRPr="00477172">
              <w:rPr>
                <w:rFonts w:eastAsia="HG Mincho Light J"/>
                <w:color w:val="000000"/>
                <w:szCs w:val="24"/>
                <w:lang w:eastAsia="lt-LT"/>
              </w:rPr>
              <w:t>eigu įvykdyti sutartį vienai šaliai tampa sudėtingiau negu kitai šaliai, ši šalis privalo vykdyti sutartį atsižvelgiant į kitose šio straipsnio dalyse nustatytą tvarką“.</w:t>
            </w:r>
            <w:r>
              <w:t xml:space="preserve"> Tačiau k</w:t>
            </w:r>
            <w:r>
              <w:rPr>
                <w:rFonts w:eastAsia="HG Mincho Light J"/>
                <w:color w:val="000000"/>
                <w:szCs w:val="24"/>
                <w:lang w:eastAsia="lt-LT"/>
              </w:rPr>
              <w:t>asacinio teismo ir teismų praktikoje</w:t>
            </w:r>
            <w:r>
              <w:rPr>
                <w:rStyle w:val="Puslapioinaosnuoroda"/>
                <w:rFonts w:eastAsia="HG Mincho Light J"/>
                <w:color w:val="000000"/>
                <w:szCs w:val="24"/>
                <w:lang w:eastAsia="lt-LT"/>
              </w:rPr>
              <w:footnoteReference w:id="11"/>
            </w:r>
            <w:r>
              <w:rPr>
                <w:rFonts w:eastAsia="HG Mincho Light J"/>
                <w:color w:val="000000"/>
                <w:szCs w:val="24"/>
                <w:lang w:eastAsia="lt-LT"/>
              </w:rPr>
              <w:t xml:space="preserve"> nuosekliai dėstoma, kad </w:t>
            </w:r>
            <w:r w:rsidRPr="008F091D">
              <w:rPr>
                <w:rFonts w:eastAsia="HG Mincho Light J"/>
                <w:color w:val="000000"/>
                <w:szCs w:val="24"/>
                <w:lang w:eastAsia="lt-LT"/>
              </w:rPr>
              <w:t xml:space="preserve">viešojo pirkimo sutarties sąlygų keitimas – </w:t>
            </w:r>
            <w:r>
              <w:rPr>
                <w:rFonts w:eastAsia="HG Mincho Light J"/>
                <w:color w:val="000000"/>
                <w:szCs w:val="24"/>
                <w:lang w:eastAsia="lt-LT"/>
              </w:rPr>
              <w:t xml:space="preserve">Įstatymo </w:t>
            </w:r>
            <w:r w:rsidRPr="008F091D">
              <w:rPr>
                <w:rFonts w:eastAsia="HG Mincho Light J"/>
                <w:color w:val="000000"/>
                <w:szCs w:val="24"/>
                <w:lang w:eastAsia="lt-LT"/>
              </w:rPr>
              <w:t>reguliuojama sritis, kuriai nustatytos imperatyviosios teisės normos ir apribojimai, susiję su viešojo pirkimo procedūrų vykdymu bei išplaukiantys iš viešųjų pirkimų principų turinio</w:t>
            </w:r>
            <w:r>
              <w:rPr>
                <w:rFonts w:eastAsia="HG Mincho Light J"/>
                <w:color w:val="000000"/>
                <w:szCs w:val="24"/>
                <w:lang w:eastAsia="lt-LT"/>
              </w:rPr>
              <w:t xml:space="preserve">. </w:t>
            </w:r>
            <w:r w:rsidRPr="008F091D">
              <w:rPr>
                <w:rFonts w:eastAsia="HG Mincho Light J"/>
                <w:color w:val="000000"/>
                <w:szCs w:val="24"/>
                <w:lang w:eastAsia="lt-LT"/>
              </w:rPr>
              <w:t xml:space="preserve">CK nuostatos (bendrosios sutarčių keitimo taisyklės), sprendžiant dėl viešojo pirkimo sutarties šalių galimybės keisti sudarytą sutartį, </w:t>
            </w:r>
            <w:r w:rsidRPr="00AC3B4F">
              <w:rPr>
                <w:rFonts w:eastAsia="HG Mincho Light J"/>
                <w:b/>
                <w:bCs/>
                <w:color w:val="000000"/>
                <w:szCs w:val="24"/>
                <w:lang w:eastAsia="lt-LT"/>
              </w:rPr>
              <w:t>taikomos tik tiek, kiek šio aspekto nereguliuoja Įstatymas</w:t>
            </w:r>
            <w:r w:rsidRPr="008F091D">
              <w:rPr>
                <w:rFonts w:eastAsia="HG Mincho Light J"/>
                <w:color w:val="000000"/>
                <w:szCs w:val="24"/>
                <w:lang w:eastAsia="lt-LT"/>
              </w:rPr>
              <w:t>. Tais atvejais, kai viešojo pirkimo sutartis negali būti pakeista (papildyta) pagal VPĮ 89 straipsnyje nustatytus reikalavimus ir jeigu tokie pakeitimai (papildymai) reikalingi</w:t>
            </w:r>
            <w:r>
              <w:rPr>
                <w:rFonts w:eastAsia="HG Mincho Light J"/>
                <w:color w:val="000000"/>
                <w:szCs w:val="24"/>
                <w:lang w:eastAsia="lt-LT"/>
              </w:rPr>
              <w:t>,</w:t>
            </w:r>
            <w:r w:rsidRPr="008F091D">
              <w:rPr>
                <w:rFonts w:eastAsia="HG Mincho Light J"/>
                <w:color w:val="000000"/>
                <w:szCs w:val="24"/>
                <w:lang w:eastAsia="lt-LT"/>
              </w:rPr>
              <w:t xml:space="preserve"> turi būti organizuojama atskira viešo pirkimo procedūra laikantis </w:t>
            </w:r>
            <w:r>
              <w:rPr>
                <w:rFonts w:eastAsia="HG Mincho Light J"/>
                <w:color w:val="000000"/>
                <w:szCs w:val="24"/>
                <w:lang w:eastAsia="lt-LT"/>
              </w:rPr>
              <w:t>Įstatymo</w:t>
            </w:r>
            <w:r w:rsidRPr="008F091D">
              <w:rPr>
                <w:rFonts w:eastAsia="HG Mincho Light J"/>
                <w:color w:val="000000"/>
                <w:szCs w:val="24"/>
                <w:lang w:eastAsia="lt-LT"/>
              </w:rPr>
              <w:t xml:space="preserve"> nustatytos tvarkos.</w:t>
            </w:r>
          </w:p>
          <w:p w14:paraId="2AB7EBBE" w14:textId="77777777" w:rsidR="00FD21D4" w:rsidRDefault="00FD21D4" w:rsidP="00FD21D4">
            <w:pPr>
              <w:rPr>
                <w:rFonts w:eastAsia="HG Mincho Light J"/>
                <w:b/>
                <w:bCs/>
                <w:color w:val="000000"/>
                <w:szCs w:val="24"/>
                <w:lang w:eastAsia="lt-LT"/>
              </w:rPr>
            </w:pPr>
            <w:r w:rsidRPr="00CF157E">
              <w:rPr>
                <w:rFonts w:eastAsia="HG Mincho Light J"/>
                <w:b/>
                <w:bCs/>
                <w:color w:val="000000"/>
                <w:szCs w:val="24"/>
                <w:lang w:eastAsia="lt-LT"/>
              </w:rPr>
              <w:t>Tarnybos argumentai</w:t>
            </w:r>
          </w:p>
          <w:p w14:paraId="6CDB8F2B" w14:textId="77777777" w:rsidR="00FD21D4" w:rsidRDefault="00FD21D4" w:rsidP="00FD21D4">
            <w:pPr>
              <w:rPr>
                <w:rFonts w:eastAsia="HG Mincho Light J"/>
                <w:color w:val="000000"/>
                <w:szCs w:val="24"/>
                <w:lang w:eastAsia="lt-LT"/>
              </w:rPr>
            </w:pPr>
            <w:r w:rsidRPr="006A543C">
              <w:rPr>
                <w:rFonts w:eastAsia="HG Mincho Light J"/>
                <w:color w:val="000000"/>
                <w:szCs w:val="24"/>
                <w:lang w:eastAsia="lt-LT"/>
              </w:rPr>
              <w:t>Pažymėtina,</w:t>
            </w:r>
            <w:r>
              <w:rPr>
                <w:rFonts w:eastAsia="HG Mincho Light J"/>
                <w:color w:val="000000"/>
                <w:szCs w:val="24"/>
                <w:lang w:eastAsia="lt-LT"/>
              </w:rPr>
              <w:t xml:space="preserve"> kad Įstatymas šios S</w:t>
            </w:r>
            <w:r w:rsidRPr="006A543C">
              <w:rPr>
                <w:rFonts w:eastAsia="HG Mincho Light J"/>
                <w:color w:val="000000"/>
                <w:szCs w:val="24"/>
                <w:lang w:eastAsia="lt-LT"/>
              </w:rPr>
              <w:t>utarti</w:t>
            </w:r>
            <w:r>
              <w:rPr>
                <w:rFonts w:eastAsia="HG Mincho Light J"/>
                <w:color w:val="000000"/>
                <w:szCs w:val="24"/>
                <w:lang w:eastAsia="lt-LT"/>
              </w:rPr>
              <w:t xml:space="preserve">es sudarymo, vykdymo prasme yra </w:t>
            </w:r>
            <w:r w:rsidRPr="006A543C">
              <w:rPr>
                <w:rFonts w:eastAsia="HG Mincho Light J"/>
                <w:i/>
                <w:iCs/>
                <w:color w:val="000000"/>
                <w:szCs w:val="24"/>
                <w:lang w:eastAsia="lt-LT"/>
              </w:rPr>
              <w:t>lex specialis</w:t>
            </w:r>
            <w:r>
              <w:rPr>
                <w:rFonts w:eastAsia="HG Mincho Light J"/>
                <w:color w:val="000000"/>
                <w:szCs w:val="24"/>
                <w:lang w:eastAsia="lt-LT"/>
              </w:rPr>
              <w:t xml:space="preserve"> tiek CK, tiek kitų teisės aktų atžvilgiu, t. y. kitų teisės aktų nuostatos taikomos subsidiariai Įstatymo atžvilgiu. Taigi, Sutarties pakeitimo galimybė pirmiausia spręstina pagal Įstatyme įtvirtintą reglamentavimą. </w:t>
            </w:r>
          </w:p>
          <w:p w14:paraId="3E1058D6" w14:textId="77777777" w:rsidR="00FD21D4" w:rsidRPr="00B51CD4" w:rsidRDefault="00FD21D4" w:rsidP="00FD21D4">
            <w:pPr>
              <w:rPr>
                <w:color w:val="000000"/>
              </w:rPr>
            </w:pPr>
            <w:r>
              <w:rPr>
                <w:color w:val="000000"/>
              </w:rPr>
              <w:t xml:space="preserve">Sutarties 5.1 papunktyje nustatyta, kad „Sutartis yra fiksuoto įkainio su peržiūra sutartis &lt;...&gt;“. </w:t>
            </w:r>
            <w:r>
              <w:rPr>
                <w:rFonts w:eastAsia="HG Mincho Light J"/>
                <w:color w:val="000000"/>
                <w:szCs w:val="24"/>
                <w:lang w:eastAsia="lt-LT"/>
              </w:rPr>
              <w:t xml:space="preserve">Sutarties 5.6 papunktyje įtvirtinta, kad „paslaugų kaina gali būti keičiama tik pasikeitus pridėtinės vertės mokesčio (PVM) tarifui &lt;...&gt;“, o 5.7 papunktyje nustatyta, kad „paslaugų kainos perskaičiavimas dėl kitų mokesčių pasikeitimo, bendro kainų lygio kitimo ir kitais atvejais </w:t>
            </w:r>
            <w:r w:rsidRPr="007350B6">
              <w:rPr>
                <w:rFonts w:eastAsia="HG Mincho Light J"/>
                <w:b/>
                <w:bCs/>
                <w:color w:val="000000"/>
                <w:szCs w:val="24"/>
                <w:lang w:eastAsia="lt-LT"/>
              </w:rPr>
              <w:t>nebus atliekamas</w:t>
            </w:r>
            <w:r>
              <w:rPr>
                <w:rFonts w:eastAsia="HG Mincho Light J"/>
                <w:color w:val="000000"/>
                <w:szCs w:val="24"/>
                <w:lang w:eastAsia="lt-LT"/>
              </w:rPr>
              <w:t>“. Pagal Sutarties 10.1.7 papunktį pirkimo Sutartis jos galiojimo laikotarpiu, neatliekant naujos pirkimo procedūros, gali būti keičiama „Viešųjų pirkimų įstatyme nustatytomis sąlygomis ir tvarka, jeigu Pirkimo sutarties sąlygų keitimas nenumatytas Pirkimo sutartyje“.</w:t>
            </w:r>
          </w:p>
          <w:p w14:paraId="142CD918" w14:textId="7B625CEA" w:rsidR="00FD21D4" w:rsidRPr="00EC32C3" w:rsidRDefault="00FD21D4" w:rsidP="00FD21D4">
            <w:pPr>
              <w:rPr>
                <w:rFonts w:eastAsia="Calibri"/>
                <w:kern w:val="2"/>
                <w:szCs w:val="24"/>
                <w14:ligatures w14:val="standardContextual"/>
              </w:rPr>
            </w:pPr>
            <w:r>
              <w:rPr>
                <w:rFonts w:eastAsia="HG Mincho Light J"/>
                <w:color w:val="000000"/>
                <w:szCs w:val="24"/>
                <w:lang w:eastAsia="lt-LT"/>
              </w:rPr>
              <w:t xml:space="preserve">Tarnyba neginčija Perkančiosios organizacijos nurodytų aplinkybių faktinio egzistavimo, tačiau tai savaime nesudaro pagrindo Sutarties šalims keisti viešojo pirkimo Sutartį, kurioje nebuvo numatytas ir įtvirtintas kainodaros taisyklių pakeitimas ar kainos (įkainio) perskaičiavimas susietas su MMA dydžiu ir (ar) jo kitimu. </w:t>
            </w:r>
            <w:r w:rsidRPr="001C4567">
              <w:rPr>
                <w:rFonts w:eastAsia="HG Mincho Light J"/>
                <w:color w:val="000000"/>
                <w:szCs w:val="24"/>
                <w:lang w:eastAsia="lt-LT"/>
              </w:rPr>
              <w:t>MMA arba minimalus darbo užmokestis – atlyginimas už darbą, nustatytas valstybės ir (arba) darbdavių bei profsąjungų susitarimu, už kurį legaliai leidžiama samdyti darbuotoją.</w:t>
            </w:r>
            <w:r>
              <w:rPr>
                <w:rFonts w:eastAsia="HG Mincho Light J"/>
                <w:color w:val="000000"/>
                <w:szCs w:val="24"/>
                <w:lang w:eastAsia="lt-LT"/>
              </w:rPr>
              <w:t xml:space="preserve"> Atkreiptinas dėmesys, kad vertinant MMA pokyčio retrospektyvą, MMA yra dažnai kintanti ir tik didėjimo linkme kategorija. Dėl MMA pokyčio yra nuolat diskutuojama, tariamasi Trišalėje taryboje</w:t>
            </w:r>
            <w:r>
              <w:rPr>
                <w:rStyle w:val="Puslapioinaosnuoroda"/>
                <w:rFonts w:eastAsia="HG Mincho Light J"/>
                <w:color w:val="000000"/>
                <w:szCs w:val="24"/>
                <w:lang w:eastAsia="lt-LT"/>
              </w:rPr>
              <w:footnoteReference w:id="12"/>
            </w:r>
            <w:r>
              <w:rPr>
                <w:rFonts w:eastAsia="HG Mincho Light J"/>
                <w:color w:val="000000"/>
                <w:szCs w:val="24"/>
                <w:lang w:eastAsia="lt-LT"/>
              </w:rPr>
              <w:t xml:space="preserve">, konkretūs MMA dydžiai nustatomi </w:t>
            </w:r>
            <w:r w:rsidRPr="0007461F">
              <w:rPr>
                <w:color w:val="333333"/>
                <w:szCs w:val="24"/>
                <w:shd w:val="clear" w:color="auto" w:fill="FFFFFF"/>
              </w:rPr>
              <w:t>Lietuvos Respublikos Vyriausybės</w:t>
            </w:r>
            <w:r>
              <w:rPr>
                <w:color w:val="333333"/>
                <w:szCs w:val="24"/>
                <w:shd w:val="clear" w:color="auto" w:fill="FFFFFF"/>
              </w:rPr>
              <w:t xml:space="preserve"> </w:t>
            </w:r>
            <w:r w:rsidRPr="0007461F">
              <w:rPr>
                <w:color w:val="333333"/>
                <w:szCs w:val="24"/>
                <w:shd w:val="clear" w:color="auto" w:fill="FFFFFF"/>
              </w:rPr>
              <w:t>nutarimais,</w:t>
            </w:r>
            <w:r>
              <w:rPr>
                <w:rFonts w:ascii="Tahoma" w:hAnsi="Tahoma" w:cs="Tahoma"/>
                <w:color w:val="333333"/>
                <w:sz w:val="18"/>
                <w:szCs w:val="18"/>
                <w:shd w:val="clear" w:color="auto" w:fill="FFFFFF"/>
              </w:rPr>
              <w:t xml:space="preserve"> </w:t>
            </w:r>
            <w:r>
              <w:rPr>
                <w:rFonts w:eastAsia="HG Mincho Light J"/>
                <w:color w:val="000000"/>
                <w:szCs w:val="24"/>
                <w:lang w:eastAsia="lt-LT"/>
              </w:rPr>
              <w:t xml:space="preserve"> iškomunikuojami ir paskelbiami viešai. </w:t>
            </w:r>
            <w:r w:rsidR="00E1307D">
              <w:t>Pažymėtina</w:t>
            </w:r>
            <w:r>
              <w:t xml:space="preserve">, kad </w:t>
            </w:r>
            <w:r w:rsidRPr="00195B1F">
              <w:rPr>
                <w:rFonts w:eastAsia="Calibri"/>
                <w:kern w:val="2"/>
                <w:szCs w:val="24"/>
                <w14:ligatures w14:val="standardContextual"/>
              </w:rPr>
              <w:t xml:space="preserve">Trišalės tarybos 2017 m. rugsėjo 21 d. posėdyje buvo nutarta, kad minimaliojo darbo užmokesčio  ir vidutinio darbo užmokesčio (toliau – VDU) santykis neturi būti mažesnis kaip 45 proc. ir didesnis kaip 50 proc., jis turi atitikti ketvirtadalio didžiausią VDU ir MMA santykį turinčių Europos Sąjungos (toliau – ES) valstybių narių vidurkį, kuris nustatomas pagal </w:t>
            </w:r>
            <w:r>
              <w:rPr>
                <w:rFonts w:eastAsia="Calibri"/>
                <w:kern w:val="2"/>
                <w:szCs w:val="24"/>
                <w14:ligatures w14:val="standardContextual"/>
              </w:rPr>
              <w:t>ES</w:t>
            </w:r>
            <w:r w:rsidRPr="00195B1F">
              <w:rPr>
                <w:rFonts w:eastAsia="Calibri"/>
                <w:kern w:val="2"/>
                <w:szCs w:val="24"/>
                <w14:ligatures w14:val="standardContextual"/>
              </w:rPr>
              <w:t xml:space="preserve"> statistikos tarybos paskutinių trejų metų skelbiamus duomenis.</w:t>
            </w:r>
            <w:r w:rsidRPr="00EC32C3">
              <w:rPr>
                <w:rFonts w:eastAsia="Calibri"/>
                <w:kern w:val="2"/>
                <w:szCs w:val="24"/>
                <w14:ligatures w14:val="standardContextual"/>
              </w:rPr>
              <w:t xml:space="preserve"> Lietuvos Respublikos darbo kodekso 141 straipsnio 3 dalyje nu</w:t>
            </w:r>
            <w:r w:rsidR="005D1D07">
              <w:rPr>
                <w:rFonts w:eastAsia="Calibri"/>
                <w:kern w:val="2"/>
                <w:szCs w:val="24"/>
                <w14:ligatures w14:val="standardContextual"/>
              </w:rPr>
              <w:t>st</w:t>
            </w:r>
            <w:r w:rsidRPr="00EC32C3">
              <w:rPr>
                <w:rFonts w:eastAsia="Calibri"/>
                <w:kern w:val="2"/>
                <w:szCs w:val="24"/>
                <w14:ligatures w14:val="standardContextual"/>
              </w:rPr>
              <w:t xml:space="preserve">atyta, kad </w:t>
            </w:r>
            <w:r w:rsidR="005D1D07">
              <w:rPr>
                <w:rFonts w:eastAsia="Calibri"/>
                <w:kern w:val="2"/>
                <w:szCs w:val="24"/>
                <w14:ligatures w14:val="standardContextual"/>
              </w:rPr>
              <w:t xml:space="preserve">Lietuvos Respublikos </w:t>
            </w:r>
            <w:r w:rsidRPr="00EC32C3">
              <w:rPr>
                <w:rFonts w:eastAsia="Calibri"/>
                <w:kern w:val="2"/>
                <w:szCs w:val="24"/>
                <w14:ligatures w14:val="standardContextual"/>
              </w:rPr>
              <w:t>Vyriausybė tvirtina MMA ir minimalųjį valandinį atlygį, atsižvelgdama į Trišalės tarybos rekomendaciją bei į šalies ūkio vystymosi rodiklius ir tendencijas.</w:t>
            </w:r>
            <w:r>
              <w:rPr>
                <w:rFonts w:eastAsia="Calibri"/>
                <w:kern w:val="2"/>
                <w:szCs w:val="24"/>
                <w14:ligatures w14:val="standardContextual"/>
              </w:rPr>
              <w:t xml:space="preserve"> Ši tvarka taikoma nuo 2018 m., o MMA didėja kasmet</w:t>
            </w:r>
            <w:r w:rsidR="003E4ED1">
              <w:rPr>
                <w:rFonts w:eastAsia="Calibri"/>
                <w:kern w:val="2"/>
                <w:szCs w:val="24"/>
                <w14:ligatures w14:val="standardContextual"/>
              </w:rPr>
              <w:t>. V</w:t>
            </w:r>
            <w:r>
              <w:rPr>
                <w:rFonts w:eastAsia="Calibri"/>
                <w:kern w:val="2"/>
                <w:szCs w:val="24"/>
                <w14:ligatures w14:val="standardContextual"/>
              </w:rPr>
              <w:t xml:space="preserve">adovaujantis </w:t>
            </w:r>
            <w:r w:rsidR="003E4ED1">
              <w:rPr>
                <w:rFonts w:eastAsia="Calibri"/>
                <w:kern w:val="2"/>
                <w:szCs w:val="24"/>
                <w14:ligatures w14:val="standardContextual"/>
              </w:rPr>
              <w:t xml:space="preserve">šiomis nuostatomis </w:t>
            </w:r>
            <w:r>
              <w:rPr>
                <w:rFonts w:eastAsia="Calibri"/>
                <w:kern w:val="2"/>
                <w:szCs w:val="24"/>
                <w14:ligatures w14:val="standardContextual"/>
              </w:rPr>
              <w:t>nustatytos ir patvirtintos</w:t>
            </w:r>
            <w:r w:rsidR="003E4ED1">
              <w:rPr>
                <w:rFonts w:eastAsia="Calibri"/>
                <w:kern w:val="2"/>
                <w:szCs w:val="24"/>
                <w14:ligatures w14:val="standardContextual"/>
              </w:rPr>
              <w:t xml:space="preserve"> vertinimo kontekste aktualios</w:t>
            </w:r>
            <w:r>
              <w:rPr>
                <w:rFonts w:eastAsia="Calibri"/>
                <w:kern w:val="2"/>
                <w:szCs w:val="24"/>
                <w14:ligatures w14:val="standardContextual"/>
              </w:rPr>
              <w:t xml:space="preserve"> 2021 m. ir vėlesnių metų MMA</w:t>
            </w:r>
            <w:r w:rsidR="003E4ED1">
              <w:rPr>
                <w:rFonts w:eastAsia="Calibri"/>
                <w:kern w:val="2"/>
                <w:szCs w:val="24"/>
                <w14:ligatures w14:val="standardContextual"/>
              </w:rPr>
              <w:t>.</w:t>
            </w:r>
            <w:r>
              <w:rPr>
                <w:rFonts w:eastAsia="Calibri"/>
                <w:kern w:val="2"/>
                <w:szCs w:val="24"/>
                <w14:ligatures w14:val="standardContextual"/>
              </w:rPr>
              <w:t xml:space="preserve"> </w:t>
            </w:r>
            <w:r>
              <w:rPr>
                <w:rFonts w:eastAsia="HG Mincho Light J"/>
                <w:color w:val="000000"/>
                <w:szCs w:val="24"/>
                <w:lang w:eastAsia="lt-LT"/>
              </w:rPr>
              <w:t xml:space="preserve">Taigi, kasmet didinamas MMA dydis nėra ir negali būti siurprizinis (netikėtas) Sutarties šalims, t. y. MMA padidėjimas negali būti ta aplinkybė, kurios </w:t>
            </w:r>
            <w:r w:rsidRPr="00A024F5">
              <w:rPr>
                <w:rFonts w:eastAsia="HG Mincho Light J"/>
                <w:color w:val="000000"/>
                <w:szCs w:val="24"/>
                <w:lang w:eastAsia="lt-LT"/>
              </w:rPr>
              <w:t>protinga ir apdairi perkančioji organizacija negalėjo numatyti.</w:t>
            </w:r>
            <w:r>
              <w:t xml:space="preserve"> </w:t>
            </w:r>
          </w:p>
          <w:p w14:paraId="17912EE9" w14:textId="44D61138" w:rsidR="00FD21D4" w:rsidRDefault="00FD21D4" w:rsidP="00FD21D4">
            <w:pPr>
              <w:rPr>
                <w:rFonts w:eastAsia="HG Mincho Light J"/>
                <w:color w:val="000000"/>
                <w:szCs w:val="24"/>
                <w:lang w:eastAsia="lt-LT"/>
              </w:rPr>
            </w:pPr>
            <w:r>
              <w:rPr>
                <w:rFonts w:eastAsia="HG Mincho Light J"/>
                <w:color w:val="000000"/>
                <w:szCs w:val="24"/>
                <w:lang w:eastAsia="lt-LT"/>
              </w:rPr>
              <w:lastRenderedPageBreak/>
              <w:t xml:space="preserve">Tarnyba sutinka, jog padidėjus MMA, </w:t>
            </w:r>
            <w:r w:rsidRPr="00DA0080">
              <w:rPr>
                <w:rFonts w:eastAsia="HG Mincho Light J"/>
                <w:color w:val="000000"/>
                <w:szCs w:val="24"/>
                <w:lang w:eastAsia="lt-LT"/>
              </w:rPr>
              <w:t xml:space="preserve">galimai padidėjo ir </w:t>
            </w:r>
            <w:r>
              <w:rPr>
                <w:rFonts w:eastAsia="HG Mincho Light J"/>
                <w:color w:val="000000"/>
                <w:szCs w:val="24"/>
                <w:lang w:eastAsia="lt-LT"/>
              </w:rPr>
              <w:t>Tiekėjo</w:t>
            </w:r>
            <w:r w:rsidRPr="00DA0080">
              <w:rPr>
                <w:rFonts w:eastAsia="HG Mincho Light J"/>
                <w:color w:val="000000"/>
                <w:szCs w:val="24"/>
                <w:lang w:eastAsia="lt-LT"/>
              </w:rPr>
              <w:t xml:space="preserve"> išlaidos,</w:t>
            </w:r>
            <w:r>
              <w:t xml:space="preserve"> tačiau pažymi, kad </w:t>
            </w:r>
            <w:r w:rsidRPr="0001730C">
              <w:rPr>
                <w:rFonts w:eastAsia="HG Mincho Light J"/>
                <w:color w:val="000000"/>
                <w:szCs w:val="24"/>
                <w:lang w:eastAsia="lt-LT"/>
              </w:rPr>
              <w:t xml:space="preserve">teikdamas pasiūlymą viešajame pirkime, </w:t>
            </w:r>
            <w:r>
              <w:rPr>
                <w:rFonts w:eastAsia="HG Mincho Light J"/>
                <w:color w:val="000000"/>
                <w:szCs w:val="24"/>
                <w:lang w:eastAsia="lt-LT"/>
              </w:rPr>
              <w:t xml:space="preserve">Tiekėjas </w:t>
            </w:r>
            <w:r w:rsidRPr="0001730C">
              <w:rPr>
                <w:rFonts w:eastAsia="HG Mincho Light J"/>
                <w:color w:val="000000"/>
                <w:szCs w:val="24"/>
                <w:lang w:eastAsia="lt-LT"/>
              </w:rPr>
              <w:t xml:space="preserve">turėjo numatyti šią aplinkybę </w:t>
            </w:r>
            <w:r>
              <w:rPr>
                <w:rFonts w:eastAsia="HG Mincho Light J"/>
                <w:color w:val="000000"/>
                <w:szCs w:val="24"/>
                <w:lang w:eastAsia="lt-LT"/>
              </w:rPr>
              <w:t xml:space="preserve">ir </w:t>
            </w:r>
            <w:r w:rsidRPr="0001730C">
              <w:rPr>
                <w:rFonts w:eastAsia="HG Mincho Light J"/>
                <w:color w:val="000000"/>
                <w:szCs w:val="24"/>
                <w:lang w:eastAsia="lt-LT"/>
              </w:rPr>
              <w:t xml:space="preserve">pasilikti rezervą, </w:t>
            </w:r>
            <w:r>
              <w:rPr>
                <w:rFonts w:eastAsia="HG Mincho Light J"/>
                <w:color w:val="000000"/>
                <w:szCs w:val="24"/>
                <w:lang w:eastAsia="lt-LT"/>
              </w:rPr>
              <w:t xml:space="preserve"> įvertinus tai, kad </w:t>
            </w:r>
            <w:r w:rsidRPr="0001730C">
              <w:rPr>
                <w:rFonts w:eastAsia="HG Mincho Light J"/>
                <w:color w:val="000000"/>
                <w:szCs w:val="24"/>
                <w:lang w:eastAsia="lt-LT"/>
              </w:rPr>
              <w:t>pasiūlymo kainos 90 % sudar</w:t>
            </w:r>
            <w:r>
              <w:rPr>
                <w:rFonts w:eastAsia="HG Mincho Light J"/>
                <w:color w:val="000000"/>
                <w:szCs w:val="24"/>
                <w:lang w:eastAsia="lt-LT"/>
              </w:rPr>
              <w:t>o</w:t>
            </w:r>
            <w:r w:rsidRPr="0001730C">
              <w:rPr>
                <w:rFonts w:eastAsia="HG Mincho Light J"/>
                <w:color w:val="000000"/>
                <w:szCs w:val="24"/>
                <w:lang w:eastAsia="lt-LT"/>
              </w:rPr>
              <w:t xml:space="preserve"> </w:t>
            </w:r>
            <w:r>
              <w:rPr>
                <w:rFonts w:eastAsia="HG Mincho Light J"/>
                <w:color w:val="000000"/>
                <w:szCs w:val="24"/>
                <w:lang w:eastAsia="lt-LT"/>
              </w:rPr>
              <w:t>darbo užmokesčio sąnaudos</w:t>
            </w:r>
            <w:r>
              <w:rPr>
                <w:rStyle w:val="Puslapioinaosnuoroda"/>
                <w:rFonts w:eastAsia="HG Mincho Light J"/>
                <w:color w:val="000000"/>
                <w:szCs w:val="24"/>
                <w:lang w:eastAsia="lt-LT"/>
              </w:rPr>
              <w:footnoteReference w:id="13"/>
            </w:r>
            <w:r w:rsidRPr="0001730C">
              <w:rPr>
                <w:rFonts w:eastAsia="HG Mincho Light J"/>
                <w:color w:val="000000"/>
                <w:szCs w:val="24"/>
                <w:lang w:eastAsia="lt-LT"/>
              </w:rPr>
              <w:t xml:space="preserve">. Taigi </w:t>
            </w:r>
            <w:r>
              <w:rPr>
                <w:rFonts w:eastAsia="HG Mincho Light J"/>
                <w:color w:val="000000"/>
                <w:szCs w:val="24"/>
                <w:lang w:eastAsia="lt-LT"/>
              </w:rPr>
              <w:t>Tiekėjas</w:t>
            </w:r>
            <w:r w:rsidRPr="0001730C">
              <w:rPr>
                <w:rFonts w:eastAsia="HG Mincho Light J"/>
                <w:color w:val="000000"/>
                <w:szCs w:val="24"/>
                <w:lang w:eastAsia="lt-LT"/>
              </w:rPr>
              <w:t xml:space="preserve">, teikdamas tokį pasiūlymą, pats prisiėmė </w:t>
            </w:r>
            <w:r>
              <w:rPr>
                <w:rFonts w:eastAsia="HG Mincho Light J"/>
                <w:color w:val="000000"/>
                <w:szCs w:val="24"/>
                <w:lang w:eastAsia="lt-LT"/>
              </w:rPr>
              <w:t>MMA</w:t>
            </w:r>
            <w:r w:rsidRPr="0001730C">
              <w:rPr>
                <w:rFonts w:eastAsia="HG Mincho Light J"/>
                <w:color w:val="000000"/>
                <w:szCs w:val="24"/>
                <w:lang w:eastAsia="lt-LT"/>
              </w:rPr>
              <w:t xml:space="preserve"> padidėjimo riziką. Šalių sudarytoje </w:t>
            </w:r>
            <w:r>
              <w:rPr>
                <w:rFonts w:eastAsia="HG Mincho Light J"/>
                <w:color w:val="000000"/>
                <w:szCs w:val="24"/>
                <w:lang w:eastAsia="lt-LT"/>
              </w:rPr>
              <w:t>S</w:t>
            </w:r>
            <w:r w:rsidRPr="0001730C">
              <w:rPr>
                <w:rFonts w:eastAsia="HG Mincho Light J"/>
                <w:color w:val="000000"/>
                <w:szCs w:val="24"/>
                <w:lang w:eastAsia="lt-LT"/>
              </w:rPr>
              <w:t xml:space="preserve">utartyje nenustatyta, kad esant </w:t>
            </w:r>
            <w:r>
              <w:rPr>
                <w:rFonts w:eastAsia="HG Mincho Light J"/>
                <w:color w:val="000000"/>
                <w:szCs w:val="24"/>
                <w:lang w:eastAsia="lt-LT"/>
              </w:rPr>
              <w:t>MMA</w:t>
            </w:r>
            <w:r w:rsidRPr="0001730C">
              <w:rPr>
                <w:rFonts w:eastAsia="HG Mincho Light J"/>
                <w:color w:val="000000"/>
                <w:szCs w:val="24"/>
                <w:lang w:eastAsia="lt-LT"/>
              </w:rPr>
              <w:t xml:space="preserve"> pasikeitimui</w:t>
            </w:r>
            <w:r>
              <w:rPr>
                <w:rFonts w:eastAsia="HG Mincho Light J"/>
                <w:color w:val="000000"/>
                <w:szCs w:val="24"/>
                <w:lang w:eastAsia="lt-LT"/>
              </w:rPr>
              <w:t>,</w:t>
            </w:r>
            <w:r w:rsidRPr="0001730C">
              <w:rPr>
                <w:rFonts w:eastAsia="HG Mincho Light J"/>
                <w:color w:val="000000"/>
                <w:szCs w:val="24"/>
                <w:lang w:eastAsia="lt-LT"/>
              </w:rPr>
              <w:t xml:space="preserve"> </w:t>
            </w:r>
            <w:r>
              <w:rPr>
                <w:rFonts w:eastAsia="HG Mincho Light J"/>
                <w:color w:val="000000"/>
                <w:szCs w:val="24"/>
                <w:lang w:eastAsia="lt-LT"/>
              </w:rPr>
              <w:t>S</w:t>
            </w:r>
            <w:r w:rsidRPr="0001730C">
              <w:rPr>
                <w:rFonts w:eastAsia="HG Mincho Light J"/>
                <w:color w:val="000000"/>
                <w:szCs w:val="24"/>
                <w:lang w:eastAsia="lt-LT"/>
              </w:rPr>
              <w:t>utarties sąlygos bus atitinkamai keičiamos</w:t>
            </w:r>
            <w:r>
              <w:rPr>
                <w:rFonts w:eastAsia="HG Mincho Light J"/>
                <w:color w:val="000000"/>
                <w:szCs w:val="24"/>
                <w:lang w:eastAsia="lt-LT"/>
              </w:rPr>
              <w:t xml:space="preserve">, todėl </w:t>
            </w:r>
            <w:r w:rsidRPr="0001730C">
              <w:rPr>
                <w:rFonts w:eastAsia="HG Mincho Light J"/>
                <w:color w:val="000000"/>
                <w:szCs w:val="24"/>
                <w:lang w:eastAsia="lt-LT"/>
              </w:rPr>
              <w:t xml:space="preserve">rizika </w:t>
            </w:r>
            <w:r>
              <w:rPr>
                <w:rFonts w:eastAsia="HG Mincho Light J"/>
                <w:color w:val="000000"/>
                <w:szCs w:val="24"/>
                <w:lang w:eastAsia="lt-LT"/>
              </w:rPr>
              <w:t xml:space="preserve">šiuo atveju </w:t>
            </w:r>
            <w:r w:rsidRPr="0001730C">
              <w:rPr>
                <w:rFonts w:eastAsia="HG Mincho Light J"/>
                <w:color w:val="000000"/>
                <w:szCs w:val="24"/>
                <w:lang w:eastAsia="lt-LT"/>
              </w:rPr>
              <w:t xml:space="preserve">tenka </w:t>
            </w:r>
            <w:r>
              <w:rPr>
                <w:rFonts w:eastAsia="HG Mincho Light J"/>
                <w:color w:val="000000"/>
                <w:szCs w:val="24"/>
                <w:lang w:eastAsia="lt-LT"/>
              </w:rPr>
              <w:t>T</w:t>
            </w:r>
            <w:r w:rsidRPr="0001730C">
              <w:rPr>
                <w:rFonts w:eastAsia="HG Mincho Light J"/>
                <w:color w:val="000000"/>
                <w:szCs w:val="24"/>
                <w:lang w:eastAsia="lt-LT"/>
              </w:rPr>
              <w:t xml:space="preserve">iekėjui. </w:t>
            </w:r>
          </w:p>
          <w:p w14:paraId="37C1552C" w14:textId="77777777" w:rsidR="00FD21D4" w:rsidRDefault="00FD21D4" w:rsidP="00FD21D4">
            <w:pPr>
              <w:rPr>
                <w:rFonts w:eastAsia="HG Mincho Light J"/>
                <w:color w:val="000000"/>
                <w:szCs w:val="24"/>
                <w:lang w:eastAsia="lt-LT"/>
              </w:rPr>
            </w:pPr>
            <w:r>
              <w:rPr>
                <w:rFonts w:eastAsia="HG Mincho Light J"/>
                <w:color w:val="000000"/>
                <w:szCs w:val="24"/>
                <w:lang w:eastAsia="lt-LT"/>
              </w:rPr>
              <w:t>Tokiu būdu, Sutarties pakeitimas pagal Įstatymo 89 straipsnio 1 dalies 3 punktą, MMA padidėjimą vertinant kaip nenumatytą aplinkybę, negalėjo būti atliekamas, nes nėra pagrindo teigti, kad</w:t>
            </w:r>
            <w:r w:rsidRPr="00A024F5">
              <w:rPr>
                <w:rFonts w:eastAsia="HG Mincho Light J"/>
                <w:color w:val="000000"/>
                <w:szCs w:val="24"/>
                <w:lang w:eastAsia="lt-LT"/>
              </w:rPr>
              <w:t xml:space="preserve"> pakeitimo būtinybė atsirado dėl aplinkybių, kurių protinga ir apdairi perkančioji organizacija negalėjo numat</w:t>
            </w:r>
            <w:r>
              <w:rPr>
                <w:rFonts w:eastAsia="HG Mincho Light J"/>
                <w:color w:val="000000"/>
                <w:szCs w:val="24"/>
                <w:lang w:eastAsia="lt-LT"/>
              </w:rPr>
              <w:t>y</w:t>
            </w:r>
            <w:r w:rsidRPr="00A024F5">
              <w:rPr>
                <w:rFonts w:eastAsia="HG Mincho Light J"/>
                <w:color w:val="000000"/>
                <w:szCs w:val="24"/>
                <w:lang w:eastAsia="lt-LT"/>
              </w:rPr>
              <w:t>ti.</w:t>
            </w:r>
            <w:r>
              <w:rPr>
                <w:rFonts w:eastAsia="HG Mincho Light J"/>
                <w:color w:val="000000"/>
                <w:szCs w:val="24"/>
                <w:lang w:eastAsia="lt-LT"/>
              </w:rPr>
              <w:t xml:space="preserve"> </w:t>
            </w:r>
          </w:p>
          <w:p w14:paraId="0EED3920" w14:textId="77777777" w:rsidR="00FD21D4" w:rsidRDefault="00FD21D4" w:rsidP="00FD21D4">
            <w:pPr>
              <w:rPr>
                <w:color w:val="000000"/>
              </w:rPr>
            </w:pPr>
            <w:r>
              <w:rPr>
                <w:color w:val="000000"/>
              </w:rPr>
              <w:t>Pažymėtina, kad Europos Sąjungos Teisingumo Teismas yra nurodęs, kad kaina – svarbi viešojo pirkimo sutarties sąlyga. Jos pakeitimas sutarties galiojimo metu, jeigu tam nėra aiškaus leidimo pirminės sutarties sąlygose, gali pažeisti skaidrumo ir vienodo požiūrio į dalyvius principus.</w:t>
            </w:r>
            <w:r>
              <w:rPr>
                <w:rStyle w:val="Puslapioinaosnuoroda"/>
                <w:color w:val="000000"/>
              </w:rPr>
              <w:footnoteReference w:id="14"/>
            </w:r>
            <w:r>
              <w:rPr>
                <w:color w:val="000000"/>
              </w:rPr>
              <w:t xml:space="preserve"> Siekiant užtikrinti procedūrų skaidrumą ir vienodą požiūrį į konkurso dalyvius (lygiateisiškumą), viešojo pirkimo sutarties nuostatų pakeitimai yra naujos sutarties sudarymas Europos Sąjungos viešųjų pirkimų nuostatų prasme, jei nustatomos iš esmės skirtingos sąlygos nei pradinėje sutartyje ir taip parodoma šalių valia sudaryti naują susitarimą dėl esminių tokios sutarties sąlygų</w:t>
            </w:r>
            <w:r>
              <w:rPr>
                <w:rStyle w:val="Puslapioinaosnuoroda"/>
                <w:color w:val="000000"/>
              </w:rPr>
              <w:footnoteReference w:id="15"/>
            </w:r>
            <w:r>
              <w:rPr>
                <w:color w:val="000000"/>
              </w:rPr>
              <w:t>.</w:t>
            </w:r>
          </w:p>
          <w:p w14:paraId="3DB546AF" w14:textId="635F5AFF" w:rsidR="00FD21D4" w:rsidRDefault="00FD21D4" w:rsidP="00FD21D4">
            <w:pPr>
              <w:rPr>
                <w:color w:val="000000"/>
                <w:szCs w:val="24"/>
                <w:shd w:val="clear" w:color="auto" w:fill="FFFFFF"/>
              </w:rPr>
            </w:pPr>
            <w:r>
              <w:rPr>
                <w:color w:val="000000"/>
              </w:rPr>
              <w:t>Sprendžiant dėl Sutarties pakeitimo teisėtumo, Tarnybos vertinimu, taip pat svarbios ne tik Perkančiosios organizacijos nurodytos pakeitimo aplinkybės ir teisinis pakeitimo pagrindimas, bet ir tai, ar toks pakeitimas iš principo Įstatym</w:t>
            </w:r>
            <w:r w:rsidR="0049081D">
              <w:rPr>
                <w:color w:val="000000"/>
              </w:rPr>
              <w:t>o</w:t>
            </w:r>
            <w:r>
              <w:rPr>
                <w:color w:val="000000"/>
              </w:rPr>
              <w:t xml:space="preserve"> yra draudžiamas ar leistinas. </w:t>
            </w:r>
            <w:r w:rsidRPr="00B2391E">
              <w:rPr>
                <w:color w:val="000000"/>
                <w:szCs w:val="24"/>
                <w:shd w:val="clear" w:color="auto" w:fill="FFFFFF"/>
              </w:rPr>
              <w:t xml:space="preserve">Direktyvos 2014/24 preambulės 107 konstatuojamojoje dalyje nurodyta, kad daryti sutarties pakeitimus, dėl kurių </w:t>
            </w:r>
            <w:r w:rsidRPr="00B2391E">
              <w:rPr>
                <w:b/>
                <w:bCs/>
                <w:color w:val="000000"/>
                <w:szCs w:val="24"/>
                <w:shd w:val="clear" w:color="auto" w:fill="FFFFFF"/>
              </w:rPr>
              <w:t>nežymiai iki tam tikros vertės</w:t>
            </w:r>
            <w:r w:rsidRPr="00B2391E">
              <w:rPr>
                <w:color w:val="000000"/>
                <w:szCs w:val="24"/>
                <w:shd w:val="clear" w:color="auto" w:fill="FFFFFF"/>
              </w:rPr>
              <w:t xml:space="preserve"> padidėja sutarties vertė, </w:t>
            </w:r>
            <w:r w:rsidRPr="00E1307D">
              <w:rPr>
                <w:b/>
                <w:bCs/>
                <w:color w:val="000000"/>
                <w:szCs w:val="24"/>
                <w:shd w:val="clear" w:color="auto" w:fill="FFFFFF"/>
              </w:rPr>
              <w:t>visada turėtų būti galima</w:t>
            </w:r>
            <w:r w:rsidRPr="00B2391E">
              <w:rPr>
                <w:color w:val="000000"/>
                <w:szCs w:val="24"/>
                <w:shd w:val="clear" w:color="auto" w:fill="FFFFFF"/>
              </w:rPr>
              <w:t xml:space="preserve"> ir tam nereikia organizuoti naujos pirkimo procedūros; šiuo tikslu ir siekiant užtikrinti teisinį tikrumą šioje direktyvoje turėtų būti nustatytos </w:t>
            </w:r>
            <w:r w:rsidRPr="00B2391E">
              <w:rPr>
                <w:i/>
                <w:iCs/>
                <w:color w:val="000000"/>
                <w:szCs w:val="24"/>
                <w:shd w:val="clear" w:color="auto" w:fill="FFFFFF"/>
              </w:rPr>
              <w:t>de minimis</w:t>
            </w:r>
            <w:r w:rsidRPr="00B2391E">
              <w:rPr>
                <w:color w:val="000000"/>
                <w:szCs w:val="24"/>
                <w:shd w:val="clear" w:color="auto" w:fill="FFFFFF"/>
              </w:rPr>
              <w:t xml:space="preserve"> vertės ribos, kurių neviršijus nauja pirkimo procedūra nėra būtina</w:t>
            </w:r>
            <w:r>
              <w:rPr>
                <w:rStyle w:val="Puslapioinaosnuoroda"/>
                <w:color w:val="000000"/>
                <w:szCs w:val="24"/>
                <w:shd w:val="clear" w:color="auto" w:fill="FFFFFF"/>
              </w:rPr>
              <w:footnoteReference w:id="16"/>
            </w:r>
            <w:r w:rsidRPr="00B2391E">
              <w:rPr>
                <w:color w:val="000000"/>
                <w:szCs w:val="24"/>
                <w:shd w:val="clear" w:color="auto" w:fill="FFFFFF"/>
              </w:rPr>
              <w:t>.</w:t>
            </w:r>
            <w:r>
              <w:rPr>
                <w:color w:val="000000"/>
                <w:szCs w:val="24"/>
                <w:shd w:val="clear" w:color="auto" w:fill="FFFFFF"/>
              </w:rPr>
              <w:t xml:space="preserve"> </w:t>
            </w:r>
            <w:r w:rsidRPr="005C76E2">
              <w:rPr>
                <w:color w:val="000000"/>
                <w:szCs w:val="24"/>
                <w:shd w:val="clear" w:color="auto" w:fill="FFFFFF"/>
              </w:rPr>
              <w:t xml:space="preserve">Įstatymo 89 straipsnio 2 </w:t>
            </w:r>
            <w:r w:rsidRPr="00B2391E">
              <w:rPr>
                <w:color w:val="000000"/>
                <w:szCs w:val="24"/>
                <w:shd w:val="clear" w:color="auto" w:fill="FFFFFF"/>
              </w:rPr>
              <w:t>dalyje</w:t>
            </w:r>
            <w:r>
              <w:rPr>
                <w:rStyle w:val="Puslapioinaosnuoroda"/>
                <w:color w:val="000000"/>
                <w:szCs w:val="24"/>
                <w:shd w:val="clear" w:color="auto" w:fill="FFFFFF"/>
              </w:rPr>
              <w:footnoteReference w:id="17"/>
            </w:r>
            <w:r>
              <w:rPr>
                <w:color w:val="000000"/>
                <w:szCs w:val="24"/>
                <w:shd w:val="clear" w:color="auto" w:fill="FFFFFF"/>
              </w:rPr>
              <w:t xml:space="preserve"> </w:t>
            </w:r>
            <w:r w:rsidRPr="00014114">
              <w:rPr>
                <w:color w:val="000000"/>
                <w:szCs w:val="24"/>
                <w:shd w:val="clear" w:color="auto" w:fill="FFFFFF"/>
              </w:rPr>
              <w:t>įtvirtintas pirkimo sutarties keitimo pagrindas yra siejamas su pirkimo sutarties vertės keitimu</w:t>
            </w:r>
            <w:r>
              <w:rPr>
                <w:color w:val="000000"/>
                <w:szCs w:val="24"/>
                <w:shd w:val="clear" w:color="auto" w:fill="FFFFFF"/>
              </w:rPr>
              <w:t xml:space="preserve"> ir sutarties pakeitimo kaip esminio pakeitimo vertinimas</w:t>
            </w:r>
            <w:r w:rsidR="005260E8">
              <w:rPr>
                <w:color w:val="000000"/>
                <w:szCs w:val="24"/>
                <w:shd w:val="clear" w:color="auto" w:fill="FFFFFF"/>
              </w:rPr>
              <w:t>,</w:t>
            </w:r>
            <w:r>
              <w:rPr>
                <w:color w:val="000000"/>
                <w:szCs w:val="24"/>
                <w:shd w:val="clear" w:color="auto" w:fill="FFFFFF"/>
              </w:rPr>
              <w:t xml:space="preserve"> taikant Įstatymo 89 straipsnio 1 ir 2 dalis</w:t>
            </w:r>
            <w:r w:rsidR="005260E8">
              <w:rPr>
                <w:color w:val="000000"/>
                <w:szCs w:val="24"/>
                <w:shd w:val="clear" w:color="auto" w:fill="FFFFFF"/>
              </w:rPr>
              <w:t>,</w:t>
            </w:r>
            <w:r>
              <w:rPr>
                <w:color w:val="000000"/>
                <w:szCs w:val="24"/>
                <w:shd w:val="clear" w:color="auto" w:fill="FFFFFF"/>
              </w:rPr>
              <w:t xml:space="preserve"> netaikomas</w:t>
            </w:r>
            <w:r>
              <w:rPr>
                <w:rStyle w:val="Puslapioinaosnuoroda"/>
                <w:color w:val="000000"/>
                <w:szCs w:val="24"/>
                <w:shd w:val="clear" w:color="auto" w:fill="FFFFFF"/>
              </w:rPr>
              <w:footnoteReference w:id="18"/>
            </w:r>
            <w:r>
              <w:rPr>
                <w:color w:val="000000"/>
                <w:szCs w:val="24"/>
                <w:shd w:val="clear" w:color="auto" w:fill="FFFFFF"/>
              </w:rPr>
              <w:t>.</w:t>
            </w:r>
          </w:p>
          <w:p w14:paraId="66E126E9" w14:textId="06BBFF41" w:rsidR="00EB53BE" w:rsidRPr="005C76E2" w:rsidRDefault="00EB53BE" w:rsidP="00FD21D4">
            <w:pPr>
              <w:rPr>
                <w:color w:val="000000"/>
                <w:szCs w:val="24"/>
              </w:rPr>
            </w:pPr>
            <w:r>
              <w:rPr>
                <w:color w:val="000000"/>
                <w:szCs w:val="24"/>
                <w:shd w:val="clear" w:color="auto" w:fill="FFFFFF"/>
              </w:rPr>
              <w:t>Taigi, įvertinus</w:t>
            </w:r>
            <w:r w:rsidR="00C25554">
              <w:rPr>
                <w:color w:val="000000"/>
                <w:szCs w:val="24"/>
                <w:shd w:val="clear" w:color="auto" w:fill="FFFFFF"/>
              </w:rPr>
              <w:t>i</w:t>
            </w:r>
            <w:r>
              <w:rPr>
                <w:color w:val="000000"/>
                <w:szCs w:val="24"/>
                <w:shd w:val="clear" w:color="auto" w:fill="FFFFFF"/>
              </w:rPr>
              <w:t xml:space="preserve"> Perkančiosios organizacijos nurodytas Sutarties pakeitimo aplinkybes, t. y. pasikeitusį teisinį reglamentavimą, dėl kurio Tiekėjas neteko </w:t>
            </w:r>
            <w:r w:rsidR="00C25554">
              <w:rPr>
                <w:color w:val="000000"/>
                <w:szCs w:val="24"/>
                <w:shd w:val="clear" w:color="auto" w:fill="FFFFFF"/>
              </w:rPr>
              <w:t>socialinės įmonės</w:t>
            </w:r>
            <w:r>
              <w:rPr>
                <w:color w:val="000000"/>
                <w:szCs w:val="24"/>
                <w:shd w:val="clear" w:color="auto" w:fill="FFFFFF"/>
              </w:rPr>
              <w:t xml:space="preserve"> statuso ir subsidijų darbo užmokesčiui</w:t>
            </w:r>
            <w:r>
              <w:rPr>
                <w:rStyle w:val="Puslapioinaosnuoroda"/>
                <w:color w:val="000000"/>
                <w:szCs w:val="24"/>
                <w:shd w:val="clear" w:color="auto" w:fill="FFFFFF"/>
              </w:rPr>
              <w:footnoteReference w:id="19"/>
            </w:r>
            <w:bookmarkStart w:id="3" w:name="_Hlk139028310"/>
            <w:r w:rsidR="00282464">
              <w:rPr>
                <w:color w:val="000000"/>
                <w:szCs w:val="24"/>
                <w:shd w:val="clear" w:color="auto" w:fill="FFFFFF"/>
              </w:rPr>
              <w:t>,</w:t>
            </w:r>
            <w:r w:rsidR="00C25554">
              <w:rPr>
                <w:color w:val="000000"/>
                <w:szCs w:val="24"/>
                <w:shd w:val="clear" w:color="auto" w:fill="FFFFFF"/>
              </w:rPr>
              <w:t xml:space="preserve"> faktines aplinkybes –</w:t>
            </w:r>
            <w:r w:rsidR="00282464">
              <w:rPr>
                <w:color w:val="000000"/>
                <w:szCs w:val="24"/>
                <w:shd w:val="clear" w:color="auto" w:fill="FFFFFF"/>
              </w:rPr>
              <w:t xml:space="preserve"> </w:t>
            </w:r>
            <w:r w:rsidR="005F0B7D">
              <w:rPr>
                <w:color w:val="000000"/>
                <w:szCs w:val="24"/>
                <w:shd w:val="clear" w:color="auto" w:fill="FFFFFF"/>
              </w:rPr>
              <w:t xml:space="preserve">ženkliai padidėjusias </w:t>
            </w:r>
            <w:r w:rsidR="00282464">
              <w:rPr>
                <w:rFonts w:eastAsia="Calibri"/>
                <w:szCs w:val="24"/>
                <w:lang w:eastAsia="lt-LT"/>
              </w:rPr>
              <w:t>higienos priemonių ir valymui būtinų priemonių</w:t>
            </w:r>
            <w:r w:rsidR="005F0B7D">
              <w:rPr>
                <w:rFonts w:eastAsia="Calibri"/>
                <w:szCs w:val="24"/>
                <w:lang w:eastAsia="lt-LT"/>
              </w:rPr>
              <w:t>,</w:t>
            </w:r>
            <w:r w:rsidR="00282464">
              <w:rPr>
                <w:rFonts w:eastAsia="Calibri"/>
                <w:szCs w:val="24"/>
                <w:lang w:eastAsia="lt-LT"/>
              </w:rPr>
              <w:t xml:space="preserve"> </w:t>
            </w:r>
            <w:r w:rsidR="00C25554">
              <w:rPr>
                <w:rFonts w:eastAsia="Calibri"/>
                <w:szCs w:val="24"/>
                <w:lang w:eastAsia="lt-LT"/>
              </w:rPr>
              <w:t>energijos, transportavimo kainas ir pan.</w:t>
            </w:r>
            <w:r w:rsidR="005F0B7D">
              <w:rPr>
                <w:rFonts w:eastAsia="Calibri"/>
                <w:szCs w:val="24"/>
                <w:lang w:eastAsia="lt-LT"/>
              </w:rPr>
              <w:t>, taip pat likusį Sutarties vykdymo terminą bei Sutarties vertės pokytį (padidėjimą)</w:t>
            </w:r>
            <w:r w:rsidR="00C25554">
              <w:rPr>
                <w:rFonts w:eastAsia="Calibri"/>
                <w:szCs w:val="24"/>
                <w:lang w:eastAsia="lt-LT"/>
              </w:rPr>
              <w:t>, Tarnyba mano, kad Perkančioji organizacija</w:t>
            </w:r>
            <w:r w:rsidR="00D11705">
              <w:rPr>
                <w:rFonts w:eastAsia="Calibri"/>
                <w:szCs w:val="24"/>
                <w:lang w:eastAsia="lt-LT"/>
              </w:rPr>
              <w:t xml:space="preserve"> šiuo konkrečiu atveju</w:t>
            </w:r>
            <w:r w:rsidR="00C25554">
              <w:rPr>
                <w:rFonts w:eastAsia="Calibri"/>
                <w:szCs w:val="24"/>
                <w:lang w:eastAsia="lt-LT"/>
              </w:rPr>
              <w:t xml:space="preserve"> galėjo atlikti Sutarties keitimą Įstatymo 89 straipsnio 2 dalyje nurodytu pagrindu.</w:t>
            </w:r>
          </w:p>
          <w:bookmarkEnd w:id="3"/>
          <w:p w14:paraId="6E657B0B" w14:textId="16205FB9" w:rsidR="00FD21D4" w:rsidRDefault="00FD21D4" w:rsidP="00FD21D4">
            <w:pPr>
              <w:rPr>
                <w:spacing w:val="2"/>
                <w:szCs w:val="24"/>
                <w:shd w:val="clear" w:color="auto" w:fill="FFFFFF"/>
              </w:rPr>
            </w:pPr>
            <w:r>
              <w:rPr>
                <w:spacing w:val="2"/>
                <w:szCs w:val="24"/>
                <w:shd w:val="clear" w:color="auto" w:fill="FFFFFF"/>
              </w:rPr>
              <w:t xml:space="preserve">Atlikusi Sutarties pakeitimo vertinimo pagrįstumą, atsižvelgusi į konkrečias (individualias) aplinkybes dėl Sutarties </w:t>
            </w:r>
            <w:r w:rsidRPr="00A75757">
              <w:rPr>
                <w:spacing w:val="2"/>
                <w:szCs w:val="24"/>
                <w:shd w:val="clear" w:color="auto" w:fill="FFFFFF"/>
              </w:rPr>
              <w:t>kainos peržiūr</w:t>
            </w:r>
            <w:r>
              <w:rPr>
                <w:spacing w:val="2"/>
                <w:szCs w:val="24"/>
                <w:shd w:val="clear" w:color="auto" w:fill="FFFFFF"/>
              </w:rPr>
              <w:t>os</w:t>
            </w:r>
            <w:r w:rsidRPr="00A75757">
              <w:rPr>
                <w:spacing w:val="2"/>
                <w:szCs w:val="24"/>
                <w:shd w:val="clear" w:color="auto" w:fill="FFFFFF"/>
              </w:rPr>
              <w:t xml:space="preserve"> (</w:t>
            </w:r>
            <w:r>
              <w:rPr>
                <w:spacing w:val="2"/>
                <w:szCs w:val="24"/>
                <w:shd w:val="clear" w:color="auto" w:fill="FFFFFF"/>
              </w:rPr>
              <w:t xml:space="preserve">įkainių </w:t>
            </w:r>
            <w:r w:rsidRPr="00A75757">
              <w:rPr>
                <w:spacing w:val="2"/>
                <w:szCs w:val="24"/>
                <w:shd w:val="clear" w:color="auto" w:fill="FFFFFF"/>
              </w:rPr>
              <w:t>indeksavim</w:t>
            </w:r>
            <w:r>
              <w:rPr>
                <w:spacing w:val="2"/>
                <w:szCs w:val="24"/>
                <w:shd w:val="clear" w:color="auto" w:fill="FFFFFF"/>
              </w:rPr>
              <w:t>o</w:t>
            </w:r>
            <w:r w:rsidRPr="00A75757">
              <w:rPr>
                <w:spacing w:val="2"/>
                <w:szCs w:val="24"/>
                <w:shd w:val="clear" w:color="auto" w:fill="FFFFFF"/>
              </w:rPr>
              <w:t>)</w:t>
            </w:r>
            <w:r w:rsidR="0049081D">
              <w:rPr>
                <w:spacing w:val="2"/>
                <w:szCs w:val="24"/>
                <w:shd w:val="clear" w:color="auto" w:fill="FFFFFF"/>
              </w:rPr>
              <w:t xml:space="preserve"> </w:t>
            </w:r>
            <w:r>
              <w:rPr>
                <w:spacing w:val="2"/>
                <w:szCs w:val="24"/>
                <w:shd w:val="clear" w:color="auto" w:fill="FFFFFF"/>
              </w:rPr>
              <w:t xml:space="preserve">ir tokio pakeitimo padarinius </w:t>
            </w:r>
            <w:r w:rsidR="0049081D">
              <w:rPr>
                <w:spacing w:val="2"/>
                <w:szCs w:val="24"/>
                <w:shd w:val="clear" w:color="auto" w:fill="FFFFFF"/>
              </w:rPr>
              <w:t xml:space="preserve">(toks perskaičiavimas Sutarties galiojimo laikotarpiu buvo atliktas tik vieną kartą, o jo vertė sudarė tik 1,13 proc. pradinės sutarties vertės) </w:t>
            </w:r>
            <w:r>
              <w:rPr>
                <w:spacing w:val="2"/>
                <w:szCs w:val="24"/>
                <w:shd w:val="clear" w:color="auto" w:fill="FFFFFF"/>
              </w:rPr>
              <w:t xml:space="preserve">bei jų suderinamumą su </w:t>
            </w:r>
            <w:r w:rsidR="00E1307D">
              <w:rPr>
                <w:spacing w:val="2"/>
                <w:szCs w:val="24"/>
                <w:shd w:val="clear" w:color="auto" w:fill="FFFFFF"/>
              </w:rPr>
              <w:t xml:space="preserve">Įstatymo </w:t>
            </w:r>
            <w:r>
              <w:rPr>
                <w:spacing w:val="2"/>
                <w:szCs w:val="24"/>
                <w:shd w:val="clear" w:color="auto" w:fill="FFFFFF"/>
              </w:rPr>
              <w:t xml:space="preserve">89 straipsnio nuostatomis, Tarnyba konstatuoja, kad Sutartis teisėtai galėjo būti keičiama kitais, nei Susitarime nurodyta, pagrindais, t. y. vadovaujantis Įstatymo 89 straipsnio 2 dalyje nustatytomis sąlygomis. </w:t>
            </w:r>
            <w:r w:rsidR="0049081D">
              <w:rPr>
                <w:spacing w:val="2"/>
                <w:szCs w:val="24"/>
                <w:shd w:val="clear" w:color="auto" w:fill="FFFFFF"/>
              </w:rPr>
              <w:t>Taigi, darytina išvada, kad atliktas Sutarties pakeitimas</w:t>
            </w:r>
            <w:r w:rsidR="00FE1EF4">
              <w:rPr>
                <w:spacing w:val="2"/>
                <w:szCs w:val="24"/>
                <w:shd w:val="clear" w:color="auto" w:fill="FFFFFF"/>
              </w:rPr>
              <w:t xml:space="preserve"> ir jo pagrindu padarytas kainos </w:t>
            </w:r>
            <w:r w:rsidR="00FE1EF4">
              <w:rPr>
                <w:spacing w:val="2"/>
                <w:szCs w:val="24"/>
                <w:shd w:val="clear" w:color="auto" w:fill="FFFFFF"/>
              </w:rPr>
              <w:lastRenderedPageBreak/>
              <w:t>perskaičiavimas</w:t>
            </w:r>
            <w:r w:rsidR="0049081D">
              <w:rPr>
                <w:spacing w:val="2"/>
                <w:szCs w:val="24"/>
                <w:shd w:val="clear" w:color="auto" w:fill="FFFFFF"/>
              </w:rPr>
              <w:t xml:space="preserve"> neatitiko Įstatymo 89 straipsnio 1 dalies 3 punkto reikalavim</w:t>
            </w:r>
            <w:r w:rsidR="00FE1EF4">
              <w:rPr>
                <w:spacing w:val="2"/>
                <w:szCs w:val="24"/>
                <w:shd w:val="clear" w:color="auto" w:fill="FFFFFF"/>
              </w:rPr>
              <w:t>ų</w:t>
            </w:r>
            <w:r w:rsidR="0049081D">
              <w:rPr>
                <w:spacing w:val="2"/>
                <w:szCs w:val="24"/>
                <w:shd w:val="clear" w:color="auto" w:fill="FFFFFF"/>
              </w:rPr>
              <w:t>, tačiau t</w:t>
            </w:r>
            <w:r w:rsidR="00FE1EF4">
              <w:rPr>
                <w:spacing w:val="2"/>
                <w:szCs w:val="24"/>
                <w:shd w:val="clear" w:color="auto" w:fill="FFFFFF"/>
              </w:rPr>
              <w:t xml:space="preserve">enkino šio straipsnio 2 dalies sąlygas. </w:t>
            </w:r>
          </w:p>
          <w:p w14:paraId="7701F1EC" w14:textId="7305015D" w:rsidR="00DD0F9C" w:rsidRPr="00DD0F9C" w:rsidRDefault="00DD0F9C" w:rsidP="005260E8">
            <w:pPr>
              <w:rPr>
                <w:szCs w:val="24"/>
              </w:rPr>
            </w:pPr>
          </w:p>
        </w:tc>
      </w:tr>
    </w:tbl>
    <w:p w14:paraId="1E01068B" w14:textId="38E6968B" w:rsidR="007A09FC" w:rsidRDefault="007A09FC" w:rsidP="00823BD8">
      <w:pPr>
        <w:rPr>
          <w:szCs w:val="24"/>
          <w:lang w:eastAsia="lt-LT"/>
        </w:rPr>
      </w:pPr>
    </w:p>
    <w:p w14:paraId="26049219" w14:textId="498F7527" w:rsidR="00FE6609" w:rsidRPr="00FE6609" w:rsidRDefault="00FE6609" w:rsidP="00B96629">
      <w:pPr>
        <w:jc w:val="center"/>
        <w:rPr>
          <w:b/>
          <w:szCs w:val="24"/>
          <w:lang w:eastAsia="lt-LT"/>
        </w:rPr>
      </w:pPr>
      <w:r w:rsidRPr="00FE6609">
        <w:rPr>
          <w:b/>
          <w:szCs w:val="24"/>
          <w:lang w:eastAsia="lt-LT"/>
        </w:rPr>
        <w:t>Pastabos</w:t>
      </w:r>
    </w:p>
    <w:p w14:paraId="18659391" w14:textId="20675133" w:rsidR="00FE6609" w:rsidRPr="00FE6609" w:rsidRDefault="00FE6609" w:rsidP="00FE6609">
      <w:pP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75757" w:rsidRPr="00A75757" w14:paraId="645424BB" w14:textId="6CDD920A"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5851DF56" w:rsidR="00E97DBD" w:rsidRPr="00A75757" w:rsidRDefault="00FE1EF4" w:rsidP="00FD21D4">
            <w:pPr>
              <w:rPr>
                <w:iCs/>
                <w:szCs w:val="24"/>
              </w:rPr>
            </w:pPr>
            <w:r>
              <w:rPr>
                <w:iCs/>
                <w:szCs w:val="24"/>
              </w:rPr>
              <w:t>–</w:t>
            </w:r>
          </w:p>
        </w:tc>
      </w:tr>
    </w:tbl>
    <w:p w14:paraId="2F11671A" w14:textId="77777777" w:rsidR="00F650EC" w:rsidRDefault="00F650EC" w:rsidP="00823BD8">
      <w:pPr>
        <w:rPr>
          <w:szCs w:val="24"/>
          <w:lang w:eastAsia="lt-LT"/>
        </w:rPr>
      </w:pPr>
    </w:p>
    <w:p w14:paraId="1329E6E4" w14:textId="77777777" w:rsidR="00FF77C8" w:rsidRDefault="00FF77C8" w:rsidP="00823BD8">
      <w:pPr>
        <w:rPr>
          <w:szCs w:val="24"/>
          <w:lang w:eastAsia="lt-LT"/>
        </w:rPr>
      </w:pPr>
    </w:p>
    <w:p w14:paraId="67126904" w14:textId="77777777" w:rsidR="00FF77C8" w:rsidRPr="00945269" w:rsidRDefault="00FF77C8" w:rsidP="00823BD8">
      <w:pPr>
        <w:rPr>
          <w:szCs w:val="24"/>
          <w:lang w:eastAsia="lt-LT"/>
        </w:rPr>
      </w:pPr>
    </w:p>
    <w:p w14:paraId="047038B8" w14:textId="1247D361" w:rsidR="00504A25" w:rsidRDefault="00504A25" w:rsidP="00D327B7">
      <w:pPr>
        <w:shd w:val="clear" w:color="auto" w:fill="FFFFFF"/>
        <w:ind w:firstLine="0"/>
        <w:rPr>
          <w:szCs w:val="24"/>
          <w:lang w:val="en-GB"/>
        </w:rPr>
      </w:pPr>
      <w:r>
        <w:rPr>
          <w:color w:val="000000"/>
          <w:szCs w:val="24"/>
        </w:rPr>
        <w:t>Direktori</w:t>
      </w:r>
      <w:r w:rsidR="00FF77C8">
        <w:rPr>
          <w:color w:val="000000"/>
          <w:szCs w:val="24"/>
        </w:rPr>
        <w:t>a</w:t>
      </w:r>
      <w:r>
        <w:rPr>
          <w:color w:val="000000"/>
          <w:szCs w:val="24"/>
        </w:rPr>
        <w:t xml:space="preserve">us </w:t>
      </w:r>
      <w:r w:rsidR="00FF77C8">
        <w:rPr>
          <w:color w:val="000000"/>
          <w:szCs w:val="24"/>
        </w:rPr>
        <w:t>pavaduotojas</w:t>
      </w:r>
      <w:r w:rsidR="00D327B7">
        <w:rPr>
          <w:color w:val="000000"/>
          <w:szCs w:val="24"/>
        </w:rPr>
        <w:t xml:space="preserve">                                         </w:t>
      </w:r>
      <w:r w:rsidR="00FF77C8">
        <w:rPr>
          <w:color w:val="000000"/>
          <w:szCs w:val="24"/>
        </w:rPr>
        <w:t xml:space="preserve">       </w:t>
      </w:r>
      <w:r w:rsidR="00D327B7">
        <w:rPr>
          <w:color w:val="000000"/>
          <w:szCs w:val="24"/>
        </w:rPr>
        <w:t xml:space="preserve">                                        </w:t>
      </w:r>
      <w:r w:rsidR="00FF77C8">
        <w:rPr>
          <w:color w:val="000000"/>
          <w:szCs w:val="24"/>
        </w:rPr>
        <w:t>Arūnas Siniauskas</w:t>
      </w:r>
    </w:p>
    <w:p w14:paraId="2E6E6CA0" w14:textId="77777777" w:rsidR="007463CE" w:rsidRDefault="007463CE" w:rsidP="00901B64">
      <w:pPr>
        <w:rPr>
          <w:szCs w:val="24"/>
        </w:rPr>
      </w:pPr>
    </w:p>
    <w:p w14:paraId="177C14EF" w14:textId="495D7289" w:rsidR="00B31778" w:rsidRDefault="00B31778" w:rsidP="00901B64">
      <w:pPr>
        <w:rPr>
          <w:szCs w:val="24"/>
        </w:rPr>
      </w:pPr>
    </w:p>
    <w:p w14:paraId="30C2C8F8" w14:textId="77777777" w:rsidR="007340CD" w:rsidRDefault="007340CD" w:rsidP="00901B64">
      <w:pPr>
        <w:rPr>
          <w:szCs w:val="24"/>
        </w:rPr>
      </w:pPr>
    </w:p>
    <w:p w14:paraId="360BD104" w14:textId="77777777" w:rsidR="007340CD" w:rsidRDefault="007340CD" w:rsidP="00901B64">
      <w:pPr>
        <w:rPr>
          <w:szCs w:val="24"/>
        </w:rPr>
      </w:pPr>
    </w:p>
    <w:p w14:paraId="04EEB6F1" w14:textId="77777777" w:rsidR="007340CD" w:rsidRDefault="007340CD" w:rsidP="00901B64">
      <w:pPr>
        <w:rPr>
          <w:szCs w:val="24"/>
        </w:rPr>
      </w:pPr>
    </w:p>
    <w:p w14:paraId="1E95487F" w14:textId="77777777" w:rsidR="007340CD" w:rsidRDefault="007340CD" w:rsidP="00901B64">
      <w:pPr>
        <w:rPr>
          <w:szCs w:val="24"/>
        </w:rPr>
      </w:pPr>
    </w:p>
    <w:p w14:paraId="1EA7FA3E" w14:textId="77777777" w:rsidR="007340CD" w:rsidRDefault="007340CD" w:rsidP="00901B64">
      <w:pPr>
        <w:rPr>
          <w:szCs w:val="24"/>
        </w:rPr>
      </w:pPr>
    </w:p>
    <w:p w14:paraId="52195753" w14:textId="77777777" w:rsidR="007340CD" w:rsidRDefault="007340CD" w:rsidP="00901B64">
      <w:pPr>
        <w:rPr>
          <w:szCs w:val="24"/>
        </w:rPr>
      </w:pPr>
    </w:p>
    <w:p w14:paraId="4A9D5BD2" w14:textId="77777777" w:rsidR="007340CD" w:rsidRDefault="007340CD" w:rsidP="00901B64">
      <w:pPr>
        <w:rPr>
          <w:szCs w:val="24"/>
        </w:rPr>
      </w:pPr>
    </w:p>
    <w:p w14:paraId="36BC6D85" w14:textId="77777777" w:rsidR="007340CD" w:rsidRDefault="007340CD" w:rsidP="00901B64">
      <w:pPr>
        <w:rPr>
          <w:szCs w:val="24"/>
        </w:rPr>
      </w:pPr>
    </w:p>
    <w:p w14:paraId="3D9A4741" w14:textId="77777777" w:rsidR="007340CD" w:rsidRDefault="007340CD" w:rsidP="00901B64">
      <w:pPr>
        <w:rPr>
          <w:szCs w:val="24"/>
        </w:rPr>
      </w:pPr>
    </w:p>
    <w:p w14:paraId="0A8ECAB6" w14:textId="77777777" w:rsidR="007340CD" w:rsidRDefault="007340CD" w:rsidP="00901B64">
      <w:pPr>
        <w:rPr>
          <w:szCs w:val="24"/>
        </w:rPr>
      </w:pPr>
    </w:p>
    <w:p w14:paraId="55394CBB" w14:textId="77777777" w:rsidR="007340CD" w:rsidRDefault="007340CD" w:rsidP="00901B64">
      <w:pPr>
        <w:rPr>
          <w:szCs w:val="24"/>
        </w:rPr>
      </w:pPr>
    </w:p>
    <w:p w14:paraId="77AE9026" w14:textId="77777777" w:rsidR="007340CD" w:rsidRDefault="007340CD" w:rsidP="00901B64">
      <w:pPr>
        <w:rPr>
          <w:szCs w:val="24"/>
        </w:rPr>
      </w:pPr>
    </w:p>
    <w:p w14:paraId="7BEE4326" w14:textId="77777777" w:rsidR="007340CD" w:rsidRDefault="007340CD" w:rsidP="00901B64">
      <w:pPr>
        <w:rPr>
          <w:szCs w:val="24"/>
        </w:rPr>
      </w:pPr>
    </w:p>
    <w:p w14:paraId="4F975ADD" w14:textId="77777777" w:rsidR="00FE1EF4" w:rsidRDefault="00FE1EF4" w:rsidP="00E1307D">
      <w:pPr>
        <w:spacing w:after="160" w:line="259" w:lineRule="auto"/>
        <w:ind w:firstLine="0"/>
        <w:rPr>
          <w:sz w:val="22"/>
          <w:szCs w:val="22"/>
        </w:rPr>
      </w:pPr>
    </w:p>
    <w:p w14:paraId="2D606E52" w14:textId="77777777" w:rsidR="00FE1EF4" w:rsidRDefault="00FE1EF4" w:rsidP="00E1307D">
      <w:pPr>
        <w:spacing w:after="160" w:line="259" w:lineRule="auto"/>
        <w:ind w:firstLine="0"/>
        <w:rPr>
          <w:sz w:val="22"/>
          <w:szCs w:val="22"/>
        </w:rPr>
      </w:pPr>
    </w:p>
    <w:p w14:paraId="783269C7" w14:textId="77777777" w:rsidR="00FE1EF4" w:rsidRDefault="00FE1EF4" w:rsidP="00E1307D">
      <w:pPr>
        <w:spacing w:after="160" w:line="259" w:lineRule="auto"/>
        <w:ind w:firstLine="0"/>
        <w:rPr>
          <w:sz w:val="22"/>
          <w:szCs w:val="22"/>
        </w:rPr>
      </w:pPr>
    </w:p>
    <w:p w14:paraId="53AC45D5" w14:textId="77777777" w:rsidR="00FE1EF4" w:rsidRDefault="00FE1EF4" w:rsidP="00E1307D">
      <w:pPr>
        <w:spacing w:after="160" w:line="259" w:lineRule="auto"/>
        <w:ind w:firstLine="0"/>
        <w:rPr>
          <w:sz w:val="22"/>
          <w:szCs w:val="22"/>
        </w:rPr>
      </w:pPr>
    </w:p>
    <w:p w14:paraId="08773A0C" w14:textId="77777777" w:rsidR="00FE1EF4" w:rsidRDefault="00FE1EF4" w:rsidP="00E1307D">
      <w:pPr>
        <w:spacing w:after="160" w:line="259" w:lineRule="auto"/>
        <w:ind w:firstLine="0"/>
        <w:rPr>
          <w:sz w:val="22"/>
          <w:szCs w:val="22"/>
        </w:rPr>
      </w:pPr>
    </w:p>
    <w:p w14:paraId="54C3E02F" w14:textId="77777777" w:rsidR="00FE1EF4" w:rsidRDefault="00FE1EF4" w:rsidP="00E1307D">
      <w:pPr>
        <w:spacing w:after="160" w:line="259" w:lineRule="auto"/>
        <w:ind w:firstLine="0"/>
        <w:rPr>
          <w:sz w:val="22"/>
          <w:szCs w:val="22"/>
        </w:rPr>
      </w:pPr>
    </w:p>
    <w:p w14:paraId="71EFB5C7" w14:textId="77777777" w:rsidR="00FE1EF4" w:rsidRDefault="00FE1EF4" w:rsidP="00E1307D">
      <w:pPr>
        <w:spacing w:after="160" w:line="259" w:lineRule="auto"/>
        <w:ind w:firstLine="0"/>
        <w:rPr>
          <w:sz w:val="22"/>
          <w:szCs w:val="22"/>
        </w:rPr>
      </w:pPr>
    </w:p>
    <w:p w14:paraId="47A9EDB1" w14:textId="77777777" w:rsidR="00FE1EF4" w:rsidRDefault="00FE1EF4" w:rsidP="00E1307D">
      <w:pPr>
        <w:spacing w:after="160" w:line="259" w:lineRule="auto"/>
        <w:ind w:firstLine="0"/>
        <w:rPr>
          <w:sz w:val="22"/>
          <w:szCs w:val="22"/>
        </w:rPr>
      </w:pPr>
    </w:p>
    <w:p w14:paraId="4ABA2472" w14:textId="77777777" w:rsidR="00FE1EF4" w:rsidRDefault="00FE1EF4" w:rsidP="00E1307D">
      <w:pPr>
        <w:spacing w:after="160" w:line="259" w:lineRule="auto"/>
        <w:ind w:firstLine="0"/>
        <w:rPr>
          <w:sz w:val="22"/>
          <w:szCs w:val="22"/>
        </w:rPr>
      </w:pPr>
    </w:p>
    <w:p w14:paraId="350856E6" w14:textId="77777777" w:rsidR="00FE1EF4" w:rsidRDefault="00FE1EF4" w:rsidP="00E1307D">
      <w:pPr>
        <w:spacing w:after="160" w:line="259" w:lineRule="auto"/>
        <w:ind w:firstLine="0"/>
        <w:rPr>
          <w:sz w:val="22"/>
          <w:szCs w:val="22"/>
        </w:rPr>
      </w:pPr>
    </w:p>
    <w:p w14:paraId="22D15208" w14:textId="77777777" w:rsidR="00FE1EF4" w:rsidRDefault="00FE1EF4" w:rsidP="00E1307D">
      <w:pPr>
        <w:spacing w:after="160" w:line="259" w:lineRule="auto"/>
        <w:ind w:firstLine="0"/>
        <w:rPr>
          <w:sz w:val="22"/>
          <w:szCs w:val="22"/>
        </w:rPr>
      </w:pPr>
    </w:p>
    <w:p w14:paraId="72ABB04A" w14:textId="77777777" w:rsidR="00FE1EF4" w:rsidRDefault="00FE1EF4" w:rsidP="00E1307D">
      <w:pPr>
        <w:spacing w:after="160" w:line="259" w:lineRule="auto"/>
        <w:ind w:firstLine="0"/>
        <w:rPr>
          <w:sz w:val="22"/>
          <w:szCs w:val="22"/>
        </w:rPr>
      </w:pPr>
    </w:p>
    <w:p w14:paraId="17880496" w14:textId="77777777" w:rsidR="00FE1EF4" w:rsidRDefault="00FE1EF4" w:rsidP="00E1307D">
      <w:pPr>
        <w:spacing w:after="160" w:line="259" w:lineRule="auto"/>
        <w:ind w:firstLine="0"/>
        <w:rPr>
          <w:sz w:val="22"/>
          <w:szCs w:val="22"/>
        </w:rPr>
      </w:pPr>
    </w:p>
    <w:p w14:paraId="20507D51" w14:textId="77777777" w:rsidR="00FE1EF4" w:rsidRDefault="00FE1EF4" w:rsidP="00E1307D">
      <w:pPr>
        <w:spacing w:after="160" w:line="259" w:lineRule="auto"/>
        <w:ind w:firstLine="0"/>
        <w:rPr>
          <w:sz w:val="22"/>
          <w:szCs w:val="22"/>
        </w:rPr>
      </w:pPr>
    </w:p>
    <w:p w14:paraId="217C5FEC" w14:textId="77777777" w:rsidR="00FE1EF4" w:rsidRDefault="00FE1EF4" w:rsidP="00E1307D">
      <w:pPr>
        <w:spacing w:after="160" w:line="259" w:lineRule="auto"/>
        <w:ind w:firstLine="0"/>
        <w:rPr>
          <w:sz w:val="22"/>
          <w:szCs w:val="22"/>
        </w:rPr>
      </w:pPr>
    </w:p>
    <w:p w14:paraId="79B6288E" w14:textId="77777777" w:rsidR="00FE1EF4" w:rsidRDefault="00FE1EF4" w:rsidP="00E1307D">
      <w:pPr>
        <w:spacing w:after="160" w:line="259" w:lineRule="auto"/>
        <w:ind w:firstLine="0"/>
        <w:rPr>
          <w:sz w:val="22"/>
          <w:szCs w:val="22"/>
        </w:rPr>
      </w:pPr>
    </w:p>
    <w:p w14:paraId="21307B11" w14:textId="3E2C8D51" w:rsidR="007340CD" w:rsidRPr="00A92F3D" w:rsidRDefault="007340CD" w:rsidP="00E1307D">
      <w:pPr>
        <w:spacing w:after="160" w:line="259" w:lineRule="auto"/>
        <w:ind w:firstLine="0"/>
        <w:rPr>
          <w:szCs w:val="24"/>
        </w:rPr>
      </w:pPr>
      <w:r w:rsidRPr="007340CD">
        <w:rPr>
          <w:sz w:val="22"/>
          <w:szCs w:val="22"/>
        </w:rPr>
        <w:t xml:space="preserve">Jolanta Tallat Kelpšienė, tel. (8 690) </w:t>
      </w:r>
      <w:r w:rsidRPr="007340CD">
        <w:rPr>
          <w:color w:val="222222"/>
          <w:sz w:val="22"/>
          <w:szCs w:val="22"/>
        </w:rPr>
        <w:t>24119</w:t>
      </w:r>
      <w:r w:rsidRPr="007340CD">
        <w:rPr>
          <w:sz w:val="22"/>
          <w:szCs w:val="22"/>
        </w:rPr>
        <w:t xml:space="preserve">, el. p. </w:t>
      </w:r>
      <w:hyperlink r:id="rId9" w:history="1">
        <w:r w:rsidRPr="007340CD">
          <w:rPr>
            <w:color w:val="0563C1" w:themeColor="hyperlink"/>
            <w:sz w:val="22"/>
            <w:szCs w:val="22"/>
            <w:u w:val="single"/>
          </w:rPr>
          <w:t>Jolanta.Tallat-Kelpsiene@vpt.lt</w:t>
        </w:r>
      </w:hyperlink>
    </w:p>
    <w:sectPr w:rsidR="007340CD" w:rsidRPr="00A92F3D" w:rsidSect="00A53CD1">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4E0F" w14:textId="77777777" w:rsidR="00BB4DC1" w:rsidRDefault="00BB4DC1">
      <w:pPr>
        <w:ind w:firstLine="720"/>
        <w:rPr>
          <w:rFonts w:ascii="Arial" w:hAnsi="Arial" w:cs="Arial"/>
          <w:sz w:val="20"/>
          <w:lang w:eastAsia="lt-LT"/>
        </w:rPr>
      </w:pPr>
      <w:r>
        <w:rPr>
          <w:rFonts w:ascii="Arial" w:hAnsi="Arial" w:cs="Arial"/>
          <w:sz w:val="20"/>
          <w:lang w:eastAsia="lt-LT"/>
        </w:rPr>
        <w:separator/>
      </w:r>
    </w:p>
  </w:endnote>
  <w:endnote w:type="continuationSeparator" w:id="0">
    <w:p w14:paraId="631C7BED" w14:textId="77777777" w:rsidR="00BB4DC1" w:rsidRDefault="00BB4DC1">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 Mincho Light J">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5DCF" w14:textId="77777777" w:rsidR="00BB4DC1" w:rsidRDefault="00BB4DC1">
      <w:pPr>
        <w:ind w:firstLine="720"/>
        <w:rPr>
          <w:rFonts w:ascii="Arial" w:hAnsi="Arial" w:cs="Arial"/>
          <w:sz w:val="20"/>
          <w:lang w:eastAsia="lt-LT"/>
        </w:rPr>
      </w:pPr>
      <w:r>
        <w:rPr>
          <w:rFonts w:ascii="Arial" w:hAnsi="Arial" w:cs="Arial"/>
          <w:sz w:val="20"/>
          <w:lang w:eastAsia="lt-LT"/>
        </w:rPr>
        <w:separator/>
      </w:r>
    </w:p>
  </w:footnote>
  <w:footnote w:type="continuationSeparator" w:id="0">
    <w:p w14:paraId="5BEB9B93" w14:textId="77777777" w:rsidR="00BB4DC1" w:rsidRDefault="00BB4DC1">
      <w:pPr>
        <w:ind w:firstLine="720"/>
        <w:rPr>
          <w:rFonts w:ascii="Arial" w:hAnsi="Arial" w:cs="Arial"/>
          <w:sz w:val="20"/>
          <w:lang w:eastAsia="lt-LT"/>
        </w:rPr>
      </w:pPr>
      <w:r>
        <w:rPr>
          <w:rFonts w:ascii="Arial" w:hAnsi="Arial" w:cs="Arial"/>
          <w:sz w:val="20"/>
          <w:lang w:eastAsia="lt-LT"/>
        </w:rPr>
        <w:continuationSeparator/>
      </w:r>
    </w:p>
  </w:footnote>
  <w:footnote w:id="1">
    <w:p w14:paraId="17685964" w14:textId="12103DE2" w:rsidR="001E30CB" w:rsidRPr="001E30CB" w:rsidRDefault="001E30CB" w:rsidP="001E30CB">
      <w:pPr>
        <w:pStyle w:val="Puslapioinaostekstas"/>
      </w:pPr>
      <w:r>
        <w:rPr>
          <w:rStyle w:val="Puslapioinaosnuoroda"/>
        </w:rPr>
        <w:footnoteRef/>
      </w:r>
      <w:r>
        <w:t xml:space="preserve"> Konkretus pirkimas – </w:t>
      </w:r>
      <w:r w:rsidRPr="001E30CB">
        <w:t>pirkimo procedūros, atliekamos sukurtos DPS pagrindu pagal Užsakovo</w:t>
      </w:r>
      <w:r w:rsidR="00EF545C">
        <w:t xml:space="preserve"> (Perkančiosios organizacijos)</w:t>
      </w:r>
      <w:r w:rsidRPr="001E30CB">
        <w:t xml:space="preserve"> nustatytas sąlygas ir skirtos sudaryti Pirkimo sutartis</w:t>
      </w:r>
      <w:r>
        <w:t xml:space="preserve">. </w:t>
      </w:r>
    </w:p>
  </w:footnote>
  <w:footnote w:id="2">
    <w:p w14:paraId="75C2B54A" w14:textId="77777777" w:rsidR="00FD21D4" w:rsidRDefault="00FD21D4" w:rsidP="00FD21D4">
      <w:pPr>
        <w:pStyle w:val="Puslapioinaostekstas"/>
      </w:pPr>
      <w:r>
        <w:rPr>
          <w:rStyle w:val="Puslapioinaosnuoroda"/>
        </w:rPr>
        <w:footnoteRef/>
      </w:r>
      <w:r>
        <w:t xml:space="preserve"> PAPILDOMAS SUSITARIMAS prie 2021-06-01 PIRKIMO SUTARTIES Nr. CPO168466/SŽ-662/SI-221234; paviešinta CVP IS priemonėmis 2022 m. gruodžio 19 d. </w:t>
      </w:r>
    </w:p>
  </w:footnote>
  <w:footnote w:id="3">
    <w:p w14:paraId="49B1D5D6" w14:textId="77777777" w:rsidR="00FD21D4" w:rsidRDefault="00FD21D4" w:rsidP="00FD21D4">
      <w:pPr>
        <w:pStyle w:val="Puslapioinaostekstas"/>
      </w:pPr>
      <w:r>
        <w:rPr>
          <w:rStyle w:val="Puslapioinaosnuoroda"/>
        </w:rPr>
        <w:footnoteRef/>
      </w:r>
      <w:r>
        <w:t xml:space="preserve"> „Paslaugų kainos perskaičiavimas dėl kitų mokesčių pasikeitimo, bendro kainų lygio kitimo ar kitais atvejais nebus atliekamas‘.</w:t>
      </w:r>
    </w:p>
  </w:footnote>
  <w:footnote w:id="4">
    <w:p w14:paraId="4665599E" w14:textId="77777777" w:rsidR="00FD21D4" w:rsidRDefault="00FD21D4" w:rsidP="00FD21D4">
      <w:pPr>
        <w:pStyle w:val="Puslapioinaostekstas"/>
      </w:pPr>
      <w:r>
        <w:rPr>
          <w:rStyle w:val="Puslapioinaosnuoroda"/>
        </w:rPr>
        <w:footnoteRef/>
      </w:r>
      <w:r>
        <w:t xml:space="preserve"> Tarnybos 2023 m. gegužės 30 d. raštas Nr. 4S-583.</w:t>
      </w:r>
    </w:p>
  </w:footnote>
  <w:footnote w:id="5">
    <w:p w14:paraId="392BEB4C" w14:textId="77777777" w:rsidR="00FD21D4" w:rsidRDefault="00FD21D4" w:rsidP="00FD21D4">
      <w:pPr>
        <w:pStyle w:val="Puslapioinaostekstas"/>
      </w:pPr>
      <w:r w:rsidRPr="003E4ED1">
        <w:rPr>
          <w:rStyle w:val="Puslapioinaosnuoroda"/>
        </w:rPr>
        <w:footnoteRef/>
      </w:r>
      <w:r w:rsidRPr="003E4ED1">
        <w:t xml:space="preserve"> Perkančiosios organizacijos 2023 m. birželio 7 d. raštas Nr. S-2175.</w:t>
      </w:r>
    </w:p>
  </w:footnote>
  <w:footnote w:id="6">
    <w:p w14:paraId="64EEA7D6" w14:textId="77777777" w:rsidR="00FD21D4" w:rsidRDefault="00FD21D4" w:rsidP="00FD21D4">
      <w:pPr>
        <w:pStyle w:val="Puslapioinaostekstas"/>
      </w:pPr>
      <w:r>
        <w:rPr>
          <w:rStyle w:val="Puslapioinaosnuoroda"/>
        </w:rPr>
        <w:footnoteRef/>
      </w:r>
      <w:r>
        <w:t xml:space="preserve"> </w:t>
      </w:r>
      <w:r w:rsidRPr="00733DAD">
        <w:t>Sutartis jos galiojimo laikotarpiu, neatliekant naujos pirkimo procedūros, gali būti keičiama Šalių susitarimu joje nustatytomis sąlygomis ir tvarka: „&lt;...&gt;10.1.7. Viešųjų pirkimų įstatyme nustatytomis sąlygomis ir tvarka, jeigu Pirkimo sutarties sąlygų keitimas nenumatytas Pirkimo sutartyje“.</w:t>
      </w:r>
    </w:p>
  </w:footnote>
  <w:footnote w:id="7">
    <w:p w14:paraId="32A9A5CB" w14:textId="5F1AE483" w:rsidR="00FD21D4" w:rsidRDefault="00FD21D4" w:rsidP="00FD21D4">
      <w:pPr>
        <w:pStyle w:val="Puslapioinaostekstas"/>
      </w:pPr>
      <w:r w:rsidRPr="003E4ED1">
        <w:rPr>
          <w:rStyle w:val="Puslapioinaosnuoroda"/>
        </w:rPr>
        <w:footnoteRef/>
      </w:r>
      <w:r w:rsidRPr="003E4ED1">
        <w:t xml:space="preserve"> Žr. </w:t>
      </w:r>
      <w:r w:rsidR="00E1307D" w:rsidRPr="003E4ED1">
        <w:t xml:space="preserve">5 </w:t>
      </w:r>
      <w:r w:rsidRPr="003E4ED1">
        <w:t>išnašą.</w:t>
      </w:r>
    </w:p>
  </w:footnote>
  <w:footnote w:id="8">
    <w:p w14:paraId="314A298C" w14:textId="77777777" w:rsidR="00FD21D4" w:rsidRDefault="00FD21D4" w:rsidP="00FD21D4">
      <w:pPr>
        <w:pStyle w:val="Puslapioinaostekstas"/>
      </w:pPr>
      <w:r w:rsidRPr="003E4ED1">
        <w:rPr>
          <w:rStyle w:val="Puslapioinaosnuoroda"/>
        </w:rPr>
        <w:footnoteRef/>
      </w:r>
      <w:r w:rsidRPr="003E4ED1">
        <w:t xml:space="preserve"> Perkančiosios organizacijos 2023 m. birželio 7 d. rašto Nr. S-2175 1 priedas. 1. UAB „Socialinė integracija“ 2022 m. spalio 21 d. raštas Nr. 10-21 „Dėl valymo paslaugų teikimo sutarties pakeitimo“.</w:t>
      </w:r>
    </w:p>
  </w:footnote>
  <w:footnote w:id="9">
    <w:p w14:paraId="0528C0AC" w14:textId="77777777" w:rsidR="00FD21D4" w:rsidRPr="003E4ED1" w:rsidRDefault="00FD21D4" w:rsidP="00FD21D4">
      <w:pPr>
        <w:pStyle w:val="Puslapioinaostekstas"/>
      </w:pPr>
      <w:r>
        <w:rPr>
          <w:rStyle w:val="Puslapioinaosnuoroda"/>
        </w:rPr>
        <w:footnoteRef/>
      </w:r>
      <w:r>
        <w:t xml:space="preserve"> 2022 m. liepos 19 d. L</w:t>
      </w:r>
      <w:r w:rsidRPr="00924A4C">
        <w:t xml:space="preserve">ietuvos Respublikos socialinių įmonių įstatymo Nr. IX-2251 pripažinimo netekusiu galios </w:t>
      </w:r>
      <w:r w:rsidRPr="003E4ED1">
        <w:t>įstatymas Nr.XIV-139.</w:t>
      </w:r>
    </w:p>
  </w:footnote>
  <w:footnote w:id="10">
    <w:p w14:paraId="07742DAD" w14:textId="77777777" w:rsidR="00FD21D4" w:rsidRDefault="00FD21D4" w:rsidP="00FD21D4">
      <w:pPr>
        <w:pStyle w:val="Puslapioinaostekstas"/>
      </w:pPr>
      <w:r w:rsidRPr="003E4ED1">
        <w:rPr>
          <w:rStyle w:val="Puslapioinaosnuoroda"/>
        </w:rPr>
        <w:footnoteRef/>
      </w:r>
      <w:r w:rsidRPr="003E4ED1">
        <w:t xml:space="preserve"> Perkančiosios organizacijos 2023 m. birželio 14 d. raštas Nr. BS-919</w:t>
      </w:r>
      <w:r>
        <w:t>.</w:t>
      </w:r>
    </w:p>
  </w:footnote>
  <w:footnote w:id="11">
    <w:p w14:paraId="0F08F940" w14:textId="77777777" w:rsidR="00FD21D4" w:rsidRDefault="00FD21D4" w:rsidP="00FD21D4">
      <w:pPr>
        <w:pStyle w:val="Puslapioinaostekstas"/>
      </w:pPr>
      <w:r>
        <w:rPr>
          <w:rStyle w:val="Puslapioinaosnuoroda"/>
        </w:rPr>
        <w:footnoteRef/>
      </w:r>
      <w:r>
        <w:t xml:space="preserve"> LAT 2020 m. liepos 3 d. nutartis civilinėje byloje Nr. </w:t>
      </w:r>
      <w:r w:rsidRPr="00D91F17">
        <w:t>e3K-3-220-969/2020</w:t>
      </w:r>
      <w:r>
        <w:t>;</w:t>
      </w:r>
      <w:r w:rsidRPr="00D91F17">
        <w:t xml:space="preserve"> LAT 2013 m. sausio 4 d. nutartis civilinėje byloje Nr. 3K-3-75/2013.</w:t>
      </w:r>
    </w:p>
  </w:footnote>
  <w:footnote w:id="12">
    <w:p w14:paraId="664ED6F4" w14:textId="77777777" w:rsidR="00FD21D4" w:rsidRDefault="00FD21D4" w:rsidP="00FD21D4">
      <w:pPr>
        <w:pStyle w:val="Puslapioinaostekstas"/>
      </w:pPr>
      <w:r>
        <w:rPr>
          <w:rStyle w:val="Puslapioinaosnuoroda"/>
        </w:rPr>
        <w:footnoteRef/>
      </w:r>
      <w:r>
        <w:t xml:space="preserve"> </w:t>
      </w:r>
      <w:r w:rsidRPr="002570EF">
        <w:t>Lietuvos Respublikos trišalė taryba – tai socialinių partnerių susitarimu iš vienodo skaičiaus lygiateisių narių (centrinių profesinių sąjungų, darbdavių organizacijų ir Vyriausybės atstovų) sudaryta institucija. Tarpusavio susitarimais taryba Seimui ir Vyriausybei pataria socialinės, ekonominės ir darbo politikos klausimais.</w:t>
      </w:r>
    </w:p>
  </w:footnote>
  <w:footnote w:id="13">
    <w:p w14:paraId="79992C26" w14:textId="77777777" w:rsidR="00FD21D4" w:rsidRDefault="00FD21D4" w:rsidP="00FD21D4">
      <w:pPr>
        <w:pStyle w:val="Puslapioinaostekstas"/>
      </w:pPr>
      <w:r w:rsidRPr="009012AC">
        <w:rPr>
          <w:rStyle w:val="Puslapioinaosnuoroda"/>
        </w:rPr>
        <w:footnoteRef/>
      </w:r>
      <w:r w:rsidRPr="009012AC">
        <w:t xml:space="preserve"> Žr. 10 išnašą.</w:t>
      </w:r>
    </w:p>
  </w:footnote>
  <w:footnote w:id="14">
    <w:p w14:paraId="043FA206" w14:textId="77777777" w:rsidR="00FD21D4" w:rsidRDefault="00FD21D4" w:rsidP="00FD21D4">
      <w:pPr>
        <w:pStyle w:val="Puslapioinaostekstas"/>
      </w:pPr>
      <w:r>
        <w:rPr>
          <w:rStyle w:val="Puslapioinaosnuoroda"/>
        </w:rPr>
        <w:footnoteRef/>
      </w:r>
      <w:r>
        <w:t xml:space="preserve"> LAT 2020 m. liepos 3 d. nutartis civilinėje byloje</w:t>
      </w:r>
      <w:r>
        <w:rPr>
          <w:color w:val="000000"/>
        </w:rPr>
        <w:t xml:space="preserve"> 3K-3-75/2013.</w:t>
      </w:r>
    </w:p>
  </w:footnote>
  <w:footnote w:id="15">
    <w:p w14:paraId="1837692B" w14:textId="77777777" w:rsidR="00FD21D4" w:rsidRDefault="00FD21D4" w:rsidP="00FD21D4">
      <w:pPr>
        <w:pStyle w:val="Puslapioinaostekstas"/>
      </w:pPr>
      <w:r>
        <w:rPr>
          <w:rStyle w:val="Puslapioinaosnuoroda"/>
        </w:rPr>
        <w:footnoteRef/>
      </w:r>
      <w:r>
        <w:t xml:space="preserve"> LAT 2011 m. spalio 17 d. nutartis civilinėje byloje</w:t>
      </w:r>
      <w:r>
        <w:rPr>
          <w:color w:val="000000"/>
        </w:rPr>
        <w:t xml:space="preserve"> 3K-7-304/2011.</w:t>
      </w:r>
    </w:p>
  </w:footnote>
  <w:footnote w:id="16">
    <w:p w14:paraId="20CA57D0" w14:textId="77777777" w:rsidR="00FD21D4" w:rsidRDefault="00FD21D4" w:rsidP="00FD21D4">
      <w:pPr>
        <w:pStyle w:val="Puslapioinaostekstas"/>
      </w:pPr>
      <w:r>
        <w:rPr>
          <w:rStyle w:val="Puslapioinaosnuoroda"/>
        </w:rPr>
        <w:footnoteRef/>
      </w:r>
      <w:r>
        <w:t xml:space="preserve"> Prieiga internetu: </w:t>
      </w:r>
      <w:r w:rsidRPr="005C76E2">
        <w:t>https://eur-lex.europa.eu/legal-content/LT/TXT/PDF/?uri=CELEX:32014L0024</w:t>
      </w:r>
    </w:p>
  </w:footnote>
  <w:footnote w:id="17">
    <w:p w14:paraId="0D977B17" w14:textId="77777777" w:rsidR="00FD21D4" w:rsidRDefault="00FD21D4" w:rsidP="00FD21D4">
      <w:pPr>
        <w:pStyle w:val="Puslapioinaostekstas"/>
      </w:pPr>
      <w:r>
        <w:rPr>
          <w:rStyle w:val="Puslapioinaosnuoroda"/>
        </w:rPr>
        <w:footnoteRef/>
      </w:r>
      <w:r>
        <w:t xml:space="preserve"> </w:t>
      </w:r>
      <w:r w:rsidRPr="005C76E2">
        <w:t xml:space="preserve">Pirkimo sutartis </w:t>
      </w:r>
      <w:r>
        <w:t>&lt;...&gt;</w:t>
      </w:r>
      <w:r w:rsidRPr="005C76E2">
        <w:t xml:space="preserve"> jos galiojimo laikotarpiu taip pat gali būti keičiama pagal šį įstatymą neatliekant naujos pirkimo procedūros, nereikalaujant patikrinti, ar nėra šio straipsnio 4 dalies 1–4 punktuose nurodytų aplinkybių, tačiau yra visos šios sąlygos kartu:</w:t>
      </w:r>
      <w:r w:rsidRPr="009070F7">
        <w:t xml:space="preserve"> </w:t>
      </w:r>
      <w:r>
        <w:t>1) bendra atskirų pakeitimų pagal šį punktą vertė neviršija atitinkamų tarptautinio pirkimo vertės ribų, nurodytų šio įstatymo 4 straipsnio 1 dalyje; 2) bendra atskirų pakeitimų pagal šį punktą vertė neviršija 10 procentų pradinės pirkimo sutarties &lt;...&gt; paslaugų pirkimo atveju &lt;...&gt;; 3) pakeitimu iš esmės nepakeičiamas pirkimo sutarties ar preliminariosios sutarties pobūdis.</w:t>
      </w:r>
    </w:p>
  </w:footnote>
  <w:footnote w:id="18">
    <w:p w14:paraId="0759E17F" w14:textId="77777777" w:rsidR="00FD21D4" w:rsidRDefault="00FD21D4" w:rsidP="00FD21D4">
      <w:pPr>
        <w:pStyle w:val="Puslapioinaostekstas"/>
      </w:pPr>
      <w:r>
        <w:rPr>
          <w:rStyle w:val="Puslapioinaosnuoroda"/>
        </w:rPr>
        <w:footnoteRef/>
      </w:r>
      <w:r>
        <w:t xml:space="preserve"> LAT 2020 m. spalio 14 d. nutartis civilinėje byloje E34-3-39-378/2020. </w:t>
      </w:r>
    </w:p>
  </w:footnote>
  <w:footnote w:id="19">
    <w:p w14:paraId="0EEA80BA" w14:textId="7BF4144C" w:rsidR="00EB53BE" w:rsidRDefault="00EB53BE">
      <w:pPr>
        <w:pStyle w:val="Puslapioinaostekstas"/>
      </w:pPr>
      <w:r>
        <w:rPr>
          <w:rStyle w:val="Puslapioinaosnuoroda"/>
        </w:rPr>
        <w:footnoteRef/>
      </w:r>
      <w:r>
        <w:t xml:space="preserve"> </w:t>
      </w:r>
      <w:r w:rsidRPr="00EB53BE">
        <w:t>2022 m. liepos 19 d. Lietuvos Respublikos socialinių įmonių įstatymo Nr. IX-2251 pripažinimo netekusiu galios įstatym</w:t>
      </w:r>
      <w:r>
        <w:t>as</w:t>
      </w:r>
      <w:r w:rsidRPr="00EB53BE">
        <w:t xml:space="preserve">  Nr. XIV-139</w:t>
      </w:r>
      <w:r w:rsidR="00D11705">
        <w:t xml:space="preserve">, </w:t>
      </w:r>
      <w:r w:rsidRPr="00EB53BE">
        <w:t xml:space="preserve">įsigaliojo nuo 2023 m. sausio 1 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3"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4"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5" w15:restartNumberingAfterBreak="0">
    <w:nsid w:val="3B3C3FF0"/>
    <w:multiLevelType w:val="multilevel"/>
    <w:tmpl w:val="285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A16CB"/>
    <w:multiLevelType w:val="multilevel"/>
    <w:tmpl w:val="D71498FA"/>
    <w:lvl w:ilvl="0">
      <w:start w:val="1"/>
      <w:numFmt w:val="decimal"/>
      <w:pStyle w:val="Tekstas1"/>
      <w:lvlText w:val="%1."/>
      <w:lvlJc w:val="left"/>
      <w:pPr>
        <w:ind w:left="360" w:hanging="360"/>
      </w:pPr>
      <w:rPr>
        <w:rFonts w:ascii="Arial" w:eastAsiaTheme="minorHAnsi" w:hAnsi="Arial" w:cstheme="minorBidi"/>
        <w:b w:val="0"/>
        <w:i w:val="0"/>
        <w:iCs w:val="0"/>
        <w:position w:val="4"/>
        <w:sz w:val="14"/>
        <w:szCs w:val="14"/>
        <w:vertAlign w:val="baseline"/>
      </w:rPr>
    </w:lvl>
    <w:lvl w:ilvl="1">
      <w:start w:val="1"/>
      <w:numFmt w:val="lowerRoman"/>
      <w:pStyle w:val="Tekstas2"/>
      <w:lvlText w:val="%2)"/>
      <w:lvlJc w:val="left"/>
      <w:pPr>
        <w:ind w:left="720" w:hanging="360"/>
      </w:pPr>
      <w:rPr>
        <w:rFonts w:ascii="Arial" w:eastAsiaTheme="minorHAnsi" w:hAnsi="Arial" w:cstheme="minorBidi"/>
      </w:rPr>
    </w:lvl>
    <w:lvl w:ilvl="2">
      <w:start w:val="1"/>
      <w:numFmt w:val="lowerLetter"/>
      <w:pStyle w:val="Tekstas3"/>
      <w:lvlText w:val="%3)"/>
      <w:lvlJc w:val="left"/>
      <w:pPr>
        <w:ind w:left="1080" w:hanging="360"/>
      </w:pPr>
      <w:rPr>
        <w:rFonts w:ascii="Calibri" w:eastAsiaTheme="minorHAnsi" w:hAnsi="Calibri" w:cs="Calibri" w:hint="default"/>
      </w:rPr>
    </w:lvl>
    <w:lvl w:ilvl="3">
      <w:start w:val="1"/>
      <w:numFmt w:val="decimal"/>
      <w:pStyle w:val="Tekstas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80A4C67"/>
    <w:multiLevelType w:val="hybridMultilevel"/>
    <w:tmpl w:val="0978B4D6"/>
    <w:lvl w:ilvl="0" w:tplc="394A41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0"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2"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10"/>
  </w:num>
  <w:num w:numId="2" w16cid:durableId="1510560565">
    <w:abstractNumId w:val="11"/>
  </w:num>
  <w:num w:numId="3" w16cid:durableId="2081248473">
    <w:abstractNumId w:val="4"/>
  </w:num>
  <w:num w:numId="4" w16cid:durableId="612784822">
    <w:abstractNumId w:val="12"/>
  </w:num>
  <w:num w:numId="5" w16cid:durableId="673802295">
    <w:abstractNumId w:val="6"/>
  </w:num>
  <w:num w:numId="6" w16cid:durableId="132333905">
    <w:abstractNumId w:val="0"/>
  </w:num>
  <w:num w:numId="7" w16cid:durableId="143356485">
    <w:abstractNumId w:val="9"/>
  </w:num>
  <w:num w:numId="8" w16cid:durableId="54017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85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362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617660">
    <w:abstractNumId w:val="8"/>
  </w:num>
  <w:num w:numId="12" w16cid:durableId="1906256051">
    <w:abstractNumId w:val="1"/>
  </w:num>
  <w:num w:numId="13" w16cid:durableId="467477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07126"/>
    <w:rsid w:val="00012805"/>
    <w:rsid w:val="00012A7F"/>
    <w:rsid w:val="00015CCC"/>
    <w:rsid w:val="0001730C"/>
    <w:rsid w:val="00021351"/>
    <w:rsid w:val="0002387E"/>
    <w:rsid w:val="000238B6"/>
    <w:rsid w:val="000250F8"/>
    <w:rsid w:val="00030BF4"/>
    <w:rsid w:val="000312BA"/>
    <w:rsid w:val="0003409D"/>
    <w:rsid w:val="0003518A"/>
    <w:rsid w:val="00036276"/>
    <w:rsid w:val="000368C4"/>
    <w:rsid w:val="00037916"/>
    <w:rsid w:val="000428AB"/>
    <w:rsid w:val="000438FF"/>
    <w:rsid w:val="00044618"/>
    <w:rsid w:val="0004548A"/>
    <w:rsid w:val="000515A5"/>
    <w:rsid w:val="00051EED"/>
    <w:rsid w:val="000524BD"/>
    <w:rsid w:val="00052FE8"/>
    <w:rsid w:val="000563BF"/>
    <w:rsid w:val="00060380"/>
    <w:rsid w:val="00063267"/>
    <w:rsid w:val="0006350A"/>
    <w:rsid w:val="00067A35"/>
    <w:rsid w:val="00071BA2"/>
    <w:rsid w:val="00074366"/>
    <w:rsid w:val="0007461F"/>
    <w:rsid w:val="00083124"/>
    <w:rsid w:val="00085D71"/>
    <w:rsid w:val="00091FA8"/>
    <w:rsid w:val="00092F6D"/>
    <w:rsid w:val="00095361"/>
    <w:rsid w:val="000A02F9"/>
    <w:rsid w:val="000A088C"/>
    <w:rsid w:val="000A1967"/>
    <w:rsid w:val="000A3DA8"/>
    <w:rsid w:val="000A471B"/>
    <w:rsid w:val="000A5BD5"/>
    <w:rsid w:val="000A5C9B"/>
    <w:rsid w:val="000B21A8"/>
    <w:rsid w:val="000B226F"/>
    <w:rsid w:val="000B34FF"/>
    <w:rsid w:val="000B6DC9"/>
    <w:rsid w:val="000C15D9"/>
    <w:rsid w:val="000C1882"/>
    <w:rsid w:val="000C3F25"/>
    <w:rsid w:val="000C436B"/>
    <w:rsid w:val="000C4AB1"/>
    <w:rsid w:val="000C7035"/>
    <w:rsid w:val="000D134A"/>
    <w:rsid w:val="000D45A6"/>
    <w:rsid w:val="000E110D"/>
    <w:rsid w:val="000E17C1"/>
    <w:rsid w:val="000E2488"/>
    <w:rsid w:val="000E2AF9"/>
    <w:rsid w:val="000E5CAB"/>
    <w:rsid w:val="000F0425"/>
    <w:rsid w:val="000F1231"/>
    <w:rsid w:val="000F1446"/>
    <w:rsid w:val="000F1594"/>
    <w:rsid w:val="000F2BAD"/>
    <w:rsid w:val="000F3436"/>
    <w:rsid w:val="000F49A3"/>
    <w:rsid w:val="000F5D58"/>
    <w:rsid w:val="000F7A78"/>
    <w:rsid w:val="00100FE8"/>
    <w:rsid w:val="00102050"/>
    <w:rsid w:val="001028F7"/>
    <w:rsid w:val="00105169"/>
    <w:rsid w:val="00105B95"/>
    <w:rsid w:val="001070B8"/>
    <w:rsid w:val="00107ED1"/>
    <w:rsid w:val="001108EA"/>
    <w:rsid w:val="00112A7C"/>
    <w:rsid w:val="00114B5D"/>
    <w:rsid w:val="001151EA"/>
    <w:rsid w:val="001154E0"/>
    <w:rsid w:val="00117BDC"/>
    <w:rsid w:val="0012197C"/>
    <w:rsid w:val="00122B6E"/>
    <w:rsid w:val="00126296"/>
    <w:rsid w:val="00137EF3"/>
    <w:rsid w:val="00146D66"/>
    <w:rsid w:val="0014760B"/>
    <w:rsid w:val="00152923"/>
    <w:rsid w:val="001567A1"/>
    <w:rsid w:val="001575BD"/>
    <w:rsid w:val="001610F3"/>
    <w:rsid w:val="0016269E"/>
    <w:rsid w:val="0016281C"/>
    <w:rsid w:val="00162E24"/>
    <w:rsid w:val="0016449B"/>
    <w:rsid w:val="001647C7"/>
    <w:rsid w:val="00167B71"/>
    <w:rsid w:val="00167E89"/>
    <w:rsid w:val="00167EF7"/>
    <w:rsid w:val="001702B7"/>
    <w:rsid w:val="001742BE"/>
    <w:rsid w:val="0018064B"/>
    <w:rsid w:val="00183555"/>
    <w:rsid w:val="00190EDC"/>
    <w:rsid w:val="00190F61"/>
    <w:rsid w:val="00194A2D"/>
    <w:rsid w:val="001953AF"/>
    <w:rsid w:val="00195B1F"/>
    <w:rsid w:val="001962A5"/>
    <w:rsid w:val="00196383"/>
    <w:rsid w:val="001A0163"/>
    <w:rsid w:val="001A7941"/>
    <w:rsid w:val="001A7F99"/>
    <w:rsid w:val="001B0CF3"/>
    <w:rsid w:val="001B358F"/>
    <w:rsid w:val="001B76A6"/>
    <w:rsid w:val="001C1578"/>
    <w:rsid w:val="001C3BA9"/>
    <w:rsid w:val="001C3CEF"/>
    <w:rsid w:val="001C4567"/>
    <w:rsid w:val="001C4A04"/>
    <w:rsid w:val="001C5E31"/>
    <w:rsid w:val="001C6FB2"/>
    <w:rsid w:val="001C7CBD"/>
    <w:rsid w:val="001D3144"/>
    <w:rsid w:val="001D4536"/>
    <w:rsid w:val="001E276B"/>
    <w:rsid w:val="001E30CB"/>
    <w:rsid w:val="001E53B8"/>
    <w:rsid w:val="001F0713"/>
    <w:rsid w:val="001F4331"/>
    <w:rsid w:val="001F4335"/>
    <w:rsid w:val="001F4A62"/>
    <w:rsid w:val="0020201B"/>
    <w:rsid w:val="00202D07"/>
    <w:rsid w:val="00203C91"/>
    <w:rsid w:val="002051DA"/>
    <w:rsid w:val="002102EA"/>
    <w:rsid w:val="00212169"/>
    <w:rsid w:val="002123DD"/>
    <w:rsid w:val="00213363"/>
    <w:rsid w:val="00217B17"/>
    <w:rsid w:val="002213AB"/>
    <w:rsid w:val="00222795"/>
    <w:rsid w:val="00223BB4"/>
    <w:rsid w:val="00227730"/>
    <w:rsid w:val="0023068D"/>
    <w:rsid w:val="0023114F"/>
    <w:rsid w:val="002314DF"/>
    <w:rsid w:val="00232BAA"/>
    <w:rsid w:val="0023358E"/>
    <w:rsid w:val="00233ED1"/>
    <w:rsid w:val="00235F5C"/>
    <w:rsid w:val="0023758D"/>
    <w:rsid w:val="00242075"/>
    <w:rsid w:val="00243809"/>
    <w:rsid w:val="002454AD"/>
    <w:rsid w:val="002455ED"/>
    <w:rsid w:val="00252888"/>
    <w:rsid w:val="00254D28"/>
    <w:rsid w:val="002557B7"/>
    <w:rsid w:val="002570EF"/>
    <w:rsid w:val="00260331"/>
    <w:rsid w:val="00260611"/>
    <w:rsid w:val="00260A69"/>
    <w:rsid w:val="00261010"/>
    <w:rsid w:val="00263010"/>
    <w:rsid w:val="00263665"/>
    <w:rsid w:val="00266DCA"/>
    <w:rsid w:val="00267217"/>
    <w:rsid w:val="00267F26"/>
    <w:rsid w:val="00270861"/>
    <w:rsid w:val="00270BB8"/>
    <w:rsid w:val="00270E67"/>
    <w:rsid w:val="00271689"/>
    <w:rsid w:val="00271E69"/>
    <w:rsid w:val="00272C2B"/>
    <w:rsid w:val="00272E14"/>
    <w:rsid w:val="002734D3"/>
    <w:rsid w:val="002746B4"/>
    <w:rsid w:val="0027595D"/>
    <w:rsid w:val="002776BF"/>
    <w:rsid w:val="0028038E"/>
    <w:rsid w:val="002810BD"/>
    <w:rsid w:val="00282464"/>
    <w:rsid w:val="0028678F"/>
    <w:rsid w:val="00287E6D"/>
    <w:rsid w:val="00293145"/>
    <w:rsid w:val="0029440D"/>
    <w:rsid w:val="002A0D94"/>
    <w:rsid w:val="002A6DB9"/>
    <w:rsid w:val="002B28C2"/>
    <w:rsid w:val="002B3359"/>
    <w:rsid w:val="002C5A05"/>
    <w:rsid w:val="002C7A55"/>
    <w:rsid w:val="002D199E"/>
    <w:rsid w:val="002D41AA"/>
    <w:rsid w:val="002D7A8B"/>
    <w:rsid w:val="002E0057"/>
    <w:rsid w:val="002E2B5D"/>
    <w:rsid w:val="002E2E0D"/>
    <w:rsid w:val="002E3831"/>
    <w:rsid w:val="002E7B67"/>
    <w:rsid w:val="002F231E"/>
    <w:rsid w:val="002F3035"/>
    <w:rsid w:val="002F7D93"/>
    <w:rsid w:val="00300B76"/>
    <w:rsid w:val="003018EB"/>
    <w:rsid w:val="0030270D"/>
    <w:rsid w:val="00302FBA"/>
    <w:rsid w:val="00303135"/>
    <w:rsid w:val="0030684A"/>
    <w:rsid w:val="00315C39"/>
    <w:rsid w:val="003205E0"/>
    <w:rsid w:val="003208A8"/>
    <w:rsid w:val="003218AA"/>
    <w:rsid w:val="00323580"/>
    <w:rsid w:val="00323B5D"/>
    <w:rsid w:val="00324082"/>
    <w:rsid w:val="00324F07"/>
    <w:rsid w:val="0033015D"/>
    <w:rsid w:val="003305E0"/>
    <w:rsid w:val="003316F7"/>
    <w:rsid w:val="00334509"/>
    <w:rsid w:val="00335A39"/>
    <w:rsid w:val="00336AF6"/>
    <w:rsid w:val="00336B6E"/>
    <w:rsid w:val="003371ED"/>
    <w:rsid w:val="00341046"/>
    <w:rsid w:val="003415F8"/>
    <w:rsid w:val="00343B4E"/>
    <w:rsid w:val="00345128"/>
    <w:rsid w:val="003453F2"/>
    <w:rsid w:val="00346C41"/>
    <w:rsid w:val="00347E3A"/>
    <w:rsid w:val="003501C8"/>
    <w:rsid w:val="00351E9D"/>
    <w:rsid w:val="00353979"/>
    <w:rsid w:val="003565BD"/>
    <w:rsid w:val="0035710B"/>
    <w:rsid w:val="00360E97"/>
    <w:rsid w:val="003612F7"/>
    <w:rsid w:val="003615B2"/>
    <w:rsid w:val="0036255B"/>
    <w:rsid w:val="00363195"/>
    <w:rsid w:val="00363A98"/>
    <w:rsid w:val="003649B3"/>
    <w:rsid w:val="00367B09"/>
    <w:rsid w:val="003747E8"/>
    <w:rsid w:val="00375E1D"/>
    <w:rsid w:val="0038134B"/>
    <w:rsid w:val="00385546"/>
    <w:rsid w:val="00385E77"/>
    <w:rsid w:val="003868C2"/>
    <w:rsid w:val="0038734C"/>
    <w:rsid w:val="00390350"/>
    <w:rsid w:val="00392A34"/>
    <w:rsid w:val="00393B28"/>
    <w:rsid w:val="00393F9B"/>
    <w:rsid w:val="00396F2D"/>
    <w:rsid w:val="0039746D"/>
    <w:rsid w:val="003977B4"/>
    <w:rsid w:val="003A4D3A"/>
    <w:rsid w:val="003A4F78"/>
    <w:rsid w:val="003B0A68"/>
    <w:rsid w:val="003B14C0"/>
    <w:rsid w:val="003B2BBD"/>
    <w:rsid w:val="003B3ADB"/>
    <w:rsid w:val="003B484B"/>
    <w:rsid w:val="003B7293"/>
    <w:rsid w:val="003B7F96"/>
    <w:rsid w:val="003C033E"/>
    <w:rsid w:val="003C2D15"/>
    <w:rsid w:val="003C50B3"/>
    <w:rsid w:val="003C6837"/>
    <w:rsid w:val="003C7563"/>
    <w:rsid w:val="003D0B15"/>
    <w:rsid w:val="003D195F"/>
    <w:rsid w:val="003E4ED1"/>
    <w:rsid w:val="003E7152"/>
    <w:rsid w:val="003F1EDE"/>
    <w:rsid w:val="003F3CE9"/>
    <w:rsid w:val="003F4A7F"/>
    <w:rsid w:val="003F5BE2"/>
    <w:rsid w:val="003F6256"/>
    <w:rsid w:val="003F6B1D"/>
    <w:rsid w:val="003F7BA9"/>
    <w:rsid w:val="00402BF2"/>
    <w:rsid w:val="004036D7"/>
    <w:rsid w:val="00403F91"/>
    <w:rsid w:val="00405924"/>
    <w:rsid w:val="0040770C"/>
    <w:rsid w:val="00412647"/>
    <w:rsid w:val="00414740"/>
    <w:rsid w:val="00415B5D"/>
    <w:rsid w:val="004208F4"/>
    <w:rsid w:val="00421292"/>
    <w:rsid w:val="00421475"/>
    <w:rsid w:val="00422134"/>
    <w:rsid w:val="00423C27"/>
    <w:rsid w:val="00423C2A"/>
    <w:rsid w:val="00424326"/>
    <w:rsid w:val="00424672"/>
    <w:rsid w:val="00431BED"/>
    <w:rsid w:val="00432841"/>
    <w:rsid w:val="00435B8D"/>
    <w:rsid w:val="004365DB"/>
    <w:rsid w:val="00441029"/>
    <w:rsid w:val="004436D3"/>
    <w:rsid w:val="00445143"/>
    <w:rsid w:val="00447583"/>
    <w:rsid w:val="00453157"/>
    <w:rsid w:val="0045539E"/>
    <w:rsid w:val="004570CA"/>
    <w:rsid w:val="00457D53"/>
    <w:rsid w:val="00461086"/>
    <w:rsid w:val="004628F7"/>
    <w:rsid w:val="00464154"/>
    <w:rsid w:val="00465D7D"/>
    <w:rsid w:val="00466B67"/>
    <w:rsid w:val="00467680"/>
    <w:rsid w:val="00472979"/>
    <w:rsid w:val="00473900"/>
    <w:rsid w:val="00475673"/>
    <w:rsid w:val="0047688A"/>
    <w:rsid w:val="00477172"/>
    <w:rsid w:val="0049081D"/>
    <w:rsid w:val="00491E35"/>
    <w:rsid w:val="00491EE8"/>
    <w:rsid w:val="0049390B"/>
    <w:rsid w:val="0049591D"/>
    <w:rsid w:val="004969CC"/>
    <w:rsid w:val="00497206"/>
    <w:rsid w:val="004977A3"/>
    <w:rsid w:val="00497F09"/>
    <w:rsid w:val="004A08BC"/>
    <w:rsid w:val="004A2E05"/>
    <w:rsid w:val="004A329B"/>
    <w:rsid w:val="004A3F85"/>
    <w:rsid w:val="004A5322"/>
    <w:rsid w:val="004A5EB6"/>
    <w:rsid w:val="004A5FEE"/>
    <w:rsid w:val="004A7562"/>
    <w:rsid w:val="004B4B63"/>
    <w:rsid w:val="004B6B32"/>
    <w:rsid w:val="004C2155"/>
    <w:rsid w:val="004C2F6C"/>
    <w:rsid w:val="004C3788"/>
    <w:rsid w:val="004C627F"/>
    <w:rsid w:val="004D158A"/>
    <w:rsid w:val="004D234B"/>
    <w:rsid w:val="004D3D1E"/>
    <w:rsid w:val="004D5287"/>
    <w:rsid w:val="004E1B0C"/>
    <w:rsid w:val="004E243A"/>
    <w:rsid w:val="004E50F8"/>
    <w:rsid w:val="004E570B"/>
    <w:rsid w:val="004E5AAF"/>
    <w:rsid w:val="004E7C10"/>
    <w:rsid w:val="004E7F02"/>
    <w:rsid w:val="004F2CAB"/>
    <w:rsid w:val="004F37E3"/>
    <w:rsid w:val="004F613D"/>
    <w:rsid w:val="004F6B7E"/>
    <w:rsid w:val="004F7E32"/>
    <w:rsid w:val="00504A25"/>
    <w:rsid w:val="00506DC6"/>
    <w:rsid w:val="005116B4"/>
    <w:rsid w:val="00513156"/>
    <w:rsid w:val="005211A5"/>
    <w:rsid w:val="005219DD"/>
    <w:rsid w:val="00522AA1"/>
    <w:rsid w:val="005260E8"/>
    <w:rsid w:val="00531D2D"/>
    <w:rsid w:val="00532046"/>
    <w:rsid w:val="0053288B"/>
    <w:rsid w:val="00532A62"/>
    <w:rsid w:val="005330AC"/>
    <w:rsid w:val="0053315D"/>
    <w:rsid w:val="00534D4A"/>
    <w:rsid w:val="0053589E"/>
    <w:rsid w:val="005368C7"/>
    <w:rsid w:val="00537C98"/>
    <w:rsid w:val="005408C6"/>
    <w:rsid w:val="00541EA5"/>
    <w:rsid w:val="00542B2A"/>
    <w:rsid w:val="005444C2"/>
    <w:rsid w:val="00546DAC"/>
    <w:rsid w:val="005477AE"/>
    <w:rsid w:val="00551CBC"/>
    <w:rsid w:val="005520DC"/>
    <w:rsid w:val="00552787"/>
    <w:rsid w:val="00552CB5"/>
    <w:rsid w:val="00554A72"/>
    <w:rsid w:val="00556896"/>
    <w:rsid w:val="005638C9"/>
    <w:rsid w:val="00563A90"/>
    <w:rsid w:val="00565302"/>
    <w:rsid w:val="005713BF"/>
    <w:rsid w:val="005735CD"/>
    <w:rsid w:val="005736E6"/>
    <w:rsid w:val="0057614A"/>
    <w:rsid w:val="00584283"/>
    <w:rsid w:val="0058486D"/>
    <w:rsid w:val="005863CC"/>
    <w:rsid w:val="005866D2"/>
    <w:rsid w:val="00597083"/>
    <w:rsid w:val="005B137F"/>
    <w:rsid w:val="005B349E"/>
    <w:rsid w:val="005C39FA"/>
    <w:rsid w:val="005C76E2"/>
    <w:rsid w:val="005D056D"/>
    <w:rsid w:val="005D0E2C"/>
    <w:rsid w:val="005D1037"/>
    <w:rsid w:val="005D1D07"/>
    <w:rsid w:val="005D21BB"/>
    <w:rsid w:val="005D2529"/>
    <w:rsid w:val="005D2FF9"/>
    <w:rsid w:val="005D3095"/>
    <w:rsid w:val="005D38AD"/>
    <w:rsid w:val="005D4719"/>
    <w:rsid w:val="005D539B"/>
    <w:rsid w:val="005E0443"/>
    <w:rsid w:val="005E2AC1"/>
    <w:rsid w:val="005E2DBD"/>
    <w:rsid w:val="005E419A"/>
    <w:rsid w:val="005E63F1"/>
    <w:rsid w:val="005F0B7D"/>
    <w:rsid w:val="005F10CC"/>
    <w:rsid w:val="005F36D0"/>
    <w:rsid w:val="005F397A"/>
    <w:rsid w:val="005F6149"/>
    <w:rsid w:val="006029D4"/>
    <w:rsid w:val="00604525"/>
    <w:rsid w:val="006065C4"/>
    <w:rsid w:val="00611F39"/>
    <w:rsid w:val="00611F87"/>
    <w:rsid w:val="00617E3F"/>
    <w:rsid w:val="00621C3B"/>
    <w:rsid w:val="0062544F"/>
    <w:rsid w:val="006269ED"/>
    <w:rsid w:val="00633692"/>
    <w:rsid w:val="00634290"/>
    <w:rsid w:val="00636991"/>
    <w:rsid w:val="0064533A"/>
    <w:rsid w:val="0064693A"/>
    <w:rsid w:val="00647825"/>
    <w:rsid w:val="00656532"/>
    <w:rsid w:val="006712A4"/>
    <w:rsid w:val="0067162A"/>
    <w:rsid w:val="00672191"/>
    <w:rsid w:val="006755E6"/>
    <w:rsid w:val="00675CDB"/>
    <w:rsid w:val="006865E0"/>
    <w:rsid w:val="00686932"/>
    <w:rsid w:val="0069171B"/>
    <w:rsid w:val="00691AFB"/>
    <w:rsid w:val="006960CF"/>
    <w:rsid w:val="006970CE"/>
    <w:rsid w:val="006A01C6"/>
    <w:rsid w:val="006A087A"/>
    <w:rsid w:val="006A0AF8"/>
    <w:rsid w:val="006A34D2"/>
    <w:rsid w:val="006A35DD"/>
    <w:rsid w:val="006A375F"/>
    <w:rsid w:val="006A4E49"/>
    <w:rsid w:val="006A543C"/>
    <w:rsid w:val="006C4FA9"/>
    <w:rsid w:val="006C6785"/>
    <w:rsid w:val="006C70F5"/>
    <w:rsid w:val="006C77A4"/>
    <w:rsid w:val="006C7A30"/>
    <w:rsid w:val="006C7C12"/>
    <w:rsid w:val="006D4FFD"/>
    <w:rsid w:val="006D555E"/>
    <w:rsid w:val="006D5EE6"/>
    <w:rsid w:val="006D6CB5"/>
    <w:rsid w:val="006E0B16"/>
    <w:rsid w:val="006E0CB5"/>
    <w:rsid w:val="006E60EC"/>
    <w:rsid w:val="006E7644"/>
    <w:rsid w:val="006F4F84"/>
    <w:rsid w:val="00702644"/>
    <w:rsid w:val="007048DA"/>
    <w:rsid w:val="00707157"/>
    <w:rsid w:val="00710987"/>
    <w:rsid w:val="007113E9"/>
    <w:rsid w:val="0071176E"/>
    <w:rsid w:val="007156E2"/>
    <w:rsid w:val="00716BD2"/>
    <w:rsid w:val="0072264F"/>
    <w:rsid w:val="00730EEB"/>
    <w:rsid w:val="007313C0"/>
    <w:rsid w:val="007330B2"/>
    <w:rsid w:val="00733368"/>
    <w:rsid w:val="00733998"/>
    <w:rsid w:val="00733DAD"/>
    <w:rsid w:val="007340CD"/>
    <w:rsid w:val="007342B6"/>
    <w:rsid w:val="007350B6"/>
    <w:rsid w:val="00736370"/>
    <w:rsid w:val="007401C7"/>
    <w:rsid w:val="0074149F"/>
    <w:rsid w:val="00744F86"/>
    <w:rsid w:val="007463CE"/>
    <w:rsid w:val="00750796"/>
    <w:rsid w:val="00750E23"/>
    <w:rsid w:val="007527E3"/>
    <w:rsid w:val="00753FF4"/>
    <w:rsid w:val="00754EC1"/>
    <w:rsid w:val="00755F36"/>
    <w:rsid w:val="00757007"/>
    <w:rsid w:val="007625BD"/>
    <w:rsid w:val="00763F28"/>
    <w:rsid w:val="007724BB"/>
    <w:rsid w:val="0077669A"/>
    <w:rsid w:val="007767D4"/>
    <w:rsid w:val="00780DDF"/>
    <w:rsid w:val="007811DF"/>
    <w:rsid w:val="00783C0E"/>
    <w:rsid w:val="007869B3"/>
    <w:rsid w:val="0079068A"/>
    <w:rsid w:val="0079583D"/>
    <w:rsid w:val="00795C09"/>
    <w:rsid w:val="00796456"/>
    <w:rsid w:val="007A09FC"/>
    <w:rsid w:val="007A0ADF"/>
    <w:rsid w:val="007A2730"/>
    <w:rsid w:val="007A4530"/>
    <w:rsid w:val="007A5F12"/>
    <w:rsid w:val="007A7DCE"/>
    <w:rsid w:val="007B082B"/>
    <w:rsid w:val="007B1214"/>
    <w:rsid w:val="007B16E8"/>
    <w:rsid w:val="007B6D2D"/>
    <w:rsid w:val="007C731E"/>
    <w:rsid w:val="007D1241"/>
    <w:rsid w:val="007D203B"/>
    <w:rsid w:val="007D2693"/>
    <w:rsid w:val="007D6713"/>
    <w:rsid w:val="007E078A"/>
    <w:rsid w:val="007E0C98"/>
    <w:rsid w:val="007E1B65"/>
    <w:rsid w:val="007E58D8"/>
    <w:rsid w:val="007E615F"/>
    <w:rsid w:val="007E65B7"/>
    <w:rsid w:val="007E7054"/>
    <w:rsid w:val="007F273E"/>
    <w:rsid w:val="007F62F9"/>
    <w:rsid w:val="007F71E7"/>
    <w:rsid w:val="00803B63"/>
    <w:rsid w:val="00804911"/>
    <w:rsid w:val="00810E74"/>
    <w:rsid w:val="00811769"/>
    <w:rsid w:val="00815E26"/>
    <w:rsid w:val="008204A4"/>
    <w:rsid w:val="008223B8"/>
    <w:rsid w:val="00823BD8"/>
    <w:rsid w:val="00824337"/>
    <w:rsid w:val="00825D11"/>
    <w:rsid w:val="008305EB"/>
    <w:rsid w:val="008314A2"/>
    <w:rsid w:val="00831807"/>
    <w:rsid w:val="008321C9"/>
    <w:rsid w:val="00833921"/>
    <w:rsid w:val="00834157"/>
    <w:rsid w:val="00835C19"/>
    <w:rsid w:val="00836BCD"/>
    <w:rsid w:val="0083730F"/>
    <w:rsid w:val="008415F2"/>
    <w:rsid w:val="00841B96"/>
    <w:rsid w:val="008424CF"/>
    <w:rsid w:val="008426A7"/>
    <w:rsid w:val="00842A12"/>
    <w:rsid w:val="00844A4B"/>
    <w:rsid w:val="00851579"/>
    <w:rsid w:val="00851806"/>
    <w:rsid w:val="0085334F"/>
    <w:rsid w:val="008543A5"/>
    <w:rsid w:val="008574AA"/>
    <w:rsid w:val="00861866"/>
    <w:rsid w:val="00862F03"/>
    <w:rsid w:val="008653A8"/>
    <w:rsid w:val="008704D0"/>
    <w:rsid w:val="00872524"/>
    <w:rsid w:val="00872F21"/>
    <w:rsid w:val="00873541"/>
    <w:rsid w:val="008748DC"/>
    <w:rsid w:val="00876BBC"/>
    <w:rsid w:val="00876DF8"/>
    <w:rsid w:val="008836F1"/>
    <w:rsid w:val="00883AB6"/>
    <w:rsid w:val="008846C3"/>
    <w:rsid w:val="00887C28"/>
    <w:rsid w:val="00892635"/>
    <w:rsid w:val="00893341"/>
    <w:rsid w:val="00893B34"/>
    <w:rsid w:val="00895BB3"/>
    <w:rsid w:val="008971F0"/>
    <w:rsid w:val="008A2BEC"/>
    <w:rsid w:val="008A4E82"/>
    <w:rsid w:val="008A5668"/>
    <w:rsid w:val="008B0019"/>
    <w:rsid w:val="008C0F50"/>
    <w:rsid w:val="008C1F8B"/>
    <w:rsid w:val="008C4ED4"/>
    <w:rsid w:val="008C5688"/>
    <w:rsid w:val="008C5F73"/>
    <w:rsid w:val="008C6A8D"/>
    <w:rsid w:val="008D12BB"/>
    <w:rsid w:val="008D3FAC"/>
    <w:rsid w:val="008D45EA"/>
    <w:rsid w:val="008E0CC6"/>
    <w:rsid w:val="008E5FA2"/>
    <w:rsid w:val="008E72A6"/>
    <w:rsid w:val="008F091D"/>
    <w:rsid w:val="008F2862"/>
    <w:rsid w:val="008F36EB"/>
    <w:rsid w:val="008F64B9"/>
    <w:rsid w:val="009012AC"/>
    <w:rsid w:val="00901B64"/>
    <w:rsid w:val="00905CEB"/>
    <w:rsid w:val="009070F7"/>
    <w:rsid w:val="00907BBC"/>
    <w:rsid w:val="00910892"/>
    <w:rsid w:val="00913888"/>
    <w:rsid w:val="00915C55"/>
    <w:rsid w:val="009204DA"/>
    <w:rsid w:val="0092285E"/>
    <w:rsid w:val="00922868"/>
    <w:rsid w:val="00924A4C"/>
    <w:rsid w:val="00924F8A"/>
    <w:rsid w:val="00930555"/>
    <w:rsid w:val="009318F7"/>
    <w:rsid w:val="00931AC1"/>
    <w:rsid w:val="009326D9"/>
    <w:rsid w:val="00933543"/>
    <w:rsid w:val="00933DF8"/>
    <w:rsid w:val="00936DF9"/>
    <w:rsid w:val="00942237"/>
    <w:rsid w:val="009435B9"/>
    <w:rsid w:val="00945269"/>
    <w:rsid w:val="00953627"/>
    <w:rsid w:val="009560E5"/>
    <w:rsid w:val="00960FAE"/>
    <w:rsid w:val="009633C9"/>
    <w:rsid w:val="00964440"/>
    <w:rsid w:val="00971753"/>
    <w:rsid w:val="00971DE0"/>
    <w:rsid w:val="0097332E"/>
    <w:rsid w:val="0098068A"/>
    <w:rsid w:val="00980D1D"/>
    <w:rsid w:val="009828ED"/>
    <w:rsid w:val="00995A2D"/>
    <w:rsid w:val="00996DF4"/>
    <w:rsid w:val="009A1B41"/>
    <w:rsid w:val="009A21D3"/>
    <w:rsid w:val="009A4F8B"/>
    <w:rsid w:val="009A62D4"/>
    <w:rsid w:val="009A67D5"/>
    <w:rsid w:val="009B0811"/>
    <w:rsid w:val="009B1C7B"/>
    <w:rsid w:val="009B23F4"/>
    <w:rsid w:val="009B2698"/>
    <w:rsid w:val="009B3EAD"/>
    <w:rsid w:val="009B625F"/>
    <w:rsid w:val="009C1828"/>
    <w:rsid w:val="009C3BAE"/>
    <w:rsid w:val="009C50F8"/>
    <w:rsid w:val="009C67AC"/>
    <w:rsid w:val="009C7DB3"/>
    <w:rsid w:val="009D1ADA"/>
    <w:rsid w:val="009D1F60"/>
    <w:rsid w:val="009D2105"/>
    <w:rsid w:val="009D3D76"/>
    <w:rsid w:val="009D6346"/>
    <w:rsid w:val="009E1178"/>
    <w:rsid w:val="009E492E"/>
    <w:rsid w:val="009E63D6"/>
    <w:rsid w:val="009E78B5"/>
    <w:rsid w:val="009F49D8"/>
    <w:rsid w:val="009F4C0F"/>
    <w:rsid w:val="009F4CD5"/>
    <w:rsid w:val="009F4D85"/>
    <w:rsid w:val="00A024F5"/>
    <w:rsid w:val="00A02D37"/>
    <w:rsid w:val="00A02FE2"/>
    <w:rsid w:val="00A0452A"/>
    <w:rsid w:val="00A04A78"/>
    <w:rsid w:val="00A06E72"/>
    <w:rsid w:val="00A07CFB"/>
    <w:rsid w:val="00A10F60"/>
    <w:rsid w:val="00A12AD1"/>
    <w:rsid w:val="00A12DDB"/>
    <w:rsid w:val="00A13419"/>
    <w:rsid w:val="00A20BC9"/>
    <w:rsid w:val="00A24D35"/>
    <w:rsid w:val="00A25BDA"/>
    <w:rsid w:val="00A25FAA"/>
    <w:rsid w:val="00A26195"/>
    <w:rsid w:val="00A26234"/>
    <w:rsid w:val="00A267B7"/>
    <w:rsid w:val="00A31EC6"/>
    <w:rsid w:val="00A44F68"/>
    <w:rsid w:val="00A4653F"/>
    <w:rsid w:val="00A469BA"/>
    <w:rsid w:val="00A47856"/>
    <w:rsid w:val="00A506AE"/>
    <w:rsid w:val="00A52214"/>
    <w:rsid w:val="00A522E5"/>
    <w:rsid w:val="00A53CD1"/>
    <w:rsid w:val="00A55B9F"/>
    <w:rsid w:val="00A55E34"/>
    <w:rsid w:val="00A56032"/>
    <w:rsid w:val="00A570EC"/>
    <w:rsid w:val="00A61469"/>
    <w:rsid w:val="00A6585C"/>
    <w:rsid w:val="00A661B4"/>
    <w:rsid w:val="00A70BB3"/>
    <w:rsid w:val="00A729C3"/>
    <w:rsid w:val="00A73236"/>
    <w:rsid w:val="00A7454A"/>
    <w:rsid w:val="00A75757"/>
    <w:rsid w:val="00A7670E"/>
    <w:rsid w:val="00A779CB"/>
    <w:rsid w:val="00A80AC6"/>
    <w:rsid w:val="00A82DE3"/>
    <w:rsid w:val="00A833A5"/>
    <w:rsid w:val="00A83982"/>
    <w:rsid w:val="00A900D7"/>
    <w:rsid w:val="00A92F3D"/>
    <w:rsid w:val="00A9369B"/>
    <w:rsid w:val="00A94500"/>
    <w:rsid w:val="00A94833"/>
    <w:rsid w:val="00A97DB6"/>
    <w:rsid w:val="00AA0131"/>
    <w:rsid w:val="00AA1CC2"/>
    <w:rsid w:val="00AA201D"/>
    <w:rsid w:val="00AA499E"/>
    <w:rsid w:val="00AA64C1"/>
    <w:rsid w:val="00AB09F6"/>
    <w:rsid w:val="00AB17BD"/>
    <w:rsid w:val="00AB205C"/>
    <w:rsid w:val="00AB308F"/>
    <w:rsid w:val="00AB475E"/>
    <w:rsid w:val="00AB664A"/>
    <w:rsid w:val="00AB77D9"/>
    <w:rsid w:val="00AC1A3E"/>
    <w:rsid w:val="00AC20A8"/>
    <w:rsid w:val="00AC3278"/>
    <w:rsid w:val="00AC38BE"/>
    <w:rsid w:val="00AC3B4F"/>
    <w:rsid w:val="00AD79F8"/>
    <w:rsid w:val="00AD7C8B"/>
    <w:rsid w:val="00AE41EC"/>
    <w:rsid w:val="00AE4FA7"/>
    <w:rsid w:val="00AE5CB1"/>
    <w:rsid w:val="00AF071E"/>
    <w:rsid w:val="00AF1942"/>
    <w:rsid w:val="00AF40B3"/>
    <w:rsid w:val="00AF50D7"/>
    <w:rsid w:val="00AF752A"/>
    <w:rsid w:val="00B01FB7"/>
    <w:rsid w:val="00B03459"/>
    <w:rsid w:val="00B07B71"/>
    <w:rsid w:val="00B102A1"/>
    <w:rsid w:val="00B154DD"/>
    <w:rsid w:val="00B17472"/>
    <w:rsid w:val="00B200E6"/>
    <w:rsid w:val="00B233E3"/>
    <w:rsid w:val="00B25589"/>
    <w:rsid w:val="00B26365"/>
    <w:rsid w:val="00B3171E"/>
    <w:rsid w:val="00B31778"/>
    <w:rsid w:val="00B35CF2"/>
    <w:rsid w:val="00B4021C"/>
    <w:rsid w:val="00B45BFD"/>
    <w:rsid w:val="00B50E28"/>
    <w:rsid w:val="00B51528"/>
    <w:rsid w:val="00B51CD4"/>
    <w:rsid w:val="00B5263D"/>
    <w:rsid w:val="00B53661"/>
    <w:rsid w:val="00B54EE4"/>
    <w:rsid w:val="00B55095"/>
    <w:rsid w:val="00B62D58"/>
    <w:rsid w:val="00B62E0D"/>
    <w:rsid w:val="00B76004"/>
    <w:rsid w:val="00B76ACA"/>
    <w:rsid w:val="00B81B3A"/>
    <w:rsid w:val="00B822F5"/>
    <w:rsid w:val="00B82ABB"/>
    <w:rsid w:val="00B83A05"/>
    <w:rsid w:val="00B93F85"/>
    <w:rsid w:val="00B9493C"/>
    <w:rsid w:val="00B94B51"/>
    <w:rsid w:val="00B9543B"/>
    <w:rsid w:val="00B95FE4"/>
    <w:rsid w:val="00B96629"/>
    <w:rsid w:val="00BA0E61"/>
    <w:rsid w:val="00BA0EE8"/>
    <w:rsid w:val="00BA1595"/>
    <w:rsid w:val="00BA22BA"/>
    <w:rsid w:val="00BA22DD"/>
    <w:rsid w:val="00BA567A"/>
    <w:rsid w:val="00BB2E78"/>
    <w:rsid w:val="00BB3B04"/>
    <w:rsid w:val="00BB4DC1"/>
    <w:rsid w:val="00BB7272"/>
    <w:rsid w:val="00BB7A5C"/>
    <w:rsid w:val="00BB7C50"/>
    <w:rsid w:val="00BB7FF5"/>
    <w:rsid w:val="00BC2DC0"/>
    <w:rsid w:val="00BD3139"/>
    <w:rsid w:val="00BD6C9F"/>
    <w:rsid w:val="00BE10C2"/>
    <w:rsid w:val="00BE1A43"/>
    <w:rsid w:val="00BE5E89"/>
    <w:rsid w:val="00BE799B"/>
    <w:rsid w:val="00BE7A9E"/>
    <w:rsid w:val="00BF053A"/>
    <w:rsid w:val="00BF34AE"/>
    <w:rsid w:val="00BF6CA8"/>
    <w:rsid w:val="00C0132B"/>
    <w:rsid w:val="00C021FB"/>
    <w:rsid w:val="00C034A3"/>
    <w:rsid w:val="00C053DF"/>
    <w:rsid w:val="00C11BFB"/>
    <w:rsid w:val="00C13BD9"/>
    <w:rsid w:val="00C145D1"/>
    <w:rsid w:val="00C178B3"/>
    <w:rsid w:val="00C20027"/>
    <w:rsid w:val="00C25554"/>
    <w:rsid w:val="00C26EF7"/>
    <w:rsid w:val="00C30B0C"/>
    <w:rsid w:val="00C3116C"/>
    <w:rsid w:val="00C313B0"/>
    <w:rsid w:val="00C333B9"/>
    <w:rsid w:val="00C34715"/>
    <w:rsid w:val="00C34B81"/>
    <w:rsid w:val="00C34E98"/>
    <w:rsid w:val="00C3533E"/>
    <w:rsid w:val="00C400A5"/>
    <w:rsid w:val="00C4259B"/>
    <w:rsid w:val="00C42F14"/>
    <w:rsid w:val="00C441AE"/>
    <w:rsid w:val="00C4484C"/>
    <w:rsid w:val="00C45D4D"/>
    <w:rsid w:val="00C45DE4"/>
    <w:rsid w:val="00C4644A"/>
    <w:rsid w:val="00C46BBD"/>
    <w:rsid w:val="00C46E17"/>
    <w:rsid w:val="00C52ED7"/>
    <w:rsid w:val="00C54C84"/>
    <w:rsid w:val="00C5511B"/>
    <w:rsid w:val="00C55AEA"/>
    <w:rsid w:val="00C61309"/>
    <w:rsid w:val="00C62487"/>
    <w:rsid w:val="00C6402D"/>
    <w:rsid w:val="00C70CEA"/>
    <w:rsid w:val="00C712B8"/>
    <w:rsid w:val="00C728D3"/>
    <w:rsid w:val="00C72C77"/>
    <w:rsid w:val="00C74393"/>
    <w:rsid w:val="00C75FBA"/>
    <w:rsid w:val="00C803B6"/>
    <w:rsid w:val="00C80BEB"/>
    <w:rsid w:val="00C8127A"/>
    <w:rsid w:val="00C81770"/>
    <w:rsid w:val="00C86412"/>
    <w:rsid w:val="00C87B2A"/>
    <w:rsid w:val="00C91ECB"/>
    <w:rsid w:val="00C93818"/>
    <w:rsid w:val="00C9429C"/>
    <w:rsid w:val="00C946FC"/>
    <w:rsid w:val="00C954F3"/>
    <w:rsid w:val="00CA01BC"/>
    <w:rsid w:val="00CA06DB"/>
    <w:rsid w:val="00CA1ADD"/>
    <w:rsid w:val="00CA6DEA"/>
    <w:rsid w:val="00CB1743"/>
    <w:rsid w:val="00CB2457"/>
    <w:rsid w:val="00CB3917"/>
    <w:rsid w:val="00CB4C6A"/>
    <w:rsid w:val="00CB7C03"/>
    <w:rsid w:val="00CC0CF8"/>
    <w:rsid w:val="00CC115F"/>
    <w:rsid w:val="00CC379B"/>
    <w:rsid w:val="00CC398A"/>
    <w:rsid w:val="00CC3A77"/>
    <w:rsid w:val="00CD27A7"/>
    <w:rsid w:val="00CD3BB1"/>
    <w:rsid w:val="00CD5CE1"/>
    <w:rsid w:val="00CE03D9"/>
    <w:rsid w:val="00CE0C33"/>
    <w:rsid w:val="00CE22E4"/>
    <w:rsid w:val="00CE2A77"/>
    <w:rsid w:val="00CE3DCE"/>
    <w:rsid w:val="00CE3DF5"/>
    <w:rsid w:val="00CE6140"/>
    <w:rsid w:val="00CF157E"/>
    <w:rsid w:val="00CF247B"/>
    <w:rsid w:val="00CF47EF"/>
    <w:rsid w:val="00CF52FD"/>
    <w:rsid w:val="00D00D2A"/>
    <w:rsid w:val="00D02A68"/>
    <w:rsid w:val="00D02CFC"/>
    <w:rsid w:val="00D047BC"/>
    <w:rsid w:val="00D06021"/>
    <w:rsid w:val="00D06438"/>
    <w:rsid w:val="00D068AC"/>
    <w:rsid w:val="00D068C6"/>
    <w:rsid w:val="00D10F7B"/>
    <w:rsid w:val="00D114A9"/>
    <w:rsid w:val="00D11705"/>
    <w:rsid w:val="00D12BD0"/>
    <w:rsid w:val="00D14E52"/>
    <w:rsid w:val="00D23006"/>
    <w:rsid w:val="00D248F2"/>
    <w:rsid w:val="00D30FED"/>
    <w:rsid w:val="00D31480"/>
    <w:rsid w:val="00D321ED"/>
    <w:rsid w:val="00D327B7"/>
    <w:rsid w:val="00D32D81"/>
    <w:rsid w:val="00D32F96"/>
    <w:rsid w:val="00D34341"/>
    <w:rsid w:val="00D423FF"/>
    <w:rsid w:val="00D43588"/>
    <w:rsid w:val="00D43E49"/>
    <w:rsid w:val="00D474D7"/>
    <w:rsid w:val="00D5089E"/>
    <w:rsid w:val="00D51539"/>
    <w:rsid w:val="00D52600"/>
    <w:rsid w:val="00D52794"/>
    <w:rsid w:val="00D554EB"/>
    <w:rsid w:val="00D613D6"/>
    <w:rsid w:val="00D61F5A"/>
    <w:rsid w:val="00D62B54"/>
    <w:rsid w:val="00D66814"/>
    <w:rsid w:val="00D6728C"/>
    <w:rsid w:val="00D7031D"/>
    <w:rsid w:val="00D72D4D"/>
    <w:rsid w:val="00D77EE7"/>
    <w:rsid w:val="00D856AF"/>
    <w:rsid w:val="00D86D05"/>
    <w:rsid w:val="00D912E7"/>
    <w:rsid w:val="00D91418"/>
    <w:rsid w:val="00D91F17"/>
    <w:rsid w:val="00D92480"/>
    <w:rsid w:val="00D92846"/>
    <w:rsid w:val="00DA0080"/>
    <w:rsid w:val="00DA1872"/>
    <w:rsid w:val="00DA24A7"/>
    <w:rsid w:val="00DA285E"/>
    <w:rsid w:val="00DA291F"/>
    <w:rsid w:val="00DA36D5"/>
    <w:rsid w:val="00DA4CCA"/>
    <w:rsid w:val="00DA6325"/>
    <w:rsid w:val="00DA6E10"/>
    <w:rsid w:val="00DA6FC3"/>
    <w:rsid w:val="00DB0E65"/>
    <w:rsid w:val="00DB13FC"/>
    <w:rsid w:val="00DB1F67"/>
    <w:rsid w:val="00DB4589"/>
    <w:rsid w:val="00DC0D3F"/>
    <w:rsid w:val="00DC1105"/>
    <w:rsid w:val="00DC32C8"/>
    <w:rsid w:val="00DC3FBB"/>
    <w:rsid w:val="00DC552F"/>
    <w:rsid w:val="00DD0F9C"/>
    <w:rsid w:val="00DD2238"/>
    <w:rsid w:val="00DD3711"/>
    <w:rsid w:val="00DD3CCD"/>
    <w:rsid w:val="00DD3E00"/>
    <w:rsid w:val="00DD6463"/>
    <w:rsid w:val="00DE08D5"/>
    <w:rsid w:val="00DE3170"/>
    <w:rsid w:val="00DE3CC3"/>
    <w:rsid w:val="00DE57B4"/>
    <w:rsid w:val="00DE7E4A"/>
    <w:rsid w:val="00DF285E"/>
    <w:rsid w:val="00DF2A52"/>
    <w:rsid w:val="00DF2B4E"/>
    <w:rsid w:val="00DF2C8D"/>
    <w:rsid w:val="00DF2D7C"/>
    <w:rsid w:val="00DF398D"/>
    <w:rsid w:val="00DF53A7"/>
    <w:rsid w:val="00DF625E"/>
    <w:rsid w:val="00DF69B2"/>
    <w:rsid w:val="00E03997"/>
    <w:rsid w:val="00E048A7"/>
    <w:rsid w:val="00E063C8"/>
    <w:rsid w:val="00E06A0C"/>
    <w:rsid w:val="00E10B99"/>
    <w:rsid w:val="00E1307D"/>
    <w:rsid w:val="00E14B80"/>
    <w:rsid w:val="00E2112C"/>
    <w:rsid w:val="00E21942"/>
    <w:rsid w:val="00E25336"/>
    <w:rsid w:val="00E27CC9"/>
    <w:rsid w:val="00E35F49"/>
    <w:rsid w:val="00E40AC6"/>
    <w:rsid w:val="00E44329"/>
    <w:rsid w:val="00E501C7"/>
    <w:rsid w:val="00E53900"/>
    <w:rsid w:val="00E540DB"/>
    <w:rsid w:val="00E558A5"/>
    <w:rsid w:val="00E56C4F"/>
    <w:rsid w:val="00E6095F"/>
    <w:rsid w:val="00E649D0"/>
    <w:rsid w:val="00E7122F"/>
    <w:rsid w:val="00E71A41"/>
    <w:rsid w:val="00E7241F"/>
    <w:rsid w:val="00E7268A"/>
    <w:rsid w:val="00E90717"/>
    <w:rsid w:val="00E91B72"/>
    <w:rsid w:val="00E9233F"/>
    <w:rsid w:val="00E94E36"/>
    <w:rsid w:val="00E979FA"/>
    <w:rsid w:val="00E97DBD"/>
    <w:rsid w:val="00EA16BE"/>
    <w:rsid w:val="00EA4283"/>
    <w:rsid w:val="00EA4B35"/>
    <w:rsid w:val="00EA7499"/>
    <w:rsid w:val="00EA7556"/>
    <w:rsid w:val="00EB148C"/>
    <w:rsid w:val="00EB3EC0"/>
    <w:rsid w:val="00EB5372"/>
    <w:rsid w:val="00EB53BE"/>
    <w:rsid w:val="00EB696F"/>
    <w:rsid w:val="00EB6B6B"/>
    <w:rsid w:val="00EB71C6"/>
    <w:rsid w:val="00EC32C3"/>
    <w:rsid w:val="00EC3DB8"/>
    <w:rsid w:val="00EC460F"/>
    <w:rsid w:val="00EC4B0F"/>
    <w:rsid w:val="00ED095D"/>
    <w:rsid w:val="00ED11CB"/>
    <w:rsid w:val="00ED11D9"/>
    <w:rsid w:val="00ED172A"/>
    <w:rsid w:val="00ED35A0"/>
    <w:rsid w:val="00ED598A"/>
    <w:rsid w:val="00EE1292"/>
    <w:rsid w:val="00EE2102"/>
    <w:rsid w:val="00EE6934"/>
    <w:rsid w:val="00EF01AA"/>
    <w:rsid w:val="00EF4845"/>
    <w:rsid w:val="00EF545C"/>
    <w:rsid w:val="00EF57D2"/>
    <w:rsid w:val="00F009C3"/>
    <w:rsid w:val="00F077C8"/>
    <w:rsid w:val="00F15366"/>
    <w:rsid w:val="00F15486"/>
    <w:rsid w:val="00F17B3C"/>
    <w:rsid w:val="00F204BC"/>
    <w:rsid w:val="00F21707"/>
    <w:rsid w:val="00F226FC"/>
    <w:rsid w:val="00F23E49"/>
    <w:rsid w:val="00F26947"/>
    <w:rsid w:val="00F27920"/>
    <w:rsid w:val="00F318C5"/>
    <w:rsid w:val="00F35F24"/>
    <w:rsid w:val="00F4010B"/>
    <w:rsid w:val="00F40CF6"/>
    <w:rsid w:val="00F413D7"/>
    <w:rsid w:val="00F426DB"/>
    <w:rsid w:val="00F43E27"/>
    <w:rsid w:val="00F445B0"/>
    <w:rsid w:val="00F47056"/>
    <w:rsid w:val="00F52889"/>
    <w:rsid w:val="00F529AE"/>
    <w:rsid w:val="00F537FF"/>
    <w:rsid w:val="00F54B30"/>
    <w:rsid w:val="00F56189"/>
    <w:rsid w:val="00F56560"/>
    <w:rsid w:val="00F5678C"/>
    <w:rsid w:val="00F56A02"/>
    <w:rsid w:val="00F56ADC"/>
    <w:rsid w:val="00F578B8"/>
    <w:rsid w:val="00F602A5"/>
    <w:rsid w:val="00F60C41"/>
    <w:rsid w:val="00F6240A"/>
    <w:rsid w:val="00F62560"/>
    <w:rsid w:val="00F650EC"/>
    <w:rsid w:val="00F66FBF"/>
    <w:rsid w:val="00F75A3B"/>
    <w:rsid w:val="00F80490"/>
    <w:rsid w:val="00F86458"/>
    <w:rsid w:val="00F90E67"/>
    <w:rsid w:val="00F937F9"/>
    <w:rsid w:val="00F952AB"/>
    <w:rsid w:val="00F9777C"/>
    <w:rsid w:val="00FA0ACF"/>
    <w:rsid w:val="00FA17FB"/>
    <w:rsid w:val="00FA1A7B"/>
    <w:rsid w:val="00FA4A22"/>
    <w:rsid w:val="00FA4D72"/>
    <w:rsid w:val="00FA5AB6"/>
    <w:rsid w:val="00FA7CFC"/>
    <w:rsid w:val="00FB1877"/>
    <w:rsid w:val="00FB27E2"/>
    <w:rsid w:val="00FB370E"/>
    <w:rsid w:val="00FB478C"/>
    <w:rsid w:val="00FB4B45"/>
    <w:rsid w:val="00FB63DC"/>
    <w:rsid w:val="00FB7089"/>
    <w:rsid w:val="00FB732C"/>
    <w:rsid w:val="00FC31A7"/>
    <w:rsid w:val="00FC4C27"/>
    <w:rsid w:val="00FC5CFA"/>
    <w:rsid w:val="00FC5CFE"/>
    <w:rsid w:val="00FD0FF0"/>
    <w:rsid w:val="00FD1554"/>
    <w:rsid w:val="00FD21D4"/>
    <w:rsid w:val="00FD255E"/>
    <w:rsid w:val="00FD6B06"/>
    <w:rsid w:val="00FD7EAF"/>
    <w:rsid w:val="00FE1338"/>
    <w:rsid w:val="00FE1EF4"/>
    <w:rsid w:val="00FE357E"/>
    <w:rsid w:val="00FE5D8F"/>
    <w:rsid w:val="00FE6609"/>
    <w:rsid w:val="00FE682E"/>
    <w:rsid w:val="00FE68AA"/>
    <w:rsid w:val="00FF121F"/>
    <w:rsid w:val="00FF23C0"/>
    <w:rsid w:val="00FF6D9E"/>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21D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70CE"/>
    <w:rPr>
      <w:color w:val="808080"/>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fn"/>
    <w:basedOn w:val="prastasis"/>
    <w:link w:val="PuslapioinaostekstasDiagrama"/>
    <w:unhideWhenUsed/>
    <w:qFormat/>
    <w:rsid w:val="00FD6B06"/>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FD6B06"/>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FD6B06"/>
    <w:rPr>
      <w:vertAlign w:val="superscript"/>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99"/>
    <w:qFormat/>
    <w:rsid w:val="00FD6B06"/>
    <w:pPr>
      <w:ind w:left="720"/>
      <w:contextualSpacing/>
    </w:pPr>
  </w:style>
  <w:style w:type="character" w:styleId="Komentaronuoroda">
    <w:name w:val="annotation reference"/>
    <w:basedOn w:val="Numatytasispastraiposriftas"/>
    <w:semiHidden/>
    <w:unhideWhenUsed/>
    <w:rsid w:val="009828ED"/>
    <w:rPr>
      <w:sz w:val="16"/>
      <w:szCs w:val="16"/>
    </w:rPr>
  </w:style>
  <w:style w:type="paragraph" w:styleId="Komentarotekstas">
    <w:name w:val="annotation text"/>
    <w:aliases w:val="Diagrama Diagrama Diagrama,Diagrama Diagrama"/>
    <w:basedOn w:val="prastasis"/>
    <w:link w:val="KomentarotekstasDiagrama"/>
    <w:uiPriority w:val="99"/>
    <w:unhideWhenUsed/>
    <w:rsid w:val="009828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9828ED"/>
    <w:rPr>
      <w:sz w:val="20"/>
    </w:rPr>
  </w:style>
  <w:style w:type="paragraph" w:styleId="Komentarotema">
    <w:name w:val="annotation subject"/>
    <w:basedOn w:val="Komentarotekstas"/>
    <w:next w:val="Komentarotekstas"/>
    <w:link w:val="KomentarotemaDiagrama"/>
    <w:semiHidden/>
    <w:unhideWhenUsed/>
    <w:rsid w:val="009828ED"/>
    <w:rPr>
      <w:b/>
      <w:bCs/>
    </w:rPr>
  </w:style>
  <w:style w:type="character" w:customStyle="1" w:styleId="KomentarotemaDiagrama">
    <w:name w:val="Komentaro tema Diagrama"/>
    <w:basedOn w:val="KomentarotekstasDiagrama"/>
    <w:link w:val="Komentarotema"/>
    <w:semiHidden/>
    <w:rsid w:val="009828ED"/>
    <w:rPr>
      <w:b/>
      <w:bCs/>
      <w:sz w:val="20"/>
    </w:rPr>
  </w:style>
  <w:style w:type="paragraph" w:styleId="Pataisymai">
    <w:name w:val="Revision"/>
    <w:hidden/>
    <w:semiHidden/>
    <w:rsid w:val="00C45D4D"/>
  </w:style>
  <w:style w:type="character" w:styleId="Hipersaitas">
    <w:name w:val="Hyperlink"/>
    <w:aliases w:val="Alna"/>
    <w:basedOn w:val="Numatytasispastraiposriftas"/>
    <w:uiPriority w:val="99"/>
    <w:rsid w:val="0083730F"/>
    <w:rPr>
      <w:color w:val="0000FF"/>
      <w:u w:val="single"/>
    </w:rPr>
  </w:style>
  <w:style w:type="character" w:styleId="Neapdorotaspaminjimas">
    <w:name w:val="Unresolved Mention"/>
    <w:basedOn w:val="Numatytasispastraiposriftas"/>
    <w:uiPriority w:val="99"/>
    <w:semiHidden/>
    <w:unhideWhenUsed/>
    <w:rsid w:val="006A34D2"/>
    <w:rPr>
      <w:color w:val="605E5C"/>
      <w:shd w:val="clear" w:color="auto" w:fill="E1DFDD"/>
    </w:rPr>
  </w:style>
  <w:style w:type="table" w:styleId="Lentelstinklelis">
    <w:name w:val="Table Grid"/>
    <w:basedOn w:val="prastojilente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F50D7"/>
    <w:rPr>
      <w:color w:val="954F72" w:themeColor="followedHyperlink"/>
      <w:u w:val="single"/>
    </w:rPr>
  </w:style>
  <w:style w:type="character" w:customStyle="1" w:styleId="normaltextrun">
    <w:name w:val="normaltextrun"/>
    <w:basedOn w:val="Numatytasispastraiposriftas"/>
    <w:rsid w:val="00491E35"/>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99"/>
    <w:qFormat/>
    <w:locked/>
    <w:rsid w:val="004E50F8"/>
  </w:style>
  <w:style w:type="paragraph" w:customStyle="1" w:styleId="paragraph">
    <w:name w:val="paragraph"/>
    <w:basedOn w:val="prastasis"/>
    <w:rsid w:val="004E50F8"/>
    <w:pPr>
      <w:spacing w:before="100" w:beforeAutospacing="1" w:after="100" w:afterAutospacing="1"/>
    </w:pPr>
    <w:rPr>
      <w:szCs w:val="24"/>
      <w:lang w:eastAsia="lt-LT"/>
    </w:rPr>
  </w:style>
  <w:style w:type="character" w:customStyle="1" w:styleId="eop">
    <w:name w:val="eop"/>
    <w:basedOn w:val="Numatytasispastraiposriftas"/>
    <w:rsid w:val="00203C91"/>
  </w:style>
  <w:style w:type="character" w:customStyle="1" w:styleId="wysiwyg-font-size-medium">
    <w:name w:val="wysiwyg-font-size-medium"/>
    <w:basedOn w:val="Numatytasispastraiposriftas"/>
    <w:rsid w:val="00876BBC"/>
  </w:style>
  <w:style w:type="character" w:styleId="Emfaz">
    <w:name w:val="Emphasis"/>
    <w:basedOn w:val="Numatytasispastraiposriftas"/>
    <w:uiPriority w:val="20"/>
    <w:qFormat/>
    <w:rsid w:val="00876BBC"/>
    <w:rPr>
      <w:i/>
      <w:iCs/>
    </w:rPr>
  </w:style>
  <w:style w:type="character" w:customStyle="1" w:styleId="wysiwyg-color-black1">
    <w:name w:val="wysiwyg-color-black1"/>
    <w:basedOn w:val="Numatytasispastraiposriftas"/>
    <w:rsid w:val="00876BBC"/>
  </w:style>
  <w:style w:type="character" w:styleId="Grietas">
    <w:name w:val="Strong"/>
    <w:basedOn w:val="Numatytasispastraiposriftas"/>
    <w:uiPriority w:val="22"/>
    <w:qFormat/>
    <w:rsid w:val="00315C39"/>
    <w:rPr>
      <w:rFonts w:ascii="Verdana" w:hAnsi="Verdana"/>
      <w:b/>
      <w:bCs/>
      <w:sz w:val="24"/>
    </w:rPr>
  </w:style>
  <w:style w:type="paragraph" w:customStyle="1" w:styleId="Tekstas1">
    <w:name w:val="Tekstas_1"/>
    <w:basedOn w:val="prastasis"/>
    <w:qFormat/>
    <w:rsid w:val="00C93818"/>
    <w:pPr>
      <w:numPr>
        <w:numId w:val="10"/>
      </w:numPr>
      <w:spacing w:before="120" w:after="120"/>
    </w:pPr>
    <w:rPr>
      <w:rFonts w:ascii="Arial" w:eastAsiaTheme="minorHAnsi" w:hAnsi="Arial" w:cstheme="minorBidi"/>
      <w:sz w:val="20"/>
    </w:rPr>
  </w:style>
  <w:style w:type="paragraph" w:customStyle="1" w:styleId="Tekstas2">
    <w:name w:val="Tekstas_2"/>
    <w:basedOn w:val="Tekstas1"/>
    <w:qFormat/>
    <w:rsid w:val="00C93818"/>
    <w:pPr>
      <w:numPr>
        <w:ilvl w:val="1"/>
      </w:numPr>
    </w:pPr>
  </w:style>
  <w:style w:type="paragraph" w:customStyle="1" w:styleId="Tekstas3">
    <w:name w:val="Tekstas_3"/>
    <w:basedOn w:val="Tekstas2"/>
    <w:qFormat/>
    <w:rsid w:val="00C93818"/>
    <w:pPr>
      <w:numPr>
        <w:ilvl w:val="2"/>
      </w:numPr>
    </w:pPr>
  </w:style>
  <w:style w:type="paragraph" w:customStyle="1" w:styleId="Tekstas4">
    <w:name w:val="Tekstas_4"/>
    <w:basedOn w:val="Tekstas3"/>
    <w:qFormat/>
    <w:rsid w:val="00C93818"/>
    <w:pPr>
      <w:numPr>
        <w:ilvl w:val="3"/>
      </w:numPr>
    </w:pPr>
  </w:style>
  <w:style w:type="paragraph" w:customStyle="1" w:styleId="wysiwyg-color-black">
    <w:name w:val="wysiwyg-color-black"/>
    <w:basedOn w:val="prastasis"/>
    <w:rsid w:val="00254D28"/>
    <w:pPr>
      <w:spacing w:before="100" w:beforeAutospacing="1" w:after="100" w:afterAutospacing="1"/>
    </w:pPr>
    <w:rPr>
      <w:szCs w:val="24"/>
      <w:lang w:val="en-US"/>
    </w:rPr>
  </w:style>
  <w:style w:type="character" w:customStyle="1" w:styleId="wysiwyg-underline">
    <w:name w:val="wysiwyg-underline"/>
    <w:basedOn w:val="Numatytasispastraiposriftas"/>
    <w:rsid w:val="00254D28"/>
  </w:style>
  <w:style w:type="paragraph" w:customStyle="1" w:styleId="Body2">
    <w:name w:val="Body 2"/>
    <w:rsid w:val="00FB7089"/>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lt-LT"/>
    </w:rPr>
  </w:style>
  <w:style w:type="paragraph" w:customStyle="1" w:styleId="TableParagraph">
    <w:name w:val="Table Paragraph"/>
    <w:basedOn w:val="prastasis"/>
    <w:uiPriority w:val="1"/>
    <w:qFormat/>
    <w:rsid w:val="004E7F02"/>
    <w:pPr>
      <w:widowControl w:val="0"/>
      <w:autoSpaceDE w:val="0"/>
      <w:autoSpaceDN w:val="0"/>
    </w:pPr>
    <w:rPr>
      <w:rFonts w:ascii="Microsoft Sans Serif" w:eastAsia="Microsoft Sans Serif" w:hAnsi="Microsoft Sans Serif" w:cs="Microsoft Sans Serif"/>
      <w:sz w:val="22"/>
      <w:szCs w:val="22"/>
    </w:rPr>
  </w:style>
  <w:style w:type="character" w:customStyle="1" w:styleId="cf01">
    <w:name w:val="cf01"/>
    <w:basedOn w:val="Numatytasispastraiposriftas"/>
    <w:rsid w:val="00261010"/>
    <w:rPr>
      <w:rFonts w:ascii="Segoe UI" w:hAnsi="Segoe UI" w:cs="Segoe UI" w:hint="default"/>
      <w:sz w:val="18"/>
      <w:szCs w:val="18"/>
    </w:rPr>
  </w:style>
  <w:style w:type="paragraph" w:customStyle="1" w:styleId="pf0">
    <w:name w:val="pf0"/>
    <w:basedOn w:val="prastasis"/>
    <w:rsid w:val="006D5EE6"/>
    <w:pPr>
      <w:spacing w:before="100" w:beforeAutospacing="1" w:after="100" w:afterAutospacing="1"/>
    </w:pPr>
    <w:rPr>
      <w:szCs w:val="24"/>
      <w:lang w:val="en-US"/>
    </w:rPr>
  </w:style>
  <w:style w:type="paragraph" w:customStyle="1" w:styleId="active">
    <w:name w:val="active"/>
    <w:basedOn w:val="prastasis"/>
    <w:rsid w:val="00FA17FB"/>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6701">
      <w:bodyDiv w:val="1"/>
      <w:marLeft w:val="0"/>
      <w:marRight w:val="0"/>
      <w:marTop w:val="0"/>
      <w:marBottom w:val="0"/>
      <w:divBdr>
        <w:top w:val="none" w:sz="0" w:space="0" w:color="auto"/>
        <w:left w:val="none" w:sz="0" w:space="0" w:color="auto"/>
        <w:bottom w:val="none" w:sz="0" w:space="0" w:color="auto"/>
        <w:right w:val="none" w:sz="0" w:space="0" w:color="auto"/>
      </w:divBdr>
    </w:div>
    <w:div w:id="160705270">
      <w:bodyDiv w:val="1"/>
      <w:marLeft w:val="0"/>
      <w:marRight w:val="0"/>
      <w:marTop w:val="0"/>
      <w:marBottom w:val="0"/>
      <w:divBdr>
        <w:top w:val="none" w:sz="0" w:space="0" w:color="auto"/>
        <w:left w:val="none" w:sz="0" w:space="0" w:color="auto"/>
        <w:bottom w:val="none" w:sz="0" w:space="0" w:color="auto"/>
        <w:right w:val="none" w:sz="0" w:space="0" w:color="auto"/>
      </w:divBdr>
    </w:div>
    <w:div w:id="167138165">
      <w:bodyDiv w:val="1"/>
      <w:marLeft w:val="0"/>
      <w:marRight w:val="0"/>
      <w:marTop w:val="0"/>
      <w:marBottom w:val="0"/>
      <w:divBdr>
        <w:top w:val="none" w:sz="0" w:space="0" w:color="auto"/>
        <w:left w:val="none" w:sz="0" w:space="0" w:color="auto"/>
        <w:bottom w:val="none" w:sz="0" w:space="0" w:color="auto"/>
        <w:right w:val="none" w:sz="0" w:space="0" w:color="auto"/>
      </w:divBdr>
    </w:div>
    <w:div w:id="211357227">
      <w:bodyDiv w:val="1"/>
      <w:marLeft w:val="0"/>
      <w:marRight w:val="0"/>
      <w:marTop w:val="0"/>
      <w:marBottom w:val="0"/>
      <w:divBdr>
        <w:top w:val="none" w:sz="0" w:space="0" w:color="auto"/>
        <w:left w:val="none" w:sz="0" w:space="0" w:color="auto"/>
        <w:bottom w:val="none" w:sz="0" w:space="0" w:color="auto"/>
        <w:right w:val="none" w:sz="0" w:space="0" w:color="auto"/>
      </w:divBdr>
      <w:divsChild>
        <w:div w:id="184755488">
          <w:marLeft w:val="0"/>
          <w:marRight w:val="0"/>
          <w:marTop w:val="0"/>
          <w:marBottom w:val="0"/>
          <w:divBdr>
            <w:top w:val="none" w:sz="0" w:space="0" w:color="auto"/>
            <w:left w:val="none" w:sz="0" w:space="0" w:color="auto"/>
            <w:bottom w:val="none" w:sz="0" w:space="0" w:color="auto"/>
            <w:right w:val="none" w:sz="0" w:space="0" w:color="auto"/>
          </w:divBdr>
          <w:divsChild>
            <w:div w:id="1199706877">
              <w:marLeft w:val="0"/>
              <w:marRight w:val="0"/>
              <w:marTop w:val="0"/>
              <w:marBottom w:val="0"/>
              <w:divBdr>
                <w:top w:val="none" w:sz="0" w:space="0" w:color="auto"/>
                <w:left w:val="none" w:sz="0" w:space="0" w:color="auto"/>
                <w:bottom w:val="none" w:sz="0" w:space="0" w:color="auto"/>
                <w:right w:val="none" w:sz="0" w:space="0" w:color="auto"/>
              </w:divBdr>
              <w:divsChild>
                <w:div w:id="1037121925">
                  <w:marLeft w:val="0"/>
                  <w:marRight w:val="0"/>
                  <w:marTop w:val="0"/>
                  <w:marBottom w:val="0"/>
                  <w:divBdr>
                    <w:top w:val="none" w:sz="0" w:space="0" w:color="auto"/>
                    <w:left w:val="none" w:sz="0" w:space="0" w:color="auto"/>
                    <w:bottom w:val="none" w:sz="0" w:space="0" w:color="auto"/>
                    <w:right w:val="none" w:sz="0" w:space="0" w:color="auto"/>
                  </w:divBdr>
                </w:div>
                <w:div w:id="1050810521">
                  <w:marLeft w:val="0"/>
                  <w:marRight w:val="0"/>
                  <w:marTop w:val="0"/>
                  <w:marBottom w:val="0"/>
                  <w:divBdr>
                    <w:top w:val="none" w:sz="0" w:space="0" w:color="auto"/>
                    <w:left w:val="none" w:sz="0" w:space="0" w:color="auto"/>
                    <w:bottom w:val="none" w:sz="0" w:space="0" w:color="auto"/>
                    <w:right w:val="none" w:sz="0" w:space="0" w:color="auto"/>
                  </w:divBdr>
                </w:div>
              </w:divsChild>
            </w:div>
            <w:div w:id="1682584543">
              <w:marLeft w:val="0"/>
              <w:marRight w:val="0"/>
              <w:marTop w:val="0"/>
              <w:marBottom w:val="0"/>
              <w:divBdr>
                <w:top w:val="none" w:sz="0" w:space="0" w:color="auto"/>
                <w:left w:val="none" w:sz="0" w:space="0" w:color="auto"/>
                <w:bottom w:val="none" w:sz="0" w:space="0" w:color="auto"/>
                <w:right w:val="none" w:sz="0" w:space="0" w:color="auto"/>
              </w:divBdr>
              <w:divsChild>
                <w:div w:id="2076392167">
                  <w:marLeft w:val="0"/>
                  <w:marRight w:val="0"/>
                  <w:marTop w:val="0"/>
                  <w:marBottom w:val="0"/>
                  <w:divBdr>
                    <w:top w:val="none" w:sz="0" w:space="0" w:color="auto"/>
                    <w:left w:val="none" w:sz="0" w:space="0" w:color="auto"/>
                    <w:bottom w:val="none" w:sz="0" w:space="0" w:color="auto"/>
                    <w:right w:val="none" w:sz="0" w:space="0" w:color="auto"/>
                  </w:divBdr>
                </w:div>
                <w:div w:id="1247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77">
          <w:marLeft w:val="0"/>
          <w:marRight w:val="0"/>
          <w:marTop w:val="0"/>
          <w:marBottom w:val="0"/>
          <w:divBdr>
            <w:top w:val="none" w:sz="0" w:space="0" w:color="auto"/>
            <w:left w:val="none" w:sz="0" w:space="0" w:color="auto"/>
            <w:bottom w:val="none" w:sz="0" w:space="0" w:color="auto"/>
            <w:right w:val="none" w:sz="0" w:space="0" w:color="auto"/>
          </w:divBdr>
        </w:div>
      </w:divsChild>
    </w:div>
    <w:div w:id="259292228">
      <w:bodyDiv w:val="1"/>
      <w:marLeft w:val="0"/>
      <w:marRight w:val="0"/>
      <w:marTop w:val="0"/>
      <w:marBottom w:val="0"/>
      <w:divBdr>
        <w:top w:val="none" w:sz="0" w:space="0" w:color="auto"/>
        <w:left w:val="none" w:sz="0" w:space="0" w:color="auto"/>
        <w:bottom w:val="none" w:sz="0" w:space="0" w:color="auto"/>
        <w:right w:val="none" w:sz="0" w:space="0" w:color="auto"/>
      </w:divBdr>
    </w:div>
    <w:div w:id="276529065">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92176702">
      <w:bodyDiv w:val="1"/>
      <w:marLeft w:val="0"/>
      <w:marRight w:val="0"/>
      <w:marTop w:val="0"/>
      <w:marBottom w:val="0"/>
      <w:divBdr>
        <w:top w:val="none" w:sz="0" w:space="0" w:color="auto"/>
        <w:left w:val="none" w:sz="0" w:space="0" w:color="auto"/>
        <w:bottom w:val="none" w:sz="0" w:space="0" w:color="auto"/>
        <w:right w:val="none" w:sz="0" w:space="0" w:color="auto"/>
      </w:divBdr>
    </w:div>
    <w:div w:id="300623466">
      <w:bodyDiv w:val="1"/>
      <w:marLeft w:val="0"/>
      <w:marRight w:val="0"/>
      <w:marTop w:val="0"/>
      <w:marBottom w:val="0"/>
      <w:divBdr>
        <w:top w:val="none" w:sz="0" w:space="0" w:color="auto"/>
        <w:left w:val="none" w:sz="0" w:space="0" w:color="auto"/>
        <w:bottom w:val="none" w:sz="0" w:space="0" w:color="auto"/>
        <w:right w:val="none" w:sz="0" w:space="0" w:color="auto"/>
      </w:divBdr>
    </w:div>
    <w:div w:id="33688303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8908082">
      <w:bodyDiv w:val="1"/>
      <w:marLeft w:val="0"/>
      <w:marRight w:val="0"/>
      <w:marTop w:val="0"/>
      <w:marBottom w:val="0"/>
      <w:divBdr>
        <w:top w:val="none" w:sz="0" w:space="0" w:color="auto"/>
        <w:left w:val="none" w:sz="0" w:space="0" w:color="auto"/>
        <w:bottom w:val="none" w:sz="0" w:space="0" w:color="auto"/>
        <w:right w:val="none" w:sz="0" w:space="0" w:color="auto"/>
      </w:divBdr>
    </w:div>
    <w:div w:id="4667028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23317674">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4703653">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04660827">
      <w:bodyDiv w:val="1"/>
      <w:marLeft w:val="0"/>
      <w:marRight w:val="0"/>
      <w:marTop w:val="0"/>
      <w:marBottom w:val="0"/>
      <w:divBdr>
        <w:top w:val="none" w:sz="0" w:space="0" w:color="auto"/>
        <w:left w:val="none" w:sz="0" w:space="0" w:color="auto"/>
        <w:bottom w:val="none" w:sz="0" w:space="0" w:color="auto"/>
        <w:right w:val="none" w:sz="0" w:space="0" w:color="auto"/>
      </w:divBdr>
    </w:div>
    <w:div w:id="824467437">
      <w:bodyDiv w:val="1"/>
      <w:marLeft w:val="0"/>
      <w:marRight w:val="0"/>
      <w:marTop w:val="0"/>
      <w:marBottom w:val="0"/>
      <w:divBdr>
        <w:top w:val="none" w:sz="0" w:space="0" w:color="auto"/>
        <w:left w:val="none" w:sz="0" w:space="0" w:color="auto"/>
        <w:bottom w:val="none" w:sz="0" w:space="0" w:color="auto"/>
        <w:right w:val="none" w:sz="0" w:space="0" w:color="auto"/>
      </w:divBdr>
    </w:div>
    <w:div w:id="829444948">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023481670">
      <w:bodyDiv w:val="1"/>
      <w:marLeft w:val="0"/>
      <w:marRight w:val="0"/>
      <w:marTop w:val="0"/>
      <w:marBottom w:val="0"/>
      <w:divBdr>
        <w:top w:val="none" w:sz="0" w:space="0" w:color="auto"/>
        <w:left w:val="none" w:sz="0" w:space="0" w:color="auto"/>
        <w:bottom w:val="none" w:sz="0" w:space="0" w:color="auto"/>
        <w:right w:val="none" w:sz="0" w:space="0" w:color="auto"/>
      </w:divBdr>
    </w:div>
    <w:div w:id="1104156288">
      <w:bodyDiv w:val="1"/>
      <w:marLeft w:val="0"/>
      <w:marRight w:val="0"/>
      <w:marTop w:val="0"/>
      <w:marBottom w:val="0"/>
      <w:divBdr>
        <w:top w:val="none" w:sz="0" w:space="0" w:color="auto"/>
        <w:left w:val="none" w:sz="0" w:space="0" w:color="auto"/>
        <w:bottom w:val="none" w:sz="0" w:space="0" w:color="auto"/>
        <w:right w:val="none" w:sz="0" w:space="0" w:color="auto"/>
      </w:divBdr>
    </w:div>
    <w:div w:id="1119301814">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4387749">
      <w:bodyDiv w:val="1"/>
      <w:marLeft w:val="0"/>
      <w:marRight w:val="0"/>
      <w:marTop w:val="0"/>
      <w:marBottom w:val="0"/>
      <w:divBdr>
        <w:top w:val="none" w:sz="0" w:space="0" w:color="auto"/>
        <w:left w:val="none" w:sz="0" w:space="0" w:color="auto"/>
        <w:bottom w:val="none" w:sz="0" w:space="0" w:color="auto"/>
        <w:right w:val="none" w:sz="0" w:space="0" w:color="auto"/>
      </w:divBdr>
    </w:div>
    <w:div w:id="1292908299">
      <w:bodyDiv w:val="1"/>
      <w:marLeft w:val="0"/>
      <w:marRight w:val="0"/>
      <w:marTop w:val="0"/>
      <w:marBottom w:val="0"/>
      <w:divBdr>
        <w:top w:val="none" w:sz="0" w:space="0" w:color="auto"/>
        <w:left w:val="none" w:sz="0" w:space="0" w:color="auto"/>
        <w:bottom w:val="none" w:sz="0" w:space="0" w:color="auto"/>
        <w:right w:val="none" w:sz="0" w:space="0" w:color="auto"/>
      </w:divBdr>
    </w:div>
    <w:div w:id="1318878631">
      <w:bodyDiv w:val="1"/>
      <w:marLeft w:val="0"/>
      <w:marRight w:val="0"/>
      <w:marTop w:val="0"/>
      <w:marBottom w:val="0"/>
      <w:divBdr>
        <w:top w:val="none" w:sz="0" w:space="0" w:color="auto"/>
        <w:left w:val="none" w:sz="0" w:space="0" w:color="auto"/>
        <w:bottom w:val="none" w:sz="0" w:space="0" w:color="auto"/>
        <w:right w:val="none" w:sz="0" w:space="0" w:color="auto"/>
      </w:divBdr>
    </w:div>
    <w:div w:id="1449272886">
      <w:bodyDiv w:val="1"/>
      <w:marLeft w:val="0"/>
      <w:marRight w:val="0"/>
      <w:marTop w:val="0"/>
      <w:marBottom w:val="0"/>
      <w:divBdr>
        <w:top w:val="none" w:sz="0" w:space="0" w:color="auto"/>
        <w:left w:val="none" w:sz="0" w:space="0" w:color="auto"/>
        <w:bottom w:val="none" w:sz="0" w:space="0" w:color="auto"/>
        <w:right w:val="none" w:sz="0" w:space="0" w:color="auto"/>
      </w:divBdr>
    </w:div>
    <w:div w:id="1484394683">
      <w:bodyDiv w:val="1"/>
      <w:marLeft w:val="0"/>
      <w:marRight w:val="0"/>
      <w:marTop w:val="0"/>
      <w:marBottom w:val="0"/>
      <w:divBdr>
        <w:top w:val="none" w:sz="0" w:space="0" w:color="auto"/>
        <w:left w:val="none" w:sz="0" w:space="0" w:color="auto"/>
        <w:bottom w:val="none" w:sz="0" w:space="0" w:color="auto"/>
        <w:right w:val="none" w:sz="0" w:space="0" w:color="auto"/>
      </w:divBdr>
    </w:div>
    <w:div w:id="1487285348">
      <w:bodyDiv w:val="1"/>
      <w:marLeft w:val="0"/>
      <w:marRight w:val="0"/>
      <w:marTop w:val="0"/>
      <w:marBottom w:val="0"/>
      <w:divBdr>
        <w:top w:val="none" w:sz="0" w:space="0" w:color="auto"/>
        <w:left w:val="none" w:sz="0" w:space="0" w:color="auto"/>
        <w:bottom w:val="none" w:sz="0" w:space="0" w:color="auto"/>
        <w:right w:val="none" w:sz="0" w:space="0" w:color="auto"/>
      </w:divBdr>
    </w:div>
    <w:div w:id="1530339529">
      <w:bodyDiv w:val="1"/>
      <w:marLeft w:val="0"/>
      <w:marRight w:val="0"/>
      <w:marTop w:val="0"/>
      <w:marBottom w:val="0"/>
      <w:divBdr>
        <w:top w:val="none" w:sz="0" w:space="0" w:color="auto"/>
        <w:left w:val="none" w:sz="0" w:space="0" w:color="auto"/>
        <w:bottom w:val="none" w:sz="0" w:space="0" w:color="auto"/>
        <w:right w:val="none" w:sz="0" w:space="0" w:color="auto"/>
      </w:divBdr>
      <w:divsChild>
        <w:div w:id="1809323022">
          <w:marLeft w:val="0"/>
          <w:marRight w:val="0"/>
          <w:marTop w:val="0"/>
          <w:marBottom w:val="0"/>
          <w:divBdr>
            <w:top w:val="none" w:sz="0" w:space="0" w:color="auto"/>
            <w:left w:val="none" w:sz="0" w:space="0" w:color="auto"/>
            <w:bottom w:val="none" w:sz="0" w:space="0" w:color="auto"/>
            <w:right w:val="none" w:sz="0" w:space="0" w:color="auto"/>
          </w:divBdr>
        </w:div>
        <w:div w:id="1601599051">
          <w:marLeft w:val="0"/>
          <w:marRight w:val="0"/>
          <w:marTop w:val="0"/>
          <w:marBottom w:val="0"/>
          <w:divBdr>
            <w:top w:val="none" w:sz="0" w:space="0" w:color="auto"/>
            <w:left w:val="none" w:sz="0" w:space="0" w:color="auto"/>
            <w:bottom w:val="none" w:sz="0" w:space="0" w:color="auto"/>
            <w:right w:val="none" w:sz="0" w:space="0" w:color="auto"/>
          </w:divBdr>
        </w:div>
        <w:div w:id="1305891661">
          <w:marLeft w:val="0"/>
          <w:marRight w:val="0"/>
          <w:marTop w:val="0"/>
          <w:marBottom w:val="0"/>
          <w:divBdr>
            <w:top w:val="none" w:sz="0" w:space="0" w:color="auto"/>
            <w:left w:val="none" w:sz="0" w:space="0" w:color="auto"/>
            <w:bottom w:val="none" w:sz="0" w:space="0" w:color="auto"/>
            <w:right w:val="none" w:sz="0" w:space="0" w:color="auto"/>
          </w:divBdr>
        </w:div>
        <w:div w:id="1415667114">
          <w:marLeft w:val="0"/>
          <w:marRight w:val="0"/>
          <w:marTop w:val="0"/>
          <w:marBottom w:val="0"/>
          <w:divBdr>
            <w:top w:val="none" w:sz="0" w:space="0" w:color="auto"/>
            <w:left w:val="none" w:sz="0" w:space="0" w:color="auto"/>
            <w:bottom w:val="none" w:sz="0" w:space="0" w:color="auto"/>
            <w:right w:val="none" w:sz="0" w:space="0" w:color="auto"/>
          </w:divBdr>
        </w:div>
      </w:divsChild>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1516747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9982379">
      <w:bodyDiv w:val="1"/>
      <w:marLeft w:val="0"/>
      <w:marRight w:val="0"/>
      <w:marTop w:val="0"/>
      <w:marBottom w:val="0"/>
      <w:divBdr>
        <w:top w:val="none" w:sz="0" w:space="0" w:color="auto"/>
        <w:left w:val="none" w:sz="0" w:space="0" w:color="auto"/>
        <w:bottom w:val="none" w:sz="0" w:space="0" w:color="auto"/>
        <w:right w:val="none" w:sz="0" w:space="0" w:color="auto"/>
      </w:divBdr>
    </w:div>
    <w:div w:id="1777140161">
      <w:bodyDiv w:val="1"/>
      <w:marLeft w:val="0"/>
      <w:marRight w:val="0"/>
      <w:marTop w:val="0"/>
      <w:marBottom w:val="0"/>
      <w:divBdr>
        <w:top w:val="none" w:sz="0" w:space="0" w:color="auto"/>
        <w:left w:val="none" w:sz="0" w:space="0" w:color="auto"/>
        <w:bottom w:val="none" w:sz="0" w:space="0" w:color="auto"/>
        <w:right w:val="none" w:sz="0" w:space="0" w:color="auto"/>
      </w:divBdr>
    </w:div>
    <w:div w:id="1930262467">
      <w:bodyDiv w:val="1"/>
      <w:marLeft w:val="0"/>
      <w:marRight w:val="0"/>
      <w:marTop w:val="0"/>
      <w:marBottom w:val="0"/>
      <w:divBdr>
        <w:top w:val="none" w:sz="0" w:space="0" w:color="auto"/>
        <w:left w:val="none" w:sz="0" w:space="0" w:color="auto"/>
        <w:bottom w:val="none" w:sz="0" w:space="0" w:color="auto"/>
        <w:right w:val="none" w:sz="0" w:space="0" w:color="auto"/>
      </w:divBdr>
      <w:divsChild>
        <w:div w:id="385757440">
          <w:marLeft w:val="0"/>
          <w:marRight w:val="0"/>
          <w:marTop w:val="0"/>
          <w:marBottom w:val="0"/>
          <w:divBdr>
            <w:top w:val="none" w:sz="0" w:space="0" w:color="auto"/>
            <w:left w:val="none" w:sz="0" w:space="0" w:color="auto"/>
            <w:bottom w:val="none" w:sz="0" w:space="0" w:color="auto"/>
            <w:right w:val="none" w:sz="0" w:space="0" w:color="auto"/>
          </w:divBdr>
        </w:div>
      </w:divsChild>
    </w:div>
    <w:div w:id="196634611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1590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Tallat-Kelpsiene@vp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10611</Words>
  <Characters>6049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16627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Jolanta Tallat-Kelpšienė</cp:lastModifiedBy>
  <cp:revision>2</cp:revision>
  <cp:lastPrinted>2019-02-01T10:14:00Z</cp:lastPrinted>
  <dcterms:created xsi:type="dcterms:W3CDTF">2023-07-04T12:01:00Z</dcterms:created>
  <dcterms:modified xsi:type="dcterms:W3CDTF">2023-07-04T12:01:00Z</dcterms:modified>
</cp:coreProperties>
</file>