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59A70" w14:textId="77777777" w:rsidR="00787846" w:rsidRDefault="00787846"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5811E787" w14:textId="77777777" w:rsidR="00002C5B" w:rsidRDefault="00002C5B" w:rsidP="002A07F4">
      <w:pPr>
        <w:spacing w:line="254" w:lineRule="auto"/>
        <w:ind w:right="49"/>
        <w:jc w:val="center"/>
        <w:rPr>
          <w:b/>
          <w:szCs w:val="24"/>
        </w:rPr>
      </w:pPr>
    </w:p>
    <w:p w14:paraId="41EC1503" w14:textId="77777777" w:rsidR="002A07F4" w:rsidRDefault="002A07F4" w:rsidP="00EE6033">
      <w:pPr>
        <w:spacing w:line="254" w:lineRule="auto"/>
        <w:ind w:right="49"/>
        <w:rPr>
          <w:b/>
          <w:szCs w:val="24"/>
        </w:rPr>
      </w:pPr>
    </w:p>
    <w:p w14:paraId="18EEEE4E" w14:textId="77777777" w:rsidR="002A07F4" w:rsidRDefault="002A07F4" w:rsidP="002A07F4">
      <w:pPr>
        <w:rPr>
          <w:sz w:val="14"/>
          <w:szCs w:val="14"/>
        </w:rPr>
      </w:pPr>
    </w:p>
    <w:tbl>
      <w:tblPr>
        <w:tblW w:w="10330" w:type="dxa"/>
        <w:tblInd w:w="18" w:type="dxa"/>
        <w:tblLayout w:type="fixed"/>
        <w:tblLook w:val="04A0" w:firstRow="1" w:lastRow="0" w:firstColumn="1" w:lastColumn="0" w:noHBand="0" w:noVBand="1"/>
      </w:tblPr>
      <w:tblGrid>
        <w:gridCol w:w="5794"/>
        <w:gridCol w:w="425"/>
        <w:gridCol w:w="1418"/>
        <w:gridCol w:w="709"/>
        <w:gridCol w:w="1984"/>
      </w:tblGrid>
      <w:tr w:rsidR="002A07F4" w14:paraId="1E57E292" w14:textId="77777777" w:rsidTr="00D22AB2">
        <w:trPr>
          <w:cantSplit/>
          <w:trHeight w:val="80"/>
        </w:trPr>
        <w:tc>
          <w:tcPr>
            <w:tcW w:w="5794" w:type="dxa"/>
            <w:vMerge w:val="restart"/>
          </w:tcPr>
          <w:p w14:paraId="002FE8F2" w14:textId="77777777" w:rsidR="00DB1DAF" w:rsidRPr="002D1150" w:rsidRDefault="00DB1DAF" w:rsidP="00DB1DAF">
            <w:pPr>
              <w:ind w:left="-108"/>
              <w:rPr>
                <w:szCs w:val="24"/>
              </w:rPr>
            </w:pPr>
            <w:r>
              <w:rPr>
                <w:szCs w:val="24"/>
              </w:rPr>
              <w:t>Lietuvos Respublikos žemės ūkio ministerijai</w:t>
            </w:r>
          </w:p>
          <w:p w14:paraId="49084682" w14:textId="77777777" w:rsidR="00DB1DAF" w:rsidRDefault="00DB1DAF" w:rsidP="00DB1DAF">
            <w:pPr>
              <w:ind w:left="-108"/>
              <w:rPr>
                <w:szCs w:val="24"/>
              </w:rPr>
            </w:pPr>
            <w:r>
              <w:rPr>
                <w:szCs w:val="24"/>
              </w:rPr>
              <w:t>Gedimino pr. 19</w:t>
            </w:r>
          </w:p>
          <w:p w14:paraId="5D85C4B7" w14:textId="77777777" w:rsidR="00DB1DAF" w:rsidRPr="002D1150" w:rsidRDefault="00DB1DAF" w:rsidP="00DB1DAF">
            <w:pPr>
              <w:ind w:left="-108"/>
              <w:rPr>
                <w:szCs w:val="24"/>
              </w:rPr>
            </w:pPr>
            <w:r>
              <w:rPr>
                <w:szCs w:val="24"/>
              </w:rPr>
              <w:t>01103 Vilnius</w:t>
            </w:r>
          </w:p>
          <w:p w14:paraId="6FD88063" w14:textId="77777777" w:rsidR="00DB1DAF" w:rsidRPr="00980BF7" w:rsidRDefault="00DB1DAF" w:rsidP="00DB1DAF">
            <w:pPr>
              <w:ind w:left="-108"/>
              <w:rPr>
                <w:szCs w:val="24"/>
              </w:rPr>
            </w:pPr>
          </w:p>
          <w:p w14:paraId="5FC242FC" w14:textId="77777777" w:rsidR="00DB1DAF" w:rsidRPr="00980BF7" w:rsidRDefault="00DB1DAF" w:rsidP="00DB1DAF">
            <w:pPr>
              <w:ind w:left="-108"/>
              <w:rPr>
                <w:szCs w:val="24"/>
              </w:rPr>
            </w:pPr>
            <w:r w:rsidRPr="00980BF7">
              <w:rPr>
                <w:szCs w:val="24"/>
              </w:rPr>
              <w:t>Faksas</w:t>
            </w:r>
            <w:r>
              <w:rPr>
                <w:szCs w:val="24"/>
              </w:rPr>
              <w:t xml:space="preserve"> (</w:t>
            </w:r>
            <w:r w:rsidRPr="00980BF7">
              <w:rPr>
                <w:rFonts w:cs="Arial"/>
                <w:szCs w:val="24"/>
              </w:rPr>
              <w:t xml:space="preserve">8 </w:t>
            </w:r>
            <w:r>
              <w:rPr>
                <w:rFonts w:cs="Arial"/>
                <w:szCs w:val="24"/>
              </w:rPr>
              <w:t>5) 2391212</w:t>
            </w:r>
          </w:p>
          <w:p w14:paraId="33CBD7C2" w14:textId="3A90A27A" w:rsidR="00087B20" w:rsidRDefault="00DB1DAF" w:rsidP="00DB1DAF">
            <w:pPr>
              <w:shd w:val="clear" w:color="auto" w:fill="FFFFFF"/>
              <w:tabs>
                <w:tab w:val="left" w:pos="900"/>
              </w:tabs>
              <w:ind w:left="-126" w:firstLine="16"/>
              <w:rPr>
                <w:szCs w:val="24"/>
              </w:rPr>
            </w:pPr>
            <w:r w:rsidRPr="00980BF7">
              <w:rPr>
                <w:szCs w:val="24"/>
              </w:rPr>
              <w:t xml:space="preserve">El. p. </w:t>
            </w:r>
            <w:proofErr w:type="spellStart"/>
            <w:r>
              <w:rPr>
                <w:szCs w:val="24"/>
              </w:rPr>
              <w:t>zum</w:t>
            </w:r>
            <w:proofErr w:type="spellEnd"/>
            <w:r w:rsidRPr="00980BF7">
              <w:rPr>
                <w:szCs w:val="24"/>
                <w:lang w:val="en-US"/>
              </w:rPr>
              <w:t>@</w:t>
            </w:r>
            <w:proofErr w:type="spellStart"/>
            <w:r>
              <w:rPr>
                <w:szCs w:val="24"/>
                <w:lang w:val="en-US"/>
              </w:rPr>
              <w:t>zum</w:t>
            </w:r>
            <w:r w:rsidRPr="00980BF7">
              <w:rPr>
                <w:szCs w:val="24"/>
                <w:lang w:val="en-US"/>
              </w:rPr>
              <w:t>.lt</w:t>
            </w:r>
            <w:proofErr w:type="spellEnd"/>
            <w:r w:rsidRPr="00980BF7">
              <w:rPr>
                <w:color w:val="FFFFFF"/>
                <w:szCs w:val="24"/>
              </w:rPr>
              <w:t xml:space="preserve"> 33ksas</w:t>
            </w:r>
          </w:p>
        </w:tc>
        <w:tc>
          <w:tcPr>
            <w:tcW w:w="425" w:type="dxa"/>
          </w:tcPr>
          <w:p w14:paraId="2E21012C" w14:textId="77777777" w:rsidR="002A07F4" w:rsidRDefault="002A07F4">
            <w:pPr>
              <w:tabs>
                <w:tab w:val="left" w:pos="900"/>
              </w:tabs>
              <w:ind w:right="49"/>
              <w:jc w:val="center"/>
              <w:rPr>
                <w:szCs w:val="24"/>
              </w:rPr>
            </w:pPr>
          </w:p>
        </w:tc>
        <w:tc>
          <w:tcPr>
            <w:tcW w:w="1418" w:type="dxa"/>
            <w:vAlign w:val="center"/>
            <w:hideMark/>
          </w:tcPr>
          <w:p w14:paraId="4336CAB4" w14:textId="1A90A34D" w:rsidR="002A07F4" w:rsidRDefault="002A07F4" w:rsidP="00DB1DAF">
            <w:pPr>
              <w:ind w:left="-108"/>
              <w:jc w:val="both"/>
              <w:rPr>
                <w:szCs w:val="24"/>
              </w:rPr>
            </w:pPr>
            <w:r>
              <w:rPr>
                <w:szCs w:val="24"/>
              </w:rPr>
              <w:t>2019-0</w:t>
            </w:r>
            <w:r w:rsidR="00DB1DAF">
              <w:rPr>
                <w:szCs w:val="24"/>
              </w:rPr>
              <w:t>7-</w:t>
            </w:r>
            <w:r w:rsidR="00F06BFC">
              <w:rPr>
                <w:szCs w:val="24"/>
              </w:rPr>
              <w:t>22</w:t>
            </w:r>
          </w:p>
        </w:tc>
        <w:tc>
          <w:tcPr>
            <w:tcW w:w="709" w:type="dxa"/>
            <w:hideMark/>
          </w:tcPr>
          <w:p w14:paraId="280B2D70" w14:textId="77777777" w:rsidR="002A07F4" w:rsidRDefault="002A07F4">
            <w:pPr>
              <w:tabs>
                <w:tab w:val="left" w:pos="900"/>
              </w:tabs>
              <w:ind w:right="49"/>
              <w:rPr>
                <w:szCs w:val="24"/>
              </w:rPr>
            </w:pPr>
            <w:r>
              <w:rPr>
                <w:szCs w:val="24"/>
              </w:rPr>
              <w:t>Nr.</w:t>
            </w:r>
          </w:p>
        </w:tc>
        <w:tc>
          <w:tcPr>
            <w:tcW w:w="1984" w:type="dxa"/>
          </w:tcPr>
          <w:p w14:paraId="4FDAF78E" w14:textId="39D58AA1" w:rsidR="009456F5" w:rsidRDefault="00981FC1" w:rsidP="005A34DD">
            <w:pPr>
              <w:ind w:left="354" w:right="49" w:hanging="1171"/>
              <w:rPr>
                <w:szCs w:val="24"/>
              </w:rPr>
            </w:pPr>
            <w:r>
              <w:rPr>
                <w:szCs w:val="24"/>
              </w:rPr>
              <w:t>4S</w:t>
            </w:r>
            <w:r w:rsidR="00F06BFC">
              <w:rPr>
                <w:szCs w:val="24"/>
              </w:rPr>
              <w:t xml:space="preserve">  </w:t>
            </w:r>
            <w:r>
              <w:rPr>
                <w:szCs w:val="24"/>
              </w:rPr>
              <w:t>-</w:t>
            </w:r>
          </w:p>
        </w:tc>
      </w:tr>
      <w:tr w:rsidR="002A07F4" w14:paraId="2F537F57" w14:textId="77777777" w:rsidTr="00D22AB2">
        <w:trPr>
          <w:cantSplit/>
          <w:trHeight w:val="380"/>
        </w:trPr>
        <w:tc>
          <w:tcPr>
            <w:tcW w:w="5794" w:type="dxa"/>
            <w:vMerge/>
            <w:vAlign w:val="center"/>
            <w:hideMark/>
          </w:tcPr>
          <w:p w14:paraId="2C9BC8AB" w14:textId="77777777" w:rsidR="002A07F4" w:rsidRDefault="002A07F4">
            <w:pPr>
              <w:rPr>
                <w:szCs w:val="24"/>
              </w:rPr>
            </w:pPr>
          </w:p>
        </w:tc>
        <w:tc>
          <w:tcPr>
            <w:tcW w:w="425" w:type="dxa"/>
          </w:tcPr>
          <w:p w14:paraId="6F6E027D" w14:textId="77777777" w:rsidR="002A07F4" w:rsidRDefault="002A07F4">
            <w:pPr>
              <w:tabs>
                <w:tab w:val="left" w:pos="900"/>
              </w:tabs>
              <w:ind w:right="49"/>
              <w:jc w:val="right"/>
              <w:rPr>
                <w:szCs w:val="24"/>
              </w:rPr>
            </w:pPr>
            <w:r>
              <w:rPr>
                <w:szCs w:val="24"/>
              </w:rPr>
              <w:t xml:space="preserve">Į </w:t>
            </w:r>
          </w:p>
        </w:tc>
        <w:tc>
          <w:tcPr>
            <w:tcW w:w="1418" w:type="dxa"/>
          </w:tcPr>
          <w:p w14:paraId="671EBFC6" w14:textId="4699EB98" w:rsidR="002A07F4" w:rsidRDefault="002A07F4" w:rsidP="009456F5">
            <w:pPr>
              <w:tabs>
                <w:tab w:val="left" w:pos="900"/>
              </w:tabs>
              <w:ind w:left="-105" w:right="49"/>
              <w:rPr>
                <w:szCs w:val="24"/>
              </w:rPr>
            </w:pPr>
            <w:r w:rsidRPr="00F35058">
              <w:rPr>
                <w:szCs w:val="24"/>
              </w:rPr>
              <w:t>201</w:t>
            </w:r>
            <w:r>
              <w:rPr>
                <w:szCs w:val="24"/>
              </w:rPr>
              <w:t>9-0</w:t>
            </w:r>
            <w:r w:rsidR="00DB1DAF">
              <w:rPr>
                <w:szCs w:val="24"/>
              </w:rPr>
              <w:t>7-</w:t>
            </w:r>
            <w:r w:rsidR="005A34DD">
              <w:rPr>
                <w:szCs w:val="24"/>
              </w:rPr>
              <w:t>05</w:t>
            </w:r>
          </w:p>
          <w:p w14:paraId="6A62625B" w14:textId="62533964" w:rsidR="009456F5" w:rsidRDefault="009456F5" w:rsidP="009456F5">
            <w:pPr>
              <w:tabs>
                <w:tab w:val="left" w:pos="900"/>
              </w:tabs>
              <w:ind w:left="-105" w:right="49"/>
              <w:rPr>
                <w:szCs w:val="24"/>
              </w:rPr>
            </w:pPr>
          </w:p>
        </w:tc>
        <w:tc>
          <w:tcPr>
            <w:tcW w:w="709" w:type="dxa"/>
          </w:tcPr>
          <w:p w14:paraId="5B641B18" w14:textId="77777777" w:rsidR="002A07F4" w:rsidRDefault="002A07F4">
            <w:pPr>
              <w:tabs>
                <w:tab w:val="left" w:pos="900"/>
              </w:tabs>
              <w:ind w:right="49"/>
              <w:rPr>
                <w:szCs w:val="24"/>
              </w:rPr>
            </w:pPr>
            <w:r>
              <w:rPr>
                <w:szCs w:val="24"/>
              </w:rPr>
              <w:t>Nr.</w:t>
            </w:r>
          </w:p>
        </w:tc>
        <w:tc>
          <w:tcPr>
            <w:tcW w:w="1984" w:type="dxa"/>
          </w:tcPr>
          <w:p w14:paraId="0E18B317" w14:textId="77777777" w:rsidR="00F06BFC" w:rsidRDefault="00F06BFC" w:rsidP="00F06BFC">
            <w:pPr>
              <w:tabs>
                <w:tab w:val="left" w:pos="900"/>
              </w:tabs>
              <w:ind w:right="-250"/>
              <w:rPr>
                <w:szCs w:val="24"/>
              </w:rPr>
            </w:pPr>
            <w:bookmarkStart w:id="0" w:name="_GoBack"/>
            <w:bookmarkEnd w:id="0"/>
            <w:r>
              <w:rPr>
                <w:szCs w:val="24"/>
              </w:rPr>
              <w:t>2D-2201(21.7E</w:t>
            </w:r>
          </w:p>
          <w:p w14:paraId="649B25C9" w14:textId="77777777" w:rsidR="00F06BFC" w:rsidRDefault="00F06BFC" w:rsidP="00F06BFC">
            <w:pPr>
              <w:tabs>
                <w:tab w:val="left" w:pos="900"/>
              </w:tabs>
              <w:ind w:right="-250"/>
              <w:rPr>
                <w:szCs w:val="24"/>
              </w:rPr>
            </w:pPr>
          </w:p>
          <w:p w14:paraId="2F058535" w14:textId="77777777" w:rsidR="00F06BFC" w:rsidRDefault="00F06BFC" w:rsidP="00F06BFC">
            <w:pPr>
              <w:tabs>
                <w:tab w:val="left" w:pos="900"/>
              </w:tabs>
              <w:ind w:right="-250"/>
              <w:rPr>
                <w:szCs w:val="24"/>
              </w:rPr>
            </w:pPr>
          </w:p>
          <w:p w14:paraId="2A703FFC" w14:textId="38E493C7" w:rsidR="00F06BFC" w:rsidRDefault="00F06BFC" w:rsidP="00F06BFC">
            <w:pPr>
              <w:tabs>
                <w:tab w:val="left" w:pos="900"/>
              </w:tabs>
              <w:ind w:right="-250"/>
              <w:rPr>
                <w:szCs w:val="24"/>
              </w:rPr>
            </w:pPr>
          </w:p>
        </w:tc>
      </w:tr>
    </w:tbl>
    <w:p w14:paraId="3148E973" w14:textId="734BAACE" w:rsidR="002A07F4" w:rsidRDefault="002A07F4" w:rsidP="002A07F4">
      <w:pPr>
        <w:spacing w:line="360" w:lineRule="auto"/>
        <w:ind w:right="49"/>
        <w:jc w:val="center"/>
        <w:rPr>
          <w:color w:val="000000"/>
          <w:szCs w:val="24"/>
          <w:lang w:eastAsia="lt-LT"/>
        </w:rPr>
      </w:pPr>
    </w:p>
    <w:p w14:paraId="5530A722" w14:textId="77777777" w:rsidR="002A07F4" w:rsidRDefault="002A07F4" w:rsidP="002A07F4">
      <w:pPr>
        <w:spacing w:line="360" w:lineRule="auto"/>
        <w:ind w:right="49"/>
        <w:jc w:val="center"/>
        <w:rPr>
          <w:b/>
          <w:color w:val="000000"/>
          <w:szCs w:val="24"/>
          <w:lang w:eastAsia="lt-LT"/>
        </w:rPr>
      </w:pPr>
      <w:r>
        <w:rPr>
          <w:b/>
          <w:color w:val="000000"/>
          <w:szCs w:val="24"/>
          <w:lang w:eastAsia="lt-LT"/>
        </w:rPr>
        <w:t>VERTINIMO IŠVADA</w:t>
      </w:r>
    </w:p>
    <w:p w14:paraId="0D5B3723" w14:textId="77777777" w:rsidR="00DB1DAF" w:rsidRDefault="00DB1DAF" w:rsidP="002A07F4">
      <w:pPr>
        <w:ind w:firstLine="851"/>
        <w:jc w:val="both"/>
        <w:rPr>
          <w:bCs/>
          <w:szCs w:val="24"/>
        </w:rPr>
      </w:pPr>
    </w:p>
    <w:p w14:paraId="053C2D5C" w14:textId="5A9A6E90" w:rsidR="002A07F4" w:rsidRPr="00F35058" w:rsidRDefault="002A07F4" w:rsidP="002A07F4">
      <w:pPr>
        <w:ind w:firstLine="851"/>
        <w:jc w:val="both"/>
        <w:rPr>
          <w:szCs w:val="24"/>
        </w:rPr>
      </w:pPr>
      <w:r w:rsidRPr="00F35058">
        <w:rPr>
          <w:bCs/>
          <w:szCs w:val="24"/>
        </w:rPr>
        <w:t>Viešųjų pirkimų tarnyba (toliau – Tarnyba), vadovaudamasi</w:t>
      </w:r>
      <w:r w:rsidRPr="00D47DCF">
        <w:rPr>
          <w:bCs/>
          <w:szCs w:val="24"/>
        </w:rPr>
        <w:t xml:space="preserve"> </w:t>
      </w:r>
      <w:r w:rsidRPr="00F35058">
        <w:rPr>
          <w:bCs/>
          <w:szCs w:val="24"/>
        </w:rPr>
        <w:t xml:space="preserve">Lietuvos Respublikos </w:t>
      </w:r>
      <w:r w:rsidR="00DB32B8">
        <w:rPr>
          <w:bCs/>
          <w:szCs w:val="24"/>
        </w:rPr>
        <w:t xml:space="preserve">viešųjų </w:t>
      </w:r>
      <w:r w:rsidRPr="00F35058">
        <w:rPr>
          <w:bCs/>
          <w:szCs w:val="24"/>
        </w:rPr>
        <w:t>pirkimų</w:t>
      </w:r>
      <w:r>
        <w:rPr>
          <w:bCs/>
          <w:szCs w:val="24"/>
        </w:rPr>
        <w:t xml:space="preserve"> </w:t>
      </w:r>
      <w:r w:rsidRPr="00F35058">
        <w:rPr>
          <w:bCs/>
          <w:szCs w:val="24"/>
        </w:rPr>
        <w:t>įstatym</w:t>
      </w:r>
      <w:r w:rsidR="000D6E31">
        <w:rPr>
          <w:bCs/>
          <w:szCs w:val="24"/>
        </w:rPr>
        <w:t xml:space="preserve">o </w:t>
      </w:r>
      <w:r w:rsidR="003C43BD">
        <w:rPr>
          <w:bCs/>
          <w:szCs w:val="24"/>
        </w:rPr>
        <w:t>9</w:t>
      </w:r>
      <w:r w:rsidR="003C43BD" w:rsidRPr="008D6FEE">
        <w:rPr>
          <w:bCs/>
          <w:szCs w:val="24"/>
        </w:rPr>
        <w:t>5 straipsnio 1 dalies 2 punktu</w:t>
      </w:r>
      <w:r w:rsidRPr="00F35058">
        <w:rPr>
          <w:bCs/>
          <w:szCs w:val="24"/>
        </w:rPr>
        <w:t xml:space="preserve">, atliko </w:t>
      </w:r>
      <w:r w:rsidR="005677A9">
        <w:rPr>
          <w:bCs/>
          <w:szCs w:val="24"/>
        </w:rPr>
        <w:t xml:space="preserve">Lietuvos Respublikos </w:t>
      </w:r>
      <w:r w:rsidR="00DB1DAF">
        <w:rPr>
          <w:szCs w:val="24"/>
        </w:rPr>
        <w:t xml:space="preserve">žemės ūkio ministerijos (toliau – Perkančioji organizacija) </w:t>
      </w:r>
      <w:r w:rsidRPr="00F35058">
        <w:rPr>
          <w:szCs w:val="24"/>
        </w:rPr>
        <w:t>vykd</w:t>
      </w:r>
      <w:r w:rsidR="00FC334E">
        <w:rPr>
          <w:szCs w:val="24"/>
        </w:rPr>
        <w:t>omo</w:t>
      </w:r>
      <w:r w:rsidRPr="00F35058">
        <w:rPr>
          <w:szCs w:val="24"/>
        </w:rPr>
        <w:t xml:space="preserve"> pirkimo vertinimą</w:t>
      </w:r>
      <w:r w:rsidRPr="00F35058">
        <w:rPr>
          <w:bCs/>
          <w:szCs w:val="24"/>
        </w:rPr>
        <w:t>.</w:t>
      </w:r>
    </w:p>
    <w:p w14:paraId="70A4DBF7" w14:textId="77777777" w:rsidR="002A07F4" w:rsidRDefault="002A07F4" w:rsidP="002A07F4">
      <w:pPr>
        <w:rPr>
          <w:sz w:val="14"/>
          <w:szCs w:val="14"/>
        </w:rPr>
      </w:pPr>
    </w:p>
    <w:p w14:paraId="7F977FBF" w14:textId="77777777" w:rsidR="002A07F4" w:rsidRDefault="002A07F4" w:rsidP="002A07F4">
      <w:pPr>
        <w:spacing w:line="254" w:lineRule="auto"/>
        <w:ind w:right="49"/>
        <w:jc w:val="center"/>
        <w:rPr>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77777777"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FE3E833" w14:textId="6D87C9F2" w:rsidR="002A07F4" w:rsidRPr="00FC334E" w:rsidRDefault="00DB1DAF" w:rsidP="001C5F99">
            <w:pPr>
              <w:spacing w:line="254" w:lineRule="auto"/>
              <w:jc w:val="both"/>
              <w:rPr>
                <w:szCs w:val="24"/>
              </w:rPr>
            </w:pPr>
            <w:r w:rsidRPr="002307A6">
              <w:rPr>
                <w:szCs w:val="24"/>
              </w:rPr>
              <w:t>„</w:t>
            </w:r>
            <w:r>
              <w:rPr>
                <w:szCs w:val="24"/>
              </w:rPr>
              <w:t>Televizijos laidų ciklo sukūrimo ir transliavimo paslaugos“ (2019-05-17</w:t>
            </w:r>
            <w:r w:rsidRPr="002307A6">
              <w:rPr>
                <w:szCs w:val="24"/>
              </w:rPr>
              <w:t xml:space="preserve"> </w:t>
            </w:r>
            <w:r>
              <w:rPr>
                <w:szCs w:val="24"/>
              </w:rPr>
              <w:t xml:space="preserve">skelbtas </w:t>
            </w:r>
            <w:r w:rsidRPr="002307A6">
              <w:rPr>
                <w:szCs w:val="24"/>
              </w:rPr>
              <w:t>Centrinėje viešųjų pirkimų</w:t>
            </w:r>
            <w:r>
              <w:rPr>
                <w:szCs w:val="24"/>
              </w:rPr>
              <w:t xml:space="preserve"> informacinėje</w:t>
            </w:r>
            <w:r w:rsidRPr="002307A6">
              <w:rPr>
                <w:szCs w:val="24"/>
              </w:rPr>
              <w:t xml:space="preserve"> sistemoje (toliau – CPV IS), pirkimo Nr. </w:t>
            </w:r>
            <w:r>
              <w:rPr>
                <w:szCs w:val="24"/>
              </w:rPr>
              <w:t xml:space="preserve">435441) </w:t>
            </w:r>
            <w:r w:rsidR="005677A9">
              <w:rPr>
                <w:szCs w:val="24"/>
              </w:rPr>
              <w:t>(t</w:t>
            </w:r>
            <w:r w:rsidR="005677A9" w:rsidRPr="002307A6">
              <w:rPr>
                <w:szCs w:val="24"/>
              </w:rPr>
              <w:t>oliau –</w:t>
            </w:r>
            <w:r w:rsidR="005677A9">
              <w:rPr>
                <w:szCs w:val="24"/>
              </w:rPr>
              <w:t xml:space="preserve"> Pirkimas)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77777777" w:rsidR="002A07F4" w:rsidRPr="002A07F4" w:rsidRDefault="002A07F4">
            <w:pPr>
              <w:jc w:val="both"/>
              <w:rPr>
                <w:szCs w:val="24"/>
              </w:rPr>
            </w:pPr>
            <w:r w:rsidRPr="002A07F4">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3F073E6A" w14:textId="090055D7" w:rsidR="002A07F4" w:rsidRPr="002A07F4" w:rsidRDefault="002A07F4" w:rsidP="001C5F99">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s (redakcija nuo 201</w:t>
            </w:r>
            <w:r w:rsidR="005677A9">
              <w:rPr>
                <w:bCs/>
                <w:szCs w:val="24"/>
              </w:rPr>
              <w:t>9</w:t>
            </w:r>
            <w:r w:rsidR="003C43BD">
              <w:rPr>
                <w:bCs/>
                <w:szCs w:val="24"/>
              </w:rPr>
              <w:t>-01-01</w:t>
            </w:r>
            <w:r w:rsidRPr="00F35058">
              <w:rPr>
                <w:bCs/>
                <w:szCs w:val="24"/>
              </w:rPr>
              <w:t xml:space="preserve">) (toliau – </w:t>
            </w:r>
            <w:r w:rsidR="003C43BD" w:rsidRPr="00F35058">
              <w:rPr>
                <w:bCs/>
                <w:szCs w:val="24"/>
              </w:rPr>
              <w:t>Įstatymas</w:t>
            </w:r>
            <w:r w:rsidRPr="00F35058">
              <w:rPr>
                <w:bCs/>
                <w:szCs w:val="24"/>
              </w:rPr>
              <w:t>)</w:t>
            </w:r>
            <w:r>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36EC488B" w:rsidR="002A07F4" w:rsidRPr="00F35058" w:rsidRDefault="005677A9" w:rsidP="001C5F99">
            <w:pPr>
              <w:spacing w:before="60" w:after="60"/>
              <w:jc w:val="both"/>
              <w:rPr>
                <w:szCs w:val="24"/>
              </w:rPr>
            </w:pPr>
            <w:r w:rsidRPr="00F35058">
              <w:rPr>
                <w:szCs w:val="24"/>
              </w:rPr>
              <w:t xml:space="preserve">Atviras </w:t>
            </w:r>
            <w:r w:rsidR="002A07F4" w:rsidRPr="00F35058">
              <w:rPr>
                <w:szCs w:val="24"/>
              </w:rPr>
              <w:t>konkursas</w:t>
            </w:r>
            <w:r w:rsidR="002A07F4">
              <w:rPr>
                <w:szCs w:val="24"/>
              </w:rPr>
              <w:t>.</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77777777" w:rsidR="002A07F4" w:rsidRPr="002A07F4" w:rsidRDefault="002A07F4" w:rsidP="002A07F4">
            <w:pPr>
              <w:jc w:val="both"/>
              <w:rPr>
                <w:rFonts w:eastAsia="Calibri"/>
              </w:rPr>
            </w:pPr>
            <w:r w:rsidRPr="002A07F4">
              <w:rPr>
                <w:rFonts w:eastAsia="Calibri"/>
              </w:rPr>
              <w:t xml:space="preserve">Planuojama (nenurodoma, jeigu pirkimas vertinamas iki vokų su pasiūlymais atplėšimo procedūros), faktinė pirkimo/sutarties vertė </w:t>
            </w:r>
            <w:proofErr w:type="spellStart"/>
            <w:r w:rsidRPr="002A07F4">
              <w:rPr>
                <w:rFonts w:eastAsia="Calibri"/>
              </w:rPr>
              <w:t>Eur</w:t>
            </w:r>
            <w:proofErr w:type="spellEnd"/>
            <w:r w:rsidRPr="002A07F4">
              <w:rPr>
                <w:rFonts w:eastAsia="Calibri"/>
              </w:rPr>
              <w:t xml:space="preserve"> be PVM</w:t>
            </w:r>
          </w:p>
        </w:tc>
        <w:tc>
          <w:tcPr>
            <w:tcW w:w="5104" w:type="dxa"/>
            <w:tcBorders>
              <w:top w:val="single" w:sz="4" w:space="0" w:color="auto"/>
              <w:left w:val="single" w:sz="4" w:space="0" w:color="auto"/>
              <w:bottom w:val="single" w:sz="4" w:space="0" w:color="auto"/>
              <w:right w:val="single" w:sz="4" w:space="0" w:color="auto"/>
            </w:tcBorders>
          </w:tcPr>
          <w:p w14:paraId="3E98F64B" w14:textId="6E296C3F" w:rsidR="003C43BD" w:rsidRPr="002A07F4" w:rsidRDefault="00B31434" w:rsidP="001C5F99">
            <w:pPr>
              <w:spacing w:line="254" w:lineRule="auto"/>
              <w:jc w:val="both"/>
              <w:rPr>
                <w:szCs w:val="24"/>
              </w:rPr>
            </w:pPr>
            <w:r>
              <w:rPr>
                <w:szCs w:val="24"/>
              </w:rPr>
              <w:t>-</w:t>
            </w: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2AFACCC5" w:rsidR="002A07F4" w:rsidRPr="002A07F4" w:rsidRDefault="002A07F4" w:rsidP="002A07F4">
            <w:pPr>
              <w:jc w:val="both"/>
              <w:rPr>
                <w:szCs w:val="24"/>
              </w:rPr>
            </w:pPr>
            <w:r w:rsidRPr="002A07F4">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tcPr>
          <w:p w14:paraId="605DFF03" w14:textId="77777777" w:rsidR="002A07F4" w:rsidRPr="002A07F4" w:rsidRDefault="002A07F4" w:rsidP="002A07F4">
            <w:pPr>
              <w:spacing w:line="254" w:lineRule="auto"/>
              <w:jc w:val="both"/>
              <w:rPr>
                <w:szCs w:val="24"/>
              </w:rPr>
            </w:pPr>
            <w:r>
              <w:rPr>
                <w:szCs w:val="24"/>
              </w:rPr>
              <w:t>-</w:t>
            </w: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0D7D3D16" w14:textId="5395A4E3" w:rsidR="002A07F4" w:rsidRPr="002A07F4" w:rsidRDefault="008E36E2" w:rsidP="001C5F99">
            <w:pPr>
              <w:spacing w:line="254" w:lineRule="auto"/>
              <w:jc w:val="both"/>
              <w:rPr>
                <w:szCs w:val="24"/>
              </w:rPr>
            </w:pPr>
            <w:r>
              <w:rPr>
                <w:szCs w:val="24"/>
              </w:rPr>
              <w:t>Išsamus</w:t>
            </w:r>
            <w:r w:rsidR="002A07F4" w:rsidRPr="00F35058">
              <w:rPr>
                <w:szCs w:val="24"/>
              </w:rPr>
              <w:t xml:space="preserve"> vertinimas </w:t>
            </w:r>
            <w:r w:rsidR="0025094E">
              <w:rPr>
                <w:szCs w:val="24"/>
              </w:rPr>
              <w:t>/</w:t>
            </w:r>
            <w:r w:rsidR="002A07F4" w:rsidRPr="00F35058">
              <w:rPr>
                <w:szCs w:val="24"/>
              </w:rPr>
              <w:t xml:space="preserve"> Pirkimo vertinimas </w:t>
            </w:r>
            <w:r w:rsidR="00DB1DAF">
              <w:rPr>
                <w:szCs w:val="24"/>
              </w:rPr>
              <w:t>iki</w:t>
            </w:r>
            <w:r w:rsidR="002A07F4" w:rsidRPr="00F35058">
              <w:rPr>
                <w:szCs w:val="24"/>
              </w:rPr>
              <w:t xml:space="preserve"> vokų</w:t>
            </w:r>
            <w:r w:rsidR="00746921">
              <w:rPr>
                <w:szCs w:val="24"/>
              </w:rPr>
              <w:t xml:space="preserve"> su</w:t>
            </w:r>
            <w:r w:rsidR="00654CC2">
              <w:rPr>
                <w:szCs w:val="24"/>
              </w:rPr>
              <w:t xml:space="preserve"> pasiūlymais, kuriuose yra techniniai</w:t>
            </w:r>
            <w:r w:rsidR="00746921">
              <w:rPr>
                <w:szCs w:val="24"/>
              </w:rPr>
              <w:t xml:space="preserve"> duomen</w:t>
            </w:r>
            <w:r w:rsidR="00654CC2">
              <w:rPr>
                <w:szCs w:val="24"/>
              </w:rPr>
              <w:t>ys,</w:t>
            </w:r>
            <w:r w:rsidR="00DB1DAF">
              <w:rPr>
                <w:szCs w:val="24"/>
              </w:rPr>
              <w:t xml:space="preserve"> atplėšimo</w:t>
            </w:r>
            <w:r w:rsidR="00654CC2">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095EA9A3" w14:textId="42905BFE" w:rsidR="00EC341A" w:rsidRPr="002A07F4" w:rsidRDefault="001C5F99" w:rsidP="005A34DD">
            <w:pPr>
              <w:tabs>
                <w:tab w:val="left" w:pos="900"/>
              </w:tabs>
              <w:ind w:left="35" w:right="49"/>
              <w:jc w:val="both"/>
              <w:rPr>
                <w:szCs w:val="24"/>
              </w:rPr>
            </w:pPr>
            <w:r>
              <w:rPr>
                <w:szCs w:val="24"/>
              </w:rPr>
              <w:t>Lietuvos kaimo plėtros 2014-2020 m. programos priemonės „Techninė pagalba“ antrosios veiklos sritis „Programos informavimas ir viešinimas“. Programos „Žemės ūkio, maisto ūkio ir kaimo plėtros skatinimas“ priemonė „Informacijos apie žemės ir maisto ūkio, žuvininkystės politiką ir kitas aktualijas sklaida“.</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4DBE1D05" w14:textId="77777777" w:rsidR="001419D9" w:rsidRDefault="001419D9" w:rsidP="001419D9">
            <w:pPr>
              <w:jc w:val="both"/>
              <w:rPr>
                <w:rFonts w:eastAsia="Calibri"/>
                <w:i/>
              </w:rPr>
            </w:pPr>
            <w:r w:rsidRPr="001419D9">
              <w:rPr>
                <w:rFonts w:eastAsia="Calibri"/>
                <w:i/>
              </w:rPr>
              <w:lastRenderedPageBreak/>
              <w:t>Jei dėl pirkimo/sutarties vyksta teismo procesas, nurodyti ieškinio (skundo) dalykus, bylos šalių pavadinimus, ar taikomos laikinosios apsaugos priemonės, teisminio nagrinėjimo stadija, pvz., apygardos, apeliacinis teismas.</w:t>
            </w:r>
          </w:p>
          <w:p w14:paraId="116C14CC" w14:textId="77777777" w:rsidR="001419D9" w:rsidRPr="001419D9" w:rsidRDefault="001419D9" w:rsidP="001419D9">
            <w:pPr>
              <w:jc w:val="both"/>
              <w:rPr>
                <w:rFonts w:eastAsia="Calibri"/>
                <w:i/>
              </w:rPr>
            </w:pPr>
            <w:r>
              <w:rPr>
                <w:rFonts w:eastAsia="Calibri"/>
                <w:i/>
              </w:rPr>
              <w:t>_</w:t>
            </w:r>
          </w:p>
          <w:p w14:paraId="7A6690A0" w14:textId="77777777" w:rsidR="002A07F4" w:rsidRPr="003454A0" w:rsidRDefault="002A07F4" w:rsidP="002A07F4">
            <w:pPr>
              <w:jc w:val="both"/>
              <w:rPr>
                <w:szCs w:val="24"/>
              </w:rPr>
            </w:pPr>
          </w:p>
        </w:tc>
      </w:tr>
    </w:tbl>
    <w:p w14:paraId="36AF335F" w14:textId="77777777" w:rsidR="002A07F4" w:rsidRPr="002A07F4" w:rsidRDefault="002A07F4"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CC1530">
        <w:tc>
          <w:tcPr>
            <w:tcW w:w="1333" w:type="dxa"/>
            <w:tcBorders>
              <w:top w:val="single" w:sz="4" w:space="0" w:color="auto"/>
              <w:left w:val="single" w:sz="4" w:space="0" w:color="auto"/>
              <w:bottom w:val="single" w:sz="4" w:space="0" w:color="auto"/>
              <w:right w:val="single" w:sz="4" w:space="0" w:color="auto"/>
            </w:tcBorders>
            <w:hideMark/>
          </w:tcPr>
          <w:p w14:paraId="2AD40E27" w14:textId="77777777" w:rsidR="00607032" w:rsidRPr="002A07F4" w:rsidRDefault="00607032" w:rsidP="00CC1530">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hideMark/>
          </w:tcPr>
          <w:p w14:paraId="57D6A95F" w14:textId="3B498ACE" w:rsidR="00012B6C" w:rsidRPr="00B942CE" w:rsidRDefault="00B942CE" w:rsidP="00F36C44">
            <w:pPr>
              <w:jc w:val="both"/>
              <w:rPr>
                <w:szCs w:val="24"/>
              </w:rPr>
            </w:pPr>
            <w:r>
              <w:rPr>
                <w:szCs w:val="24"/>
              </w:rPr>
              <w:t>Įstatymo 47 straipsnio 1 dalis</w:t>
            </w:r>
            <w:r>
              <w:rPr>
                <w:rStyle w:val="Puslapioinaosnuoroda"/>
                <w:szCs w:val="24"/>
              </w:rPr>
              <w:footnoteReference w:id="1"/>
            </w:r>
            <w:r w:rsidR="00013728">
              <w:rPr>
                <w:szCs w:val="24"/>
              </w:rPr>
              <w:t>.</w:t>
            </w:r>
          </w:p>
        </w:tc>
      </w:tr>
      <w:tr w:rsidR="00245BA6" w:rsidRPr="00245BA6" w14:paraId="05790260" w14:textId="77777777" w:rsidTr="00CC1530">
        <w:tc>
          <w:tcPr>
            <w:tcW w:w="9776" w:type="dxa"/>
            <w:gridSpan w:val="2"/>
            <w:tcBorders>
              <w:top w:val="single" w:sz="4" w:space="0" w:color="auto"/>
              <w:left w:val="single" w:sz="4" w:space="0" w:color="auto"/>
              <w:bottom w:val="single" w:sz="4" w:space="0" w:color="auto"/>
              <w:right w:val="single" w:sz="4" w:space="0" w:color="auto"/>
            </w:tcBorders>
            <w:hideMark/>
          </w:tcPr>
          <w:p w14:paraId="05287EFB" w14:textId="793F9667" w:rsidR="00607032" w:rsidRPr="00A36AC1" w:rsidRDefault="00607032" w:rsidP="00607032">
            <w:pPr>
              <w:ind w:firstLine="880"/>
              <w:jc w:val="both"/>
              <w:rPr>
                <w:szCs w:val="24"/>
              </w:rPr>
            </w:pPr>
            <w:r w:rsidRPr="00A36AC1">
              <w:rPr>
                <w:szCs w:val="24"/>
              </w:rPr>
              <w:t xml:space="preserve">Pirkimo sąlygos, patvirtintos Perkančiosios organizacijos </w:t>
            </w:r>
            <w:r w:rsidR="00B31434">
              <w:rPr>
                <w:szCs w:val="24"/>
              </w:rPr>
              <w:t>vadovo</w:t>
            </w:r>
            <w:r w:rsidR="00B31434" w:rsidRPr="00A36AC1">
              <w:rPr>
                <w:szCs w:val="24"/>
              </w:rPr>
              <w:t xml:space="preserve"> </w:t>
            </w:r>
            <w:r w:rsidRPr="00746480">
              <w:rPr>
                <w:szCs w:val="24"/>
              </w:rPr>
              <w:t>201</w:t>
            </w:r>
            <w:r w:rsidR="00AB3AD0" w:rsidRPr="00746480">
              <w:rPr>
                <w:szCs w:val="24"/>
              </w:rPr>
              <w:t>9-0</w:t>
            </w:r>
            <w:r w:rsidR="00746480" w:rsidRPr="00746480">
              <w:rPr>
                <w:szCs w:val="24"/>
              </w:rPr>
              <w:t>5-30</w:t>
            </w:r>
            <w:r w:rsidRPr="00746480">
              <w:rPr>
                <w:szCs w:val="24"/>
              </w:rPr>
              <w:t xml:space="preserve"> įsakymu Nr. </w:t>
            </w:r>
            <w:r w:rsidR="00746480" w:rsidRPr="00746480">
              <w:rPr>
                <w:szCs w:val="24"/>
              </w:rPr>
              <w:t>3D-338</w:t>
            </w:r>
            <w:r w:rsidR="00815E25" w:rsidRPr="00746480">
              <w:rPr>
                <w:szCs w:val="24"/>
              </w:rPr>
              <w:t xml:space="preserve"> sudarytos Viešojo pirkimo komisijos (toliau – Komisija) 2</w:t>
            </w:r>
            <w:r w:rsidR="00815E25" w:rsidRPr="00A36AC1">
              <w:rPr>
                <w:szCs w:val="24"/>
              </w:rPr>
              <w:t>019-0</w:t>
            </w:r>
            <w:r w:rsidR="00A36AC1" w:rsidRPr="00A36AC1">
              <w:rPr>
                <w:szCs w:val="24"/>
              </w:rPr>
              <w:t>5-14</w:t>
            </w:r>
            <w:r w:rsidR="00815E25" w:rsidRPr="00A36AC1">
              <w:rPr>
                <w:szCs w:val="24"/>
              </w:rPr>
              <w:t xml:space="preserve"> posėd</w:t>
            </w:r>
            <w:r w:rsidR="00A36AC1" w:rsidRPr="00A36AC1">
              <w:rPr>
                <w:szCs w:val="24"/>
              </w:rPr>
              <w:t>yje</w:t>
            </w:r>
            <w:r w:rsidR="00815E25" w:rsidRPr="00A36AC1">
              <w:rPr>
                <w:szCs w:val="24"/>
              </w:rPr>
              <w:t xml:space="preserve"> </w:t>
            </w:r>
            <w:r w:rsidR="00A36AC1" w:rsidRPr="00A36AC1">
              <w:rPr>
                <w:szCs w:val="24"/>
              </w:rPr>
              <w:t>(</w:t>
            </w:r>
            <w:r w:rsidR="00815E25" w:rsidRPr="00A36AC1">
              <w:rPr>
                <w:szCs w:val="24"/>
              </w:rPr>
              <w:t>protokol</w:t>
            </w:r>
            <w:r w:rsidR="00A36AC1" w:rsidRPr="00A36AC1">
              <w:rPr>
                <w:szCs w:val="24"/>
              </w:rPr>
              <w:t>as</w:t>
            </w:r>
            <w:r w:rsidR="00815E25" w:rsidRPr="00A36AC1">
              <w:rPr>
                <w:szCs w:val="24"/>
              </w:rPr>
              <w:t xml:space="preserve"> Nr. </w:t>
            </w:r>
            <w:r w:rsidR="00A36AC1" w:rsidRPr="00A36AC1">
              <w:rPr>
                <w:szCs w:val="24"/>
              </w:rPr>
              <w:t>2VP-77(21.3)</w:t>
            </w:r>
            <w:r w:rsidRPr="00A36AC1">
              <w:rPr>
                <w:szCs w:val="24"/>
              </w:rPr>
              <w:t xml:space="preserve"> (toliau – Pirkimo sąlygos). </w:t>
            </w:r>
          </w:p>
          <w:p w14:paraId="4DB4EDB4" w14:textId="77777777" w:rsidR="00686115" w:rsidRDefault="009B57D7" w:rsidP="00607032">
            <w:pPr>
              <w:ind w:firstLine="880"/>
              <w:jc w:val="both"/>
              <w:rPr>
                <w:szCs w:val="24"/>
              </w:rPr>
            </w:pPr>
            <w:r w:rsidRPr="009B57D7">
              <w:rPr>
                <w:szCs w:val="24"/>
              </w:rPr>
              <w:t xml:space="preserve">Pirkimo sąlygų </w:t>
            </w:r>
            <w:r>
              <w:rPr>
                <w:szCs w:val="24"/>
              </w:rPr>
              <w:t>3 skyriaus (</w:t>
            </w:r>
            <w:r w:rsidR="009F2F6B">
              <w:rPr>
                <w:szCs w:val="24"/>
              </w:rPr>
              <w:t>Tiekėjų pašalinimo pagrindai ir tiekėjų kvalifikacijos reikalavimai) 2 lentelės (Tiekėjo kvalifikacijos reikalavimai) 1 punkte nustatytas kvalifikacinis reikalavimas</w:t>
            </w:r>
            <w:r w:rsidR="009F2F6B">
              <w:rPr>
                <w:rStyle w:val="Puslapioinaosnuoroda"/>
                <w:szCs w:val="24"/>
              </w:rPr>
              <w:footnoteReference w:id="2"/>
            </w:r>
            <w:r w:rsidR="009F2F6B">
              <w:rPr>
                <w:szCs w:val="24"/>
              </w:rPr>
              <w:t xml:space="preserve"> yra netikslus, nes</w:t>
            </w:r>
            <w:r w:rsidR="00B942CE">
              <w:rPr>
                <w:szCs w:val="24"/>
              </w:rPr>
              <w:t xml:space="preserve"> reikalaujamos</w:t>
            </w:r>
            <w:r w:rsidR="009F2F6B">
              <w:rPr>
                <w:szCs w:val="24"/>
              </w:rPr>
              <w:t xml:space="preserve"> </w:t>
            </w:r>
            <w:r w:rsidR="00B942CE">
              <w:rPr>
                <w:szCs w:val="24"/>
              </w:rPr>
              <w:t>„</w:t>
            </w:r>
            <w:r w:rsidR="009F2F6B">
              <w:rPr>
                <w:szCs w:val="24"/>
              </w:rPr>
              <w:t>pajamos</w:t>
            </w:r>
            <w:r w:rsidR="00B942CE">
              <w:rPr>
                <w:szCs w:val="24"/>
              </w:rPr>
              <w:t>“</w:t>
            </w:r>
            <w:r w:rsidR="009F2F6B">
              <w:rPr>
                <w:szCs w:val="24"/>
              </w:rPr>
              <w:t xml:space="preserve"> nurodytos </w:t>
            </w:r>
            <w:r w:rsidR="00B942CE">
              <w:rPr>
                <w:szCs w:val="24"/>
              </w:rPr>
              <w:t>s</w:t>
            </w:r>
            <w:r w:rsidR="009F2F6B">
              <w:rPr>
                <w:szCs w:val="24"/>
              </w:rPr>
              <w:t>kaičiais</w:t>
            </w:r>
            <w:r w:rsidR="00B942CE">
              <w:rPr>
                <w:szCs w:val="24"/>
              </w:rPr>
              <w:t>,</w:t>
            </w:r>
            <w:r w:rsidR="009F2F6B">
              <w:rPr>
                <w:szCs w:val="24"/>
              </w:rPr>
              <w:t xml:space="preserve"> skiriasi nuo </w:t>
            </w:r>
            <w:r w:rsidR="00B942CE">
              <w:rPr>
                <w:szCs w:val="24"/>
              </w:rPr>
              <w:t>reikalaujamų „</w:t>
            </w:r>
            <w:r w:rsidR="009F2F6B">
              <w:rPr>
                <w:szCs w:val="24"/>
              </w:rPr>
              <w:t>pajamų</w:t>
            </w:r>
            <w:r w:rsidR="00B942CE">
              <w:rPr>
                <w:szCs w:val="24"/>
              </w:rPr>
              <w:t>“</w:t>
            </w:r>
            <w:r w:rsidR="009F2F6B">
              <w:rPr>
                <w:szCs w:val="24"/>
              </w:rPr>
              <w:t xml:space="preserve"> nurodytų žodžiais.</w:t>
            </w:r>
            <w:r w:rsidR="00B942CE">
              <w:rPr>
                <w:szCs w:val="24"/>
              </w:rPr>
              <w:t xml:space="preserve"> Tai turi įtakos tiekėjams</w:t>
            </w:r>
            <w:r w:rsidR="00013728">
              <w:rPr>
                <w:szCs w:val="24"/>
              </w:rPr>
              <w:t>,</w:t>
            </w:r>
            <w:r w:rsidR="00B942CE">
              <w:rPr>
                <w:szCs w:val="24"/>
              </w:rPr>
              <w:t xml:space="preserve"> teikiant pasiūlymus, o Perkančiajai organizacijai </w:t>
            </w:r>
            <w:r w:rsidR="00013728">
              <w:rPr>
                <w:szCs w:val="24"/>
              </w:rPr>
              <w:t xml:space="preserve">– </w:t>
            </w:r>
            <w:r w:rsidR="00B942CE">
              <w:rPr>
                <w:szCs w:val="24"/>
              </w:rPr>
              <w:t>vertinat tiekėjų atitiktį nustatytam kvalifikaciniam reikalavimui.</w:t>
            </w:r>
          </w:p>
          <w:p w14:paraId="126F7222" w14:textId="3297A5A4" w:rsidR="00686115" w:rsidRDefault="00686115" w:rsidP="00607032">
            <w:pPr>
              <w:ind w:firstLine="880"/>
              <w:jc w:val="both"/>
              <w:rPr>
                <w:szCs w:val="24"/>
              </w:rPr>
            </w:pPr>
            <w:r>
              <w:rPr>
                <w:szCs w:val="24"/>
              </w:rPr>
              <w:t xml:space="preserve">Tarnybai paprašius paaiškinti, kaip bus vertinama tiekėjų kvalifikacija pagal šį reikalavimą, Perkančioji organizacija </w:t>
            </w:r>
            <w:r w:rsidR="000E1354" w:rsidRPr="000E1354">
              <w:rPr>
                <w:szCs w:val="24"/>
              </w:rPr>
              <w:t xml:space="preserve">(2019-07-05 raštas Nr. 2D-2201(21.7E), toliau – Paaiškinimas) </w:t>
            </w:r>
            <w:r>
              <w:rPr>
                <w:szCs w:val="24"/>
              </w:rPr>
              <w:t>nurodė, kad bus vertinama pagal Komisijos posėdžio protokole užfiksuotą reikalavimą ir kad „tai redakcinio pobūdžio klaida“. Atkreiptinas dėmesys, kad Perkančioji organizacija neištaisė šios „klaidos“, o tiekėjai neturi</w:t>
            </w:r>
            <w:r w:rsidR="00254585">
              <w:rPr>
                <w:szCs w:val="24"/>
              </w:rPr>
              <w:t xml:space="preserve"> galimybės susipažinti su posėdyje </w:t>
            </w:r>
            <w:r>
              <w:rPr>
                <w:szCs w:val="24"/>
              </w:rPr>
              <w:t xml:space="preserve">priimtais </w:t>
            </w:r>
            <w:r w:rsidR="00254585">
              <w:rPr>
                <w:szCs w:val="24"/>
              </w:rPr>
              <w:t xml:space="preserve">ir protokole užfiksuotais </w:t>
            </w:r>
            <w:r>
              <w:rPr>
                <w:szCs w:val="24"/>
              </w:rPr>
              <w:t xml:space="preserve">sprendimais. </w:t>
            </w:r>
          </w:p>
          <w:p w14:paraId="0AB9FD5B" w14:textId="587A500D" w:rsidR="00F36C44" w:rsidRPr="009B57D7" w:rsidRDefault="00B942CE" w:rsidP="00607032">
            <w:pPr>
              <w:ind w:firstLine="880"/>
              <w:jc w:val="both"/>
              <w:rPr>
                <w:szCs w:val="24"/>
              </w:rPr>
            </w:pPr>
            <w:r>
              <w:rPr>
                <w:szCs w:val="24"/>
              </w:rPr>
              <w:t xml:space="preserve">Tuo </w:t>
            </w:r>
            <w:r w:rsidR="005A34DD">
              <w:rPr>
                <w:szCs w:val="24"/>
              </w:rPr>
              <w:t xml:space="preserve">Perkančioji </w:t>
            </w:r>
            <w:r>
              <w:rPr>
                <w:szCs w:val="24"/>
              </w:rPr>
              <w:t>organizacija pažeidė Įstatymo 47 straipsnio 1 dalį.</w:t>
            </w:r>
          </w:p>
          <w:p w14:paraId="252E8A36" w14:textId="77777777" w:rsidR="00607032" w:rsidRPr="00245BA6" w:rsidRDefault="00607032" w:rsidP="00013728">
            <w:pPr>
              <w:jc w:val="both"/>
              <w:rPr>
                <w:color w:val="00B050"/>
                <w:szCs w:val="24"/>
              </w:rPr>
            </w:pPr>
          </w:p>
        </w:tc>
      </w:tr>
      <w:tr w:rsidR="00607032" w:rsidRPr="002A07F4" w14:paraId="3FDC9040" w14:textId="77777777" w:rsidTr="00CC1530">
        <w:tc>
          <w:tcPr>
            <w:tcW w:w="1333" w:type="dxa"/>
            <w:tcBorders>
              <w:top w:val="single" w:sz="4" w:space="0" w:color="auto"/>
              <w:left w:val="single" w:sz="4" w:space="0" w:color="auto"/>
              <w:bottom w:val="single" w:sz="4" w:space="0" w:color="auto"/>
              <w:right w:val="single" w:sz="4" w:space="0" w:color="auto"/>
            </w:tcBorders>
            <w:hideMark/>
          </w:tcPr>
          <w:p w14:paraId="13EEBE5A" w14:textId="2C4DA293" w:rsidR="00607032" w:rsidRPr="002A07F4" w:rsidRDefault="00103CB1" w:rsidP="00CC1530">
            <w:pPr>
              <w:jc w:val="center"/>
              <w:rPr>
                <w:szCs w:val="24"/>
              </w:rPr>
            </w:pPr>
            <w:r>
              <w:rPr>
                <w:szCs w:val="24"/>
              </w:rPr>
              <w:t>2</w:t>
            </w:r>
            <w:r w:rsidR="00607032">
              <w:rPr>
                <w:szCs w:val="24"/>
              </w:rPr>
              <w:t>.</w:t>
            </w:r>
          </w:p>
        </w:tc>
        <w:tc>
          <w:tcPr>
            <w:tcW w:w="8443" w:type="dxa"/>
            <w:tcBorders>
              <w:top w:val="single" w:sz="4" w:space="0" w:color="auto"/>
              <w:left w:val="single" w:sz="4" w:space="0" w:color="auto"/>
              <w:bottom w:val="single" w:sz="4" w:space="0" w:color="auto"/>
              <w:right w:val="single" w:sz="4" w:space="0" w:color="auto"/>
            </w:tcBorders>
            <w:hideMark/>
          </w:tcPr>
          <w:p w14:paraId="01C363E9" w14:textId="04B4BA4C" w:rsidR="00685AB4" w:rsidRPr="002A07F4" w:rsidRDefault="005C6C3B" w:rsidP="00AA6AE3">
            <w:pPr>
              <w:jc w:val="both"/>
              <w:rPr>
                <w:i/>
                <w:szCs w:val="24"/>
              </w:rPr>
            </w:pPr>
            <w:r w:rsidRPr="00923665">
              <w:rPr>
                <w:szCs w:val="24"/>
              </w:rPr>
              <w:t>Įstatymo 55 straipsnio 5 dalis</w:t>
            </w:r>
            <w:r w:rsidRPr="00923665">
              <w:rPr>
                <w:rStyle w:val="Puslapioinaosnuoroda"/>
                <w:szCs w:val="24"/>
              </w:rPr>
              <w:footnoteReference w:id="3"/>
            </w:r>
            <w:r w:rsidRPr="00923665">
              <w:rPr>
                <w:szCs w:val="24"/>
              </w:rPr>
              <w:t>, Įstatymo 17 straipsnio 1 dalis</w:t>
            </w:r>
            <w:r w:rsidRPr="00923665">
              <w:rPr>
                <w:rStyle w:val="Puslapioinaosnuoroda"/>
                <w:szCs w:val="24"/>
              </w:rPr>
              <w:footnoteReference w:id="4"/>
            </w:r>
            <w:r>
              <w:rPr>
                <w:szCs w:val="24"/>
              </w:rPr>
              <w:t>.</w:t>
            </w:r>
          </w:p>
        </w:tc>
      </w:tr>
      <w:tr w:rsidR="00607032" w:rsidRPr="002A07F4" w14:paraId="46B3F81C" w14:textId="77777777" w:rsidTr="00CC1530">
        <w:tc>
          <w:tcPr>
            <w:tcW w:w="9776" w:type="dxa"/>
            <w:gridSpan w:val="2"/>
            <w:tcBorders>
              <w:top w:val="single" w:sz="4" w:space="0" w:color="auto"/>
              <w:left w:val="single" w:sz="4" w:space="0" w:color="auto"/>
              <w:bottom w:val="single" w:sz="4" w:space="0" w:color="auto"/>
              <w:right w:val="single" w:sz="4" w:space="0" w:color="auto"/>
            </w:tcBorders>
            <w:hideMark/>
          </w:tcPr>
          <w:p w14:paraId="1EF57BC6" w14:textId="2C86C27B" w:rsidR="00BD73C5" w:rsidRDefault="00BD73C5" w:rsidP="00BD73C5">
            <w:pPr>
              <w:ind w:firstLine="880"/>
              <w:jc w:val="both"/>
              <w:rPr>
                <w:szCs w:val="24"/>
              </w:rPr>
            </w:pPr>
            <w:r>
              <w:rPr>
                <w:szCs w:val="24"/>
              </w:rPr>
              <w:t>Įvertinus</w:t>
            </w:r>
            <w:r w:rsidR="000E1354">
              <w:rPr>
                <w:szCs w:val="24"/>
              </w:rPr>
              <w:t>i</w:t>
            </w:r>
            <w:r>
              <w:rPr>
                <w:szCs w:val="24"/>
              </w:rPr>
              <w:t xml:space="preserve"> Pirkimo dokumentuose nustatytus reikalavimus, </w:t>
            </w:r>
            <w:r w:rsidRPr="00C74753">
              <w:rPr>
                <w:szCs w:val="24"/>
                <w:u w:val="single"/>
              </w:rPr>
              <w:t xml:space="preserve">susijusius su pasiūlymų </w:t>
            </w:r>
            <w:r w:rsidRPr="00EA575C">
              <w:rPr>
                <w:b/>
                <w:szCs w:val="24"/>
                <w:u w:val="single"/>
              </w:rPr>
              <w:t>vertinimo tvarka</w:t>
            </w:r>
            <w:r w:rsidR="00F96F09">
              <w:rPr>
                <w:szCs w:val="24"/>
                <w:u w:val="single"/>
              </w:rPr>
              <w:t xml:space="preserve"> pagal kriterijų „Kokybė“</w:t>
            </w:r>
            <w:r>
              <w:rPr>
                <w:szCs w:val="24"/>
              </w:rPr>
              <w:t>, Tarnyba nustatė, kad:</w:t>
            </w:r>
          </w:p>
          <w:p w14:paraId="3D658B46" w14:textId="4C761C6E" w:rsidR="005C6C3B" w:rsidRDefault="00AC466D" w:rsidP="005C6C3B">
            <w:pPr>
              <w:ind w:firstLine="880"/>
              <w:jc w:val="both"/>
              <w:rPr>
                <w:szCs w:val="24"/>
              </w:rPr>
            </w:pPr>
            <w:r>
              <w:t>2</w:t>
            </w:r>
            <w:r w:rsidR="00C74753">
              <w:t>.</w:t>
            </w:r>
            <w:r>
              <w:t>1</w:t>
            </w:r>
            <w:r w:rsidR="00C74753">
              <w:t xml:space="preserve">. </w:t>
            </w:r>
            <w:r w:rsidR="00010F78">
              <w:rPr>
                <w:szCs w:val="24"/>
              </w:rPr>
              <w:t xml:space="preserve">Pirkimo sąlygų 4 priedo 7.1 punkto lentelėje pateiktas Televizijos laidų ciklo kūrimo koncepcijos „vertinimo aprašymas“ pagal skiriamų balų grupes. </w:t>
            </w:r>
            <w:r w:rsidR="00010F78" w:rsidRPr="00010F78">
              <w:rPr>
                <w:szCs w:val="24"/>
              </w:rPr>
              <w:t xml:space="preserve">Atkreiptinas dėmesys, kad – </w:t>
            </w:r>
            <w:r w:rsidR="00010F78" w:rsidRPr="00EA2915">
              <w:rPr>
                <w:szCs w:val="24"/>
                <w:u w:val="single"/>
              </w:rPr>
              <w:t>konkrečių rodiklių reikšmių vertinimo pagal šį kriterijų nėra</w:t>
            </w:r>
            <w:r w:rsidR="00010F78" w:rsidRPr="00010F78">
              <w:rPr>
                <w:szCs w:val="24"/>
              </w:rPr>
              <w:t xml:space="preserve">. </w:t>
            </w:r>
            <w:r w:rsidR="00010F78">
              <w:rPr>
                <w:szCs w:val="24"/>
              </w:rPr>
              <w:t>„Vertinimo aprašyme“ vartojamos abstrakčios, įvairiai interpretuojamos sąvokos, nepateikti paaiškinimai</w:t>
            </w:r>
            <w:r w:rsidR="00F53DFC">
              <w:rPr>
                <w:szCs w:val="24"/>
              </w:rPr>
              <w:t>,</w:t>
            </w:r>
            <w:r w:rsidR="00010F78">
              <w:rPr>
                <w:szCs w:val="24"/>
              </w:rPr>
              <w:t xml:space="preserve"> kuo praktiškai viena sąvoka skiriasi nuo kitos, kurioms suteikiami skirtingi balai, pvz.:</w:t>
            </w:r>
            <w:r w:rsidR="00EB06A6">
              <w:rPr>
                <w:szCs w:val="24"/>
              </w:rPr>
              <w:t xml:space="preserve"> kai „</w:t>
            </w:r>
            <w:r w:rsidR="00EB06A6" w:rsidRPr="00F53DFC">
              <w:rPr>
                <w:i/>
                <w:szCs w:val="24"/>
              </w:rPr>
              <w:t>paslaugos suteikiamos kokybiškai ir efektyviai</w:t>
            </w:r>
            <w:r w:rsidR="00EB06A6">
              <w:rPr>
                <w:szCs w:val="24"/>
              </w:rPr>
              <w:t>“ – gali būti skiriama nuo 8 iki 10 balų, o kai „</w:t>
            </w:r>
            <w:r w:rsidR="00EB06A6" w:rsidRPr="00F53DFC">
              <w:rPr>
                <w:i/>
                <w:szCs w:val="24"/>
              </w:rPr>
              <w:t>paslaugų efektyvumas bus geras</w:t>
            </w:r>
            <w:r w:rsidR="00EB06A6">
              <w:rPr>
                <w:szCs w:val="24"/>
              </w:rPr>
              <w:t>“ – gali būti skiriama nuo 4 iki 7 balų (</w:t>
            </w:r>
            <w:r w:rsidR="00EB06A6" w:rsidRPr="00A27119">
              <w:rPr>
                <w:i/>
                <w:szCs w:val="24"/>
                <w:u w:val="single"/>
              </w:rPr>
              <w:t>nenurodyta, kaip efektyvumas bus išmatuotas</w:t>
            </w:r>
            <w:r w:rsidR="00EB06A6">
              <w:rPr>
                <w:szCs w:val="24"/>
              </w:rPr>
              <w:t>). Balų grupės apima platų diapazoną (pvz. nuo 4 iki 7), o vertinimo aprašymai kiekvienoje dalyje neišsamūs,</w:t>
            </w:r>
            <w:r w:rsidR="00F53DFC">
              <w:rPr>
                <w:szCs w:val="24"/>
              </w:rPr>
              <w:t xml:space="preserve"> nesusieti su techninės specifikacijos reikalavimais,</w:t>
            </w:r>
            <w:r w:rsidR="00EB06A6">
              <w:rPr>
                <w:szCs w:val="24"/>
              </w:rPr>
              <w:t xml:space="preserve"> neinformatyvūs, nenurodantys </w:t>
            </w:r>
            <w:r w:rsidR="00F53DFC">
              <w:rPr>
                <w:szCs w:val="24"/>
              </w:rPr>
              <w:t>kiekvieno atskiro balo suteikimo galimybės.</w:t>
            </w:r>
          </w:p>
          <w:p w14:paraId="26B2B34B" w14:textId="7479BA7C" w:rsidR="00996DFF" w:rsidRPr="00A333EE" w:rsidRDefault="00F53DFC" w:rsidP="005C6C3B">
            <w:pPr>
              <w:ind w:firstLine="880"/>
              <w:jc w:val="both"/>
              <w:rPr>
                <w:szCs w:val="24"/>
              </w:rPr>
            </w:pPr>
            <w:r w:rsidRPr="00A333EE">
              <w:rPr>
                <w:szCs w:val="24"/>
              </w:rPr>
              <w:t xml:space="preserve">Atsižvelgdama į tai, Tarnyba paprašė Perkančiosios organizacijos </w:t>
            </w:r>
            <w:r w:rsidR="005C6C3B" w:rsidRPr="00A333EE">
              <w:rPr>
                <w:szCs w:val="24"/>
              </w:rPr>
              <w:t>paaiškinti, pavyzdžiui, koks tiekėjo pasiūlymas pagal balų skyrimo tvarką (Pirkimo sąlygų 4 priedo 7.1 punkto lentelė) (vidutiniškai) bus įvertintas 4 balais, 5 balais, 6 balais ir 7 balais (</w:t>
            </w:r>
            <w:r w:rsidR="005C6C3B" w:rsidRPr="00A333EE">
              <w:rPr>
                <w:i/>
                <w:szCs w:val="24"/>
              </w:rPr>
              <w:t>pateikti vertinimo aprašymą pagal kiekvieną nurodytą balą: 4, 5, 6, 7</w:t>
            </w:r>
            <w:r w:rsidR="005C6C3B" w:rsidRPr="00A333EE">
              <w:rPr>
                <w:szCs w:val="24"/>
              </w:rPr>
              <w:t>).</w:t>
            </w:r>
            <w:r w:rsidR="00996DFF" w:rsidRPr="00A333EE">
              <w:rPr>
                <w:szCs w:val="24"/>
              </w:rPr>
              <w:t xml:space="preserve"> Tarnyba, susipažinusi su </w:t>
            </w:r>
            <w:r w:rsidR="005C6C3B" w:rsidRPr="00A333EE">
              <w:rPr>
                <w:szCs w:val="24"/>
              </w:rPr>
              <w:t>Perkančio</w:t>
            </w:r>
            <w:r w:rsidR="00996DFF" w:rsidRPr="00A333EE">
              <w:rPr>
                <w:szCs w:val="24"/>
              </w:rPr>
              <w:t>sios</w:t>
            </w:r>
            <w:r w:rsidR="005C6C3B" w:rsidRPr="00A333EE">
              <w:rPr>
                <w:szCs w:val="24"/>
              </w:rPr>
              <w:t xml:space="preserve"> organizacij</w:t>
            </w:r>
            <w:r w:rsidR="00996DFF" w:rsidRPr="00A333EE">
              <w:rPr>
                <w:szCs w:val="24"/>
              </w:rPr>
              <w:t xml:space="preserve">os </w:t>
            </w:r>
            <w:r w:rsidR="00D66769" w:rsidRPr="00A333EE">
              <w:rPr>
                <w:szCs w:val="24"/>
              </w:rPr>
              <w:t>Paaiškinimu</w:t>
            </w:r>
            <w:r w:rsidR="00996DFF" w:rsidRPr="00A333EE">
              <w:rPr>
                <w:szCs w:val="24"/>
              </w:rPr>
              <w:t>, nustatė, kad, pavyzdžiui:</w:t>
            </w:r>
          </w:p>
          <w:p w14:paraId="01A20705" w14:textId="59D1410F" w:rsidR="00D758E8" w:rsidRPr="00A333EE" w:rsidRDefault="00D758E8" w:rsidP="00D758E8">
            <w:pPr>
              <w:pStyle w:val="Sraopastraipa"/>
              <w:numPr>
                <w:ilvl w:val="0"/>
                <w:numId w:val="22"/>
              </w:numPr>
              <w:ind w:left="29" w:firstLine="851"/>
              <w:jc w:val="both"/>
              <w:rPr>
                <w:szCs w:val="24"/>
              </w:rPr>
            </w:pPr>
            <w:r w:rsidRPr="00A333EE">
              <w:rPr>
                <w:szCs w:val="24"/>
              </w:rPr>
              <w:lastRenderedPageBreak/>
              <w:t xml:space="preserve">pasiūlymo </w:t>
            </w:r>
            <w:r w:rsidR="00996DFF" w:rsidRPr="00A333EE">
              <w:rPr>
                <w:szCs w:val="24"/>
              </w:rPr>
              <w:t>įvertinim</w:t>
            </w:r>
            <w:r w:rsidR="007732B0">
              <w:rPr>
                <w:szCs w:val="24"/>
              </w:rPr>
              <w:t>e</w:t>
            </w:r>
            <w:r w:rsidR="00996DFF" w:rsidRPr="00A333EE">
              <w:rPr>
                <w:szCs w:val="24"/>
              </w:rPr>
              <w:t xml:space="preserve"> 7 balais ir pasiūlymo įvertinimą 6 balais</w:t>
            </w:r>
            <w:r w:rsidR="007732B0">
              <w:rPr>
                <w:szCs w:val="24"/>
              </w:rPr>
              <w:t xml:space="preserve"> </w:t>
            </w:r>
            <w:r w:rsidR="007732B0" w:rsidRPr="007732B0">
              <w:rPr>
                <w:szCs w:val="24"/>
                <w:u w:val="single"/>
              </w:rPr>
              <w:t>vienodai</w:t>
            </w:r>
            <w:r w:rsidR="007732B0">
              <w:rPr>
                <w:szCs w:val="24"/>
              </w:rPr>
              <w:t xml:space="preserve"> nurodyta, kad „</w:t>
            </w:r>
            <w:r w:rsidR="007732B0" w:rsidRPr="007732B0">
              <w:rPr>
                <w:i/>
                <w:szCs w:val="24"/>
              </w:rPr>
              <w:t xml:space="preserve">suvokimas apie perkančiajai organizacijai reikalingas televizijos laidų ciklo kūrimo ir transliavimo paslaugas bei jų specifiką yra </w:t>
            </w:r>
            <w:r w:rsidR="007732B0" w:rsidRPr="007732B0">
              <w:rPr>
                <w:i/>
                <w:szCs w:val="24"/>
                <w:u w:val="single"/>
              </w:rPr>
              <w:t>gana geras</w:t>
            </w:r>
            <w:r w:rsidR="007732B0" w:rsidRPr="007732B0">
              <w:rPr>
                <w:i/>
                <w:szCs w:val="24"/>
              </w:rPr>
              <w:t xml:space="preserve">. Pasiūlyme </w:t>
            </w:r>
            <w:r w:rsidR="007732B0" w:rsidRPr="007732B0">
              <w:rPr>
                <w:i/>
                <w:szCs w:val="24"/>
                <w:u w:val="single"/>
              </w:rPr>
              <w:t>išanalizuoti pirkimo tikslai</w:t>
            </w:r>
            <w:r w:rsidR="007732B0" w:rsidRPr="007732B0">
              <w:rPr>
                <w:i/>
                <w:szCs w:val="24"/>
              </w:rPr>
              <w:t xml:space="preserve">, jų suvokimas </w:t>
            </w:r>
            <w:r w:rsidR="007732B0" w:rsidRPr="007732B0">
              <w:rPr>
                <w:i/>
                <w:szCs w:val="24"/>
                <w:u w:val="single"/>
              </w:rPr>
              <w:t>visiškai atitinka</w:t>
            </w:r>
            <w:r w:rsidR="007732B0" w:rsidRPr="007732B0">
              <w:rPr>
                <w:i/>
                <w:szCs w:val="24"/>
              </w:rPr>
              <w:t xml:space="preserve"> paslaugų techninės specifikacijos nuostatas, įvardytos konkrečios priemonės tikslams pasiekit</w:t>
            </w:r>
            <w:r w:rsidR="007732B0">
              <w:rPr>
                <w:szCs w:val="24"/>
              </w:rPr>
              <w:t xml:space="preserve">. Todėl yra pagrįstas pagrindas manyti, kad paslaugų </w:t>
            </w:r>
            <w:r w:rsidR="007732B0" w:rsidRPr="007732B0">
              <w:rPr>
                <w:szCs w:val="24"/>
                <w:u w:val="single"/>
              </w:rPr>
              <w:t>efektyvumas bus geras</w:t>
            </w:r>
            <w:r w:rsidR="00996DFF" w:rsidRPr="00A333EE">
              <w:rPr>
                <w:szCs w:val="24"/>
              </w:rPr>
              <w:t xml:space="preserve"> </w:t>
            </w:r>
            <w:r w:rsidR="007732B0">
              <w:rPr>
                <w:szCs w:val="24"/>
              </w:rPr>
              <w:t xml:space="preserve">&lt;...&gt;“, o </w:t>
            </w:r>
            <w:r w:rsidR="00996DFF" w:rsidRPr="00A333EE">
              <w:rPr>
                <w:szCs w:val="24"/>
              </w:rPr>
              <w:t xml:space="preserve">skiria </w:t>
            </w:r>
            <w:r w:rsidRPr="00A333EE">
              <w:rPr>
                <w:szCs w:val="24"/>
              </w:rPr>
              <w:t xml:space="preserve">tik </w:t>
            </w:r>
            <w:r w:rsidR="00996DFF" w:rsidRPr="00A333EE">
              <w:rPr>
                <w:szCs w:val="24"/>
              </w:rPr>
              <w:t>nuostat</w:t>
            </w:r>
            <w:r w:rsidR="00F91F0F">
              <w:rPr>
                <w:szCs w:val="24"/>
              </w:rPr>
              <w:t>omis</w:t>
            </w:r>
            <w:r w:rsidRPr="00A333EE">
              <w:rPr>
                <w:szCs w:val="24"/>
              </w:rPr>
              <w:t>:</w:t>
            </w:r>
            <w:r w:rsidR="00996DFF" w:rsidRPr="00A333EE">
              <w:rPr>
                <w:szCs w:val="24"/>
              </w:rPr>
              <w:t xml:space="preserve"> </w:t>
            </w:r>
            <w:r w:rsidR="00996DFF" w:rsidRPr="00A333EE">
              <w:rPr>
                <w:i/>
                <w:szCs w:val="24"/>
              </w:rPr>
              <w:t>„&lt;...&gt; koncepcija yra nepakankamai išsami</w:t>
            </w:r>
            <w:r w:rsidR="00996DFF" w:rsidRPr="00A333EE">
              <w:rPr>
                <w:szCs w:val="24"/>
              </w:rPr>
              <w:t xml:space="preserve">“ </w:t>
            </w:r>
            <w:r w:rsidRPr="00A333EE">
              <w:rPr>
                <w:szCs w:val="24"/>
              </w:rPr>
              <w:t>/</w:t>
            </w:r>
            <w:r w:rsidR="00996DFF" w:rsidRPr="00A333EE">
              <w:rPr>
                <w:szCs w:val="24"/>
              </w:rPr>
              <w:t xml:space="preserve"> </w:t>
            </w:r>
            <w:r w:rsidR="00996DFF" w:rsidRPr="00A333EE">
              <w:rPr>
                <w:i/>
                <w:szCs w:val="24"/>
              </w:rPr>
              <w:t>„&lt;...&gt; koncepcija yra atmestina ir neaiški</w:t>
            </w:r>
            <w:r w:rsidR="007732B0">
              <w:rPr>
                <w:szCs w:val="24"/>
              </w:rPr>
              <w:t>“. Tarnyba pažymi, kad š</w:t>
            </w:r>
            <w:r w:rsidR="00A93E6E">
              <w:rPr>
                <w:szCs w:val="24"/>
              </w:rPr>
              <w:t xml:space="preserve">ie </w:t>
            </w:r>
            <w:r w:rsidR="007732B0">
              <w:rPr>
                <w:szCs w:val="24"/>
              </w:rPr>
              <w:t>aprašym</w:t>
            </w:r>
            <w:r w:rsidR="00A93E6E">
              <w:rPr>
                <w:szCs w:val="24"/>
              </w:rPr>
              <w:t xml:space="preserve">ai sudaryti iš dviejų, viena kitai prieštaraujančių, dalių, nes </w:t>
            </w:r>
            <w:r w:rsidR="007732B0">
              <w:rPr>
                <w:szCs w:val="24"/>
              </w:rPr>
              <w:t>teigiamai įvertintos</w:t>
            </w:r>
            <w:r w:rsidR="00F91F0F">
              <w:rPr>
                <w:szCs w:val="24"/>
              </w:rPr>
              <w:t xml:space="preserve"> nuostatos </w:t>
            </w:r>
            <w:r w:rsidR="004E6529">
              <w:rPr>
                <w:szCs w:val="24"/>
              </w:rPr>
              <w:t xml:space="preserve">prieštarauja </w:t>
            </w:r>
            <w:proofErr w:type="spellStart"/>
            <w:r w:rsidR="00883014">
              <w:rPr>
                <w:szCs w:val="24"/>
              </w:rPr>
              <w:t>apibūdinimams</w:t>
            </w:r>
            <w:proofErr w:type="spellEnd"/>
            <w:r w:rsidR="00F91F0F">
              <w:rPr>
                <w:szCs w:val="24"/>
              </w:rPr>
              <w:t>, kad</w:t>
            </w:r>
            <w:r w:rsidR="004E6529">
              <w:rPr>
                <w:szCs w:val="24"/>
              </w:rPr>
              <w:t xml:space="preserve"> koncepcija neišsami ar neaiški.</w:t>
            </w:r>
          </w:p>
          <w:p w14:paraId="3A0F8F2B" w14:textId="0B3DEC54" w:rsidR="00D758E8" w:rsidRPr="00A333EE" w:rsidRDefault="00D758E8" w:rsidP="00D758E8">
            <w:pPr>
              <w:pStyle w:val="Sraopastraipa"/>
              <w:numPr>
                <w:ilvl w:val="0"/>
                <w:numId w:val="22"/>
              </w:numPr>
              <w:ind w:left="29" w:firstLine="851"/>
              <w:jc w:val="both"/>
              <w:rPr>
                <w:szCs w:val="24"/>
              </w:rPr>
            </w:pPr>
            <w:r w:rsidRPr="00A333EE">
              <w:rPr>
                <w:szCs w:val="24"/>
              </w:rPr>
              <w:t xml:space="preserve">pasiūlymo įvertinamuose </w:t>
            </w:r>
            <w:r w:rsidR="00A93E6E">
              <w:rPr>
                <w:szCs w:val="24"/>
              </w:rPr>
              <w:t>4</w:t>
            </w:r>
            <w:r w:rsidRPr="00A333EE">
              <w:rPr>
                <w:szCs w:val="24"/>
              </w:rPr>
              <w:t xml:space="preserve"> ir </w:t>
            </w:r>
            <w:r w:rsidR="00A93E6E">
              <w:rPr>
                <w:szCs w:val="24"/>
              </w:rPr>
              <w:t>5</w:t>
            </w:r>
            <w:r w:rsidRPr="00A333EE">
              <w:rPr>
                <w:szCs w:val="24"/>
              </w:rPr>
              <w:t xml:space="preserve"> balais nuodyta, kad „</w:t>
            </w:r>
            <w:r w:rsidRPr="00A333EE">
              <w:rPr>
                <w:i/>
                <w:szCs w:val="24"/>
              </w:rPr>
              <w:t>scenarijai neparengti</w:t>
            </w:r>
            <w:r w:rsidR="00F91F0F">
              <w:rPr>
                <w:szCs w:val="24"/>
              </w:rPr>
              <w:t>“. Tačiau</w:t>
            </w:r>
            <w:r w:rsidR="004E6529">
              <w:rPr>
                <w:szCs w:val="24"/>
              </w:rPr>
              <w:t xml:space="preserve"> Pirkimo sąlygose pateiktame </w:t>
            </w:r>
            <w:r w:rsidR="00F91F0F" w:rsidRPr="00A333EE">
              <w:rPr>
                <w:szCs w:val="24"/>
              </w:rPr>
              <w:t xml:space="preserve">„vertinime nuo 4 iki 7“ </w:t>
            </w:r>
            <w:r w:rsidR="00A93E6E">
              <w:rPr>
                <w:szCs w:val="24"/>
              </w:rPr>
              <w:t>nustatyta</w:t>
            </w:r>
            <w:r w:rsidR="004E6529">
              <w:rPr>
                <w:szCs w:val="24"/>
              </w:rPr>
              <w:t xml:space="preserve"> tik, </w:t>
            </w:r>
            <w:r w:rsidR="00A93E6E">
              <w:rPr>
                <w:szCs w:val="24"/>
              </w:rPr>
              <w:t xml:space="preserve">kad „scenarijai parengti nekūrybiškai“ ir </w:t>
            </w:r>
            <w:r w:rsidR="00F91F0F" w:rsidRPr="00A333EE">
              <w:rPr>
                <w:szCs w:val="24"/>
              </w:rPr>
              <w:t>nėra nu</w:t>
            </w:r>
            <w:r w:rsidR="00A93E6E">
              <w:rPr>
                <w:szCs w:val="24"/>
              </w:rPr>
              <w:t>ostatų</w:t>
            </w:r>
            <w:r w:rsidR="00F91F0F" w:rsidRPr="00A333EE">
              <w:rPr>
                <w:szCs w:val="24"/>
              </w:rPr>
              <w:t>, kad g</w:t>
            </w:r>
            <w:r w:rsidR="00F91F0F">
              <w:rPr>
                <w:szCs w:val="24"/>
              </w:rPr>
              <w:t>ali būti „scenarijai neparengti</w:t>
            </w:r>
            <w:r w:rsidR="00A93E6E">
              <w:rPr>
                <w:szCs w:val="24"/>
              </w:rPr>
              <w:t>“</w:t>
            </w:r>
            <w:r w:rsidR="00F91F0F">
              <w:rPr>
                <w:szCs w:val="24"/>
              </w:rPr>
              <w:t xml:space="preserve">. </w:t>
            </w:r>
            <w:r w:rsidR="00F91F0F" w:rsidRPr="00A333EE">
              <w:rPr>
                <w:szCs w:val="24"/>
              </w:rPr>
              <w:t>Tiekėjui pasiūlyme nepateikus scenarijų, pasiūlymas turėtų būti atmestas, kaip neatitinkantis Pirkimo dokumentų (Techninės specifikacijos) reikalavimų ir nevertinamas pagal ekonomiškai naudingiausio pasiūlymo vertinimo kriterijus.</w:t>
            </w:r>
          </w:p>
          <w:p w14:paraId="1DFA5471" w14:textId="274E1B96" w:rsidR="00D758E8" w:rsidRPr="00A333EE" w:rsidRDefault="00D758E8" w:rsidP="00D758E8">
            <w:pPr>
              <w:pStyle w:val="Sraopastraipa"/>
              <w:numPr>
                <w:ilvl w:val="0"/>
                <w:numId w:val="22"/>
              </w:numPr>
              <w:ind w:left="29" w:firstLine="851"/>
              <w:jc w:val="both"/>
              <w:rPr>
                <w:szCs w:val="24"/>
              </w:rPr>
            </w:pPr>
            <w:r w:rsidRPr="00A333EE">
              <w:rPr>
                <w:szCs w:val="24"/>
              </w:rPr>
              <w:t>pasiūlymo įvertinime 4 balais nurodyta, kad „</w:t>
            </w:r>
            <w:r w:rsidRPr="00A333EE">
              <w:rPr>
                <w:i/>
                <w:szCs w:val="24"/>
              </w:rPr>
              <w:t>apdovanojimų reali nauda apdovanotam dalyviui nepagrįsta</w:t>
            </w:r>
            <w:r w:rsidRPr="00A333EE">
              <w:rPr>
                <w:szCs w:val="24"/>
              </w:rPr>
              <w:t>“</w:t>
            </w:r>
            <w:r w:rsidR="00D003C8" w:rsidRPr="00A333EE">
              <w:rPr>
                <w:szCs w:val="24"/>
              </w:rPr>
              <w:t xml:space="preserve">. </w:t>
            </w:r>
            <w:r w:rsidR="00F91F0F">
              <w:rPr>
                <w:szCs w:val="24"/>
              </w:rPr>
              <w:t xml:space="preserve">Tačiau </w:t>
            </w:r>
            <w:r w:rsidR="00F91F0F" w:rsidRPr="00A333EE">
              <w:rPr>
                <w:szCs w:val="24"/>
              </w:rPr>
              <w:t>„vertinime nuo 4 iki 7“ nustatyta</w:t>
            </w:r>
            <w:r w:rsidR="00A93E6E">
              <w:rPr>
                <w:szCs w:val="24"/>
              </w:rPr>
              <w:t xml:space="preserve"> priešingai</w:t>
            </w:r>
            <w:r w:rsidR="00F91F0F" w:rsidRPr="00A333EE">
              <w:rPr>
                <w:szCs w:val="24"/>
              </w:rPr>
              <w:t xml:space="preserve">, </w:t>
            </w:r>
            <w:r w:rsidR="00F91F0F">
              <w:rPr>
                <w:szCs w:val="24"/>
              </w:rPr>
              <w:t xml:space="preserve">kad </w:t>
            </w:r>
            <w:r w:rsidR="00F91F0F" w:rsidRPr="00A333EE">
              <w:rPr>
                <w:szCs w:val="24"/>
              </w:rPr>
              <w:t>„apdova</w:t>
            </w:r>
            <w:r w:rsidR="00A93E6E">
              <w:rPr>
                <w:szCs w:val="24"/>
              </w:rPr>
              <w:t xml:space="preserve">nojimų reali nauda apdovanotam </w:t>
            </w:r>
            <w:r w:rsidR="00F91F0F" w:rsidRPr="00A333EE">
              <w:rPr>
                <w:szCs w:val="24"/>
              </w:rPr>
              <w:t>pagrįsta“.</w:t>
            </w:r>
          </w:p>
          <w:p w14:paraId="3ADB7197" w14:textId="44D70AFD" w:rsidR="00AA6AE3" w:rsidRDefault="00D003C8" w:rsidP="009679D1">
            <w:pPr>
              <w:pStyle w:val="Sraopastraipa"/>
              <w:ind w:left="0" w:firstLine="880"/>
              <w:jc w:val="both"/>
              <w:rPr>
                <w:szCs w:val="24"/>
              </w:rPr>
            </w:pPr>
            <w:r w:rsidRPr="00A333EE">
              <w:rPr>
                <w:szCs w:val="24"/>
              </w:rPr>
              <w:t xml:space="preserve">Tarnyba pažymi, kad Perkančiosios </w:t>
            </w:r>
            <w:r w:rsidR="009679D1" w:rsidRPr="00A333EE">
              <w:rPr>
                <w:szCs w:val="24"/>
                <w:u w:val="single"/>
              </w:rPr>
              <w:t xml:space="preserve">Paaiškinimo </w:t>
            </w:r>
            <w:r w:rsidR="00883014">
              <w:rPr>
                <w:szCs w:val="24"/>
                <w:u w:val="single"/>
              </w:rPr>
              <w:t>teiginiai</w:t>
            </w:r>
            <w:r w:rsidRPr="00A333EE">
              <w:rPr>
                <w:szCs w:val="24"/>
                <w:u w:val="single"/>
              </w:rPr>
              <w:t xml:space="preserve"> </w:t>
            </w:r>
            <w:r w:rsidR="00F91F0F">
              <w:rPr>
                <w:szCs w:val="24"/>
                <w:u w:val="single"/>
              </w:rPr>
              <w:t>priešing</w:t>
            </w:r>
            <w:r w:rsidR="00883014">
              <w:rPr>
                <w:szCs w:val="24"/>
                <w:u w:val="single"/>
              </w:rPr>
              <w:t>i</w:t>
            </w:r>
            <w:r w:rsidR="00F91F0F">
              <w:rPr>
                <w:szCs w:val="24"/>
                <w:u w:val="single"/>
              </w:rPr>
              <w:t xml:space="preserve"> nustatyt</w:t>
            </w:r>
            <w:r w:rsidR="00883014">
              <w:rPr>
                <w:szCs w:val="24"/>
                <w:u w:val="single"/>
              </w:rPr>
              <w:t>iems reikalavimams</w:t>
            </w:r>
            <w:r w:rsidRPr="00A333EE">
              <w:rPr>
                <w:szCs w:val="24"/>
                <w:u w:val="single"/>
              </w:rPr>
              <w:t xml:space="preserve"> Pirkimo dokument</w:t>
            </w:r>
            <w:r w:rsidR="00883014">
              <w:rPr>
                <w:szCs w:val="24"/>
                <w:u w:val="single"/>
              </w:rPr>
              <w:t>uose.</w:t>
            </w:r>
            <w:r w:rsidR="00F91F0F" w:rsidRPr="00F91F0F">
              <w:rPr>
                <w:szCs w:val="24"/>
              </w:rPr>
              <w:t xml:space="preserve"> Tarnyba sprendžia, kad pati Perkančioji organizacija nesupranta, kaip bus vertinami pasiūlymai.</w:t>
            </w:r>
            <w:r w:rsidRPr="00F91F0F">
              <w:rPr>
                <w:szCs w:val="24"/>
              </w:rPr>
              <w:t xml:space="preserve"> </w:t>
            </w:r>
            <w:r w:rsidR="00F91F0F">
              <w:rPr>
                <w:szCs w:val="24"/>
              </w:rPr>
              <w:t xml:space="preserve">Todėl </w:t>
            </w:r>
            <w:r w:rsidR="005B777C" w:rsidRPr="00A333EE">
              <w:rPr>
                <w:szCs w:val="24"/>
              </w:rPr>
              <w:t xml:space="preserve">Tarnyba konstatuoja, kad </w:t>
            </w:r>
            <w:r w:rsidR="00FA02CD" w:rsidRPr="00A333EE">
              <w:rPr>
                <w:szCs w:val="24"/>
              </w:rPr>
              <w:t>Perkančiajai organizacijai palikta interpretavimo laisvė (</w:t>
            </w:r>
            <w:r w:rsidR="00FA02CD" w:rsidRPr="00A333EE">
              <w:rPr>
                <w:i/>
                <w:szCs w:val="24"/>
              </w:rPr>
              <w:t>pvz., įvertinim</w:t>
            </w:r>
            <w:r w:rsidRPr="00A333EE">
              <w:rPr>
                <w:i/>
                <w:szCs w:val="24"/>
              </w:rPr>
              <w:t>e</w:t>
            </w:r>
            <w:r w:rsidR="00FA02CD" w:rsidRPr="00A333EE">
              <w:rPr>
                <w:i/>
                <w:szCs w:val="24"/>
              </w:rPr>
              <w:t xml:space="preserve"> „</w:t>
            </w:r>
            <w:r w:rsidR="005C6C3B" w:rsidRPr="00A333EE">
              <w:rPr>
                <w:i/>
                <w:szCs w:val="24"/>
              </w:rPr>
              <w:t>vidutiniškai</w:t>
            </w:r>
            <w:r w:rsidR="00FA02CD" w:rsidRPr="00A333EE">
              <w:rPr>
                <w:i/>
                <w:szCs w:val="24"/>
              </w:rPr>
              <w:t xml:space="preserve">“ – nuo </w:t>
            </w:r>
            <w:r w:rsidR="005C6C3B" w:rsidRPr="00A333EE">
              <w:rPr>
                <w:i/>
                <w:szCs w:val="24"/>
              </w:rPr>
              <w:t>4</w:t>
            </w:r>
            <w:r w:rsidR="00FA02CD" w:rsidRPr="00A333EE">
              <w:rPr>
                <w:i/>
                <w:szCs w:val="24"/>
              </w:rPr>
              <w:t xml:space="preserve"> iki kito įvertinimo </w:t>
            </w:r>
            <w:r w:rsidR="005C6C3B" w:rsidRPr="00A333EE">
              <w:rPr>
                <w:i/>
                <w:szCs w:val="24"/>
              </w:rPr>
              <w:t>„7“ galėtų</w:t>
            </w:r>
            <w:r w:rsidR="00FA02CD" w:rsidRPr="00A333EE">
              <w:rPr>
                <w:i/>
                <w:szCs w:val="24"/>
              </w:rPr>
              <w:t xml:space="preserve"> būti 4 balų skirtumas</w:t>
            </w:r>
            <w:r w:rsidR="00FA02CD" w:rsidRPr="00A333EE">
              <w:rPr>
                <w:szCs w:val="24"/>
              </w:rPr>
              <w:t xml:space="preserve">) ir sudarytos </w:t>
            </w:r>
            <w:r w:rsidR="00FA02CD" w:rsidRPr="00D758E8">
              <w:rPr>
                <w:szCs w:val="24"/>
              </w:rPr>
              <w:t xml:space="preserve">prielaidos subjektyviam, neskaidriam pasiūlymų vertinimui. Atitinkamai tiekėjams sudėtinga įvertinti, kaip turi būti parengtas pasiūlymas, tikintis gauti aukščiausią balų įvertinimą, nes kiekvienas savaip gali suprasti šias plačiai aiškinamas sąvokas. </w:t>
            </w:r>
          </w:p>
          <w:p w14:paraId="4C8B3CA9" w14:textId="1F730EAD" w:rsidR="00B41B31" w:rsidRPr="00821BC2" w:rsidRDefault="00AC466D" w:rsidP="00821BC2">
            <w:pPr>
              <w:ind w:firstLine="880"/>
              <w:jc w:val="both"/>
              <w:rPr>
                <w:szCs w:val="24"/>
              </w:rPr>
            </w:pPr>
            <w:r>
              <w:rPr>
                <w:szCs w:val="24"/>
              </w:rPr>
              <w:t>2</w:t>
            </w:r>
            <w:r w:rsidR="00B41B31" w:rsidRPr="00821BC2">
              <w:rPr>
                <w:szCs w:val="24"/>
              </w:rPr>
              <w:t>.</w:t>
            </w:r>
            <w:r>
              <w:rPr>
                <w:szCs w:val="24"/>
              </w:rPr>
              <w:t>2</w:t>
            </w:r>
            <w:r w:rsidR="00B41B31" w:rsidRPr="00821BC2">
              <w:rPr>
                <w:szCs w:val="24"/>
              </w:rPr>
              <w:t xml:space="preserve">. Tiekėjams nustatytas reikalavimas pasiūlyme pateikti </w:t>
            </w:r>
            <w:r w:rsidR="00456AA7">
              <w:rPr>
                <w:szCs w:val="24"/>
              </w:rPr>
              <w:t>dviejų</w:t>
            </w:r>
            <w:r w:rsidR="00B41B31" w:rsidRPr="00821BC2">
              <w:rPr>
                <w:szCs w:val="24"/>
              </w:rPr>
              <w:t xml:space="preserve"> televizijos laidų detalią struktūrą ir scenarijus (apimtis iki 10 psl.). Pažymėtina, kad Pirkimo dokumentuose </w:t>
            </w:r>
            <w:r w:rsidR="00821BC2" w:rsidRPr="00821BC2">
              <w:rPr>
                <w:szCs w:val="24"/>
              </w:rPr>
              <w:t xml:space="preserve">scenarijų vertinimo aprašyme </w:t>
            </w:r>
            <w:r w:rsidR="00B41B31" w:rsidRPr="00821BC2">
              <w:rPr>
                <w:szCs w:val="24"/>
              </w:rPr>
              <w:t>(Pirkimo sąlygų 4 priedo 7.1 punkto lentelėje)</w:t>
            </w:r>
            <w:r w:rsidR="00821BC2" w:rsidRPr="00821BC2">
              <w:rPr>
                <w:szCs w:val="24"/>
              </w:rPr>
              <w:t xml:space="preserve"> </w:t>
            </w:r>
            <w:r w:rsidR="00B41B31" w:rsidRPr="00821BC2">
              <w:rPr>
                <w:szCs w:val="24"/>
              </w:rPr>
              <w:t xml:space="preserve">vartojamos </w:t>
            </w:r>
            <w:r w:rsidR="00AF652F">
              <w:rPr>
                <w:szCs w:val="24"/>
              </w:rPr>
              <w:t xml:space="preserve">tik </w:t>
            </w:r>
            <w:r w:rsidR="00B41B31" w:rsidRPr="00821BC2">
              <w:rPr>
                <w:szCs w:val="24"/>
              </w:rPr>
              <w:t xml:space="preserve">nuostatos </w:t>
            </w:r>
            <w:r w:rsidR="00456AA7">
              <w:rPr>
                <w:szCs w:val="24"/>
              </w:rPr>
              <w:t xml:space="preserve">– </w:t>
            </w:r>
            <w:r w:rsidR="00B41B31" w:rsidRPr="00821BC2">
              <w:rPr>
                <w:szCs w:val="24"/>
              </w:rPr>
              <w:t>„kūrybiški scenarijai/nekūrybiški scenarijai, išsamūs scenarijai, neaiškūs scenarijai“</w:t>
            </w:r>
            <w:r w:rsidR="00821BC2" w:rsidRPr="00821BC2">
              <w:rPr>
                <w:szCs w:val="24"/>
              </w:rPr>
              <w:t xml:space="preserve">. Tarnybai paprašius paaiškinti, kur Pirkimo dokumentuose ir kokie reikalavimai nustatyti laidų </w:t>
            </w:r>
            <w:r w:rsidR="00821BC2" w:rsidRPr="00821BC2">
              <w:rPr>
                <w:szCs w:val="24"/>
                <w:u w:val="single"/>
              </w:rPr>
              <w:t>struktūrai bei scenarijams</w:t>
            </w:r>
            <w:r w:rsidR="00821BC2" w:rsidRPr="00821BC2">
              <w:rPr>
                <w:szCs w:val="24"/>
              </w:rPr>
              <w:t xml:space="preserve"> ir kaip bus </w:t>
            </w:r>
            <w:r w:rsidR="00821BC2" w:rsidRPr="00821BC2">
              <w:rPr>
                <w:szCs w:val="24"/>
                <w:u w:val="single"/>
              </w:rPr>
              <w:t>vertinami scenarijai</w:t>
            </w:r>
            <w:r w:rsidR="00821BC2" w:rsidRPr="00821BC2">
              <w:rPr>
                <w:szCs w:val="24"/>
              </w:rPr>
              <w:t>, Perkančioji organizacija (Paaiškinimas) nepateikė prašomos informacijos, o paaiškindama apie scenarijų vertinimą</w:t>
            </w:r>
            <w:r w:rsidR="00821BC2" w:rsidRPr="00821BC2">
              <w:rPr>
                <w:rStyle w:val="Puslapioinaosnuoroda"/>
                <w:szCs w:val="24"/>
              </w:rPr>
              <w:footnoteReference w:id="5"/>
            </w:r>
            <w:r w:rsidR="00821BC2" w:rsidRPr="00821BC2">
              <w:rPr>
                <w:szCs w:val="24"/>
              </w:rPr>
              <w:t>, nurodė, kad bus vertinama</w:t>
            </w:r>
            <w:r w:rsidR="00925135">
              <w:rPr>
                <w:szCs w:val="24"/>
              </w:rPr>
              <w:t xml:space="preserve"> pagal tuos pačius reikalavimus, kaip ir pirmai koncepcijos daliai</w:t>
            </w:r>
            <w:r w:rsidR="00AF652F">
              <w:rPr>
                <w:szCs w:val="24"/>
              </w:rPr>
              <w:t xml:space="preserve"> (kurioje turi būti nurodyta „</w:t>
            </w:r>
            <w:r w:rsidR="00AF652F" w:rsidRPr="002D50DD">
              <w:rPr>
                <w:i/>
                <w:szCs w:val="24"/>
              </w:rPr>
              <w:t>Perkančiosios organizacijos vaidmens įgyvendinant Lietuvos kaimo plėtros 2014-2020 m. programą (Programa), viešinant jų priemones analizė, idėjos, tikslų ir uždavinių aprašymas &lt;...&gt; (</w:t>
            </w:r>
            <w:r w:rsidR="00AF652F" w:rsidRPr="002D50DD">
              <w:rPr>
                <w:i/>
                <w:szCs w:val="24"/>
                <w:u w:val="single"/>
              </w:rPr>
              <w:t>apimtis iki 10 psl</w:t>
            </w:r>
            <w:r w:rsidR="00AF652F" w:rsidRPr="00AF652F">
              <w:rPr>
                <w:szCs w:val="24"/>
                <w:u w:val="single"/>
              </w:rPr>
              <w:t>.</w:t>
            </w:r>
            <w:r w:rsidR="00AF652F" w:rsidRPr="00AF652F">
              <w:rPr>
                <w:szCs w:val="24"/>
              </w:rPr>
              <w:t>)</w:t>
            </w:r>
            <w:r w:rsidR="00925135">
              <w:rPr>
                <w:szCs w:val="24"/>
              </w:rPr>
              <w:t xml:space="preserve"> ir</w:t>
            </w:r>
            <w:r w:rsidR="00821BC2" w:rsidRPr="00821BC2">
              <w:rPr>
                <w:szCs w:val="24"/>
              </w:rPr>
              <w:t xml:space="preserve"> pavyzdžiui, „ar scenarijai aktualūs ir argumentuoti“. Tačiau Pirkimo dokumentuose tokių </w:t>
            </w:r>
            <w:r w:rsidR="00925135">
              <w:rPr>
                <w:szCs w:val="24"/>
              </w:rPr>
              <w:t xml:space="preserve">scenarijų </w:t>
            </w:r>
            <w:r w:rsidR="00821BC2" w:rsidRPr="00821BC2">
              <w:rPr>
                <w:szCs w:val="24"/>
              </w:rPr>
              <w:t>vertinimo nuostatų nėra.</w:t>
            </w:r>
          </w:p>
          <w:p w14:paraId="6302263E" w14:textId="03522205" w:rsidR="00980F3F" w:rsidRPr="00FB4414" w:rsidRDefault="00980F3F" w:rsidP="00980F3F">
            <w:pPr>
              <w:shd w:val="clear" w:color="auto" w:fill="FFFFFF"/>
              <w:tabs>
                <w:tab w:val="left" w:pos="900"/>
              </w:tabs>
              <w:ind w:firstLine="880"/>
              <w:jc w:val="both"/>
            </w:pPr>
            <w:r w:rsidRPr="00FB4414">
              <w:rPr>
                <w:szCs w:val="24"/>
              </w:rPr>
              <w:t>Šiuo atveju akcentuotina LAT nutartis</w:t>
            </w:r>
            <w:r w:rsidRPr="00FB4414">
              <w:rPr>
                <w:rStyle w:val="Puslapioinaosnuoroda"/>
                <w:szCs w:val="24"/>
              </w:rPr>
              <w:footnoteReference w:id="6"/>
            </w:r>
            <w:r w:rsidRPr="00FB4414">
              <w:rPr>
                <w:szCs w:val="24"/>
              </w:rPr>
              <w:t xml:space="preserve"> byloje, kurioje buvo kilęs ginčas iš esmės dėl tokios pačio</w:t>
            </w:r>
            <w:r w:rsidR="00A93E6E">
              <w:rPr>
                <w:szCs w:val="24"/>
              </w:rPr>
              <w:t>s</w:t>
            </w:r>
            <w:r w:rsidRPr="00FB4414">
              <w:rPr>
                <w:szCs w:val="24"/>
              </w:rPr>
              <w:t xml:space="preserve"> nekonkrečios, sunkiai pamatuojamos ekonominio naudingumo vertinimo kriterijų balų skyrimo tvarkos. LAT konstatavo, kad </w:t>
            </w:r>
            <w:r w:rsidRPr="00FB4414">
              <w:rPr>
                <w:i/>
                <w:szCs w:val="24"/>
              </w:rPr>
              <w:t>„&lt;…&gt; nustatytų ekonominio naudingumo kriterijų &lt;…&gt; vertinimo aprašymai suformuluoti nekonkrečiai, abstrakčiai, aiškiai neapibrėžiant, kaip bus vertinama atitiktis nustatytiems kriterijams. Iš Pirkimo sąlygose nurodytų formuluočių darytina išvada, kad tiekėjai tarpusavyje ir perkančioji organizacija galėjo skirtingai suprasti ir vertinti, ar nurodytos konkrečios rizikos yra „realios ir valdomos“, o jų valdymo priemonės „realios ir pagrįstos“, kas laikoma „vadybos sistemų taikymo nauda“, taip pat kokiais atvejais pateiktas pagrindimas yra „aiškus“, „realus“.</w:t>
            </w:r>
            <w:r>
              <w:rPr>
                <w:i/>
                <w:szCs w:val="24"/>
              </w:rPr>
              <w:t xml:space="preserve"> </w:t>
            </w:r>
            <w:r>
              <w:rPr>
                <w:i/>
              </w:rPr>
              <w:t>&lt;...&gt;</w:t>
            </w:r>
            <w:r w:rsidRPr="00FB4414">
              <w:rPr>
                <w:i/>
              </w:rPr>
              <w:t xml:space="preserve"> </w:t>
            </w:r>
            <w:r w:rsidRPr="004C276D">
              <w:rPr>
                <w:i/>
                <w:u w:val="single"/>
              </w:rPr>
              <w:t xml:space="preserve">tais atvejais, kai pagal perkančiosios organizacijos </w:t>
            </w:r>
            <w:r w:rsidRPr="004C276D">
              <w:rPr>
                <w:i/>
                <w:u w:val="single"/>
              </w:rPr>
              <w:lastRenderedPageBreak/>
              <w:t>parengtas pirkimo sąlygas sprendžiant dėl tiekėjų pasiūlymų ekonominio naudingumo vertinamas ne konkretus matmuo (pvz., fizikinis dydis), tačiau prašoma pateikti nurodyto kriterijaus aprašymą</w:t>
            </w:r>
            <w:r w:rsidRPr="00FB4414">
              <w:rPr>
                <w:i/>
              </w:rPr>
              <w:t xml:space="preserve">, </w:t>
            </w:r>
            <w:r w:rsidRPr="004C276D">
              <w:rPr>
                <w:i/>
                <w:u w:val="single"/>
              </w:rPr>
              <w:t>perkančiajai organizacijai kyla pareiga kuo tiksliau ir detaliau aprašyti vertinimo kriterijus, kuriais remiantis bus skiriami konkretūs pasiūlymo ekonominio naudingumo balai.</w:t>
            </w:r>
            <w:r w:rsidRPr="00FB4414">
              <w:rPr>
                <w:i/>
              </w:rPr>
              <w:t xml:space="preserve"> &lt;...&gt; Pirkimo sąlygose nenustačius detalios kriterijų vertinimo sistemos, buvo sukurta situacija, kai konkretaus pasiūlymo vertinimas </w:t>
            </w:r>
            <w:r w:rsidRPr="004C276D">
              <w:rPr>
                <w:i/>
                <w:u w:val="single"/>
              </w:rPr>
              <w:t>priklausys nuo subjektyvaus vertintojo požiūrio</w:t>
            </w:r>
            <w:r w:rsidRPr="00FB4414">
              <w:rPr>
                <w:i/>
              </w:rPr>
              <w:t>, perkančiosios organizacijos poreikių ar motyvų, o tai neatitinka VPĮ įtvirtinto skaidrumo imperatyvo</w:t>
            </w:r>
            <w:r w:rsidRPr="00FB4414">
              <w:t>“.</w:t>
            </w:r>
            <w:r>
              <w:t xml:space="preserve"> </w:t>
            </w:r>
          </w:p>
          <w:p w14:paraId="6481F775" w14:textId="77777777" w:rsidR="00980F3F" w:rsidRDefault="00980F3F" w:rsidP="00980F3F">
            <w:pPr>
              <w:ind w:firstLine="880"/>
              <w:jc w:val="both"/>
              <w:rPr>
                <w:szCs w:val="24"/>
              </w:rPr>
            </w:pPr>
            <w:r w:rsidRPr="00FB4414">
              <w:rPr>
                <w:szCs w:val="24"/>
              </w:rPr>
              <w:t>Atsižvelgiant į išdėstytą, Tarnyba konstatuoja, kad Perkančiosios organizacijos pasirinkta pasiūlymų vertinimo tvarka ydinga, nes neužtikrina objektyvaus bei skaidraus pasiūlymų vertinimo (balų skyrimo), suteikia Perkančiajai organizacijai plačias galimybes subjektyviam pasiūlymų vertinimui, tuo neužtikrinama veiksminga tiekėjų konkurencija ir pažeidžiami Įstatymo 55 straipsnio 5 dalies reikalavimai bei Įstatymo 17 straipsnio 1 dalyje įtvirtintas skaidrumo principas.</w:t>
            </w:r>
          </w:p>
          <w:p w14:paraId="2E63D375" w14:textId="77777777" w:rsidR="00607032" w:rsidRPr="002A07F4" w:rsidRDefault="00607032" w:rsidP="009679D1">
            <w:pPr>
              <w:tabs>
                <w:tab w:val="left" w:pos="993"/>
              </w:tabs>
              <w:ind w:right="49"/>
              <w:jc w:val="both"/>
              <w:rPr>
                <w:i/>
                <w:szCs w:val="24"/>
              </w:rPr>
            </w:pPr>
          </w:p>
        </w:tc>
      </w:tr>
    </w:tbl>
    <w:p w14:paraId="01422464" w14:textId="77777777" w:rsidR="00704B10" w:rsidRPr="002A07F4" w:rsidRDefault="00704B10" w:rsidP="00091C45">
      <w:pPr>
        <w:rPr>
          <w:b/>
          <w:szCs w:val="24"/>
        </w:rPr>
      </w:pPr>
    </w:p>
    <w:p w14:paraId="617AB81D" w14:textId="77777777"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1A204A">
        <w:tc>
          <w:tcPr>
            <w:tcW w:w="1333" w:type="dxa"/>
            <w:tcBorders>
              <w:top w:val="single" w:sz="4" w:space="0" w:color="auto"/>
              <w:left w:val="single" w:sz="4" w:space="0" w:color="auto"/>
              <w:bottom w:val="single" w:sz="4" w:space="0" w:color="auto"/>
              <w:right w:val="single" w:sz="4" w:space="0" w:color="auto"/>
            </w:tcBorders>
            <w:hideMark/>
          </w:tcPr>
          <w:p w14:paraId="6B90E422" w14:textId="77777777"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hideMark/>
          </w:tcPr>
          <w:p w14:paraId="292817AA" w14:textId="77777777"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77777777" w:rsidR="002A07F4" w:rsidRPr="002A07F4" w:rsidRDefault="001A204A">
            <w:pPr>
              <w:tabs>
                <w:tab w:val="left" w:pos="993"/>
              </w:tabs>
              <w:ind w:right="49"/>
              <w:jc w:val="both"/>
              <w:rPr>
                <w:i/>
                <w:szCs w:val="24"/>
              </w:rPr>
            </w:pPr>
            <w:r>
              <w:rPr>
                <w:i/>
                <w:szCs w:val="24"/>
              </w:rPr>
              <w:t>-</w:t>
            </w:r>
          </w:p>
        </w:tc>
      </w:tr>
    </w:tbl>
    <w:p w14:paraId="56AD0C8A" w14:textId="77777777" w:rsidR="009D370E" w:rsidRPr="002A07F4" w:rsidRDefault="009D370E"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5CD758CC" w14:textId="046EB3C4" w:rsidR="001654B7" w:rsidRPr="004D04C1" w:rsidRDefault="00A02F8F" w:rsidP="00A02F8F">
            <w:pPr>
              <w:ind w:firstLine="880"/>
              <w:jc w:val="both"/>
              <w:rPr>
                <w:szCs w:val="24"/>
              </w:rPr>
            </w:pPr>
            <w:r w:rsidRPr="004D04C1">
              <w:rPr>
                <w:bCs/>
                <w:szCs w:val="24"/>
                <w:lang w:eastAsia="lt-LT"/>
              </w:rPr>
              <w:t>Vertinimo išvado</w:t>
            </w:r>
            <w:r w:rsidR="008E307C" w:rsidRPr="004D04C1">
              <w:rPr>
                <w:bCs/>
                <w:szCs w:val="24"/>
                <w:lang w:eastAsia="lt-LT"/>
              </w:rPr>
              <w:t xml:space="preserve">je </w:t>
            </w:r>
            <w:r w:rsidR="003E0232" w:rsidRPr="004D04C1">
              <w:rPr>
                <w:bCs/>
                <w:szCs w:val="24"/>
                <w:lang w:eastAsia="lt-LT"/>
              </w:rPr>
              <w:t xml:space="preserve">Tarnyba </w:t>
            </w:r>
            <w:r w:rsidR="008E307C" w:rsidRPr="004D04C1">
              <w:rPr>
                <w:bCs/>
                <w:szCs w:val="24"/>
                <w:lang w:eastAsia="lt-LT"/>
              </w:rPr>
              <w:t>konstatavo</w:t>
            </w:r>
            <w:r w:rsidR="00D70F34" w:rsidRPr="004D04C1">
              <w:rPr>
                <w:bCs/>
                <w:szCs w:val="24"/>
                <w:lang w:eastAsia="lt-LT"/>
              </w:rPr>
              <w:t>, kad</w:t>
            </w:r>
            <w:r w:rsidR="00C0112C" w:rsidRPr="004D04C1">
              <w:rPr>
                <w:szCs w:val="24"/>
              </w:rPr>
              <w:t xml:space="preserve"> Perkančioji organizacija parengdama Pirkimo dokumentus </w:t>
            </w:r>
            <w:r w:rsidR="00A92747" w:rsidRPr="004D04C1">
              <w:rPr>
                <w:szCs w:val="24"/>
              </w:rPr>
              <w:t>pažeidė Įstatymo 47 straipsnio 1 dalies</w:t>
            </w:r>
            <w:r w:rsidR="00A85D17">
              <w:rPr>
                <w:szCs w:val="24"/>
              </w:rPr>
              <w:t xml:space="preserve"> reikalavimus</w:t>
            </w:r>
            <w:r w:rsidR="00A92747" w:rsidRPr="004D04C1">
              <w:rPr>
                <w:szCs w:val="24"/>
              </w:rPr>
              <w:t xml:space="preserve">, </w:t>
            </w:r>
            <w:r w:rsidR="00C0112C" w:rsidRPr="004D04C1">
              <w:rPr>
                <w:szCs w:val="24"/>
              </w:rPr>
              <w:t>neužtikrino veiksmingos tiekėjų konkurencijos</w:t>
            </w:r>
            <w:r w:rsidR="00A92747" w:rsidRPr="004D04C1">
              <w:rPr>
                <w:szCs w:val="24"/>
              </w:rPr>
              <w:t xml:space="preserve"> ir tuo</w:t>
            </w:r>
            <w:r w:rsidR="00C0112C" w:rsidRPr="004D04C1">
              <w:rPr>
                <w:szCs w:val="24"/>
              </w:rPr>
              <w:t xml:space="preserve"> pažeidė </w:t>
            </w:r>
            <w:r w:rsidR="003E0232" w:rsidRPr="004D04C1">
              <w:rPr>
                <w:szCs w:val="24"/>
              </w:rPr>
              <w:t>Įstatymo 55 s</w:t>
            </w:r>
            <w:r w:rsidR="00A85D17">
              <w:rPr>
                <w:szCs w:val="24"/>
              </w:rPr>
              <w:t>traipsnio 5 dalies reikalavimus bei</w:t>
            </w:r>
            <w:r w:rsidR="003E0232" w:rsidRPr="004D04C1">
              <w:rPr>
                <w:szCs w:val="24"/>
              </w:rPr>
              <w:t xml:space="preserve"> </w:t>
            </w:r>
            <w:r w:rsidR="00C0112C" w:rsidRPr="004D04C1">
              <w:rPr>
                <w:szCs w:val="24"/>
              </w:rPr>
              <w:t>Įstatymo 17 straipsnio 1 dalyje įtvirtint</w:t>
            </w:r>
            <w:r w:rsidR="00AC0584" w:rsidRPr="004D04C1">
              <w:rPr>
                <w:szCs w:val="24"/>
              </w:rPr>
              <w:t>ą</w:t>
            </w:r>
            <w:r w:rsidR="003E0232" w:rsidRPr="004D04C1">
              <w:rPr>
                <w:szCs w:val="24"/>
              </w:rPr>
              <w:t xml:space="preserve"> skaidrumo princip</w:t>
            </w:r>
            <w:r w:rsidR="00AC0584" w:rsidRPr="004D04C1">
              <w:rPr>
                <w:szCs w:val="24"/>
              </w:rPr>
              <w:t>ą</w:t>
            </w:r>
            <w:r w:rsidR="001654B7" w:rsidRPr="004D04C1">
              <w:rPr>
                <w:szCs w:val="24"/>
              </w:rPr>
              <w:t>.</w:t>
            </w:r>
          </w:p>
          <w:p w14:paraId="72DC3E96" w14:textId="057EED1D" w:rsidR="008E307C" w:rsidRPr="004D04C1" w:rsidRDefault="003E0232" w:rsidP="00A02F8F">
            <w:pPr>
              <w:ind w:firstLine="880"/>
              <w:jc w:val="both"/>
              <w:rPr>
                <w:szCs w:val="24"/>
              </w:rPr>
            </w:pPr>
            <w:r w:rsidRPr="004D04C1">
              <w:rPr>
                <w:szCs w:val="24"/>
              </w:rPr>
              <w:t>Atsižvelgdama į tai</w:t>
            </w:r>
            <w:r w:rsidR="00C92E3D">
              <w:rPr>
                <w:szCs w:val="24"/>
              </w:rPr>
              <w:t xml:space="preserve"> ir į Lietuvos Aukščiausiojo teismo poziciją</w:t>
            </w:r>
            <w:r w:rsidR="00C92E3D">
              <w:rPr>
                <w:rStyle w:val="Puslapioinaosnuoroda"/>
                <w:szCs w:val="24"/>
              </w:rPr>
              <w:footnoteReference w:id="7"/>
            </w:r>
            <w:r w:rsidRPr="004D04C1">
              <w:rPr>
                <w:szCs w:val="24"/>
              </w:rPr>
              <w:t>, Tarnyba, vadovaudamasi Įstatymo 95 straipsnio 2 dalies 5 punktu</w:t>
            </w:r>
            <w:r w:rsidR="00E35859" w:rsidRPr="004D04C1">
              <w:rPr>
                <w:rStyle w:val="Puslapioinaosnuoroda"/>
                <w:szCs w:val="24"/>
              </w:rPr>
              <w:footnoteReference w:id="8"/>
            </w:r>
            <w:r w:rsidRPr="004D04C1">
              <w:rPr>
                <w:szCs w:val="24"/>
              </w:rPr>
              <w:t>, įpareigoja Perkančiąją organizaciją:</w:t>
            </w:r>
          </w:p>
          <w:p w14:paraId="0659EC2B" w14:textId="77777777" w:rsidR="003E0232" w:rsidRPr="004D04C1" w:rsidRDefault="003E0232" w:rsidP="003E0232">
            <w:pPr>
              <w:pStyle w:val="Sraopastraipa"/>
              <w:numPr>
                <w:ilvl w:val="0"/>
                <w:numId w:val="13"/>
              </w:numPr>
              <w:jc w:val="both"/>
              <w:rPr>
                <w:szCs w:val="24"/>
              </w:rPr>
            </w:pPr>
            <w:r w:rsidRPr="004D04C1">
              <w:rPr>
                <w:szCs w:val="24"/>
              </w:rPr>
              <w:t>Nutraukti Pirkimo procedūras.</w:t>
            </w:r>
          </w:p>
          <w:p w14:paraId="42C5E1D9" w14:textId="77777777" w:rsidR="003E0232" w:rsidRPr="004D04C1" w:rsidRDefault="003E0232" w:rsidP="003E0232">
            <w:pPr>
              <w:pStyle w:val="Sraopastraipa"/>
              <w:numPr>
                <w:ilvl w:val="0"/>
                <w:numId w:val="13"/>
              </w:numPr>
              <w:ind w:left="0" w:firstLine="880"/>
              <w:jc w:val="both"/>
              <w:rPr>
                <w:szCs w:val="24"/>
              </w:rPr>
            </w:pPr>
            <w:r w:rsidRPr="004D04C1">
              <w:rPr>
                <w:szCs w:val="24"/>
              </w:rPr>
              <w:t>Informuoti Tarnybą raštu, per 21 d.</w:t>
            </w:r>
            <w:r w:rsidR="00E35859" w:rsidRPr="004D04C1">
              <w:rPr>
                <w:szCs w:val="24"/>
              </w:rPr>
              <w:t xml:space="preserve"> </w:t>
            </w:r>
            <w:r w:rsidRPr="004D04C1">
              <w:rPr>
                <w:szCs w:val="24"/>
              </w:rPr>
              <w:t>d., apie įpareigojimo įvykdymą ir pateikti tai patvirtinančius dokumentus.</w:t>
            </w:r>
          </w:p>
          <w:p w14:paraId="17C8E16A" w14:textId="34575323" w:rsidR="002A07F4" w:rsidRPr="004D04C1" w:rsidRDefault="000D6E31" w:rsidP="00492B0D">
            <w:pPr>
              <w:tabs>
                <w:tab w:val="left" w:pos="900"/>
              </w:tabs>
              <w:ind w:firstLine="880"/>
              <w:contextualSpacing/>
              <w:jc w:val="both"/>
              <w:rPr>
                <w:szCs w:val="24"/>
              </w:rPr>
            </w:pPr>
            <w:r w:rsidRPr="004D04C1">
              <w:rPr>
                <w:bCs/>
                <w:szCs w:val="24"/>
                <w:lang w:eastAsia="lt-LT"/>
              </w:rPr>
              <w:t>Vadovaujantis Lietuvos Respublikos administracinių bylų teisenos įstatymo 5 ir 17 straipsniais, nesutikę su Tarnybos sprendimu, Jūs galite jį apskųsti teismui šio įstatymo nustatyta tvarka.</w:t>
            </w:r>
          </w:p>
        </w:tc>
      </w:tr>
    </w:tbl>
    <w:p w14:paraId="64D1C22C" w14:textId="77777777" w:rsidR="00BB474D" w:rsidRDefault="00BB474D" w:rsidP="00492B0D">
      <w:pPr>
        <w:jc w:val="center"/>
        <w:rPr>
          <w:b/>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3C601872" w14:textId="6335E84B" w:rsidR="00582D45" w:rsidRPr="00582D45" w:rsidRDefault="00582D45" w:rsidP="00582D45">
            <w:pPr>
              <w:pStyle w:val="Sraopastraipa"/>
              <w:numPr>
                <w:ilvl w:val="0"/>
                <w:numId w:val="24"/>
              </w:numPr>
              <w:ind w:left="29" w:firstLine="851"/>
              <w:jc w:val="both"/>
              <w:rPr>
                <w:szCs w:val="24"/>
              </w:rPr>
            </w:pPr>
            <w:r w:rsidRPr="00582D45">
              <w:rPr>
                <w:szCs w:val="24"/>
              </w:rPr>
              <w:t>Pirkimo sąlygų 12.1 punkte nustatyti pasiūlymų vertinimo kriterijai: pirmas kriterijus – kaina (lyg. svoris 40), antras kriterijus – kokybė (lyg. svoris 60).</w:t>
            </w:r>
          </w:p>
          <w:p w14:paraId="4D96A095" w14:textId="77777777" w:rsidR="00582D45" w:rsidRDefault="00582D45" w:rsidP="00582D45">
            <w:pPr>
              <w:ind w:firstLine="880"/>
              <w:jc w:val="both"/>
              <w:rPr>
                <w:szCs w:val="24"/>
              </w:rPr>
            </w:pPr>
            <w:r>
              <w:rPr>
                <w:szCs w:val="24"/>
              </w:rPr>
              <w:t xml:space="preserve">Įvertinus Pirkimo dokumentuose nustatytus reikalavimus, susijusius su ekonomiškai naudingiausio pasiūlymo vertinimo kriterijaus „Kokybė“ </w:t>
            </w:r>
            <w:r w:rsidRPr="00AE6D3D">
              <w:rPr>
                <w:b/>
                <w:szCs w:val="24"/>
              </w:rPr>
              <w:t>formulavimu</w:t>
            </w:r>
            <w:r>
              <w:rPr>
                <w:b/>
                <w:szCs w:val="24"/>
              </w:rPr>
              <w:t xml:space="preserve"> (išdėstymu)</w:t>
            </w:r>
            <w:r>
              <w:rPr>
                <w:szCs w:val="24"/>
              </w:rPr>
              <w:t>, Tarnyba nustatė, kad:</w:t>
            </w:r>
          </w:p>
          <w:p w14:paraId="269B65CC" w14:textId="2EAC4E2C" w:rsidR="00582D45" w:rsidRDefault="00582D45" w:rsidP="00582D45">
            <w:pPr>
              <w:ind w:firstLine="880"/>
              <w:jc w:val="both"/>
              <w:rPr>
                <w:szCs w:val="24"/>
              </w:rPr>
            </w:pPr>
            <w:r>
              <w:rPr>
                <w:szCs w:val="24"/>
              </w:rPr>
              <w:t xml:space="preserve">1.1. Pirkimo sąlygų 12.1 punkte (lentelėje) nurodyta, kad pagal antrą kriterijų „Kokybė“ yra vertinama </w:t>
            </w:r>
            <w:r w:rsidRPr="0089077B">
              <w:rPr>
                <w:szCs w:val="24"/>
              </w:rPr>
              <w:t xml:space="preserve">„televizijos laidų ciklo </w:t>
            </w:r>
            <w:r w:rsidRPr="0089077B">
              <w:rPr>
                <w:szCs w:val="24"/>
                <w:u w:val="single"/>
              </w:rPr>
              <w:t>kūrimo</w:t>
            </w:r>
            <w:r w:rsidRPr="0089077B">
              <w:rPr>
                <w:szCs w:val="24"/>
              </w:rPr>
              <w:t xml:space="preserve"> koncepcija (TV laidų detali struktūra ir scenarijus)“</w:t>
            </w:r>
            <w:r w:rsidRPr="00F72A20">
              <w:rPr>
                <w:szCs w:val="24"/>
              </w:rPr>
              <w:t xml:space="preserve">, o </w:t>
            </w:r>
            <w:r>
              <w:rPr>
                <w:szCs w:val="24"/>
              </w:rPr>
              <w:t xml:space="preserve">Pirkimo sąlygų 1 priedo (A pasiūlymo forma) 2 lentelėje nurodyta, kad pateikiama „Televizijos laidų ciklo </w:t>
            </w:r>
            <w:r w:rsidRPr="0089077B">
              <w:rPr>
                <w:szCs w:val="24"/>
                <w:u w:val="single"/>
              </w:rPr>
              <w:t>sukūrimo ir transliavimo</w:t>
            </w:r>
            <w:r>
              <w:rPr>
                <w:szCs w:val="24"/>
              </w:rPr>
              <w:t xml:space="preserve"> paslaugų koncepcija“. Tarnybai paprašius paaiškinti, Perkančioji organizacija Paaiškinime nurodė, kad „transliavimo koncepcijos“ kurti nereikia, ji nebus vertinama. </w:t>
            </w:r>
            <w:r>
              <w:rPr>
                <w:szCs w:val="24"/>
              </w:rPr>
              <w:lastRenderedPageBreak/>
              <w:t>Tačiau Pirkimo dokumentuose nustatyta kitaip (</w:t>
            </w:r>
            <w:r w:rsidRPr="000E1354">
              <w:rPr>
                <w:i/>
                <w:szCs w:val="24"/>
              </w:rPr>
              <w:t>viename dokumente – televizijos laidų ciklo kūrimo koncepcija, kitame – televizijos laidų ciklo sukūrimo ir transliavimo paslaugų koncepcija</w:t>
            </w:r>
            <w:r>
              <w:rPr>
                <w:szCs w:val="24"/>
              </w:rPr>
              <w:t>);</w:t>
            </w:r>
          </w:p>
          <w:p w14:paraId="329D0BA4" w14:textId="5D04E7D0" w:rsidR="00582D45" w:rsidRDefault="00582D45" w:rsidP="00582D45">
            <w:pPr>
              <w:ind w:firstLine="880"/>
              <w:jc w:val="both"/>
              <w:rPr>
                <w:b/>
                <w:szCs w:val="24"/>
                <w:u w:val="single"/>
              </w:rPr>
            </w:pPr>
            <w:r>
              <w:rPr>
                <w:szCs w:val="24"/>
              </w:rPr>
              <w:t>1.2. Pirkimo sąlygų 2 priede (Techninė specifikacija) nustatyta, kad „</w:t>
            </w:r>
            <w:r w:rsidRPr="002D50DD">
              <w:rPr>
                <w:i/>
                <w:szCs w:val="24"/>
              </w:rPr>
              <w:t xml:space="preserve">atsižvelgdamas į visus Techninėje specifikacijoje </w:t>
            </w:r>
            <w:r w:rsidRPr="00A56C30">
              <w:rPr>
                <w:i/>
                <w:szCs w:val="24"/>
                <w:u w:val="single"/>
              </w:rPr>
              <w:t>pateiktus reikalavimus perkamoms paslaugoms ir turiniui</w:t>
            </w:r>
            <w:r w:rsidRPr="002D50DD">
              <w:rPr>
                <w:i/>
                <w:szCs w:val="24"/>
              </w:rPr>
              <w:t xml:space="preserve">, pasiūlyme Tiekėjas </w:t>
            </w:r>
            <w:r w:rsidRPr="006F24F5">
              <w:rPr>
                <w:i/>
                <w:szCs w:val="24"/>
                <w:u w:val="single"/>
              </w:rPr>
              <w:t>turi pateikti</w:t>
            </w:r>
            <w:r w:rsidRPr="002D50DD">
              <w:rPr>
                <w:i/>
                <w:szCs w:val="24"/>
              </w:rPr>
              <w:t xml:space="preserve">: pagal Konkurso sąlygose nurodytą vertinimo kriterijų turi būti pateikta </w:t>
            </w:r>
            <w:r w:rsidRPr="00D446A4">
              <w:rPr>
                <w:b/>
                <w:i/>
                <w:szCs w:val="24"/>
              </w:rPr>
              <w:t>Televizijos laidų ciklo kūrimo koncepcija</w:t>
            </w:r>
            <w:r w:rsidRPr="002D50DD">
              <w:rPr>
                <w:i/>
                <w:szCs w:val="24"/>
              </w:rPr>
              <w:t xml:space="preserve"> (T</w:t>
            </w:r>
            <w:r w:rsidRPr="002D50DD">
              <w:rPr>
                <w:i/>
                <w:szCs w:val="24"/>
                <w:vertAlign w:val="subscript"/>
              </w:rPr>
              <w:t>1</w:t>
            </w:r>
            <w:r w:rsidRPr="002D50DD">
              <w:rPr>
                <w:i/>
                <w:szCs w:val="24"/>
              </w:rPr>
              <w:t>). Joje turi būti: pavadinimas, Perkančiosios organizacijos vaidmens įgyvendinant Lietuvos kaimo plėtros 2014-2020 m. programą (Programa), viešinant jų priemones analizė, idėjos, tikslų ir uždavinių aprašymas &lt;...&gt; (</w:t>
            </w:r>
            <w:r w:rsidRPr="002D50DD">
              <w:rPr>
                <w:i/>
                <w:szCs w:val="24"/>
                <w:u w:val="single"/>
              </w:rPr>
              <w:t>apimtis iki 10 psl.</w:t>
            </w:r>
            <w:r w:rsidRPr="002D50DD">
              <w:rPr>
                <w:i/>
                <w:szCs w:val="24"/>
              </w:rPr>
              <w:t xml:space="preserve">) bei </w:t>
            </w:r>
            <w:r w:rsidRPr="00935AA7">
              <w:rPr>
                <w:i/>
                <w:szCs w:val="24"/>
              </w:rPr>
              <w:t>2 (dviejų) televizijos laidų detali struktūra ir scenarijai</w:t>
            </w:r>
            <w:r w:rsidRPr="002D50DD">
              <w:rPr>
                <w:i/>
                <w:szCs w:val="24"/>
              </w:rPr>
              <w:t xml:space="preserve"> (</w:t>
            </w:r>
            <w:r w:rsidRPr="002D50DD">
              <w:rPr>
                <w:i/>
                <w:szCs w:val="24"/>
                <w:u w:val="single"/>
              </w:rPr>
              <w:t>apimtis iki 10 psl.</w:t>
            </w:r>
            <w:r w:rsidRPr="002D50DD">
              <w:rPr>
                <w:i/>
                <w:szCs w:val="24"/>
              </w:rPr>
              <w:t>) &lt;...&gt;</w:t>
            </w:r>
            <w:r>
              <w:rPr>
                <w:szCs w:val="24"/>
              </w:rPr>
              <w:t xml:space="preserve">“. </w:t>
            </w:r>
          </w:p>
          <w:p w14:paraId="4DD465D3" w14:textId="77777777" w:rsidR="00582D45" w:rsidRDefault="00582D45" w:rsidP="00582D45">
            <w:pPr>
              <w:ind w:firstLine="880"/>
              <w:jc w:val="both"/>
              <w:rPr>
                <w:szCs w:val="24"/>
              </w:rPr>
            </w:pPr>
            <w:r>
              <w:rPr>
                <w:szCs w:val="24"/>
              </w:rPr>
              <w:t>Tačiau Pirkimo dokumentų kitose dalyse vartojamos skirtingos sudedamosios dalys, pavyzdžiui:</w:t>
            </w:r>
          </w:p>
          <w:p w14:paraId="685321EC" w14:textId="77777777" w:rsidR="00582D45" w:rsidRDefault="00582D45" w:rsidP="00582D45">
            <w:pPr>
              <w:ind w:firstLine="880"/>
              <w:jc w:val="both"/>
              <w:rPr>
                <w:szCs w:val="24"/>
              </w:rPr>
            </w:pPr>
            <w:r>
              <w:rPr>
                <w:szCs w:val="24"/>
              </w:rPr>
              <w:t>-</w:t>
            </w:r>
            <w:r w:rsidRPr="009A5570">
              <w:rPr>
                <w:szCs w:val="24"/>
              </w:rPr>
              <w:t xml:space="preserve"> P</w:t>
            </w:r>
            <w:r>
              <w:rPr>
                <w:szCs w:val="24"/>
              </w:rPr>
              <w:t>irkimo sąlygų 12.1 punkte (</w:t>
            </w:r>
            <w:r w:rsidRPr="00A52C17">
              <w:rPr>
                <w:i/>
                <w:szCs w:val="24"/>
              </w:rPr>
              <w:t>pasiūlymų vertinimo kriterijai</w:t>
            </w:r>
            <w:r>
              <w:rPr>
                <w:szCs w:val="24"/>
              </w:rPr>
              <w:t>) nustatyta, kad „</w:t>
            </w:r>
            <w:r w:rsidRPr="00D446A4">
              <w:rPr>
                <w:b/>
                <w:szCs w:val="24"/>
              </w:rPr>
              <w:t>Televizijos laidų ciklo kūrimo koncepcij</w:t>
            </w:r>
            <w:r>
              <w:rPr>
                <w:b/>
                <w:szCs w:val="24"/>
              </w:rPr>
              <w:t xml:space="preserve">ą“ </w:t>
            </w:r>
            <w:r w:rsidRPr="00F96F09">
              <w:rPr>
                <w:szCs w:val="24"/>
              </w:rPr>
              <w:t>api</w:t>
            </w:r>
            <w:r>
              <w:rPr>
                <w:szCs w:val="24"/>
              </w:rPr>
              <w:t>budina</w:t>
            </w:r>
            <w:r w:rsidRPr="00F96F09">
              <w:rPr>
                <w:szCs w:val="24"/>
              </w:rPr>
              <w:t xml:space="preserve"> tik viena dalis</w:t>
            </w:r>
            <w:r>
              <w:rPr>
                <w:b/>
                <w:szCs w:val="24"/>
              </w:rPr>
              <w:t xml:space="preserve"> – </w:t>
            </w:r>
            <w:r w:rsidRPr="00F96F09">
              <w:rPr>
                <w:szCs w:val="24"/>
                <w:u w:val="single"/>
              </w:rPr>
              <w:t>„TV laidų detali struktūra ir scenarijus</w:t>
            </w:r>
            <w:r>
              <w:rPr>
                <w:szCs w:val="24"/>
              </w:rPr>
              <w:t>“;</w:t>
            </w:r>
          </w:p>
          <w:p w14:paraId="58494582" w14:textId="77777777" w:rsidR="00582D45" w:rsidRPr="00CA6419" w:rsidRDefault="00582D45" w:rsidP="00582D45">
            <w:pPr>
              <w:ind w:firstLine="880"/>
              <w:jc w:val="both"/>
              <w:rPr>
                <w:szCs w:val="24"/>
              </w:rPr>
            </w:pPr>
            <w:r>
              <w:rPr>
                <w:szCs w:val="24"/>
              </w:rPr>
              <w:t>-</w:t>
            </w:r>
            <w:r w:rsidRPr="009A5570">
              <w:rPr>
                <w:szCs w:val="24"/>
              </w:rPr>
              <w:t xml:space="preserve"> </w:t>
            </w:r>
            <w:r>
              <w:rPr>
                <w:szCs w:val="24"/>
              </w:rPr>
              <w:t>Pirkimo sąlygų 4 priedo (</w:t>
            </w:r>
            <w:r w:rsidRPr="00A52C17">
              <w:rPr>
                <w:i/>
                <w:szCs w:val="24"/>
              </w:rPr>
              <w:t>Ekonomiškai naudingiausio (kainos ar sąnaudų ir kokybės) pasiūlymų vertinimo kriterijai ir tvarka</w:t>
            </w:r>
            <w:r>
              <w:rPr>
                <w:szCs w:val="24"/>
              </w:rPr>
              <w:t xml:space="preserve">) 1 punkte nustatyta, kad į </w:t>
            </w:r>
            <w:r w:rsidRPr="00F96F09">
              <w:rPr>
                <w:szCs w:val="24"/>
                <w:u w:val="single"/>
              </w:rPr>
              <w:t>„TV laidų detali</w:t>
            </w:r>
            <w:r>
              <w:rPr>
                <w:szCs w:val="24"/>
                <w:u w:val="single"/>
              </w:rPr>
              <w:t>ą</w:t>
            </w:r>
            <w:r w:rsidRPr="00F96F09">
              <w:rPr>
                <w:szCs w:val="24"/>
                <w:u w:val="single"/>
              </w:rPr>
              <w:t xml:space="preserve"> struktūr</w:t>
            </w:r>
            <w:r>
              <w:rPr>
                <w:szCs w:val="24"/>
                <w:u w:val="single"/>
              </w:rPr>
              <w:t>ą</w:t>
            </w:r>
            <w:r w:rsidRPr="00F96F09">
              <w:rPr>
                <w:szCs w:val="24"/>
                <w:u w:val="single"/>
              </w:rPr>
              <w:t xml:space="preserve"> ir scenarijus</w:t>
            </w:r>
            <w:r>
              <w:rPr>
                <w:szCs w:val="24"/>
              </w:rPr>
              <w:t xml:space="preserve">“ </w:t>
            </w:r>
            <w:r w:rsidRPr="00CA6419">
              <w:rPr>
                <w:szCs w:val="24"/>
              </w:rPr>
              <w:t xml:space="preserve">įeina ir koncepcijos </w:t>
            </w:r>
            <w:r>
              <w:rPr>
                <w:szCs w:val="24"/>
              </w:rPr>
              <w:t>ap</w:t>
            </w:r>
            <w:r w:rsidRPr="00CA6419">
              <w:rPr>
                <w:szCs w:val="24"/>
              </w:rPr>
              <w:t xml:space="preserve">rašymas ir </w:t>
            </w:r>
            <w:r>
              <w:rPr>
                <w:szCs w:val="24"/>
              </w:rPr>
              <w:t>dviejų</w:t>
            </w:r>
            <w:r w:rsidRPr="00CA6419">
              <w:rPr>
                <w:szCs w:val="24"/>
              </w:rPr>
              <w:t xml:space="preserve"> televizijos laidų detali struktūra ir scenarijai</w:t>
            </w:r>
            <w:r>
              <w:rPr>
                <w:szCs w:val="24"/>
              </w:rPr>
              <w:t>.</w:t>
            </w:r>
          </w:p>
          <w:p w14:paraId="0DFC5FDA" w14:textId="0D7830A1" w:rsidR="00582D45" w:rsidRPr="00821BC2" w:rsidRDefault="00582D45" w:rsidP="00582D45">
            <w:pPr>
              <w:tabs>
                <w:tab w:val="left" w:pos="993"/>
              </w:tabs>
              <w:ind w:right="49" w:firstLine="880"/>
              <w:jc w:val="both"/>
              <w:rPr>
                <w:szCs w:val="24"/>
              </w:rPr>
            </w:pPr>
            <w:r w:rsidRPr="00821BC2">
              <w:rPr>
                <w:szCs w:val="24"/>
              </w:rPr>
              <w:t xml:space="preserve">Tarnyba </w:t>
            </w:r>
            <w:r>
              <w:rPr>
                <w:szCs w:val="24"/>
              </w:rPr>
              <w:t>pažymi</w:t>
            </w:r>
            <w:r w:rsidRPr="00821BC2">
              <w:rPr>
                <w:szCs w:val="24"/>
              </w:rPr>
              <w:t xml:space="preserve">, kad Pirkimo dokumentai </w:t>
            </w:r>
            <w:r w:rsidR="00883014">
              <w:rPr>
                <w:szCs w:val="24"/>
              </w:rPr>
              <w:t xml:space="preserve">turi </w:t>
            </w:r>
            <w:r w:rsidRPr="00821BC2">
              <w:rPr>
                <w:szCs w:val="24"/>
              </w:rPr>
              <w:t>būt</w:t>
            </w:r>
            <w:r w:rsidR="00883014">
              <w:rPr>
                <w:szCs w:val="24"/>
              </w:rPr>
              <w:t>i</w:t>
            </w:r>
            <w:r w:rsidRPr="00821BC2">
              <w:rPr>
                <w:szCs w:val="24"/>
              </w:rPr>
              <w:t xml:space="preserve"> tikslūs, aiškūs, be dviprasmybių, kad tiekėjai galėtų pateikti pasiūlymus, o perkančioji organizacija nupirkti tai ko reikia (Įstatymo 35 straipsnio 4 dalis)</w:t>
            </w:r>
            <w:r>
              <w:rPr>
                <w:szCs w:val="24"/>
              </w:rPr>
              <w:t>.</w:t>
            </w:r>
          </w:p>
          <w:p w14:paraId="1AB91694" w14:textId="3141C1F8" w:rsidR="00103CB1" w:rsidRPr="0021451F" w:rsidRDefault="00103CB1" w:rsidP="00103CB1">
            <w:pPr>
              <w:ind w:firstLine="880"/>
              <w:jc w:val="both"/>
              <w:rPr>
                <w:szCs w:val="24"/>
              </w:rPr>
            </w:pPr>
            <w:r>
              <w:rPr>
                <w:szCs w:val="24"/>
              </w:rPr>
              <w:t xml:space="preserve">2. Pirkimo sąlygų 4 priedo (Ekonomiškai naudingiausio (kainos ar sąnaudų ir kokybės) pasiūlymo vertinimo kriterijai ir tvarka) 7.1 punkte nustatyta, kad „Parametro Televizijos laidų ciklo kūrimo koncepcija (TV laidų detali struktūra ir scenarijus) (R) balų skalė padalinta į kokybinius intervalus: </w:t>
            </w:r>
            <w:r w:rsidRPr="0021451F">
              <w:rPr>
                <w:szCs w:val="24"/>
              </w:rPr>
              <w:t>gerai (8-10)</w:t>
            </w:r>
            <w:r>
              <w:rPr>
                <w:szCs w:val="24"/>
              </w:rPr>
              <w:t>, vidutiniškai (4-7), silpnai (1-3) blogai (0)“.</w:t>
            </w:r>
            <w:r w:rsidRPr="0021451F">
              <w:rPr>
                <w:szCs w:val="24"/>
              </w:rPr>
              <w:t xml:space="preserve"> </w:t>
            </w:r>
            <w:r>
              <w:rPr>
                <w:szCs w:val="24"/>
              </w:rPr>
              <w:t xml:space="preserve">Nenurodyta, kad pasiūlymai gali būti įvertinti tik sveikais skaičiais, todėl sprendžiama, kad „balų skalėje“ </w:t>
            </w:r>
            <w:r w:rsidRPr="0089077B">
              <w:rPr>
                <w:szCs w:val="24"/>
                <w:u w:val="single"/>
              </w:rPr>
              <w:t>nenustatytas vertinimas nuo 7,1 iki 7,9, nuo 3,1 iki 3,9, nuo 0,1 iki 0,9</w:t>
            </w:r>
            <w:r>
              <w:rPr>
                <w:szCs w:val="24"/>
              </w:rPr>
              <w:t>. Pagal pateiktą „balų skalę“ ekspertams sudaryta galimybė įvertinti pasiūlymą, pvz., 8,5 balo, 9,5 balo, tačiau įvertinti pasiūlymą 7,5 balo nėra galimybių (</w:t>
            </w:r>
            <w:r w:rsidRPr="00EA2915">
              <w:rPr>
                <w:i/>
                <w:szCs w:val="24"/>
              </w:rPr>
              <w:t>tuo atveju, jeigu pagal ekspertų įvertinimų vidurkį pasiūlymas būtų įvertintas 7,5 balo, būtų neaišku ar pasiūlymas būtų priskiriamas prie „gerai“ vertinamų „nuo 8 iki 10 balų“ ar prie „vidutiniškai“ – „nuo 4 iki 7 balų“</w:t>
            </w:r>
            <w:r>
              <w:rPr>
                <w:szCs w:val="24"/>
              </w:rPr>
              <w:t>).</w:t>
            </w:r>
          </w:p>
          <w:p w14:paraId="1EBC6721" w14:textId="788B1FE7" w:rsidR="006B4DD7" w:rsidRPr="004D04C1" w:rsidRDefault="00AC466D" w:rsidP="00AC466D">
            <w:pPr>
              <w:ind w:firstLine="880"/>
              <w:jc w:val="both"/>
              <w:rPr>
                <w:sz w:val="22"/>
              </w:rPr>
            </w:pPr>
            <w:r>
              <w:rPr>
                <w:szCs w:val="24"/>
              </w:rPr>
              <w:t xml:space="preserve">3. </w:t>
            </w:r>
            <w:r w:rsidR="0001104A">
              <w:rPr>
                <w:szCs w:val="24"/>
              </w:rPr>
              <w:t xml:space="preserve">Perkančioji organizacija, parengdama </w:t>
            </w:r>
            <w:r w:rsidR="00CE4DFC" w:rsidRPr="00CE4DFC">
              <w:rPr>
                <w:szCs w:val="24"/>
              </w:rPr>
              <w:t xml:space="preserve">Pirkimo sąlygų </w:t>
            </w:r>
            <w:r w:rsidR="00CE4DFC">
              <w:rPr>
                <w:szCs w:val="24"/>
              </w:rPr>
              <w:t>5 pried</w:t>
            </w:r>
            <w:r w:rsidR="00FB1506">
              <w:rPr>
                <w:szCs w:val="24"/>
              </w:rPr>
              <w:t>e</w:t>
            </w:r>
            <w:r w:rsidR="00CE4DFC">
              <w:rPr>
                <w:szCs w:val="24"/>
              </w:rPr>
              <w:t xml:space="preserve"> </w:t>
            </w:r>
            <w:r w:rsidR="00FB1506">
              <w:rPr>
                <w:szCs w:val="24"/>
              </w:rPr>
              <w:t>pateikt</w:t>
            </w:r>
            <w:r w:rsidR="0001104A">
              <w:rPr>
                <w:szCs w:val="24"/>
              </w:rPr>
              <w:t>ą</w:t>
            </w:r>
            <w:r w:rsidR="00FB1506">
              <w:rPr>
                <w:szCs w:val="24"/>
              </w:rPr>
              <w:t xml:space="preserve"> </w:t>
            </w:r>
            <w:r w:rsidR="00CE4DFC">
              <w:rPr>
                <w:szCs w:val="24"/>
              </w:rPr>
              <w:t>Pirkimo sutarties projekt</w:t>
            </w:r>
            <w:r w:rsidR="0001104A">
              <w:rPr>
                <w:szCs w:val="24"/>
              </w:rPr>
              <w:t>ą, neužtikrino Įstatymo 35 straipsnio 2 dalies 13 punkto</w:t>
            </w:r>
            <w:r w:rsidR="0001104A">
              <w:rPr>
                <w:rStyle w:val="Puslapioinaosnuoroda"/>
                <w:szCs w:val="24"/>
              </w:rPr>
              <w:footnoteReference w:id="9"/>
            </w:r>
            <w:r w:rsidR="0001104A">
              <w:rPr>
                <w:szCs w:val="24"/>
              </w:rPr>
              <w:t xml:space="preserve"> reikalavimų </w:t>
            </w:r>
            <w:r w:rsidR="0016764C">
              <w:rPr>
                <w:szCs w:val="24"/>
              </w:rPr>
              <w:t xml:space="preserve">laikymosi, nes Pirkimo sutarties projekte nepateikta informacija apie </w:t>
            </w:r>
            <w:r w:rsidR="0016764C">
              <w:t>skiriamą asmenį, atsakingą už sutarties vykdymą bei sutarties paskelbimą (</w:t>
            </w:r>
            <w:r w:rsidR="00FB1506">
              <w:rPr>
                <w:szCs w:val="24"/>
              </w:rPr>
              <w:t>Įstatymo 87 straipsnio 1 dalies 12 punkto reikalavim</w:t>
            </w:r>
            <w:r w:rsidR="0016764C">
              <w:rPr>
                <w:szCs w:val="24"/>
              </w:rPr>
              <w:t>as</w:t>
            </w:r>
            <w:r w:rsidR="00FB1506">
              <w:rPr>
                <w:rStyle w:val="Puslapioinaosnuoroda"/>
                <w:szCs w:val="24"/>
              </w:rPr>
              <w:footnoteReference w:id="10"/>
            </w:r>
            <w:r w:rsidR="0016764C">
              <w:rPr>
                <w:szCs w:val="24"/>
              </w:rPr>
              <w:t>).</w:t>
            </w:r>
          </w:p>
        </w:tc>
      </w:tr>
    </w:tbl>
    <w:p w14:paraId="2250D327" w14:textId="77777777" w:rsidR="002A07F4" w:rsidRPr="004D04C1" w:rsidRDefault="002A07F4" w:rsidP="002A07F4">
      <w:pPr>
        <w:jc w:val="both"/>
        <w:rPr>
          <w:b/>
          <w:szCs w:val="24"/>
        </w:rPr>
      </w:pPr>
    </w:p>
    <w:p w14:paraId="11C15424" w14:textId="77777777" w:rsidR="002A07F4" w:rsidRPr="004D04C1" w:rsidRDefault="002A07F4" w:rsidP="002A07F4">
      <w:pPr>
        <w:rPr>
          <w:sz w:val="14"/>
          <w:szCs w:val="14"/>
        </w:rPr>
      </w:pPr>
    </w:p>
    <w:p w14:paraId="40C59BCE" w14:textId="77777777" w:rsidR="000924AE" w:rsidRPr="004D04C1" w:rsidRDefault="000924AE" w:rsidP="002A07F4">
      <w:pPr>
        <w:rPr>
          <w:sz w:val="14"/>
          <w:szCs w:val="14"/>
        </w:rPr>
      </w:pPr>
    </w:p>
    <w:p w14:paraId="77F7068C" w14:textId="77777777" w:rsidR="000924AE" w:rsidRPr="002A07F4" w:rsidRDefault="000924AE" w:rsidP="002A07F4">
      <w:pPr>
        <w:rPr>
          <w:sz w:val="14"/>
          <w:szCs w:val="14"/>
        </w:rPr>
      </w:pPr>
    </w:p>
    <w:p w14:paraId="5AC32B75" w14:textId="77777777" w:rsidR="002A07F4" w:rsidRPr="002A07F4" w:rsidRDefault="002A07F4" w:rsidP="002A07F4">
      <w:pPr>
        <w:spacing w:line="254" w:lineRule="auto"/>
        <w:ind w:right="49"/>
        <w:jc w:val="both"/>
        <w:rPr>
          <w:b/>
          <w:szCs w:val="24"/>
        </w:rPr>
      </w:pPr>
      <w:r w:rsidRPr="002A07F4">
        <w:rPr>
          <w:szCs w:val="24"/>
        </w:rPr>
        <w:t>Direktorė</w:t>
      </w:r>
      <w:r w:rsidRPr="002A07F4">
        <w:rPr>
          <w:szCs w:val="24"/>
        </w:rPr>
        <w:tab/>
      </w:r>
      <w:r w:rsidRPr="002A07F4">
        <w:rPr>
          <w:szCs w:val="24"/>
        </w:rPr>
        <w:tab/>
      </w:r>
      <w:r w:rsidRPr="002A07F4">
        <w:rPr>
          <w:szCs w:val="24"/>
        </w:rPr>
        <w:tab/>
      </w:r>
      <w:r w:rsidRPr="002A07F4">
        <w:rPr>
          <w:szCs w:val="24"/>
        </w:rPr>
        <w:tab/>
        <w:t xml:space="preserve">              </w:t>
      </w:r>
      <w:r w:rsidR="000D6E31">
        <w:rPr>
          <w:szCs w:val="24"/>
        </w:rPr>
        <w:t xml:space="preserve">            </w:t>
      </w:r>
      <w:r w:rsidRPr="002A07F4">
        <w:rPr>
          <w:szCs w:val="24"/>
        </w:rPr>
        <w:t xml:space="preserve">                           Diana Vilytė</w:t>
      </w:r>
    </w:p>
    <w:p w14:paraId="566DCE6D" w14:textId="77777777" w:rsidR="00A15D26" w:rsidRDefault="00A15D26" w:rsidP="00B903C8">
      <w:pPr>
        <w:tabs>
          <w:tab w:val="left" w:pos="900"/>
        </w:tabs>
        <w:jc w:val="both"/>
        <w:rPr>
          <w:sz w:val="20"/>
        </w:rPr>
      </w:pPr>
    </w:p>
    <w:p w14:paraId="4D9504C3" w14:textId="77777777" w:rsidR="00A15D26" w:rsidRDefault="00A15D26" w:rsidP="00B903C8">
      <w:pPr>
        <w:tabs>
          <w:tab w:val="left" w:pos="900"/>
        </w:tabs>
        <w:jc w:val="both"/>
        <w:rPr>
          <w:sz w:val="20"/>
        </w:rPr>
      </w:pPr>
    </w:p>
    <w:p w14:paraId="68E48C85" w14:textId="77777777" w:rsidR="00A15D26" w:rsidRDefault="00A15D26" w:rsidP="00B903C8">
      <w:pPr>
        <w:tabs>
          <w:tab w:val="left" w:pos="900"/>
        </w:tabs>
        <w:jc w:val="both"/>
        <w:rPr>
          <w:sz w:val="20"/>
        </w:rPr>
      </w:pPr>
    </w:p>
    <w:p w14:paraId="22EFC8CC" w14:textId="77777777" w:rsidR="00A15D26" w:rsidRDefault="00A15D26" w:rsidP="00B903C8">
      <w:pPr>
        <w:tabs>
          <w:tab w:val="left" w:pos="900"/>
        </w:tabs>
        <w:jc w:val="both"/>
        <w:rPr>
          <w:sz w:val="20"/>
        </w:rPr>
      </w:pPr>
    </w:p>
    <w:p w14:paraId="1A949B40" w14:textId="77777777" w:rsidR="00A15D26" w:rsidRDefault="00A15D26" w:rsidP="00B903C8">
      <w:pPr>
        <w:tabs>
          <w:tab w:val="left" w:pos="900"/>
        </w:tabs>
        <w:jc w:val="both"/>
        <w:rPr>
          <w:sz w:val="20"/>
        </w:rPr>
      </w:pPr>
    </w:p>
    <w:p w14:paraId="52149947" w14:textId="77777777" w:rsidR="00A15D26" w:rsidRDefault="00A15D26" w:rsidP="00B903C8">
      <w:pPr>
        <w:tabs>
          <w:tab w:val="left" w:pos="900"/>
        </w:tabs>
        <w:jc w:val="both"/>
        <w:rPr>
          <w:sz w:val="20"/>
        </w:rPr>
      </w:pPr>
    </w:p>
    <w:p w14:paraId="7B490704" w14:textId="77777777" w:rsidR="00A15D26" w:rsidRDefault="00A15D26" w:rsidP="00B903C8">
      <w:pPr>
        <w:tabs>
          <w:tab w:val="left" w:pos="900"/>
        </w:tabs>
        <w:jc w:val="both"/>
        <w:rPr>
          <w:sz w:val="20"/>
        </w:rPr>
      </w:pPr>
    </w:p>
    <w:p w14:paraId="3B9F1692" w14:textId="77777777" w:rsidR="00A15D26" w:rsidRDefault="00A15D26" w:rsidP="00B903C8">
      <w:pPr>
        <w:tabs>
          <w:tab w:val="left" w:pos="900"/>
        </w:tabs>
        <w:jc w:val="both"/>
        <w:rPr>
          <w:sz w:val="20"/>
        </w:rPr>
      </w:pPr>
    </w:p>
    <w:p w14:paraId="25F311E3" w14:textId="77777777" w:rsidR="00A77651" w:rsidRDefault="00A77651" w:rsidP="00B903C8">
      <w:pPr>
        <w:tabs>
          <w:tab w:val="left" w:pos="900"/>
        </w:tabs>
        <w:jc w:val="both"/>
        <w:rPr>
          <w:sz w:val="20"/>
        </w:rPr>
      </w:pPr>
    </w:p>
    <w:p w14:paraId="6131AB17" w14:textId="77777777" w:rsidR="00A15D26" w:rsidRDefault="00A15D26" w:rsidP="00B903C8">
      <w:pPr>
        <w:tabs>
          <w:tab w:val="left" w:pos="900"/>
        </w:tabs>
        <w:jc w:val="both"/>
        <w:rPr>
          <w:sz w:val="20"/>
        </w:rPr>
      </w:pPr>
    </w:p>
    <w:p w14:paraId="152FC629" w14:textId="77777777" w:rsidR="00BB474D" w:rsidRDefault="00BB474D" w:rsidP="00B903C8">
      <w:pPr>
        <w:tabs>
          <w:tab w:val="left" w:pos="900"/>
        </w:tabs>
        <w:jc w:val="both"/>
        <w:rPr>
          <w:sz w:val="20"/>
        </w:rPr>
      </w:pPr>
    </w:p>
    <w:p w14:paraId="337081C3" w14:textId="77777777" w:rsidR="004C2177" w:rsidRPr="00C52E4D" w:rsidRDefault="000F1A98" w:rsidP="00B903C8">
      <w:pPr>
        <w:tabs>
          <w:tab w:val="left" w:pos="900"/>
        </w:tabs>
        <w:jc w:val="both"/>
        <w:rPr>
          <w:sz w:val="22"/>
        </w:rPr>
      </w:pPr>
      <w:r w:rsidRPr="00C52E4D">
        <w:rPr>
          <w:sz w:val="22"/>
        </w:rPr>
        <w:t xml:space="preserve">Gema Petronytė, tel. (8 5) 219 7047, faks. (8 5) 213 6213, el. p. </w:t>
      </w:r>
      <w:r w:rsidRPr="00C52E4D">
        <w:rPr>
          <w:rStyle w:val="Hipersaitas"/>
          <w:sz w:val="22"/>
        </w:rPr>
        <w:t>Gema.Petronyte@vpt.lt</w:t>
      </w:r>
    </w:p>
    <w:sectPr w:rsidR="004C2177" w:rsidRPr="00C52E4D" w:rsidSect="00D710EE">
      <w:headerReference w:type="default" r:id="rId9"/>
      <w:headerReference w:type="first" r:id="rId10"/>
      <w:footerReference w:type="first" r:id="rId11"/>
      <w:pgSz w:w="11906" w:h="16838"/>
      <w:pgMar w:top="425"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B101" w16cid:durableId="203C680B"/>
  <w16cid:commentId w16cid:paraId="41FD5931" w16cid:durableId="203C69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10FA5" w14:textId="77777777" w:rsidR="00CC1530" w:rsidRDefault="00CC1530" w:rsidP="00B60E72">
      <w:r>
        <w:separator/>
      </w:r>
    </w:p>
  </w:endnote>
  <w:endnote w:type="continuationSeparator" w:id="0">
    <w:p w14:paraId="7EC43399" w14:textId="77777777" w:rsidR="00CC1530" w:rsidRDefault="00CC1530"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2C7F3" w14:textId="77777777" w:rsidR="00CC1530" w:rsidRPr="00EF1EBC" w:rsidRDefault="00CC1530" w:rsidP="00C45CC1">
    <w:pPr>
      <w:pBdr>
        <w:top w:val="single" w:sz="4" w:space="1" w:color="auto"/>
      </w:pBdr>
      <w:rPr>
        <w:sz w:val="20"/>
      </w:rPr>
    </w:pPr>
    <w:r w:rsidRPr="00EF1EBC">
      <w:rPr>
        <w:sz w:val="20"/>
      </w:rPr>
      <w:t xml:space="preserve">Biudžetinė įstaiga                              </w:t>
    </w:r>
    <w:r w:rsidRPr="00132FD4">
      <w:rPr>
        <w:sz w:val="20"/>
      </w:rPr>
      <w:t xml:space="preserve">        </w:t>
    </w:r>
    <w:r>
      <w:rPr>
        <w:sz w:val="20"/>
      </w:rPr>
      <w:t xml:space="preserve">               </w:t>
    </w:r>
    <w:r w:rsidRPr="00EF1EBC">
      <w:rPr>
        <w:sz w:val="20"/>
      </w:rPr>
      <w:t xml:space="preserve"> Tel.  (8 5) 219 7001        </w:t>
    </w:r>
    <w:r w:rsidRPr="00132FD4">
      <w:rPr>
        <w:sz w:val="20"/>
      </w:rPr>
      <w:t xml:space="preserve">    </w:t>
    </w:r>
    <w:r>
      <w:rPr>
        <w:sz w:val="20"/>
      </w:rPr>
      <w:t xml:space="preserve">          </w:t>
    </w:r>
    <w:r w:rsidRPr="00EF1EBC">
      <w:rPr>
        <w:sz w:val="20"/>
      </w:rPr>
      <w:t>Duomenys kaupiami ir saugomi </w:t>
    </w:r>
  </w:p>
  <w:p w14:paraId="2C7D9077" w14:textId="77777777" w:rsidR="00CC1530" w:rsidRPr="00EF1EBC" w:rsidRDefault="00CC1530" w:rsidP="00C45CC1">
    <w:pPr>
      <w:pBdr>
        <w:top w:val="single" w:sz="4" w:space="1" w:color="auto"/>
      </w:pBdr>
      <w:jc w:val="both"/>
      <w:rPr>
        <w:sz w:val="20"/>
      </w:rPr>
    </w:pPr>
    <w:r w:rsidRPr="00EF1EBC">
      <w:rPr>
        <w:sz w:val="20"/>
      </w:rPr>
      <w:t xml:space="preserve">Kareivių g. 1, LT-08221 Vilnius          </w:t>
    </w:r>
    <w:r>
      <w:rPr>
        <w:sz w:val="20"/>
      </w:rPr>
      <w:t xml:space="preserve">                  </w:t>
    </w:r>
    <w:r w:rsidRPr="00132FD4">
      <w:rPr>
        <w:sz w:val="20"/>
      </w:rPr>
      <w:t xml:space="preserve">   </w:t>
    </w:r>
    <w:r w:rsidRPr="00EF1EBC">
      <w:rPr>
        <w:sz w:val="20"/>
      </w:rPr>
      <w:t xml:space="preserve">Faks. (8 5) 213 6213    </w:t>
    </w:r>
    <w:r>
      <w:rPr>
        <w:sz w:val="20"/>
      </w:rPr>
      <w:t xml:space="preserve">                </w:t>
    </w:r>
    <w:r w:rsidRPr="00EF1EBC">
      <w:rPr>
        <w:sz w:val="20"/>
      </w:rPr>
      <w:t xml:space="preserve">Juridinių asmenų registre </w:t>
    </w:r>
  </w:p>
  <w:p w14:paraId="681C013E" w14:textId="77777777" w:rsidR="00CC1530" w:rsidRPr="00EF1EBC" w:rsidRDefault="00CC1530" w:rsidP="00C45CC1">
    <w:pPr>
      <w:pBdr>
        <w:top w:val="single" w:sz="4" w:space="1" w:color="auto"/>
      </w:pBdr>
      <w:jc w:val="both"/>
      <w:rPr>
        <w:sz w:val="20"/>
      </w:rPr>
    </w:pPr>
    <w:r w:rsidRPr="00EF1EBC">
      <w:rPr>
        <w:sz w:val="20"/>
      </w:rPr>
      <w:t xml:space="preserve">http://www.vpt.lt                                 </w:t>
    </w:r>
    <w:r w:rsidRPr="00132FD4">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sidRPr="00132FD4">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Porat"/>
      <w:rPr>
        <w:sz w:val="20"/>
      </w:rPr>
    </w:pPr>
  </w:p>
  <w:p w14:paraId="65881AD5" w14:textId="77777777" w:rsidR="00CC1530" w:rsidRDefault="00CC153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EA586" w14:textId="77777777" w:rsidR="00CC1530" w:rsidRDefault="00CC1530" w:rsidP="00B60E72">
      <w:r>
        <w:separator/>
      </w:r>
    </w:p>
  </w:footnote>
  <w:footnote w:type="continuationSeparator" w:id="0">
    <w:p w14:paraId="25020B6A" w14:textId="77777777" w:rsidR="00CC1530" w:rsidRDefault="00CC1530" w:rsidP="00B60E72">
      <w:r>
        <w:continuationSeparator/>
      </w:r>
    </w:p>
  </w:footnote>
  <w:footnote w:id="1">
    <w:p w14:paraId="3FA0D8B1" w14:textId="304D2E5E" w:rsidR="00B942CE" w:rsidRDefault="00B942CE" w:rsidP="009914BB">
      <w:pPr>
        <w:pStyle w:val="Puslapioinaostekstas"/>
        <w:jc w:val="both"/>
      </w:pPr>
      <w:r>
        <w:rPr>
          <w:rStyle w:val="Puslapioinaosnuoroda"/>
        </w:rPr>
        <w:footnoteRef/>
      </w:r>
      <w:r>
        <w:t xml:space="preserve"> </w:t>
      </w:r>
      <w:r w:rsidR="00B96008">
        <w:t xml:space="preserve">„&lt;...&gt;Perkančiosios organizacijos nustatyti kandidatų ar dalyvių kvalifikacijos reikalavimai negali dirbtinai riboti konkurencijos, turi būti proporcingi ir susiję su pirkimo objektu, </w:t>
      </w:r>
      <w:r w:rsidR="00B96008" w:rsidRPr="00686115">
        <w:rPr>
          <w:u w:val="single"/>
        </w:rPr>
        <w:t>tikslūs ir aiškūs</w:t>
      </w:r>
      <w:r w:rsidR="00686115">
        <w:t xml:space="preserve"> </w:t>
      </w:r>
      <w:r w:rsidR="00B96008">
        <w:t>&lt;...&gt;.“</w:t>
      </w:r>
    </w:p>
  </w:footnote>
  <w:footnote w:id="2">
    <w:p w14:paraId="03967CF2" w14:textId="1DBA4043" w:rsidR="009F2F6B" w:rsidRDefault="009F2F6B" w:rsidP="009914BB">
      <w:pPr>
        <w:pStyle w:val="Puslapioinaostekstas"/>
        <w:jc w:val="both"/>
      </w:pPr>
      <w:r>
        <w:rPr>
          <w:rStyle w:val="Puslapioinaosnuoroda"/>
        </w:rPr>
        <w:footnoteRef/>
      </w:r>
      <w:r>
        <w:t xml:space="preserve"> „Tiekėjo vidutinės metinės visos veiklos pajamos per paskutinius 3 finansinius metus, o jei tiekėjas įregistruotas ar veiklą atitinkamoje srityje pradėjo vėliau – nuo jo įregistravimo dienos, turi būti ne mažesnės kaip 125 000 </w:t>
      </w:r>
      <w:proofErr w:type="spellStart"/>
      <w:r>
        <w:t>Eur</w:t>
      </w:r>
      <w:proofErr w:type="spellEnd"/>
      <w:r>
        <w:t xml:space="preserve"> (du šimtai penkiasdešimt tūkstančių eurų ir 00 ct (su PVM).“</w:t>
      </w:r>
    </w:p>
  </w:footnote>
  <w:footnote w:id="3">
    <w:p w14:paraId="245B972E" w14:textId="77777777" w:rsidR="005C6C3B" w:rsidRDefault="005C6C3B" w:rsidP="005C6C3B">
      <w:pPr>
        <w:pStyle w:val="Puslapioinaostekstas"/>
        <w:jc w:val="both"/>
      </w:pPr>
      <w:r>
        <w:rPr>
          <w:rStyle w:val="Puslapioinaosnuoroda"/>
        </w:rPr>
        <w:footnoteRef/>
      </w:r>
      <w:r>
        <w:t xml:space="preserve"> „Pasirinkti pasiūlymų vertinimo kriterijai neturi perkančiajai organizacijai suteikti neribotos pasirinkimo laisvės ir turi </w:t>
      </w:r>
      <w:r w:rsidRPr="00F665DA">
        <w:rPr>
          <w:u w:val="single"/>
        </w:rPr>
        <w:t>užtikrinti veiksmingą tiekėjų konkurenciją</w:t>
      </w:r>
      <w:r>
        <w:t xml:space="preserve">. Pasiūlymų vertinimo kriterijai turi būti suformuluoti taip, kad tiekėjų pasiūlymuose pateiktos informacijos atitiktį nustatytiems pasiūlymų vertinimo kriterijams būtų galima patikrinti. Kilus abejonių, perkančioji organizacija turi patikrinti tiekėjo pateiktos informacijos tikslumą ir </w:t>
      </w:r>
      <w:proofErr w:type="spellStart"/>
      <w:r>
        <w:t>įrodymus</w:t>
      </w:r>
      <w:proofErr w:type="spellEnd"/>
      <w:r>
        <w:t>.“</w:t>
      </w:r>
    </w:p>
  </w:footnote>
  <w:footnote w:id="4">
    <w:p w14:paraId="68C38192" w14:textId="77777777" w:rsidR="005C6C3B" w:rsidRDefault="005C6C3B" w:rsidP="005C6C3B">
      <w:pPr>
        <w:pStyle w:val="Puslapioinaostekstas"/>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5">
    <w:p w14:paraId="333E52FF" w14:textId="77777777" w:rsidR="00821BC2" w:rsidRPr="00357039" w:rsidRDefault="00821BC2" w:rsidP="00821BC2">
      <w:pPr>
        <w:jc w:val="both"/>
        <w:rPr>
          <w:szCs w:val="24"/>
        </w:rPr>
      </w:pPr>
      <w:r>
        <w:rPr>
          <w:rStyle w:val="Puslapioinaosnuoroda"/>
        </w:rPr>
        <w:footnoteRef/>
      </w:r>
      <w:r>
        <w:t xml:space="preserve"> </w:t>
      </w:r>
      <w:r w:rsidRPr="00357039">
        <w:rPr>
          <w:sz w:val="20"/>
        </w:rPr>
        <w:t xml:space="preserve">„&lt;...&gt; scenarijai ir struktūra yra neatskiriama koncepcijos dalis. Kaip ir kita koncepcijoje nurodyta informacija bus vertinama, ar jose matosi perkančiosios organizacijos vaidmuo, įgyvendinant Programą ir jos priemones, ar atitinka tikslinių grupių poreikius ir </w:t>
      </w:r>
      <w:r w:rsidRPr="00357039">
        <w:rPr>
          <w:sz w:val="20"/>
          <w:u w:val="single"/>
        </w:rPr>
        <w:t>ar scenarijai aktualūs ir argumentuoti</w:t>
      </w:r>
      <w:r w:rsidRPr="00357039">
        <w:rPr>
          <w:sz w:val="20"/>
        </w:rPr>
        <w:t>, ar laidos scenarijus patrauklus tikslinėms grupėms, kokią informacinę realią naudą turės laidų ciklo dalyvis.</w:t>
      </w:r>
      <w:r>
        <w:rPr>
          <w:sz w:val="20"/>
        </w:rPr>
        <w:t>“</w:t>
      </w:r>
      <w:r w:rsidRPr="0001189F">
        <w:rPr>
          <w:szCs w:val="24"/>
        </w:rPr>
        <w:t xml:space="preserve"> </w:t>
      </w:r>
    </w:p>
  </w:footnote>
  <w:footnote w:id="6">
    <w:p w14:paraId="68FF22A9" w14:textId="77777777" w:rsidR="00980F3F" w:rsidRDefault="00980F3F" w:rsidP="00980F3F">
      <w:pPr>
        <w:pStyle w:val="Puslapioinaostekstas"/>
        <w:jc w:val="both"/>
      </w:pPr>
      <w:r>
        <w:rPr>
          <w:rStyle w:val="Puslapioinaosnuoroda"/>
        </w:rPr>
        <w:footnoteRef/>
      </w:r>
      <w:r>
        <w:t xml:space="preserve"> Lietuvos Aukščiausiojo Teismo Civilinių bylų skyriaus 2018 m. gegužės 3 d. nutartis civilinėje byloje Nr. e3K-3-178-378/2018.</w:t>
      </w:r>
    </w:p>
  </w:footnote>
  <w:footnote w:id="7">
    <w:p w14:paraId="32B1F2A1" w14:textId="27305D7B" w:rsidR="00C92E3D" w:rsidRDefault="00C92E3D">
      <w:pPr>
        <w:pStyle w:val="Puslapioinaostekstas"/>
      </w:pPr>
      <w:r>
        <w:rPr>
          <w:rStyle w:val="Puslapioinaosnuoroda"/>
        </w:rPr>
        <w:footnoteRef/>
      </w:r>
      <w:r>
        <w:t xml:space="preserve"> </w:t>
      </w:r>
      <w:r w:rsidRPr="00C92E3D">
        <w:t>Lietuvos Aukščiausiojo Teismo Civilinių bylų skyriaus 2017-06-22 nutartis civilinėje byloje Nr. e3K-3-279-690/2017</w:t>
      </w:r>
      <w:r>
        <w:t>.</w:t>
      </w:r>
    </w:p>
  </w:footnote>
  <w:footnote w:id="8">
    <w:p w14:paraId="7E7CB1EC" w14:textId="77777777" w:rsidR="00CC1530" w:rsidRDefault="00CC1530" w:rsidP="0001104A">
      <w:pPr>
        <w:pStyle w:val="Puslapioinaostekstas"/>
        <w:jc w:val="both"/>
      </w:pPr>
      <w:r>
        <w:rPr>
          <w:rStyle w:val="Puslapioinaosnuoroda"/>
        </w:rPr>
        <w:footnoteRef/>
      </w:r>
      <w:r>
        <w:t xml:space="preserve"> 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 w:id="9">
    <w:p w14:paraId="06DD3D26" w14:textId="7F5D9399" w:rsidR="0001104A" w:rsidRDefault="0001104A" w:rsidP="0001104A">
      <w:pPr>
        <w:pStyle w:val="Puslapioinaostekstas"/>
        <w:jc w:val="both"/>
      </w:pPr>
      <w:r>
        <w:rPr>
          <w:rStyle w:val="Puslapioinaosnuoroda"/>
        </w:rPr>
        <w:footnoteRef/>
      </w:r>
      <w:r>
        <w:t xml:space="preserve"> „Pirkimo dokumentuose turi būti nurodyta: &lt;...&gt;perkančiosios organizacijos siūlomos šalims sudaryti pirkimo sutarties sąlygos ir (arba) pirkimo sutarties projektas pagal šio įstatymo 87 straipsnyje nustatytus reikalavimus &lt;...&gt;“.</w:t>
      </w:r>
    </w:p>
  </w:footnote>
  <w:footnote w:id="10">
    <w:p w14:paraId="0E064FCF" w14:textId="73759B73" w:rsidR="00FB1506" w:rsidRDefault="00FB1506" w:rsidP="0001104A">
      <w:pPr>
        <w:pStyle w:val="Puslapioinaostekstas"/>
        <w:jc w:val="both"/>
      </w:pPr>
      <w:r>
        <w:rPr>
          <w:rStyle w:val="Puslapioinaosnuoroda"/>
        </w:rPr>
        <w:footnoteRef/>
      </w:r>
      <w:r>
        <w:t xml:space="preserve"> „Pirkimo sutartyje, kai ji sudaroma raštu, turi būti nustatyta: &lt;...&gt; perkančiosios organizacijos vadovo įsakymu (potvarkiu) skiriamas asmuo, atsakingas už sutarties vykdymą, sutarties paskelbimą pagal šio įstatymo 86 straipsnio 9 dalies nuostatas“.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917304"/>
      <w:docPartObj>
        <w:docPartGallery w:val="Page Numbers (Top of Page)"/>
        <w:docPartUnique/>
      </w:docPartObj>
    </w:sdtPr>
    <w:sdtEndPr/>
    <w:sdtContent>
      <w:p w14:paraId="0B78B9DE" w14:textId="7A0F3278" w:rsidR="00D710EE" w:rsidRDefault="00D710EE">
        <w:pPr>
          <w:pStyle w:val="Antrats"/>
          <w:jc w:val="center"/>
        </w:pPr>
        <w:r>
          <w:fldChar w:fldCharType="begin"/>
        </w:r>
        <w:r>
          <w:instrText>PAGE   \* MERGEFORMAT</w:instrText>
        </w:r>
        <w:r>
          <w:fldChar w:fldCharType="separate"/>
        </w:r>
        <w:r w:rsidR="00F06BFC">
          <w:rPr>
            <w:noProof/>
          </w:rPr>
          <w:t>5</w:t>
        </w:r>
        <w:r>
          <w:fldChar w:fldCharType="end"/>
        </w:r>
      </w:p>
    </w:sdtContent>
  </w:sdt>
  <w:p w14:paraId="588496A0" w14:textId="59A01AA8" w:rsidR="00CC1530" w:rsidRDefault="00CC1530" w:rsidP="00FE6439">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434D6" w14:textId="6B8A98D2" w:rsidR="001D3917" w:rsidRDefault="001D3917">
    <w:pPr>
      <w:pStyle w:val="Antrats"/>
      <w:jc w:val="center"/>
    </w:pPr>
  </w:p>
  <w:p w14:paraId="564408E1" w14:textId="77777777" w:rsidR="00CC1530" w:rsidRDefault="00CC15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E7F"/>
    <w:multiLevelType w:val="hybridMultilevel"/>
    <w:tmpl w:val="0C4E69BC"/>
    <w:lvl w:ilvl="0" w:tplc="DFD82154">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 w15:restartNumberingAfterBreak="0">
    <w:nsid w:val="0A09389A"/>
    <w:multiLevelType w:val="multilevel"/>
    <w:tmpl w:val="6CE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A696F"/>
    <w:multiLevelType w:val="hybridMultilevel"/>
    <w:tmpl w:val="AE928A74"/>
    <w:lvl w:ilvl="0" w:tplc="53E00D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 w15:restartNumberingAfterBreak="0">
    <w:nsid w:val="120919CE"/>
    <w:multiLevelType w:val="hybridMultilevel"/>
    <w:tmpl w:val="618803C2"/>
    <w:lvl w:ilvl="0" w:tplc="F8E2AD0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 w15:restartNumberingAfterBreak="0">
    <w:nsid w:val="12236954"/>
    <w:multiLevelType w:val="multilevel"/>
    <w:tmpl w:val="BC8E0BDE"/>
    <w:lvl w:ilvl="0">
      <w:start w:val="1"/>
      <w:numFmt w:val="decimal"/>
      <w:lvlText w:val="%1."/>
      <w:lvlJc w:val="left"/>
      <w:pPr>
        <w:ind w:left="360" w:hanging="360"/>
      </w:pPr>
      <w:rPr>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74210"/>
    <w:multiLevelType w:val="hybridMultilevel"/>
    <w:tmpl w:val="C3982314"/>
    <w:lvl w:ilvl="0" w:tplc="EEB89B62">
      <w:start w:val="1"/>
      <w:numFmt w:val="decimal"/>
      <w:lvlText w:val="(%1)"/>
      <w:lvlJc w:val="left"/>
      <w:pPr>
        <w:ind w:left="1240" w:hanging="360"/>
      </w:pPr>
      <w:rPr>
        <w:rFonts w:hint="default"/>
        <w:u w:val="none"/>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6" w15:restartNumberingAfterBreak="0">
    <w:nsid w:val="1F1356BD"/>
    <w:multiLevelType w:val="hybridMultilevel"/>
    <w:tmpl w:val="0F4407A0"/>
    <w:lvl w:ilvl="0" w:tplc="04A6B0A8">
      <w:start w:val="1"/>
      <w:numFmt w:val="decimal"/>
      <w:lvlText w:val="%1."/>
      <w:lvlJc w:val="left"/>
      <w:pPr>
        <w:ind w:left="720" w:hanging="360"/>
      </w:pPr>
      <w:rPr>
        <w:rFonts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5271FC"/>
    <w:multiLevelType w:val="hybridMultilevel"/>
    <w:tmpl w:val="1C60102E"/>
    <w:lvl w:ilvl="0" w:tplc="14C06188">
      <w:start w:val="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8"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261D54ED"/>
    <w:multiLevelType w:val="hybridMultilevel"/>
    <w:tmpl w:val="EE5A72F8"/>
    <w:lvl w:ilvl="0" w:tplc="9D1CA95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2E08242C"/>
    <w:multiLevelType w:val="hybridMultilevel"/>
    <w:tmpl w:val="5F0244A4"/>
    <w:lvl w:ilvl="0" w:tplc="7CA07894">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38F25B85"/>
    <w:multiLevelType w:val="hybridMultilevel"/>
    <w:tmpl w:val="3FFE7E04"/>
    <w:lvl w:ilvl="0" w:tplc="095A1620">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43B11CD8"/>
    <w:multiLevelType w:val="hybridMultilevel"/>
    <w:tmpl w:val="EC4CADBC"/>
    <w:lvl w:ilvl="0" w:tplc="148C8D4C">
      <w:start w:val="1"/>
      <w:numFmt w:val="decimal"/>
      <w:lvlText w:val="(%1)"/>
      <w:lvlJc w:val="left"/>
      <w:pPr>
        <w:ind w:left="1240" w:hanging="360"/>
      </w:pPr>
      <w:rPr>
        <w:rFonts w:ascii="Times New Roman" w:eastAsia="Times New Roman" w:hAnsi="Times New Roman" w:cs="Times New Roman"/>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3" w15:restartNumberingAfterBreak="0">
    <w:nsid w:val="4DA87636"/>
    <w:multiLevelType w:val="hybridMultilevel"/>
    <w:tmpl w:val="E1B6C192"/>
    <w:lvl w:ilvl="0" w:tplc="0D327E4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54CF4786"/>
    <w:multiLevelType w:val="hybridMultilevel"/>
    <w:tmpl w:val="C4C665A6"/>
    <w:lvl w:ilvl="0" w:tplc="B1BC2500">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56CD3ED1"/>
    <w:multiLevelType w:val="multilevel"/>
    <w:tmpl w:val="3DAEA03C"/>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16" w15:restartNumberingAfterBreak="0">
    <w:nsid w:val="58725C42"/>
    <w:multiLevelType w:val="hybridMultilevel"/>
    <w:tmpl w:val="6EE82764"/>
    <w:lvl w:ilvl="0" w:tplc="09323E32">
      <w:start w:val="1"/>
      <w:numFmt w:val="decimal"/>
      <w:lvlText w:val="(%1)"/>
      <w:lvlJc w:val="left"/>
      <w:pPr>
        <w:ind w:left="1240" w:hanging="360"/>
      </w:pPr>
      <w:rPr>
        <w:rFonts w:hint="default"/>
      </w:rPr>
    </w:lvl>
    <w:lvl w:ilvl="1" w:tplc="04270019">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7" w15:restartNumberingAfterBreak="0">
    <w:nsid w:val="5FE634B0"/>
    <w:multiLevelType w:val="hybridMultilevel"/>
    <w:tmpl w:val="5756E4AE"/>
    <w:lvl w:ilvl="0" w:tplc="93DCDDD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8" w15:restartNumberingAfterBreak="0">
    <w:nsid w:val="62E12DC6"/>
    <w:multiLevelType w:val="hybridMultilevel"/>
    <w:tmpl w:val="A8BA9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636335"/>
    <w:multiLevelType w:val="multilevel"/>
    <w:tmpl w:val="1D883CD4"/>
    <w:lvl w:ilvl="0">
      <w:start w:val="1"/>
      <w:numFmt w:val="decimal"/>
      <w:lvlText w:val="%1."/>
      <w:lvlJc w:val="left"/>
      <w:pPr>
        <w:ind w:left="1240" w:hanging="360"/>
      </w:pPr>
      <w:rPr>
        <w:rFonts w:hint="default"/>
      </w:rPr>
    </w:lvl>
    <w:lvl w:ilvl="1">
      <w:start w:val="2"/>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20" w15:restartNumberingAfterBreak="0">
    <w:nsid w:val="652A5724"/>
    <w:multiLevelType w:val="hybridMultilevel"/>
    <w:tmpl w:val="BAEA1364"/>
    <w:lvl w:ilvl="0" w:tplc="04270001">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21" w15:restartNumberingAfterBreak="0">
    <w:nsid w:val="6DC855B2"/>
    <w:multiLevelType w:val="hybridMultilevel"/>
    <w:tmpl w:val="977A9B76"/>
    <w:lvl w:ilvl="0" w:tplc="F0A6B77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2" w15:restartNumberingAfterBreak="0">
    <w:nsid w:val="6E2E2537"/>
    <w:multiLevelType w:val="multilevel"/>
    <w:tmpl w:val="EDE4060E"/>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23" w15:restartNumberingAfterBreak="0">
    <w:nsid w:val="71A16FCA"/>
    <w:multiLevelType w:val="hybridMultilevel"/>
    <w:tmpl w:val="8F2C2F7C"/>
    <w:lvl w:ilvl="0" w:tplc="7A487BD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num w:numId="1">
    <w:abstractNumId w:val="1"/>
  </w:num>
  <w:num w:numId="2">
    <w:abstractNumId w:val="6"/>
  </w:num>
  <w:num w:numId="3">
    <w:abstractNumId w:val="19"/>
  </w:num>
  <w:num w:numId="4">
    <w:abstractNumId w:val="12"/>
  </w:num>
  <w:num w:numId="5">
    <w:abstractNumId w:val="22"/>
  </w:num>
  <w:num w:numId="6">
    <w:abstractNumId w:val="4"/>
  </w:num>
  <w:num w:numId="7">
    <w:abstractNumId w:val="16"/>
  </w:num>
  <w:num w:numId="8">
    <w:abstractNumId w:val="13"/>
  </w:num>
  <w:num w:numId="9">
    <w:abstractNumId w:val="21"/>
  </w:num>
  <w:num w:numId="10">
    <w:abstractNumId w:val="14"/>
  </w:num>
  <w:num w:numId="11">
    <w:abstractNumId w:val="2"/>
  </w:num>
  <w:num w:numId="12">
    <w:abstractNumId w:val="17"/>
  </w:num>
  <w:num w:numId="13">
    <w:abstractNumId w:val="10"/>
  </w:num>
  <w:num w:numId="14">
    <w:abstractNumId w:val="0"/>
  </w:num>
  <w:num w:numId="15">
    <w:abstractNumId w:val="7"/>
  </w:num>
  <w:num w:numId="16">
    <w:abstractNumId w:val="5"/>
  </w:num>
  <w:num w:numId="17">
    <w:abstractNumId w:val="15"/>
  </w:num>
  <w:num w:numId="18">
    <w:abstractNumId w:val="11"/>
  </w:num>
  <w:num w:numId="19">
    <w:abstractNumId w:val="23"/>
  </w:num>
  <w:num w:numId="20">
    <w:abstractNumId w:val="3"/>
  </w:num>
  <w:num w:numId="21">
    <w:abstractNumId w:val="20"/>
  </w:num>
  <w:num w:numId="22">
    <w:abstractNumId w:val="8"/>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CB"/>
    <w:rsid w:val="000004C8"/>
    <w:rsid w:val="00002C5B"/>
    <w:rsid w:val="00010F78"/>
    <w:rsid w:val="0001104A"/>
    <w:rsid w:val="00011494"/>
    <w:rsid w:val="00012B6C"/>
    <w:rsid w:val="00012FA6"/>
    <w:rsid w:val="00013728"/>
    <w:rsid w:val="00017EC1"/>
    <w:rsid w:val="00023284"/>
    <w:rsid w:val="00026023"/>
    <w:rsid w:val="00026830"/>
    <w:rsid w:val="00031CEB"/>
    <w:rsid w:val="00033350"/>
    <w:rsid w:val="000361FD"/>
    <w:rsid w:val="00042B81"/>
    <w:rsid w:val="00047316"/>
    <w:rsid w:val="000545F1"/>
    <w:rsid w:val="0005505C"/>
    <w:rsid w:val="00056EEC"/>
    <w:rsid w:val="00065205"/>
    <w:rsid w:val="00066179"/>
    <w:rsid w:val="00076843"/>
    <w:rsid w:val="00077557"/>
    <w:rsid w:val="000776AC"/>
    <w:rsid w:val="000803A3"/>
    <w:rsid w:val="00082E44"/>
    <w:rsid w:val="0008323A"/>
    <w:rsid w:val="00087775"/>
    <w:rsid w:val="00087B20"/>
    <w:rsid w:val="00087F21"/>
    <w:rsid w:val="000918E2"/>
    <w:rsid w:val="00091C45"/>
    <w:rsid w:val="000924AE"/>
    <w:rsid w:val="00092EA3"/>
    <w:rsid w:val="00095E2D"/>
    <w:rsid w:val="000B11AB"/>
    <w:rsid w:val="000B41EB"/>
    <w:rsid w:val="000B587D"/>
    <w:rsid w:val="000B7B46"/>
    <w:rsid w:val="000C387E"/>
    <w:rsid w:val="000D57B6"/>
    <w:rsid w:val="000D645F"/>
    <w:rsid w:val="000D6E31"/>
    <w:rsid w:val="000D7E98"/>
    <w:rsid w:val="000E11B4"/>
    <w:rsid w:val="000E1354"/>
    <w:rsid w:val="000E13DA"/>
    <w:rsid w:val="000F0D11"/>
    <w:rsid w:val="000F1A98"/>
    <w:rsid w:val="000F29FF"/>
    <w:rsid w:val="000F2F06"/>
    <w:rsid w:val="000F412C"/>
    <w:rsid w:val="000F5336"/>
    <w:rsid w:val="000F6B4A"/>
    <w:rsid w:val="00103CB1"/>
    <w:rsid w:val="00106E17"/>
    <w:rsid w:val="0011395D"/>
    <w:rsid w:val="00120FD2"/>
    <w:rsid w:val="00122A2B"/>
    <w:rsid w:val="00124369"/>
    <w:rsid w:val="0013114F"/>
    <w:rsid w:val="00131B42"/>
    <w:rsid w:val="00132FD4"/>
    <w:rsid w:val="001343C8"/>
    <w:rsid w:val="001419D9"/>
    <w:rsid w:val="00141EE6"/>
    <w:rsid w:val="00142F7D"/>
    <w:rsid w:val="001475C5"/>
    <w:rsid w:val="001556FB"/>
    <w:rsid w:val="00157DC7"/>
    <w:rsid w:val="0016028F"/>
    <w:rsid w:val="001647E0"/>
    <w:rsid w:val="00164CA6"/>
    <w:rsid w:val="001654B7"/>
    <w:rsid w:val="0016764C"/>
    <w:rsid w:val="00170308"/>
    <w:rsid w:val="0017228E"/>
    <w:rsid w:val="0017501A"/>
    <w:rsid w:val="0017545C"/>
    <w:rsid w:val="001837E3"/>
    <w:rsid w:val="0018559C"/>
    <w:rsid w:val="00186293"/>
    <w:rsid w:val="00191D8D"/>
    <w:rsid w:val="00192CD2"/>
    <w:rsid w:val="00192E42"/>
    <w:rsid w:val="0019391C"/>
    <w:rsid w:val="001A204A"/>
    <w:rsid w:val="001A4941"/>
    <w:rsid w:val="001A7EB4"/>
    <w:rsid w:val="001B1E35"/>
    <w:rsid w:val="001B1F27"/>
    <w:rsid w:val="001B4DB0"/>
    <w:rsid w:val="001B7E45"/>
    <w:rsid w:val="001C47D8"/>
    <w:rsid w:val="001C5F99"/>
    <w:rsid w:val="001D3917"/>
    <w:rsid w:val="001D6D9C"/>
    <w:rsid w:val="001E0862"/>
    <w:rsid w:val="001F43A0"/>
    <w:rsid w:val="00200CF5"/>
    <w:rsid w:val="002038BD"/>
    <w:rsid w:val="00204515"/>
    <w:rsid w:val="00206844"/>
    <w:rsid w:val="00207EB5"/>
    <w:rsid w:val="0021451F"/>
    <w:rsid w:val="00214BFD"/>
    <w:rsid w:val="002214A4"/>
    <w:rsid w:val="0022436C"/>
    <w:rsid w:val="00230BD5"/>
    <w:rsid w:val="0024039D"/>
    <w:rsid w:val="00243372"/>
    <w:rsid w:val="002453FC"/>
    <w:rsid w:val="00245BA6"/>
    <w:rsid w:val="0025094E"/>
    <w:rsid w:val="00254585"/>
    <w:rsid w:val="0025570A"/>
    <w:rsid w:val="00260B4A"/>
    <w:rsid w:val="00261BF8"/>
    <w:rsid w:val="00266287"/>
    <w:rsid w:val="0026771D"/>
    <w:rsid w:val="00270889"/>
    <w:rsid w:val="0027186C"/>
    <w:rsid w:val="002724CA"/>
    <w:rsid w:val="00274357"/>
    <w:rsid w:val="002866A6"/>
    <w:rsid w:val="002A07F4"/>
    <w:rsid w:val="002A53F3"/>
    <w:rsid w:val="002A7987"/>
    <w:rsid w:val="002B604B"/>
    <w:rsid w:val="002B7D72"/>
    <w:rsid w:val="002C0529"/>
    <w:rsid w:val="002C0E0D"/>
    <w:rsid w:val="002C288F"/>
    <w:rsid w:val="002C7E7C"/>
    <w:rsid w:val="002D12DD"/>
    <w:rsid w:val="002D45FA"/>
    <w:rsid w:val="002D50DD"/>
    <w:rsid w:val="002E08E4"/>
    <w:rsid w:val="002E6980"/>
    <w:rsid w:val="002F054F"/>
    <w:rsid w:val="002F1193"/>
    <w:rsid w:val="002F14E1"/>
    <w:rsid w:val="002F6D25"/>
    <w:rsid w:val="0030644F"/>
    <w:rsid w:val="003064F2"/>
    <w:rsid w:val="00310B20"/>
    <w:rsid w:val="003112C9"/>
    <w:rsid w:val="00313F62"/>
    <w:rsid w:val="003144BF"/>
    <w:rsid w:val="0031765A"/>
    <w:rsid w:val="00323101"/>
    <w:rsid w:val="00325A3B"/>
    <w:rsid w:val="003328C2"/>
    <w:rsid w:val="00335F5D"/>
    <w:rsid w:val="003424EF"/>
    <w:rsid w:val="003426F9"/>
    <w:rsid w:val="00343024"/>
    <w:rsid w:val="003454A0"/>
    <w:rsid w:val="003455A9"/>
    <w:rsid w:val="003462CA"/>
    <w:rsid w:val="00350F87"/>
    <w:rsid w:val="00353E5C"/>
    <w:rsid w:val="00354234"/>
    <w:rsid w:val="00357039"/>
    <w:rsid w:val="00360C76"/>
    <w:rsid w:val="003625BC"/>
    <w:rsid w:val="00362C59"/>
    <w:rsid w:val="00365AA8"/>
    <w:rsid w:val="00370428"/>
    <w:rsid w:val="003722FF"/>
    <w:rsid w:val="0037739F"/>
    <w:rsid w:val="0038087D"/>
    <w:rsid w:val="003819F4"/>
    <w:rsid w:val="00386708"/>
    <w:rsid w:val="0039770C"/>
    <w:rsid w:val="00397A2B"/>
    <w:rsid w:val="00397F1E"/>
    <w:rsid w:val="003A0209"/>
    <w:rsid w:val="003A72B6"/>
    <w:rsid w:val="003A74C7"/>
    <w:rsid w:val="003B02EB"/>
    <w:rsid w:val="003B1011"/>
    <w:rsid w:val="003B42DC"/>
    <w:rsid w:val="003B4D24"/>
    <w:rsid w:val="003B5670"/>
    <w:rsid w:val="003C20C0"/>
    <w:rsid w:val="003C43BD"/>
    <w:rsid w:val="003C6685"/>
    <w:rsid w:val="003D1AEF"/>
    <w:rsid w:val="003D4CC6"/>
    <w:rsid w:val="003E0232"/>
    <w:rsid w:val="003E024B"/>
    <w:rsid w:val="003E0574"/>
    <w:rsid w:val="003E5321"/>
    <w:rsid w:val="003F1D11"/>
    <w:rsid w:val="003F2389"/>
    <w:rsid w:val="003F6133"/>
    <w:rsid w:val="003F6D75"/>
    <w:rsid w:val="003F6EDB"/>
    <w:rsid w:val="00402A4B"/>
    <w:rsid w:val="004049FC"/>
    <w:rsid w:val="00417795"/>
    <w:rsid w:val="00417C03"/>
    <w:rsid w:val="00424C31"/>
    <w:rsid w:val="004259A0"/>
    <w:rsid w:val="004265D7"/>
    <w:rsid w:val="00427654"/>
    <w:rsid w:val="00427941"/>
    <w:rsid w:val="0043044F"/>
    <w:rsid w:val="00430646"/>
    <w:rsid w:val="00431317"/>
    <w:rsid w:val="00433415"/>
    <w:rsid w:val="00437843"/>
    <w:rsid w:val="00440673"/>
    <w:rsid w:val="004567B1"/>
    <w:rsid w:val="00456AA7"/>
    <w:rsid w:val="00457411"/>
    <w:rsid w:val="004601DF"/>
    <w:rsid w:val="0046060D"/>
    <w:rsid w:val="00461C7F"/>
    <w:rsid w:val="00470A0E"/>
    <w:rsid w:val="00473DD8"/>
    <w:rsid w:val="00473F2C"/>
    <w:rsid w:val="00476E92"/>
    <w:rsid w:val="004865C5"/>
    <w:rsid w:val="00492B0D"/>
    <w:rsid w:val="00497CCA"/>
    <w:rsid w:val="004A114B"/>
    <w:rsid w:val="004A2BE6"/>
    <w:rsid w:val="004A3DF1"/>
    <w:rsid w:val="004B0790"/>
    <w:rsid w:val="004B1D01"/>
    <w:rsid w:val="004B2199"/>
    <w:rsid w:val="004C211E"/>
    <w:rsid w:val="004C2177"/>
    <w:rsid w:val="004C276D"/>
    <w:rsid w:val="004C7868"/>
    <w:rsid w:val="004D04C1"/>
    <w:rsid w:val="004D0DEB"/>
    <w:rsid w:val="004D5D23"/>
    <w:rsid w:val="004D60B3"/>
    <w:rsid w:val="004D67E6"/>
    <w:rsid w:val="004D7927"/>
    <w:rsid w:val="004E2493"/>
    <w:rsid w:val="004E519C"/>
    <w:rsid w:val="004E590F"/>
    <w:rsid w:val="004E6529"/>
    <w:rsid w:val="00501DB5"/>
    <w:rsid w:val="00501FFF"/>
    <w:rsid w:val="00502110"/>
    <w:rsid w:val="005022D7"/>
    <w:rsid w:val="005106F5"/>
    <w:rsid w:val="0051531D"/>
    <w:rsid w:val="00516D17"/>
    <w:rsid w:val="00520ECE"/>
    <w:rsid w:val="005228AE"/>
    <w:rsid w:val="005245DA"/>
    <w:rsid w:val="00524CAA"/>
    <w:rsid w:val="00526B7B"/>
    <w:rsid w:val="0053273F"/>
    <w:rsid w:val="005348B1"/>
    <w:rsid w:val="00543A03"/>
    <w:rsid w:val="00545AB0"/>
    <w:rsid w:val="00547DE3"/>
    <w:rsid w:val="00547FD2"/>
    <w:rsid w:val="00554F21"/>
    <w:rsid w:val="00562938"/>
    <w:rsid w:val="00562D2E"/>
    <w:rsid w:val="00564972"/>
    <w:rsid w:val="005677A9"/>
    <w:rsid w:val="005764E0"/>
    <w:rsid w:val="00581126"/>
    <w:rsid w:val="00582D45"/>
    <w:rsid w:val="00584DFB"/>
    <w:rsid w:val="00590913"/>
    <w:rsid w:val="00595791"/>
    <w:rsid w:val="00597800"/>
    <w:rsid w:val="00597D4E"/>
    <w:rsid w:val="00597F8E"/>
    <w:rsid w:val="005A1190"/>
    <w:rsid w:val="005A32A7"/>
    <w:rsid w:val="005A34DD"/>
    <w:rsid w:val="005B1FB3"/>
    <w:rsid w:val="005B42E6"/>
    <w:rsid w:val="005B53A4"/>
    <w:rsid w:val="005B7683"/>
    <w:rsid w:val="005B777C"/>
    <w:rsid w:val="005B7BF1"/>
    <w:rsid w:val="005C5908"/>
    <w:rsid w:val="005C6C3B"/>
    <w:rsid w:val="005D17BD"/>
    <w:rsid w:val="005E3D38"/>
    <w:rsid w:val="005E5B36"/>
    <w:rsid w:val="005F362B"/>
    <w:rsid w:val="005F5481"/>
    <w:rsid w:val="005F7C7D"/>
    <w:rsid w:val="00600402"/>
    <w:rsid w:val="00601595"/>
    <w:rsid w:val="00602BE0"/>
    <w:rsid w:val="00603EDA"/>
    <w:rsid w:val="006051D1"/>
    <w:rsid w:val="0060568E"/>
    <w:rsid w:val="00606603"/>
    <w:rsid w:val="00606763"/>
    <w:rsid w:val="00606FB0"/>
    <w:rsid w:val="00607032"/>
    <w:rsid w:val="00607FF3"/>
    <w:rsid w:val="006113E0"/>
    <w:rsid w:val="00620763"/>
    <w:rsid w:val="006255D1"/>
    <w:rsid w:val="00632698"/>
    <w:rsid w:val="006334FC"/>
    <w:rsid w:val="00633D25"/>
    <w:rsid w:val="006340A9"/>
    <w:rsid w:val="00641F52"/>
    <w:rsid w:val="006453B6"/>
    <w:rsid w:val="0064672C"/>
    <w:rsid w:val="006544B7"/>
    <w:rsid w:val="00654CC2"/>
    <w:rsid w:val="00661ADB"/>
    <w:rsid w:val="00667511"/>
    <w:rsid w:val="00670D5B"/>
    <w:rsid w:val="00674390"/>
    <w:rsid w:val="006763B0"/>
    <w:rsid w:val="00685AB4"/>
    <w:rsid w:val="00686115"/>
    <w:rsid w:val="00690AF2"/>
    <w:rsid w:val="006940D3"/>
    <w:rsid w:val="00696265"/>
    <w:rsid w:val="006A039B"/>
    <w:rsid w:val="006A27D7"/>
    <w:rsid w:val="006A4DDE"/>
    <w:rsid w:val="006A7B20"/>
    <w:rsid w:val="006B02E9"/>
    <w:rsid w:val="006B2881"/>
    <w:rsid w:val="006B2AED"/>
    <w:rsid w:val="006B4DD7"/>
    <w:rsid w:val="006C1FA2"/>
    <w:rsid w:val="006C516E"/>
    <w:rsid w:val="006D5064"/>
    <w:rsid w:val="006E0212"/>
    <w:rsid w:val="006E1126"/>
    <w:rsid w:val="006E4E89"/>
    <w:rsid w:val="006E5EBD"/>
    <w:rsid w:val="006F03B2"/>
    <w:rsid w:val="006F24F5"/>
    <w:rsid w:val="006F26D9"/>
    <w:rsid w:val="006F3125"/>
    <w:rsid w:val="006F3843"/>
    <w:rsid w:val="006F40BB"/>
    <w:rsid w:val="007010E2"/>
    <w:rsid w:val="007025FE"/>
    <w:rsid w:val="0070302E"/>
    <w:rsid w:val="00704B10"/>
    <w:rsid w:val="00704B17"/>
    <w:rsid w:val="0070527A"/>
    <w:rsid w:val="00706DCC"/>
    <w:rsid w:val="00707387"/>
    <w:rsid w:val="00711B60"/>
    <w:rsid w:val="00714EA2"/>
    <w:rsid w:val="00720D01"/>
    <w:rsid w:val="007218A5"/>
    <w:rsid w:val="00724135"/>
    <w:rsid w:val="00726558"/>
    <w:rsid w:val="00730150"/>
    <w:rsid w:val="00737E28"/>
    <w:rsid w:val="007413DA"/>
    <w:rsid w:val="007437F3"/>
    <w:rsid w:val="007440FB"/>
    <w:rsid w:val="00746480"/>
    <w:rsid w:val="00746921"/>
    <w:rsid w:val="00750F91"/>
    <w:rsid w:val="00753A32"/>
    <w:rsid w:val="00757590"/>
    <w:rsid w:val="00760712"/>
    <w:rsid w:val="007612AC"/>
    <w:rsid w:val="00761461"/>
    <w:rsid w:val="00764E2E"/>
    <w:rsid w:val="00770623"/>
    <w:rsid w:val="007732B0"/>
    <w:rsid w:val="007763DA"/>
    <w:rsid w:val="00781B4E"/>
    <w:rsid w:val="007821C5"/>
    <w:rsid w:val="00784092"/>
    <w:rsid w:val="0078683D"/>
    <w:rsid w:val="00786BAF"/>
    <w:rsid w:val="00786E56"/>
    <w:rsid w:val="00787846"/>
    <w:rsid w:val="007A79CD"/>
    <w:rsid w:val="007A7A06"/>
    <w:rsid w:val="007B206C"/>
    <w:rsid w:val="007B5343"/>
    <w:rsid w:val="007B607F"/>
    <w:rsid w:val="007B77F7"/>
    <w:rsid w:val="007B7C80"/>
    <w:rsid w:val="007C017C"/>
    <w:rsid w:val="007C2AFE"/>
    <w:rsid w:val="007C651E"/>
    <w:rsid w:val="007D220A"/>
    <w:rsid w:val="007D277E"/>
    <w:rsid w:val="007D4921"/>
    <w:rsid w:val="007E6D35"/>
    <w:rsid w:val="007F2011"/>
    <w:rsid w:val="007F2D0A"/>
    <w:rsid w:val="007F3ED0"/>
    <w:rsid w:val="007F5D3E"/>
    <w:rsid w:val="00800497"/>
    <w:rsid w:val="008006B5"/>
    <w:rsid w:val="00801D00"/>
    <w:rsid w:val="00805BD6"/>
    <w:rsid w:val="00807C9C"/>
    <w:rsid w:val="00810306"/>
    <w:rsid w:val="00811EB7"/>
    <w:rsid w:val="0081312B"/>
    <w:rsid w:val="00815E25"/>
    <w:rsid w:val="00816E7F"/>
    <w:rsid w:val="0082038D"/>
    <w:rsid w:val="00821BC2"/>
    <w:rsid w:val="0082477D"/>
    <w:rsid w:val="008355E0"/>
    <w:rsid w:val="008355EE"/>
    <w:rsid w:val="00835F53"/>
    <w:rsid w:val="008464C3"/>
    <w:rsid w:val="00852979"/>
    <w:rsid w:val="008634FD"/>
    <w:rsid w:val="00865B3A"/>
    <w:rsid w:val="00875F0F"/>
    <w:rsid w:val="00880952"/>
    <w:rsid w:val="00883014"/>
    <w:rsid w:val="00884729"/>
    <w:rsid w:val="00886B81"/>
    <w:rsid w:val="00887576"/>
    <w:rsid w:val="0089077B"/>
    <w:rsid w:val="00891410"/>
    <w:rsid w:val="008916A9"/>
    <w:rsid w:val="0089173D"/>
    <w:rsid w:val="0089361D"/>
    <w:rsid w:val="008943AD"/>
    <w:rsid w:val="00896BFA"/>
    <w:rsid w:val="008A4E32"/>
    <w:rsid w:val="008A6FA4"/>
    <w:rsid w:val="008A7ED5"/>
    <w:rsid w:val="008B358A"/>
    <w:rsid w:val="008B3A75"/>
    <w:rsid w:val="008B62CB"/>
    <w:rsid w:val="008C3801"/>
    <w:rsid w:val="008C3B87"/>
    <w:rsid w:val="008C67FB"/>
    <w:rsid w:val="008C6BC8"/>
    <w:rsid w:val="008D05FA"/>
    <w:rsid w:val="008D15E0"/>
    <w:rsid w:val="008E307C"/>
    <w:rsid w:val="008E36E2"/>
    <w:rsid w:val="008F1601"/>
    <w:rsid w:val="008F7482"/>
    <w:rsid w:val="00906B82"/>
    <w:rsid w:val="00912430"/>
    <w:rsid w:val="00917AEE"/>
    <w:rsid w:val="009204C3"/>
    <w:rsid w:val="009205F7"/>
    <w:rsid w:val="009214BF"/>
    <w:rsid w:val="00921679"/>
    <w:rsid w:val="0092289F"/>
    <w:rsid w:val="00923665"/>
    <w:rsid w:val="00923A49"/>
    <w:rsid w:val="00923EEA"/>
    <w:rsid w:val="0092417B"/>
    <w:rsid w:val="009244F8"/>
    <w:rsid w:val="00925135"/>
    <w:rsid w:val="00930304"/>
    <w:rsid w:val="00931301"/>
    <w:rsid w:val="00935AA7"/>
    <w:rsid w:val="00935C92"/>
    <w:rsid w:val="00941B4B"/>
    <w:rsid w:val="0094316C"/>
    <w:rsid w:val="009456E2"/>
    <w:rsid w:val="009456F5"/>
    <w:rsid w:val="0094592F"/>
    <w:rsid w:val="0095177F"/>
    <w:rsid w:val="00951F7A"/>
    <w:rsid w:val="00955309"/>
    <w:rsid w:val="0095541C"/>
    <w:rsid w:val="00955748"/>
    <w:rsid w:val="0096263E"/>
    <w:rsid w:val="00962D41"/>
    <w:rsid w:val="00964DE4"/>
    <w:rsid w:val="009658AD"/>
    <w:rsid w:val="00966273"/>
    <w:rsid w:val="009679D1"/>
    <w:rsid w:val="009771DE"/>
    <w:rsid w:val="00977D56"/>
    <w:rsid w:val="00980792"/>
    <w:rsid w:val="00980F3F"/>
    <w:rsid w:val="00981FC1"/>
    <w:rsid w:val="0099094E"/>
    <w:rsid w:val="00990C66"/>
    <w:rsid w:val="009914BB"/>
    <w:rsid w:val="00991FE0"/>
    <w:rsid w:val="00992E21"/>
    <w:rsid w:val="009955C5"/>
    <w:rsid w:val="00996DFF"/>
    <w:rsid w:val="009A08AE"/>
    <w:rsid w:val="009A2150"/>
    <w:rsid w:val="009A5570"/>
    <w:rsid w:val="009B4CDD"/>
    <w:rsid w:val="009B57D7"/>
    <w:rsid w:val="009B749E"/>
    <w:rsid w:val="009C1AC7"/>
    <w:rsid w:val="009C2971"/>
    <w:rsid w:val="009C6025"/>
    <w:rsid w:val="009C6A45"/>
    <w:rsid w:val="009D0606"/>
    <w:rsid w:val="009D20A5"/>
    <w:rsid w:val="009D370E"/>
    <w:rsid w:val="009E47D5"/>
    <w:rsid w:val="009E77BF"/>
    <w:rsid w:val="009F2F6B"/>
    <w:rsid w:val="00A005F6"/>
    <w:rsid w:val="00A01F1D"/>
    <w:rsid w:val="00A02F8F"/>
    <w:rsid w:val="00A13521"/>
    <w:rsid w:val="00A15D26"/>
    <w:rsid w:val="00A20662"/>
    <w:rsid w:val="00A224FC"/>
    <w:rsid w:val="00A27119"/>
    <w:rsid w:val="00A331A8"/>
    <w:rsid w:val="00A333EE"/>
    <w:rsid w:val="00A34B5F"/>
    <w:rsid w:val="00A36AC1"/>
    <w:rsid w:val="00A40B74"/>
    <w:rsid w:val="00A4194C"/>
    <w:rsid w:val="00A42445"/>
    <w:rsid w:val="00A427FB"/>
    <w:rsid w:val="00A43D1C"/>
    <w:rsid w:val="00A44D2A"/>
    <w:rsid w:val="00A4608E"/>
    <w:rsid w:val="00A472FA"/>
    <w:rsid w:val="00A52C17"/>
    <w:rsid w:val="00A52C47"/>
    <w:rsid w:val="00A5407E"/>
    <w:rsid w:val="00A56C30"/>
    <w:rsid w:val="00A57D51"/>
    <w:rsid w:val="00A60C51"/>
    <w:rsid w:val="00A6623F"/>
    <w:rsid w:val="00A70F76"/>
    <w:rsid w:val="00A72CED"/>
    <w:rsid w:val="00A74137"/>
    <w:rsid w:val="00A7644C"/>
    <w:rsid w:val="00A77651"/>
    <w:rsid w:val="00A80508"/>
    <w:rsid w:val="00A82621"/>
    <w:rsid w:val="00A82994"/>
    <w:rsid w:val="00A85C28"/>
    <w:rsid w:val="00A85D17"/>
    <w:rsid w:val="00A90367"/>
    <w:rsid w:val="00A91652"/>
    <w:rsid w:val="00A92747"/>
    <w:rsid w:val="00A93E6E"/>
    <w:rsid w:val="00AA1C3F"/>
    <w:rsid w:val="00AA327D"/>
    <w:rsid w:val="00AA6AE3"/>
    <w:rsid w:val="00AA7C5C"/>
    <w:rsid w:val="00AB306E"/>
    <w:rsid w:val="00AB3AD0"/>
    <w:rsid w:val="00AB3BB0"/>
    <w:rsid w:val="00AB50DA"/>
    <w:rsid w:val="00AC0584"/>
    <w:rsid w:val="00AC36CB"/>
    <w:rsid w:val="00AC466D"/>
    <w:rsid w:val="00AC47AE"/>
    <w:rsid w:val="00AC6D7A"/>
    <w:rsid w:val="00AD14AF"/>
    <w:rsid w:val="00AD44EE"/>
    <w:rsid w:val="00AE5080"/>
    <w:rsid w:val="00AE531C"/>
    <w:rsid w:val="00AE57A9"/>
    <w:rsid w:val="00AE6D3D"/>
    <w:rsid w:val="00AF3E7F"/>
    <w:rsid w:val="00AF44A6"/>
    <w:rsid w:val="00AF652F"/>
    <w:rsid w:val="00B02340"/>
    <w:rsid w:val="00B0539F"/>
    <w:rsid w:val="00B06302"/>
    <w:rsid w:val="00B064D6"/>
    <w:rsid w:val="00B07EF0"/>
    <w:rsid w:val="00B13DB3"/>
    <w:rsid w:val="00B1500D"/>
    <w:rsid w:val="00B15AE8"/>
    <w:rsid w:val="00B24911"/>
    <w:rsid w:val="00B24B43"/>
    <w:rsid w:val="00B2583D"/>
    <w:rsid w:val="00B31434"/>
    <w:rsid w:val="00B33653"/>
    <w:rsid w:val="00B34374"/>
    <w:rsid w:val="00B34467"/>
    <w:rsid w:val="00B41B31"/>
    <w:rsid w:val="00B50273"/>
    <w:rsid w:val="00B53246"/>
    <w:rsid w:val="00B60E72"/>
    <w:rsid w:val="00B6609C"/>
    <w:rsid w:val="00B66D1F"/>
    <w:rsid w:val="00B67AEB"/>
    <w:rsid w:val="00B70CC0"/>
    <w:rsid w:val="00B71442"/>
    <w:rsid w:val="00B722E2"/>
    <w:rsid w:val="00B72F7D"/>
    <w:rsid w:val="00B757CC"/>
    <w:rsid w:val="00B7759E"/>
    <w:rsid w:val="00B80B99"/>
    <w:rsid w:val="00B81CA9"/>
    <w:rsid w:val="00B903C8"/>
    <w:rsid w:val="00B90D40"/>
    <w:rsid w:val="00B91216"/>
    <w:rsid w:val="00B92A37"/>
    <w:rsid w:val="00B92EE2"/>
    <w:rsid w:val="00B942CE"/>
    <w:rsid w:val="00B944FC"/>
    <w:rsid w:val="00B96008"/>
    <w:rsid w:val="00BA73B7"/>
    <w:rsid w:val="00BA7A59"/>
    <w:rsid w:val="00BB3C63"/>
    <w:rsid w:val="00BB474D"/>
    <w:rsid w:val="00BB68AB"/>
    <w:rsid w:val="00BB7BFE"/>
    <w:rsid w:val="00BC0D3C"/>
    <w:rsid w:val="00BC2332"/>
    <w:rsid w:val="00BC4C87"/>
    <w:rsid w:val="00BC726B"/>
    <w:rsid w:val="00BC7943"/>
    <w:rsid w:val="00BD73C5"/>
    <w:rsid w:val="00BE5E58"/>
    <w:rsid w:val="00BF1F51"/>
    <w:rsid w:val="00C0112C"/>
    <w:rsid w:val="00C03122"/>
    <w:rsid w:val="00C04D2B"/>
    <w:rsid w:val="00C050CC"/>
    <w:rsid w:val="00C06A94"/>
    <w:rsid w:val="00C12AA8"/>
    <w:rsid w:val="00C22385"/>
    <w:rsid w:val="00C24B07"/>
    <w:rsid w:val="00C30E2B"/>
    <w:rsid w:val="00C33C76"/>
    <w:rsid w:val="00C34266"/>
    <w:rsid w:val="00C3575A"/>
    <w:rsid w:val="00C37035"/>
    <w:rsid w:val="00C40060"/>
    <w:rsid w:val="00C413E7"/>
    <w:rsid w:val="00C43B77"/>
    <w:rsid w:val="00C44217"/>
    <w:rsid w:val="00C45CC1"/>
    <w:rsid w:val="00C46B4F"/>
    <w:rsid w:val="00C50702"/>
    <w:rsid w:val="00C525BE"/>
    <w:rsid w:val="00C52E4D"/>
    <w:rsid w:val="00C53AC2"/>
    <w:rsid w:val="00C562BC"/>
    <w:rsid w:val="00C623CE"/>
    <w:rsid w:val="00C666E4"/>
    <w:rsid w:val="00C66A5E"/>
    <w:rsid w:val="00C728AA"/>
    <w:rsid w:val="00C72C09"/>
    <w:rsid w:val="00C74753"/>
    <w:rsid w:val="00C76433"/>
    <w:rsid w:val="00C8101A"/>
    <w:rsid w:val="00C81E3C"/>
    <w:rsid w:val="00C84501"/>
    <w:rsid w:val="00C86239"/>
    <w:rsid w:val="00C86FB7"/>
    <w:rsid w:val="00C92E3D"/>
    <w:rsid w:val="00C93534"/>
    <w:rsid w:val="00C93C5A"/>
    <w:rsid w:val="00C945A8"/>
    <w:rsid w:val="00C94880"/>
    <w:rsid w:val="00C94C92"/>
    <w:rsid w:val="00C94E26"/>
    <w:rsid w:val="00C965A5"/>
    <w:rsid w:val="00C96B67"/>
    <w:rsid w:val="00C97835"/>
    <w:rsid w:val="00CA5061"/>
    <w:rsid w:val="00CA55A5"/>
    <w:rsid w:val="00CA6419"/>
    <w:rsid w:val="00CB0905"/>
    <w:rsid w:val="00CB1A6E"/>
    <w:rsid w:val="00CB39E5"/>
    <w:rsid w:val="00CC0DA6"/>
    <w:rsid w:val="00CC1530"/>
    <w:rsid w:val="00CC1C8B"/>
    <w:rsid w:val="00CE0F83"/>
    <w:rsid w:val="00CE1157"/>
    <w:rsid w:val="00CE4DFC"/>
    <w:rsid w:val="00CF1FCD"/>
    <w:rsid w:val="00CF2425"/>
    <w:rsid w:val="00CF54D5"/>
    <w:rsid w:val="00D003C8"/>
    <w:rsid w:val="00D02AD0"/>
    <w:rsid w:val="00D0350A"/>
    <w:rsid w:val="00D0374B"/>
    <w:rsid w:val="00D05DB6"/>
    <w:rsid w:val="00D1154F"/>
    <w:rsid w:val="00D123DA"/>
    <w:rsid w:val="00D12866"/>
    <w:rsid w:val="00D140FF"/>
    <w:rsid w:val="00D1618B"/>
    <w:rsid w:val="00D17C6D"/>
    <w:rsid w:val="00D20F01"/>
    <w:rsid w:val="00D2199E"/>
    <w:rsid w:val="00D22AB2"/>
    <w:rsid w:val="00D24F1F"/>
    <w:rsid w:val="00D25CAA"/>
    <w:rsid w:val="00D26698"/>
    <w:rsid w:val="00D31D3C"/>
    <w:rsid w:val="00D33096"/>
    <w:rsid w:val="00D34934"/>
    <w:rsid w:val="00D36E5F"/>
    <w:rsid w:val="00D41372"/>
    <w:rsid w:val="00D41AE3"/>
    <w:rsid w:val="00D446A4"/>
    <w:rsid w:val="00D46FBC"/>
    <w:rsid w:val="00D50A64"/>
    <w:rsid w:val="00D538B1"/>
    <w:rsid w:val="00D56EFA"/>
    <w:rsid w:val="00D62663"/>
    <w:rsid w:val="00D6506F"/>
    <w:rsid w:val="00D65F20"/>
    <w:rsid w:val="00D66769"/>
    <w:rsid w:val="00D70F34"/>
    <w:rsid w:val="00D710EE"/>
    <w:rsid w:val="00D73EED"/>
    <w:rsid w:val="00D750B2"/>
    <w:rsid w:val="00D758E8"/>
    <w:rsid w:val="00D771FA"/>
    <w:rsid w:val="00D812C3"/>
    <w:rsid w:val="00D81487"/>
    <w:rsid w:val="00D8174E"/>
    <w:rsid w:val="00D85255"/>
    <w:rsid w:val="00DA3118"/>
    <w:rsid w:val="00DB1DAF"/>
    <w:rsid w:val="00DB2CE4"/>
    <w:rsid w:val="00DB32B8"/>
    <w:rsid w:val="00DB4A8D"/>
    <w:rsid w:val="00DB65FB"/>
    <w:rsid w:val="00DC168C"/>
    <w:rsid w:val="00DC5FD8"/>
    <w:rsid w:val="00DC745C"/>
    <w:rsid w:val="00DD67A4"/>
    <w:rsid w:val="00DD6BB3"/>
    <w:rsid w:val="00DD75D9"/>
    <w:rsid w:val="00DE36AD"/>
    <w:rsid w:val="00DF1238"/>
    <w:rsid w:val="00DF3E6F"/>
    <w:rsid w:val="00E06528"/>
    <w:rsid w:val="00E11682"/>
    <w:rsid w:val="00E13C42"/>
    <w:rsid w:val="00E20B2F"/>
    <w:rsid w:val="00E21D83"/>
    <w:rsid w:val="00E24658"/>
    <w:rsid w:val="00E26BC5"/>
    <w:rsid w:val="00E32FF8"/>
    <w:rsid w:val="00E33530"/>
    <w:rsid w:val="00E347E5"/>
    <w:rsid w:val="00E35725"/>
    <w:rsid w:val="00E35859"/>
    <w:rsid w:val="00E3586D"/>
    <w:rsid w:val="00E42410"/>
    <w:rsid w:val="00E4418C"/>
    <w:rsid w:val="00E45527"/>
    <w:rsid w:val="00E46A33"/>
    <w:rsid w:val="00E47178"/>
    <w:rsid w:val="00E5577D"/>
    <w:rsid w:val="00E6473A"/>
    <w:rsid w:val="00E753E8"/>
    <w:rsid w:val="00E76FB1"/>
    <w:rsid w:val="00E81B59"/>
    <w:rsid w:val="00E85BAC"/>
    <w:rsid w:val="00E901FF"/>
    <w:rsid w:val="00E90235"/>
    <w:rsid w:val="00E91C87"/>
    <w:rsid w:val="00EA2915"/>
    <w:rsid w:val="00EA4E48"/>
    <w:rsid w:val="00EA515B"/>
    <w:rsid w:val="00EA575C"/>
    <w:rsid w:val="00EB06A6"/>
    <w:rsid w:val="00EC132C"/>
    <w:rsid w:val="00EC1D3F"/>
    <w:rsid w:val="00EC341A"/>
    <w:rsid w:val="00EC4288"/>
    <w:rsid w:val="00EC6C87"/>
    <w:rsid w:val="00EC72B5"/>
    <w:rsid w:val="00ED1D78"/>
    <w:rsid w:val="00ED2E51"/>
    <w:rsid w:val="00ED49A2"/>
    <w:rsid w:val="00EE549F"/>
    <w:rsid w:val="00EE6033"/>
    <w:rsid w:val="00EE6984"/>
    <w:rsid w:val="00EE7335"/>
    <w:rsid w:val="00EF1AF2"/>
    <w:rsid w:val="00EF1EBC"/>
    <w:rsid w:val="00EF3C21"/>
    <w:rsid w:val="00EF6BED"/>
    <w:rsid w:val="00EF78E1"/>
    <w:rsid w:val="00F06BFC"/>
    <w:rsid w:val="00F104F2"/>
    <w:rsid w:val="00F21C9A"/>
    <w:rsid w:val="00F33BFC"/>
    <w:rsid w:val="00F35DE7"/>
    <w:rsid w:val="00F36C44"/>
    <w:rsid w:val="00F37151"/>
    <w:rsid w:val="00F45C0F"/>
    <w:rsid w:val="00F503D6"/>
    <w:rsid w:val="00F51227"/>
    <w:rsid w:val="00F516F2"/>
    <w:rsid w:val="00F53DFC"/>
    <w:rsid w:val="00F543E8"/>
    <w:rsid w:val="00F55BD8"/>
    <w:rsid w:val="00F56A7E"/>
    <w:rsid w:val="00F646D0"/>
    <w:rsid w:val="00F665DA"/>
    <w:rsid w:val="00F7098C"/>
    <w:rsid w:val="00F72A20"/>
    <w:rsid w:val="00F91F0F"/>
    <w:rsid w:val="00F91F54"/>
    <w:rsid w:val="00F934C2"/>
    <w:rsid w:val="00F93CEF"/>
    <w:rsid w:val="00F945A6"/>
    <w:rsid w:val="00F96A99"/>
    <w:rsid w:val="00F96F09"/>
    <w:rsid w:val="00F97E2E"/>
    <w:rsid w:val="00FA01A7"/>
    <w:rsid w:val="00FA02CD"/>
    <w:rsid w:val="00FA370D"/>
    <w:rsid w:val="00FB0730"/>
    <w:rsid w:val="00FB13E1"/>
    <w:rsid w:val="00FB1506"/>
    <w:rsid w:val="00FB29F8"/>
    <w:rsid w:val="00FB2B1A"/>
    <w:rsid w:val="00FB4414"/>
    <w:rsid w:val="00FB58E0"/>
    <w:rsid w:val="00FC334E"/>
    <w:rsid w:val="00FD3040"/>
    <w:rsid w:val="00FD5BCF"/>
    <w:rsid w:val="00FE0041"/>
    <w:rsid w:val="00FE6439"/>
    <w:rsid w:val="00FE78D9"/>
    <w:rsid w:val="00FF1B79"/>
    <w:rsid w:val="00FF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B60E72"/>
    <w:rPr>
      <w:sz w:val="20"/>
    </w:rPr>
  </w:style>
  <w:style w:type="character" w:customStyle="1" w:styleId="PuslapioinaostekstasDiagrama">
    <w:name w:val="Puslapio išnašos tekstas Diagrama"/>
    <w:basedOn w:val="Numatytasispastraiposriftas"/>
    <w:link w:val="Puslapioinaostekstas"/>
    <w:semiHidden/>
    <w:rsid w:val="00B60E7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F1EBC"/>
    <w:pPr>
      <w:tabs>
        <w:tab w:val="center" w:pos="4819"/>
        <w:tab w:val="right" w:pos="9638"/>
      </w:tabs>
    </w:pPr>
  </w:style>
  <w:style w:type="character" w:customStyle="1" w:styleId="PoratDiagrama">
    <w:name w:val="Poraštė Diagrama"/>
    <w:basedOn w:val="Numatytasispastraiposriftas"/>
    <w:link w:val="Porat"/>
    <w:uiPriority w:val="99"/>
    <w:rsid w:val="00EF1EBC"/>
    <w:rPr>
      <w:rFonts w:ascii="Times New Roman" w:eastAsia="Times New Roman" w:hAnsi="Times New Roman" w:cs="Times New Roman"/>
      <w:sz w:val="24"/>
      <w:szCs w:val="20"/>
    </w:rPr>
  </w:style>
  <w:style w:type="paragraph" w:styleId="Sraopastraipa">
    <w:name w:val="List Paragraph"/>
    <w:basedOn w:val="prastasis"/>
    <w:uiPriority w:val="34"/>
    <w:qFormat/>
    <w:rsid w:val="00A42445"/>
    <w:pPr>
      <w:ind w:left="720"/>
      <w:contextualSpacing/>
    </w:pPr>
  </w:style>
  <w:style w:type="paragraph" w:styleId="Pagrindiniotekstotrauka3">
    <w:name w:val="Body Text Indent 3"/>
    <w:basedOn w:val="prastasis"/>
    <w:link w:val="Pagrindiniotekstotrauka3Diagrama"/>
    <w:uiPriority w:val="99"/>
    <w:unhideWhenUsed/>
    <w:rsid w:val="00805BD6"/>
    <w:pPr>
      <w:spacing w:after="120"/>
      <w:ind w:left="283"/>
    </w:pPr>
    <w:rPr>
      <w:rFonts w:eastAsia="Calibri"/>
      <w:sz w:val="16"/>
      <w:szCs w:val="16"/>
    </w:rPr>
  </w:style>
  <w:style w:type="character" w:customStyle="1" w:styleId="Pagrindiniotekstotrauka3Diagrama">
    <w:name w:val="Pagrindinio teksto įtrauka 3 Diagrama"/>
    <w:basedOn w:val="Numatytasispastraiposriftas"/>
    <w:link w:val="Pagrindiniotekstotrauka3"/>
    <w:uiPriority w:val="99"/>
    <w:rsid w:val="00805BD6"/>
    <w:rPr>
      <w:rFonts w:ascii="Times New Roman" w:eastAsia="Calibri" w:hAnsi="Times New Roman" w:cs="Times New Roman"/>
      <w:sz w:val="16"/>
      <w:szCs w:val="16"/>
    </w:rPr>
  </w:style>
  <w:style w:type="character" w:styleId="Komentaronuoroda">
    <w:name w:val="annotation reference"/>
    <w:basedOn w:val="Numatytasispastraiposriftas"/>
    <w:uiPriority w:val="99"/>
    <w:semiHidden/>
    <w:unhideWhenUsed/>
    <w:rsid w:val="003112C9"/>
    <w:rPr>
      <w:sz w:val="16"/>
      <w:szCs w:val="16"/>
    </w:rPr>
  </w:style>
  <w:style w:type="paragraph" w:styleId="Komentarotekstas">
    <w:name w:val="annotation text"/>
    <w:basedOn w:val="prastasis"/>
    <w:link w:val="KomentarotekstasDiagrama"/>
    <w:uiPriority w:val="99"/>
    <w:semiHidden/>
    <w:unhideWhenUsed/>
    <w:rsid w:val="003112C9"/>
    <w:rPr>
      <w:sz w:val="20"/>
    </w:rPr>
  </w:style>
  <w:style w:type="character" w:customStyle="1" w:styleId="KomentarotekstasDiagrama">
    <w:name w:val="Komentaro tekstas Diagrama"/>
    <w:basedOn w:val="Numatytasispastraiposriftas"/>
    <w:link w:val="Komentarotekstas"/>
    <w:uiPriority w:val="99"/>
    <w:semiHidden/>
    <w:rsid w:val="003112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112C9"/>
    <w:rPr>
      <w:b/>
      <w:bCs/>
    </w:rPr>
  </w:style>
  <w:style w:type="character" w:customStyle="1" w:styleId="KomentarotemaDiagrama">
    <w:name w:val="Komentaro tema Diagrama"/>
    <w:basedOn w:val="KomentarotekstasDiagrama"/>
    <w:link w:val="Komentarotema"/>
    <w:uiPriority w:val="99"/>
    <w:semiHidden/>
    <w:rsid w:val="003112C9"/>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A70F76"/>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A4AF-4EBF-4C48-8E06-AC654E77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9520</Words>
  <Characters>5427</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13</cp:revision>
  <cp:lastPrinted>2019-07-17T06:12:00Z</cp:lastPrinted>
  <dcterms:created xsi:type="dcterms:W3CDTF">2019-07-17T04:41:00Z</dcterms:created>
  <dcterms:modified xsi:type="dcterms:W3CDTF">2019-07-23T12:10:00Z</dcterms:modified>
</cp:coreProperties>
</file>