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07C82" w:rsidRPr="00246C3A" w:rsidRDefault="00364784" w:rsidP="00907C82">
      <w:pPr>
        <w:jc w:val="center"/>
        <w:rPr>
          <w:rFonts w:ascii="CG Times" w:hAnsi="CG Times"/>
          <w:sz w:val="24"/>
          <w:szCs w:val="24"/>
        </w:rPr>
      </w:pPr>
      <w:r w:rsidRPr="00246C3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48.25pt" o:ole="" fillcolor="window">
            <v:imagedata r:id="rId8" o:title=""/>
          </v:shape>
          <o:OLEObject Type="Embed" ProgID="Word.Picture.8" ShapeID="_x0000_i1025" DrawAspect="Content" ObjectID="_1596614248" r:id="rId9"/>
        </w:object>
      </w:r>
    </w:p>
    <w:p w:rsidR="00CD0D68" w:rsidRPr="00246C3A" w:rsidRDefault="00CD0D68" w:rsidP="00907C82">
      <w:pPr>
        <w:jc w:val="center"/>
        <w:rPr>
          <w:sz w:val="24"/>
          <w:szCs w:val="24"/>
        </w:rPr>
      </w:pPr>
    </w:p>
    <w:p w:rsidR="00351E8D" w:rsidRPr="00246C3A" w:rsidRDefault="00351E8D" w:rsidP="009310AB">
      <w:pPr>
        <w:pStyle w:val="Antrat1"/>
        <w:tabs>
          <w:tab w:val="left" w:pos="900"/>
        </w:tabs>
        <w:jc w:val="center"/>
        <w:rPr>
          <w:sz w:val="24"/>
          <w:szCs w:val="24"/>
        </w:rPr>
      </w:pPr>
      <w:r w:rsidRPr="00246C3A">
        <w:rPr>
          <w:sz w:val="24"/>
          <w:szCs w:val="24"/>
        </w:rPr>
        <w:t>VIEŠŲJŲ PIRKIMŲ TARNYBA</w:t>
      </w:r>
    </w:p>
    <w:p w:rsidR="005E7486" w:rsidRDefault="005E7486" w:rsidP="00A77BDD">
      <w:pPr>
        <w:tabs>
          <w:tab w:val="left" w:pos="900"/>
        </w:tabs>
        <w:rPr>
          <w:bCs/>
          <w:sz w:val="24"/>
          <w:szCs w:val="24"/>
        </w:rPr>
      </w:pPr>
    </w:p>
    <w:p w:rsidR="001C573C" w:rsidRPr="00246C3A" w:rsidRDefault="001C573C" w:rsidP="00A77BDD">
      <w:pPr>
        <w:tabs>
          <w:tab w:val="left" w:pos="900"/>
        </w:tabs>
        <w:rPr>
          <w:bCs/>
          <w:sz w:val="24"/>
          <w:szCs w:val="24"/>
        </w:rPr>
      </w:pPr>
    </w:p>
    <w:p w:rsidR="00F75CB5" w:rsidRPr="00246C3A"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567"/>
        <w:gridCol w:w="2267"/>
      </w:tblGrid>
      <w:tr w:rsidR="001C573C" w:rsidRPr="00246C3A" w:rsidTr="00961D2E">
        <w:trPr>
          <w:cantSplit/>
        </w:trPr>
        <w:tc>
          <w:tcPr>
            <w:tcW w:w="5240" w:type="dxa"/>
            <w:gridSpan w:val="4"/>
          </w:tcPr>
          <w:p w:rsidR="001C573C" w:rsidRPr="00246C3A" w:rsidRDefault="00B02F9C" w:rsidP="001C573C">
            <w:pPr>
              <w:rPr>
                <w:sz w:val="24"/>
                <w:szCs w:val="24"/>
              </w:rPr>
            </w:pPr>
            <w:r>
              <w:rPr>
                <w:sz w:val="24"/>
                <w:szCs w:val="24"/>
              </w:rPr>
              <w:t>VšĮ Mažeikių ligoninei</w:t>
            </w:r>
          </w:p>
          <w:p w:rsidR="00AA79D0" w:rsidRDefault="00B02F9C" w:rsidP="001C573C">
            <w:pPr>
              <w:rPr>
                <w:sz w:val="24"/>
                <w:szCs w:val="24"/>
              </w:rPr>
            </w:pPr>
            <w:r>
              <w:rPr>
                <w:sz w:val="24"/>
                <w:szCs w:val="24"/>
              </w:rPr>
              <w:t>J. Basanavičiaus g.</w:t>
            </w:r>
            <w:r w:rsidR="00AA79D0">
              <w:rPr>
                <w:sz w:val="24"/>
                <w:szCs w:val="24"/>
              </w:rPr>
              <w:t xml:space="preserve"> </w:t>
            </w:r>
            <w:r>
              <w:rPr>
                <w:sz w:val="24"/>
                <w:szCs w:val="24"/>
              </w:rPr>
              <w:t>24</w:t>
            </w:r>
          </w:p>
          <w:p w:rsidR="001C573C" w:rsidRPr="00246C3A" w:rsidRDefault="00B02F9C" w:rsidP="001C573C">
            <w:pPr>
              <w:rPr>
                <w:sz w:val="24"/>
                <w:szCs w:val="24"/>
              </w:rPr>
            </w:pPr>
            <w:r>
              <w:rPr>
                <w:sz w:val="24"/>
                <w:szCs w:val="24"/>
              </w:rPr>
              <w:t>89217</w:t>
            </w:r>
            <w:r w:rsidR="001C573C">
              <w:rPr>
                <w:sz w:val="24"/>
                <w:szCs w:val="24"/>
              </w:rPr>
              <w:t xml:space="preserve"> </w:t>
            </w:r>
            <w:r>
              <w:rPr>
                <w:sz w:val="24"/>
                <w:szCs w:val="24"/>
              </w:rPr>
              <w:t>Mažeikiai</w:t>
            </w:r>
          </w:p>
          <w:p w:rsidR="001C573C" w:rsidRDefault="001C573C" w:rsidP="00B02F9C">
            <w:pPr>
              <w:pStyle w:val="pad-left"/>
              <w:spacing w:before="0" w:beforeAutospacing="0" w:after="0" w:afterAutospacing="0"/>
            </w:pPr>
            <w:r w:rsidRPr="00246C3A">
              <w:t xml:space="preserve">El. p. </w:t>
            </w:r>
            <w:hyperlink r:id="rId10" w:history="1">
              <w:r w:rsidR="00B02F9C" w:rsidRPr="00824698">
                <w:rPr>
                  <w:rStyle w:val="Hipersaitas"/>
                </w:rPr>
                <w:t>info@mazeikiuligonine.lt</w:t>
              </w:r>
            </w:hyperlink>
          </w:p>
          <w:p w:rsidR="00B02F9C" w:rsidRDefault="00B02F9C" w:rsidP="00B02F9C">
            <w:pPr>
              <w:pStyle w:val="pad-left"/>
              <w:spacing w:before="0" w:beforeAutospacing="0" w:after="0" w:afterAutospacing="0"/>
            </w:pPr>
          </w:p>
          <w:p w:rsidR="00B02F9C" w:rsidRPr="00246C3A" w:rsidRDefault="00B02F9C" w:rsidP="00B02F9C">
            <w:pPr>
              <w:pStyle w:val="pad-left"/>
              <w:spacing w:before="0" w:beforeAutospacing="0" w:after="0" w:afterAutospacing="0"/>
            </w:pPr>
          </w:p>
        </w:tc>
        <w:tc>
          <w:tcPr>
            <w:tcW w:w="1560" w:type="dxa"/>
          </w:tcPr>
          <w:p w:rsidR="001C573C" w:rsidRPr="00246C3A" w:rsidRDefault="001C573C" w:rsidP="00F255C4">
            <w:pPr>
              <w:rPr>
                <w:sz w:val="24"/>
                <w:szCs w:val="24"/>
              </w:rPr>
            </w:pPr>
            <w:r w:rsidRPr="00246C3A">
              <w:rPr>
                <w:sz w:val="24"/>
                <w:szCs w:val="24"/>
              </w:rPr>
              <w:t>201</w:t>
            </w:r>
            <w:r w:rsidR="0043638A">
              <w:rPr>
                <w:sz w:val="24"/>
                <w:szCs w:val="24"/>
              </w:rPr>
              <w:t>8</w:t>
            </w:r>
            <w:r w:rsidRPr="00246C3A">
              <w:rPr>
                <w:sz w:val="24"/>
                <w:szCs w:val="24"/>
              </w:rPr>
              <w:t>-</w:t>
            </w:r>
            <w:r w:rsidR="0043638A">
              <w:rPr>
                <w:sz w:val="24"/>
                <w:szCs w:val="24"/>
              </w:rPr>
              <w:t>0</w:t>
            </w:r>
            <w:r w:rsidR="00AA79D0">
              <w:rPr>
                <w:sz w:val="24"/>
                <w:szCs w:val="24"/>
              </w:rPr>
              <w:t>8</w:t>
            </w:r>
            <w:r w:rsidRPr="00246C3A">
              <w:rPr>
                <w:sz w:val="24"/>
                <w:szCs w:val="24"/>
              </w:rPr>
              <w:t>-</w:t>
            </w:r>
          </w:p>
          <w:p w:rsidR="001C573C" w:rsidRDefault="001C573C" w:rsidP="00F255C4">
            <w:pPr>
              <w:rPr>
                <w:sz w:val="24"/>
                <w:szCs w:val="24"/>
              </w:rPr>
            </w:pPr>
            <w:r w:rsidRPr="00246C3A">
              <w:rPr>
                <w:sz w:val="24"/>
                <w:szCs w:val="24"/>
              </w:rPr>
              <w:t>Į 201</w:t>
            </w:r>
            <w:r w:rsidR="00B550EB">
              <w:rPr>
                <w:sz w:val="24"/>
                <w:szCs w:val="24"/>
              </w:rPr>
              <w:t>8</w:t>
            </w:r>
            <w:r w:rsidRPr="00246C3A">
              <w:rPr>
                <w:sz w:val="24"/>
                <w:szCs w:val="24"/>
              </w:rPr>
              <w:t>-</w:t>
            </w:r>
            <w:r w:rsidR="00B550EB">
              <w:rPr>
                <w:sz w:val="24"/>
                <w:szCs w:val="24"/>
              </w:rPr>
              <w:t>0</w:t>
            </w:r>
            <w:r w:rsidR="00B02F9C">
              <w:rPr>
                <w:sz w:val="24"/>
                <w:szCs w:val="24"/>
              </w:rPr>
              <w:t>6</w:t>
            </w:r>
            <w:r w:rsidRPr="00246C3A">
              <w:rPr>
                <w:sz w:val="24"/>
                <w:szCs w:val="24"/>
              </w:rPr>
              <w:t>-</w:t>
            </w:r>
            <w:r w:rsidR="00B02F9C">
              <w:rPr>
                <w:sz w:val="24"/>
                <w:szCs w:val="24"/>
              </w:rPr>
              <w:t>27</w:t>
            </w:r>
          </w:p>
          <w:p w:rsidR="0043638A" w:rsidRDefault="00B550EB" w:rsidP="00F255C4">
            <w:pPr>
              <w:rPr>
                <w:sz w:val="24"/>
                <w:szCs w:val="24"/>
              </w:rPr>
            </w:pPr>
            <w:r>
              <w:rPr>
                <w:sz w:val="24"/>
                <w:szCs w:val="24"/>
              </w:rPr>
              <w:t>2018-0</w:t>
            </w:r>
            <w:r w:rsidR="00AA79D0">
              <w:rPr>
                <w:sz w:val="24"/>
                <w:szCs w:val="24"/>
              </w:rPr>
              <w:t>7</w:t>
            </w:r>
            <w:r>
              <w:rPr>
                <w:sz w:val="24"/>
                <w:szCs w:val="24"/>
              </w:rPr>
              <w:t>-0</w:t>
            </w:r>
            <w:r w:rsidR="00AA79D0">
              <w:rPr>
                <w:sz w:val="24"/>
                <w:szCs w:val="24"/>
              </w:rPr>
              <w:t>4</w:t>
            </w:r>
          </w:p>
          <w:p w:rsidR="00D648D5" w:rsidRDefault="00D648D5" w:rsidP="00F255C4">
            <w:pPr>
              <w:rPr>
                <w:sz w:val="24"/>
                <w:szCs w:val="24"/>
              </w:rPr>
            </w:pPr>
            <w:r>
              <w:rPr>
                <w:sz w:val="24"/>
                <w:szCs w:val="24"/>
              </w:rPr>
              <w:t>2018-07-27</w:t>
            </w:r>
          </w:p>
          <w:p w:rsidR="00B02F9C" w:rsidRDefault="00B02F9C" w:rsidP="00F255C4">
            <w:pPr>
              <w:rPr>
                <w:sz w:val="24"/>
                <w:szCs w:val="24"/>
              </w:rPr>
            </w:pPr>
          </w:p>
          <w:p w:rsidR="001C573C" w:rsidRPr="00246C3A" w:rsidRDefault="001C573C" w:rsidP="009F12AE">
            <w:pPr>
              <w:rPr>
                <w:sz w:val="24"/>
                <w:szCs w:val="24"/>
              </w:rPr>
            </w:pPr>
          </w:p>
        </w:tc>
        <w:tc>
          <w:tcPr>
            <w:tcW w:w="567" w:type="dxa"/>
          </w:tcPr>
          <w:p w:rsidR="001C573C" w:rsidRPr="00246C3A" w:rsidRDefault="001C573C" w:rsidP="00F255C4">
            <w:pPr>
              <w:ind w:left="-108" w:right="-108"/>
              <w:rPr>
                <w:sz w:val="24"/>
                <w:szCs w:val="24"/>
              </w:rPr>
            </w:pPr>
            <w:r w:rsidRPr="00246C3A">
              <w:rPr>
                <w:sz w:val="24"/>
                <w:szCs w:val="24"/>
              </w:rPr>
              <w:t>Nr.</w:t>
            </w:r>
          </w:p>
          <w:p w:rsidR="001C573C" w:rsidRDefault="001C573C" w:rsidP="001C573C">
            <w:pPr>
              <w:ind w:left="-108" w:right="-108"/>
              <w:rPr>
                <w:sz w:val="24"/>
                <w:szCs w:val="24"/>
              </w:rPr>
            </w:pPr>
            <w:r w:rsidRPr="00246C3A">
              <w:rPr>
                <w:sz w:val="24"/>
                <w:szCs w:val="24"/>
              </w:rPr>
              <w:t>Nr.</w:t>
            </w:r>
          </w:p>
          <w:p w:rsidR="0043638A" w:rsidRDefault="0043638A" w:rsidP="001C573C">
            <w:pPr>
              <w:ind w:left="-108" w:right="-108"/>
              <w:rPr>
                <w:sz w:val="24"/>
                <w:szCs w:val="24"/>
              </w:rPr>
            </w:pPr>
            <w:r>
              <w:rPr>
                <w:sz w:val="24"/>
                <w:szCs w:val="24"/>
              </w:rPr>
              <w:t>Nr.</w:t>
            </w:r>
          </w:p>
          <w:p w:rsidR="00D648D5" w:rsidRDefault="00D648D5" w:rsidP="001C573C">
            <w:pPr>
              <w:ind w:left="-108" w:right="-108"/>
              <w:rPr>
                <w:sz w:val="24"/>
                <w:szCs w:val="24"/>
              </w:rPr>
            </w:pPr>
            <w:r>
              <w:rPr>
                <w:sz w:val="24"/>
                <w:szCs w:val="24"/>
              </w:rPr>
              <w:t>Nr.</w:t>
            </w:r>
          </w:p>
          <w:p w:rsidR="00B02F9C" w:rsidRDefault="00B02F9C" w:rsidP="001C573C">
            <w:pPr>
              <w:ind w:left="-108" w:right="-108"/>
              <w:rPr>
                <w:sz w:val="24"/>
                <w:szCs w:val="24"/>
              </w:rPr>
            </w:pPr>
          </w:p>
          <w:p w:rsidR="00961D2E" w:rsidRPr="00246C3A" w:rsidRDefault="00961D2E" w:rsidP="00AA79D0">
            <w:pPr>
              <w:ind w:left="-108" w:right="-108"/>
              <w:rPr>
                <w:sz w:val="24"/>
                <w:szCs w:val="24"/>
              </w:rPr>
            </w:pPr>
            <w:r>
              <w:rPr>
                <w:sz w:val="24"/>
                <w:szCs w:val="24"/>
              </w:rPr>
              <w:t>.</w:t>
            </w:r>
          </w:p>
        </w:tc>
        <w:tc>
          <w:tcPr>
            <w:tcW w:w="2267" w:type="dxa"/>
          </w:tcPr>
          <w:p w:rsidR="001C573C" w:rsidRPr="00246C3A" w:rsidRDefault="001C573C" w:rsidP="00F255C4">
            <w:pPr>
              <w:rPr>
                <w:sz w:val="24"/>
                <w:szCs w:val="24"/>
              </w:rPr>
            </w:pPr>
            <w:r w:rsidRPr="00246C3A">
              <w:rPr>
                <w:sz w:val="24"/>
                <w:szCs w:val="24"/>
              </w:rPr>
              <w:t>4S-</w:t>
            </w:r>
          </w:p>
          <w:p w:rsidR="00AA79D0" w:rsidRDefault="00B02F9C" w:rsidP="00F255C4">
            <w:pPr>
              <w:rPr>
                <w:sz w:val="24"/>
                <w:szCs w:val="24"/>
              </w:rPr>
            </w:pPr>
            <w:r>
              <w:rPr>
                <w:sz w:val="24"/>
                <w:szCs w:val="24"/>
              </w:rPr>
              <w:t>V2-370</w:t>
            </w:r>
          </w:p>
          <w:p w:rsidR="0043638A" w:rsidRDefault="00AA79D0" w:rsidP="00F255C4">
            <w:pPr>
              <w:rPr>
                <w:sz w:val="24"/>
                <w:szCs w:val="24"/>
              </w:rPr>
            </w:pPr>
            <w:r>
              <w:rPr>
                <w:sz w:val="24"/>
                <w:szCs w:val="24"/>
              </w:rPr>
              <w:t>20-S-44323(1.16)</w:t>
            </w:r>
          </w:p>
          <w:p w:rsidR="00D648D5" w:rsidRDefault="00D648D5" w:rsidP="00F255C4">
            <w:pPr>
              <w:rPr>
                <w:sz w:val="24"/>
                <w:szCs w:val="24"/>
              </w:rPr>
            </w:pPr>
            <w:r>
              <w:rPr>
                <w:sz w:val="24"/>
                <w:szCs w:val="24"/>
              </w:rPr>
              <w:t>V2-409</w:t>
            </w:r>
          </w:p>
          <w:p w:rsidR="00B02F9C" w:rsidRDefault="00B02F9C" w:rsidP="00F255C4">
            <w:pPr>
              <w:rPr>
                <w:sz w:val="24"/>
                <w:szCs w:val="24"/>
              </w:rPr>
            </w:pPr>
          </w:p>
          <w:p w:rsidR="00961D2E" w:rsidRPr="00246C3A" w:rsidRDefault="00961D2E" w:rsidP="009F12AE">
            <w:pPr>
              <w:rPr>
                <w:sz w:val="24"/>
                <w:szCs w:val="24"/>
              </w:rPr>
            </w:pPr>
          </w:p>
        </w:tc>
      </w:tr>
      <w:tr w:rsidR="00AA79D0" w:rsidRPr="00246C3A" w:rsidTr="00961D2E">
        <w:trPr>
          <w:gridAfter w:val="4"/>
          <w:wAfter w:w="5240" w:type="dxa"/>
          <w:cantSplit/>
        </w:trPr>
        <w:tc>
          <w:tcPr>
            <w:tcW w:w="1560" w:type="dxa"/>
          </w:tcPr>
          <w:p w:rsidR="00AA79D0" w:rsidRPr="00246C3A" w:rsidRDefault="00AA79D0" w:rsidP="00F255C4">
            <w:pPr>
              <w:rPr>
                <w:sz w:val="24"/>
                <w:szCs w:val="24"/>
              </w:rPr>
            </w:pPr>
          </w:p>
        </w:tc>
        <w:tc>
          <w:tcPr>
            <w:tcW w:w="567" w:type="dxa"/>
          </w:tcPr>
          <w:p w:rsidR="00AA79D0" w:rsidRPr="00246C3A" w:rsidRDefault="00AA79D0" w:rsidP="00F255C4">
            <w:pPr>
              <w:ind w:left="-108" w:right="-108"/>
              <w:rPr>
                <w:sz w:val="24"/>
                <w:szCs w:val="24"/>
              </w:rPr>
            </w:pPr>
          </w:p>
        </w:tc>
        <w:tc>
          <w:tcPr>
            <w:tcW w:w="2267" w:type="dxa"/>
          </w:tcPr>
          <w:p w:rsidR="00AA79D0" w:rsidRPr="00246C3A" w:rsidRDefault="00AA79D0" w:rsidP="00F255C4">
            <w:pPr>
              <w:rPr>
                <w:sz w:val="24"/>
                <w:szCs w:val="24"/>
              </w:rPr>
            </w:pPr>
          </w:p>
        </w:tc>
      </w:tr>
      <w:tr w:rsidR="00AA79D0" w:rsidRPr="00246C3A" w:rsidTr="00961D2E">
        <w:trPr>
          <w:gridAfter w:val="4"/>
          <w:wAfter w:w="5240" w:type="dxa"/>
          <w:cantSplit/>
        </w:trPr>
        <w:tc>
          <w:tcPr>
            <w:tcW w:w="1560" w:type="dxa"/>
          </w:tcPr>
          <w:p w:rsidR="00AA79D0" w:rsidRPr="00246C3A" w:rsidRDefault="00AA79D0" w:rsidP="00F255C4">
            <w:pPr>
              <w:rPr>
                <w:sz w:val="24"/>
                <w:szCs w:val="24"/>
              </w:rPr>
            </w:pPr>
          </w:p>
        </w:tc>
        <w:tc>
          <w:tcPr>
            <w:tcW w:w="567" w:type="dxa"/>
          </w:tcPr>
          <w:p w:rsidR="00AA79D0" w:rsidRPr="00246C3A" w:rsidRDefault="00AA79D0" w:rsidP="00F255C4">
            <w:pPr>
              <w:ind w:left="-108" w:right="-108"/>
              <w:rPr>
                <w:sz w:val="24"/>
                <w:szCs w:val="24"/>
              </w:rPr>
            </w:pPr>
          </w:p>
        </w:tc>
        <w:tc>
          <w:tcPr>
            <w:tcW w:w="2267" w:type="dxa"/>
          </w:tcPr>
          <w:p w:rsidR="00AA79D0" w:rsidRPr="00246C3A" w:rsidRDefault="00AA79D0" w:rsidP="00F255C4">
            <w:pPr>
              <w:rPr>
                <w:sz w:val="24"/>
                <w:szCs w:val="24"/>
              </w:rPr>
            </w:pPr>
          </w:p>
        </w:tc>
      </w:tr>
    </w:tbl>
    <w:p w:rsidR="001C573C" w:rsidRPr="001C573C" w:rsidRDefault="001C573C" w:rsidP="006E299F">
      <w:pPr>
        <w:rPr>
          <w:sz w:val="24"/>
          <w:szCs w:val="24"/>
          <w:lang w:eastAsia="lt-LT"/>
        </w:rPr>
      </w:pPr>
    </w:p>
    <w:p w:rsidR="001C573C" w:rsidRPr="001C573C" w:rsidRDefault="001C573C" w:rsidP="006E299F">
      <w:pPr>
        <w:rPr>
          <w:sz w:val="24"/>
          <w:szCs w:val="24"/>
          <w:lang w:eastAsia="lt-LT"/>
        </w:rPr>
      </w:pPr>
    </w:p>
    <w:p w:rsidR="001C573C" w:rsidRPr="001C573C" w:rsidRDefault="001C573C" w:rsidP="006E299F">
      <w:pPr>
        <w:rPr>
          <w:sz w:val="24"/>
          <w:szCs w:val="24"/>
          <w:lang w:eastAsia="lt-LT"/>
        </w:rPr>
      </w:pPr>
    </w:p>
    <w:p w:rsidR="0088148E" w:rsidRPr="0088148E" w:rsidRDefault="0088148E" w:rsidP="0088148E">
      <w:pPr>
        <w:jc w:val="center"/>
        <w:rPr>
          <w:rFonts w:eastAsia="Calibri"/>
          <w:b/>
          <w:bCs/>
          <w:sz w:val="24"/>
          <w:szCs w:val="24"/>
        </w:rPr>
      </w:pPr>
      <w:r w:rsidRPr="0088148E">
        <w:rPr>
          <w:rFonts w:eastAsia="Calibri"/>
          <w:b/>
          <w:bCs/>
          <w:sz w:val="24"/>
          <w:szCs w:val="24"/>
        </w:rPr>
        <w:t>PIRKIMO VERTINIMO IŠVADA</w:t>
      </w:r>
    </w:p>
    <w:p w:rsidR="0088148E" w:rsidRPr="00601D8F" w:rsidRDefault="0088148E" w:rsidP="0088148E">
      <w:pPr>
        <w:rPr>
          <w:rFonts w:eastAsia="Calibri"/>
          <w:sz w:val="24"/>
          <w:szCs w:val="24"/>
        </w:rPr>
      </w:pPr>
    </w:p>
    <w:p w:rsidR="00FB2F66" w:rsidRPr="002F25D6" w:rsidRDefault="00FB2F66" w:rsidP="00FB2F66">
      <w:pPr>
        <w:ind w:left="-142" w:firstLine="993"/>
        <w:jc w:val="both"/>
        <w:rPr>
          <w:sz w:val="24"/>
          <w:szCs w:val="24"/>
        </w:rPr>
      </w:pPr>
      <w:r w:rsidRPr="002F25D6">
        <w:rPr>
          <w:bCs/>
          <w:sz w:val="24"/>
          <w:szCs w:val="24"/>
        </w:rPr>
        <w:t xml:space="preserve">Viešųjų pirkimų tarnyba (toliau – Tarnyba), vadovaudamasi Lietuvos Respublikos viešųjų pirkimų įstatymo </w:t>
      </w:r>
      <w:r>
        <w:rPr>
          <w:bCs/>
          <w:sz w:val="24"/>
          <w:szCs w:val="24"/>
        </w:rPr>
        <w:t>95</w:t>
      </w:r>
      <w:r w:rsidRPr="002F25D6">
        <w:rPr>
          <w:bCs/>
          <w:sz w:val="24"/>
          <w:szCs w:val="24"/>
        </w:rPr>
        <w:t xml:space="preserve"> straipsnio 1 dalies 2 punktu, atliko </w:t>
      </w:r>
      <w:r w:rsidR="00D648D5">
        <w:rPr>
          <w:bCs/>
          <w:sz w:val="24"/>
          <w:szCs w:val="24"/>
        </w:rPr>
        <w:t xml:space="preserve">VšĮ Mažeikių ligoninės </w:t>
      </w:r>
      <w:r>
        <w:rPr>
          <w:bCs/>
          <w:sz w:val="24"/>
          <w:szCs w:val="24"/>
        </w:rPr>
        <w:t xml:space="preserve"> </w:t>
      </w:r>
      <w:r w:rsidRPr="002F25D6">
        <w:rPr>
          <w:bCs/>
          <w:sz w:val="24"/>
          <w:szCs w:val="24"/>
        </w:rPr>
        <w:t>(toliau – Perkan</w:t>
      </w:r>
      <w:r>
        <w:rPr>
          <w:bCs/>
          <w:sz w:val="24"/>
          <w:szCs w:val="24"/>
        </w:rPr>
        <w:t>čioji organizacija</w:t>
      </w:r>
      <w:r w:rsidRPr="002F25D6">
        <w:rPr>
          <w:bCs/>
          <w:sz w:val="24"/>
          <w:szCs w:val="24"/>
        </w:rPr>
        <w:t xml:space="preserve">) </w:t>
      </w:r>
      <w:r w:rsidR="00D648D5">
        <w:rPr>
          <w:bCs/>
          <w:sz w:val="24"/>
          <w:szCs w:val="24"/>
        </w:rPr>
        <w:t xml:space="preserve">įvykdyto </w:t>
      </w:r>
      <w:r w:rsidRPr="002F25D6">
        <w:rPr>
          <w:sz w:val="24"/>
          <w:szCs w:val="24"/>
        </w:rPr>
        <w:t>viešojo pirkimo vertinimą</w:t>
      </w:r>
      <w:r w:rsidRPr="002F25D6">
        <w:rPr>
          <w:bCs/>
          <w:sz w:val="24"/>
          <w:szCs w:val="24"/>
        </w:rPr>
        <w:t>.</w:t>
      </w:r>
    </w:p>
    <w:p w:rsidR="0088148E" w:rsidRPr="0088148E" w:rsidRDefault="0088148E" w:rsidP="0088148E">
      <w:pPr>
        <w:rPr>
          <w:rFonts w:eastAsia="Calibri"/>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 dalis. Bendra informacija</w:t>
      </w:r>
    </w:p>
    <w:p w:rsidR="0088148E" w:rsidRPr="0088148E"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31"/>
      </w:tblGrid>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Pirkimo pavadinimas, numeris (jeigu skelbtas), pirkimo paskelbimo (kvietimo pateikti pasiūlymą) data</w:t>
            </w:r>
          </w:p>
        </w:tc>
        <w:tc>
          <w:tcPr>
            <w:tcW w:w="5131" w:type="dxa"/>
            <w:shd w:val="clear" w:color="auto" w:fill="auto"/>
            <w:vAlign w:val="center"/>
          </w:tcPr>
          <w:p w:rsidR="00FB2F66" w:rsidRPr="002F25D6" w:rsidRDefault="00FB2F66" w:rsidP="00D648D5">
            <w:pPr>
              <w:spacing w:before="60" w:after="60"/>
              <w:jc w:val="both"/>
              <w:rPr>
                <w:sz w:val="24"/>
                <w:szCs w:val="24"/>
              </w:rPr>
            </w:pPr>
            <w:r w:rsidRPr="002F25D6">
              <w:rPr>
                <w:sz w:val="24"/>
                <w:szCs w:val="24"/>
              </w:rPr>
              <w:t>„</w:t>
            </w:r>
            <w:r w:rsidR="00D648D5">
              <w:rPr>
                <w:sz w:val="24"/>
                <w:szCs w:val="24"/>
              </w:rPr>
              <w:t>Pacientų dietinio maitinimo paslauga</w:t>
            </w:r>
            <w:r w:rsidRPr="002F25D6">
              <w:rPr>
                <w:sz w:val="24"/>
                <w:szCs w:val="24"/>
              </w:rPr>
              <w:t>“ (skelbtas 201</w:t>
            </w:r>
            <w:r>
              <w:rPr>
                <w:sz w:val="24"/>
                <w:szCs w:val="24"/>
              </w:rPr>
              <w:t>8-0</w:t>
            </w:r>
            <w:r w:rsidR="00D648D5">
              <w:rPr>
                <w:sz w:val="24"/>
                <w:szCs w:val="24"/>
              </w:rPr>
              <w:t>1</w:t>
            </w:r>
            <w:r>
              <w:rPr>
                <w:sz w:val="24"/>
                <w:szCs w:val="24"/>
              </w:rPr>
              <w:t>-0</w:t>
            </w:r>
            <w:r w:rsidR="00D648D5">
              <w:rPr>
                <w:sz w:val="24"/>
                <w:szCs w:val="24"/>
              </w:rPr>
              <w:t>5</w:t>
            </w:r>
            <w:r>
              <w:rPr>
                <w:sz w:val="24"/>
                <w:szCs w:val="24"/>
              </w:rPr>
              <w:t xml:space="preserve"> </w:t>
            </w:r>
            <w:r w:rsidRPr="002F25D6">
              <w:rPr>
                <w:sz w:val="24"/>
                <w:szCs w:val="24"/>
              </w:rPr>
              <w:t xml:space="preserve">Centrinėje viešųjų pirkimų informacinėje sistemoje (toliau – CVP IS), pirkimo Nr. </w:t>
            </w:r>
            <w:r w:rsidR="00D648D5">
              <w:rPr>
                <w:sz w:val="24"/>
                <w:szCs w:val="24"/>
              </w:rPr>
              <w:t>360887</w:t>
            </w:r>
            <w:r w:rsidRPr="002F25D6">
              <w:rPr>
                <w:bCs/>
                <w:sz w:val="24"/>
                <w:szCs w:val="24"/>
              </w:rPr>
              <w:t>) (toliau – Pirkimas).</w:t>
            </w:r>
          </w:p>
        </w:tc>
      </w:tr>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Pirkimo būdas</w:t>
            </w:r>
          </w:p>
        </w:tc>
        <w:tc>
          <w:tcPr>
            <w:tcW w:w="5131" w:type="dxa"/>
            <w:shd w:val="clear" w:color="auto" w:fill="auto"/>
            <w:vAlign w:val="center"/>
          </w:tcPr>
          <w:p w:rsidR="00FB2F66" w:rsidRPr="0088148E" w:rsidRDefault="00FB2F66" w:rsidP="00FB2F66">
            <w:pPr>
              <w:jc w:val="both"/>
              <w:rPr>
                <w:rFonts w:eastAsia="Calibri"/>
                <w:sz w:val="24"/>
                <w:szCs w:val="24"/>
              </w:rPr>
            </w:pPr>
            <w:r>
              <w:rPr>
                <w:rFonts w:eastAsia="Calibri"/>
                <w:bCs/>
                <w:sz w:val="24"/>
                <w:szCs w:val="24"/>
              </w:rPr>
              <w:t>Supaprastintas a</w:t>
            </w:r>
            <w:r w:rsidRPr="0088148E">
              <w:rPr>
                <w:rFonts w:eastAsia="Calibri"/>
                <w:bCs/>
                <w:sz w:val="24"/>
                <w:szCs w:val="24"/>
              </w:rPr>
              <w:t>tviras konkursas</w:t>
            </w:r>
          </w:p>
        </w:tc>
      </w:tr>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Planuojama (nenurodoma, jeigu pirkimas vertinamas iki vokų su pasiūlymais atplėšimo procedūros) pirkimo sutarties vertė, su PVM/be PVM</w:t>
            </w:r>
          </w:p>
        </w:tc>
        <w:tc>
          <w:tcPr>
            <w:tcW w:w="5131" w:type="dxa"/>
            <w:shd w:val="clear" w:color="auto" w:fill="auto"/>
            <w:vAlign w:val="center"/>
          </w:tcPr>
          <w:p w:rsidR="00FB2F66" w:rsidRPr="0088148E" w:rsidRDefault="00D648D5" w:rsidP="00D648D5">
            <w:pPr>
              <w:jc w:val="both"/>
              <w:rPr>
                <w:rFonts w:eastAsia="Calibri"/>
                <w:sz w:val="24"/>
                <w:szCs w:val="24"/>
              </w:rPr>
            </w:pPr>
            <w:r>
              <w:rPr>
                <w:sz w:val="24"/>
                <w:szCs w:val="24"/>
              </w:rPr>
              <w:t>Iki 750 000</w:t>
            </w:r>
            <w:r w:rsidR="00FB2F66">
              <w:rPr>
                <w:sz w:val="24"/>
                <w:szCs w:val="24"/>
              </w:rPr>
              <w:t xml:space="preserve"> eur </w:t>
            </w:r>
            <w:r>
              <w:rPr>
                <w:sz w:val="24"/>
                <w:szCs w:val="24"/>
              </w:rPr>
              <w:t xml:space="preserve">be </w:t>
            </w:r>
            <w:r w:rsidR="00FB2F66">
              <w:rPr>
                <w:sz w:val="24"/>
                <w:szCs w:val="24"/>
              </w:rPr>
              <w:t xml:space="preserve"> PVM</w:t>
            </w:r>
          </w:p>
        </w:tc>
      </w:tr>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Pirkimas finansuojamas ES lėšomis, projekto pavadinimas, Įgyvendinančioji institucija</w:t>
            </w:r>
          </w:p>
        </w:tc>
        <w:tc>
          <w:tcPr>
            <w:tcW w:w="5131" w:type="dxa"/>
            <w:shd w:val="clear" w:color="auto" w:fill="auto"/>
            <w:vAlign w:val="center"/>
          </w:tcPr>
          <w:p w:rsidR="00FB2F66" w:rsidRPr="0088148E" w:rsidRDefault="00FB2F66" w:rsidP="00FB2F66">
            <w:pPr>
              <w:jc w:val="both"/>
              <w:rPr>
                <w:rFonts w:eastAsia="Calibri"/>
                <w:sz w:val="24"/>
                <w:szCs w:val="24"/>
              </w:rPr>
            </w:pPr>
            <w:r>
              <w:rPr>
                <w:rFonts w:eastAsia="Calibri"/>
                <w:sz w:val="24"/>
                <w:szCs w:val="24"/>
              </w:rPr>
              <w:t>-</w:t>
            </w:r>
          </w:p>
        </w:tc>
      </w:tr>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Pr>
                <w:rFonts w:eastAsia="Calibri"/>
                <w:sz w:val="24"/>
                <w:szCs w:val="24"/>
              </w:rPr>
              <w:t>Pirkimo vykdymo teisinis pagrindas (pirkimui taikoma įstatymo redakcija)</w:t>
            </w:r>
          </w:p>
        </w:tc>
        <w:tc>
          <w:tcPr>
            <w:tcW w:w="5131" w:type="dxa"/>
            <w:shd w:val="clear" w:color="auto" w:fill="auto"/>
            <w:vAlign w:val="center"/>
          </w:tcPr>
          <w:p w:rsidR="00FB2F66" w:rsidRPr="0088148E" w:rsidRDefault="00FB2F66" w:rsidP="00FB2F66">
            <w:pPr>
              <w:tabs>
                <w:tab w:val="left" w:pos="308"/>
              </w:tabs>
              <w:jc w:val="both"/>
              <w:rPr>
                <w:rFonts w:eastAsia="Calibri"/>
                <w:sz w:val="24"/>
                <w:szCs w:val="24"/>
              </w:rPr>
            </w:pPr>
            <w:r w:rsidRPr="002F25D6">
              <w:rPr>
                <w:bCs/>
                <w:sz w:val="24"/>
                <w:szCs w:val="24"/>
              </w:rPr>
              <w:t xml:space="preserve">Lietuvos Respublikos viešųjų pirkimų įstatymas  </w:t>
            </w:r>
            <w:r>
              <w:rPr>
                <w:bCs/>
                <w:sz w:val="24"/>
                <w:szCs w:val="24"/>
              </w:rPr>
              <w:t>(redakcija</w:t>
            </w:r>
            <w:r w:rsidRPr="002F25D6">
              <w:rPr>
                <w:bCs/>
                <w:sz w:val="24"/>
                <w:szCs w:val="24"/>
              </w:rPr>
              <w:t xml:space="preserve"> nuo 2017-07-01) (toliau – </w:t>
            </w:r>
            <w:r>
              <w:rPr>
                <w:bCs/>
                <w:sz w:val="24"/>
                <w:szCs w:val="24"/>
              </w:rPr>
              <w:t>Įstatymas</w:t>
            </w:r>
            <w:r w:rsidRPr="002F25D6">
              <w:rPr>
                <w:bCs/>
                <w:sz w:val="24"/>
                <w:szCs w:val="24"/>
              </w:rPr>
              <w:t>)</w:t>
            </w:r>
          </w:p>
        </w:tc>
      </w:tr>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Pr>
                <w:rFonts w:eastAsia="Calibri"/>
                <w:sz w:val="24"/>
                <w:szCs w:val="24"/>
              </w:rPr>
              <w:t>Vertinimo apimtys / pirkimo etapas</w:t>
            </w:r>
          </w:p>
        </w:tc>
        <w:tc>
          <w:tcPr>
            <w:tcW w:w="5131" w:type="dxa"/>
            <w:shd w:val="clear" w:color="auto" w:fill="auto"/>
            <w:vAlign w:val="center"/>
          </w:tcPr>
          <w:p w:rsidR="00FB2F66" w:rsidRPr="0088148E" w:rsidRDefault="00A1528D" w:rsidP="002A50CA">
            <w:pPr>
              <w:tabs>
                <w:tab w:val="left" w:pos="308"/>
              </w:tabs>
              <w:jc w:val="both"/>
              <w:rPr>
                <w:rFonts w:eastAsia="Calibri"/>
                <w:sz w:val="24"/>
                <w:szCs w:val="24"/>
              </w:rPr>
            </w:pPr>
            <w:r w:rsidRPr="008C1C8E">
              <w:rPr>
                <w:sz w:val="24"/>
                <w:szCs w:val="24"/>
              </w:rPr>
              <w:t>Išsamus vertinimas / Pirkimo procedūrų vertinimas po sutarties sudarymo.</w:t>
            </w:r>
          </w:p>
        </w:tc>
      </w:tr>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Dėl pirkimo / sutarties vyksta teismo procesas (nurodyti ieškinio (skundo) dalykus, bylos šalių pavadinimus, ar taikomos laikinosios apsaugos priemonės, teisminio nagrinėjimo stadija, pvz., apygardos, apeliacinis teismas)</w:t>
            </w:r>
          </w:p>
        </w:tc>
        <w:tc>
          <w:tcPr>
            <w:tcW w:w="5131" w:type="dxa"/>
            <w:shd w:val="clear" w:color="auto" w:fill="auto"/>
            <w:vAlign w:val="center"/>
          </w:tcPr>
          <w:p w:rsidR="00FB2F66" w:rsidRPr="0088148E" w:rsidRDefault="00FB2F66" w:rsidP="00FB2F66">
            <w:pPr>
              <w:tabs>
                <w:tab w:val="left" w:pos="308"/>
              </w:tabs>
              <w:jc w:val="both"/>
              <w:rPr>
                <w:rFonts w:eastAsia="Calibri"/>
                <w:sz w:val="24"/>
                <w:szCs w:val="24"/>
              </w:rPr>
            </w:pPr>
            <w:r w:rsidRPr="0088148E">
              <w:rPr>
                <w:rFonts w:eastAsia="Calibri"/>
                <w:sz w:val="24"/>
                <w:szCs w:val="24"/>
              </w:rPr>
              <w:t>-</w:t>
            </w:r>
          </w:p>
        </w:tc>
      </w:tr>
    </w:tbl>
    <w:p w:rsidR="0088148E" w:rsidRPr="0088148E" w:rsidRDefault="0088148E" w:rsidP="0088148E">
      <w:pPr>
        <w:jc w:val="center"/>
        <w:rPr>
          <w:rFonts w:eastAsia="Calibri"/>
          <w:sz w:val="24"/>
          <w:szCs w:val="24"/>
        </w:rPr>
      </w:pPr>
    </w:p>
    <w:p w:rsidR="0088148E" w:rsidRDefault="0088148E" w:rsidP="0088148E">
      <w:pPr>
        <w:jc w:val="center"/>
        <w:rPr>
          <w:rFonts w:eastAsia="Calibri"/>
          <w:b/>
          <w:sz w:val="24"/>
          <w:szCs w:val="24"/>
        </w:rPr>
      </w:pPr>
      <w:r w:rsidRPr="0088148E">
        <w:rPr>
          <w:rFonts w:eastAsia="Calibri"/>
          <w:b/>
          <w:sz w:val="24"/>
          <w:szCs w:val="24"/>
        </w:rPr>
        <w:lastRenderedPageBreak/>
        <w:t>II dalis. Vertinimo metu nustatyti pažeidimai</w:t>
      </w:r>
    </w:p>
    <w:p w:rsidR="000C1C29" w:rsidRDefault="000C1C29" w:rsidP="0088148E">
      <w:pPr>
        <w:jc w:val="center"/>
        <w:rPr>
          <w:rFonts w:eastAsia="Calibri"/>
          <w:b/>
          <w:sz w:val="24"/>
          <w:szCs w:val="24"/>
        </w:rPr>
      </w:pPr>
    </w:p>
    <w:p w:rsidR="001444D6" w:rsidRPr="0088148E" w:rsidRDefault="001444D6" w:rsidP="0088148E">
      <w:pPr>
        <w:jc w:val="center"/>
        <w:rPr>
          <w:rFonts w:eastAsia="Calibri"/>
          <w:b/>
          <w:sz w:val="24"/>
          <w:szCs w:val="24"/>
        </w:rPr>
      </w:pPr>
    </w:p>
    <w:tbl>
      <w:tblPr>
        <w:tblStyle w:val="Lentelstinklelis"/>
        <w:tblW w:w="9606" w:type="dxa"/>
        <w:tblLook w:val="04A0" w:firstRow="1" w:lastRow="0" w:firstColumn="1" w:lastColumn="0" w:noHBand="0" w:noVBand="1"/>
      </w:tblPr>
      <w:tblGrid>
        <w:gridCol w:w="445"/>
        <w:gridCol w:w="9161"/>
      </w:tblGrid>
      <w:tr w:rsidR="00A1528D" w:rsidRPr="00851750" w:rsidTr="00F255C4">
        <w:tc>
          <w:tcPr>
            <w:tcW w:w="445" w:type="dxa"/>
          </w:tcPr>
          <w:p w:rsidR="00A1528D" w:rsidRPr="008C1C8E" w:rsidRDefault="00A1528D" w:rsidP="00A1528D">
            <w:pPr>
              <w:pStyle w:val="Sraopastraipa"/>
              <w:numPr>
                <w:ilvl w:val="0"/>
                <w:numId w:val="22"/>
              </w:numPr>
              <w:ind w:left="360"/>
              <w:jc w:val="both"/>
              <w:rPr>
                <w:sz w:val="24"/>
                <w:szCs w:val="24"/>
              </w:rPr>
            </w:pPr>
          </w:p>
        </w:tc>
        <w:tc>
          <w:tcPr>
            <w:tcW w:w="9161" w:type="dxa"/>
          </w:tcPr>
          <w:p w:rsidR="007A6A13" w:rsidRDefault="007A6A13" w:rsidP="00B23321">
            <w:pPr>
              <w:pStyle w:val="Sraopastraipa"/>
              <w:tabs>
                <w:tab w:val="left" w:pos="0"/>
                <w:tab w:val="left" w:pos="993"/>
                <w:tab w:val="left" w:pos="1276"/>
              </w:tabs>
              <w:ind w:left="0"/>
              <w:jc w:val="both"/>
              <w:rPr>
                <w:sz w:val="24"/>
                <w:szCs w:val="24"/>
              </w:rPr>
            </w:pPr>
            <w:r w:rsidRPr="00A2577E">
              <w:rPr>
                <w:sz w:val="24"/>
                <w:szCs w:val="24"/>
              </w:rPr>
              <w:t xml:space="preserve">Įstatymo 17 straipsnio </w:t>
            </w:r>
            <w:r w:rsidR="00B23321" w:rsidRPr="00A2577E">
              <w:rPr>
                <w:sz w:val="24"/>
                <w:szCs w:val="24"/>
              </w:rPr>
              <w:t>1</w:t>
            </w:r>
            <w:r w:rsidRPr="00A2577E">
              <w:rPr>
                <w:sz w:val="24"/>
                <w:szCs w:val="24"/>
              </w:rPr>
              <w:t xml:space="preserve"> dalis</w:t>
            </w:r>
            <w:r w:rsidRPr="00A2577E">
              <w:rPr>
                <w:rStyle w:val="Puslapioinaosnuoroda"/>
                <w:sz w:val="24"/>
                <w:szCs w:val="24"/>
              </w:rPr>
              <w:footnoteReference w:id="1"/>
            </w:r>
          </w:p>
          <w:p w:rsidR="00285111" w:rsidRPr="008C1C8E" w:rsidRDefault="00285111" w:rsidP="00285111">
            <w:pPr>
              <w:pStyle w:val="Sraopastraipa"/>
              <w:tabs>
                <w:tab w:val="left" w:pos="0"/>
                <w:tab w:val="left" w:pos="993"/>
                <w:tab w:val="left" w:pos="1276"/>
              </w:tabs>
              <w:ind w:left="0"/>
              <w:jc w:val="both"/>
              <w:rPr>
                <w:i/>
                <w:sz w:val="24"/>
                <w:szCs w:val="24"/>
              </w:rPr>
            </w:pPr>
            <w:r>
              <w:rPr>
                <w:sz w:val="24"/>
                <w:szCs w:val="24"/>
              </w:rPr>
              <w:t xml:space="preserve">Įstatymo 87 straipsnio 1 </w:t>
            </w:r>
            <w:r w:rsidRPr="00285111">
              <w:rPr>
                <w:sz w:val="24"/>
                <w:szCs w:val="24"/>
              </w:rPr>
              <w:t>dalis 3 punktas</w:t>
            </w:r>
            <w:r>
              <w:rPr>
                <w:rStyle w:val="Puslapioinaosnuoroda"/>
                <w:sz w:val="24"/>
                <w:szCs w:val="24"/>
              </w:rPr>
              <w:footnoteReference w:id="2"/>
            </w:r>
          </w:p>
        </w:tc>
      </w:tr>
      <w:tr w:rsidR="008E5266" w:rsidRPr="00851750" w:rsidTr="008E5266">
        <w:tc>
          <w:tcPr>
            <w:tcW w:w="9606" w:type="dxa"/>
            <w:gridSpan w:val="2"/>
          </w:tcPr>
          <w:p w:rsidR="00285111" w:rsidRDefault="00B23321" w:rsidP="00285111">
            <w:pPr>
              <w:tabs>
                <w:tab w:val="left" w:pos="0"/>
              </w:tabs>
              <w:jc w:val="both"/>
              <w:rPr>
                <w:bCs/>
                <w:sz w:val="24"/>
                <w:szCs w:val="24"/>
              </w:rPr>
            </w:pPr>
            <w:r>
              <w:rPr>
                <w:sz w:val="24"/>
                <w:szCs w:val="24"/>
              </w:rPr>
              <w:t xml:space="preserve">     </w:t>
            </w:r>
            <w:r w:rsidR="00285111">
              <w:rPr>
                <w:bCs/>
                <w:sz w:val="24"/>
                <w:szCs w:val="24"/>
              </w:rPr>
              <w:t>Pirkimo sutarties</w:t>
            </w:r>
            <w:r w:rsidR="00651157">
              <w:rPr>
                <w:rStyle w:val="Puslapioinaosnuoroda"/>
                <w:bCs/>
                <w:sz w:val="24"/>
                <w:szCs w:val="24"/>
              </w:rPr>
              <w:footnoteReference w:id="3"/>
            </w:r>
            <w:r w:rsidR="00285111">
              <w:rPr>
                <w:bCs/>
                <w:sz w:val="24"/>
                <w:szCs w:val="24"/>
              </w:rPr>
              <w:t xml:space="preserve"> </w:t>
            </w:r>
            <w:r w:rsidR="00651157">
              <w:rPr>
                <w:bCs/>
                <w:sz w:val="24"/>
                <w:szCs w:val="24"/>
              </w:rPr>
              <w:t xml:space="preserve">(toliau - Sutartis) </w:t>
            </w:r>
            <w:r w:rsidR="00285111">
              <w:rPr>
                <w:bCs/>
                <w:sz w:val="24"/>
                <w:szCs w:val="24"/>
              </w:rPr>
              <w:t>2.3 punkte nustatyta, kad „&lt;...&gt; Sutarties</w:t>
            </w:r>
            <w:r w:rsidR="00651157">
              <w:t xml:space="preserve"> </w:t>
            </w:r>
            <w:r w:rsidR="00285111">
              <w:rPr>
                <w:bCs/>
                <w:sz w:val="24"/>
                <w:szCs w:val="24"/>
              </w:rPr>
              <w:t>kaina gali būti peržiūrima ne dažniau negu 2 kartus per metus&lt;...&gt;. Paslaugos tiekėjo prašymu ar Paslaugos pirkėjo iniciatyva ir įforminama šalių susitarimu</w:t>
            </w:r>
            <w:r w:rsidR="00285111" w:rsidRPr="00757424">
              <w:rPr>
                <w:bCs/>
                <w:sz w:val="24"/>
                <w:szCs w:val="24"/>
                <w:u w:val="single"/>
              </w:rPr>
              <w:t>. Kainos peržiūrėjimo pagrindas-maisto gaminimo išlaidų perskaičiavimas. Maisto gaminimo išlaidų pasikeitimas pagrįstu laikomas dėl objektyvių ir šalių suderintų aplinkybių. Perskaičiavimas atliekamas maisto gaminimo išlaidas dauginant iš perskaičiavimo koeficiento, kuris apskaičiuojamas 6 paskutinių mėnesių vidutines faktines būtinąsias pagrįstas maisto gaminimo išlaidas,</w:t>
            </w:r>
            <w:r w:rsidR="00285111">
              <w:rPr>
                <w:bCs/>
                <w:sz w:val="24"/>
                <w:szCs w:val="24"/>
              </w:rPr>
              <w:t xml:space="preserve"> apskaičiuotas įvertinus faktiškai maitintų pacientų skaičių ir maitinimo dienų skaičių, lyginant su iki perskaičiavimo nustatytomis (galiojusiomis) maisto gaminimo išlaidomis &lt;...&gt;“, tačiau kaip matyti iš</w:t>
            </w:r>
            <w:r w:rsidR="00BB110B">
              <w:rPr>
                <w:bCs/>
                <w:sz w:val="24"/>
                <w:szCs w:val="24"/>
              </w:rPr>
              <w:t xml:space="preserve"> Pirkimo dokumentų - </w:t>
            </w:r>
            <w:r w:rsidR="00285111">
              <w:rPr>
                <w:bCs/>
                <w:sz w:val="24"/>
                <w:szCs w:val="24"/>
              </w:rPr>
              <w:t>Pasiūlymo formos</w:t>
            </w:r>
            <w:r w:rsidR="00BB110B">
              <w:rPr>
                <w:bCs/>
                <w:sz w:val="24"/>
                <w:szCs w:val="24"/>
              </w:rPr>
              <w:t xml:space="preserve"> </w:t>
            </w:r>
            <w:r w:rsidR="00BB110B">
              <w:rPr>
                <w:sz w:val="24"/>
                <w:szCs w:val="24"/>
              </w:rPr>
              <w:t>(Pirkimo sąlygų 2 priedas)</w:t>
            </w:r>
            <w:r w:rsidR="00BB110B">
              <w:rPr>
                <w:bCs/>
                <w:sz w:val="24"/>
                <w:szCs w:val="24"/>
              </w:rPr>
              <w:t xml:space="preserve"> </w:t>
            </w:r>
            <w:r w:rsidR="00285111">
              <w:rPr>
                <w:bCs/>
                <w:sz w:val="24"/>
                <w:szCs w:val="24"/>
              </w:rPr>
              <w:t xml:space="preserve">nebuvo nustatyti reikalavimai pateikti </w:t>
            </w:r>
            <w:r w:rsidR="00285111" w:rsidRPr="00F305DF">
              <w:rPr>
                <w:bCs/>
                <w:sz w:val="24"/>
                <w:szCs w:val="24"/>
              </w:rPr>
              <w:t xml:space="preserve">tiekėjams </w:t>
            </w:r>
            <w:r w:rsidR="00285111">
              <w:rPr>
                <w:bCs/>
                <w:sz w:val="24"/>
                <w:szCs w:val="24"/>
              </w:rPr>
              <w:t xml:space="preserve">pacientų </w:t>
            </w:r>
            <w:r w:rsidR="00285111" w:rsidRPr="00F305DF">
              <w:rPr>
                <w:bCs/>
                <w:sz w:val="24"/>
                <w:szCs w:val="24"/>
              </w:rPr>
              <w:t>maitinimo paslaugų kainos sudėtin</w:t>
            </w:r>
            <w:r w:rsidR="00285111">
              <w:rPr>
                <w:bCs/>
                <w:sz w:val="24"/>
                <w:szCs w:val="24"/>
              </w:rPr>
              <w:t>es</w:t>
            </w:r>
            <w:r w:rsidR="00285111" w:rsidRPr="00F305DF">
              <w:rPr>
                <w:bCs/>
                <w:sz w:val="24"/>
                <w:szCs w:val="24"/>
              </w:rPr>
              <w:t xml:space="preserve"> dali</w:t>
            </w:r>
            <w:r w:rsidR="00285111">
              <w:rPr>
                <w:bCs/>
                <w:sz w:val="24"/>
                <w:szCs w:val="24"/>
              </w:rPr>
              <w:t>s</w:t>
            </w:r>
            <w:r w:rsidR="00285111" w:rsidRPr="00F305DF">
              <w:rPr>
                <w:bCs/>
                <w:sz w:val="24"/>
                <w:szCs w:val="24"/>
              </w:rPr>
              <w:t xml:space="preserve">, atsižvelgiant į </w:t>
            </w:r>
            <w:r w:rsidR="00285111">
              <w:rPr>
                <w:bCs/>
                <w:sz w:val="24"/>
                <w:szCs w:val="24"/>
              </w:rPr>
              <w:t xml:space="preserve">maisto </w:t>
            </w:r>
            <w:r w:rsidR="00285111" w:rsidRPr="00F305DF">
              <w:rPr>
                <w:bCs/>
                <w:sz w:val="24"/>
                <w:szCs w:val="24"/>
              </w:rPr>
              <w:t>produktų įsigijimo lėšas ir maisto gaminimo išlaidas</w:t>
            </w:r>
            <w:r w:rsidR="00285111">
              <w:rPr>
                <w:bCs/>
                <w:sz w:val="24"/>
                <w:szCs w:val="24"/>
              </w:rPr>
              <w:t>, t. y. nebuvo prašyta Pasiūlyme išskirti atskirai gaminimo kaštų ir maisto produktų įsigijimo įkainių, tam, kad perskaičiuojant kainos ar įkainio sudedamąsias dalis būtų aiškios jų reikšmės, o tai prieštarauja Kainodaros metodikos 23.1.2.2 punkto reikalavimams</w:t>
            </w:r>
            <w:r w:rsidR="00285111">
              <w:rPr>
                <w:rStyle w:val="Puslapioinaosnuoroda"/>
                <w:bCs/>
                <w:sz w:val="24"/>
                <w:szCs w:val="24"/>
              </w:rPr>
              <w:footnoteReference w:id="4"/>
            </w:r>
            <w:r w:rsidR="00285111">
              <w:rPr>
                <w:bCs/>
                <w:sz w:val="24"/>
                <w:szCs w:val="24"/>
              </w:rPr>
              <w:t xml:space="preserve"> ir pažeidžia Įstatymo 87 straipsnio 1 dalies 3 punkto nuost</w:t>
            </w:r>
            <w:r w:rsidR="00A5133D">
              <w:rPr>
                <w:bCs/>
                <w:sz w:val="24"/>
                <w:szCs w:val="24"/>
              </w:rPr>
              <w:t>atas bei Įstatymo 17 straipsnio</w:t>
            </w:r>
            <w:r w:rsidR="00285111">
              <w:rPr>
                <w:bCs/>
                <w:sz w:val="24"/>
                <w:szCs w:val="24"/>
              </w:rPr>
              <w:t xml:space="preserve"> 1 dalyje įtvirtintą skaidrumo principo laikymąsi.</w:t>
            </w:r>
          </w:p>
          <w:p w:rsidR="008E5266" w:rsidRPr="008C1C8E" w:rsidRDefault="008E5266" w:rsidP="00B23321">
            <w:pPr>
              <w:tabs>
                <w:tab w:val="left" w:pos="993"/>
                <w:tab w:val="left" w:pos="1134"/>
              </w:tabs>
              <w:contextualSpacing/>
              <w:jc w:val="both"/>
              <w:rPr>
                <w:i/>
                <w:sz w:val="24"/>
                <w:szCs w:val="24"/>
              </w:rPr>
            </w:pPr>
          </w:p>
        </w:tc>
      </w:tr>
      <w:tr w:rsidR="008E5266" w:rsidRPr="00851750" w:rsidTr="00F255C4">
        <w:tc>
          <w:tcPr>
            <w:tcW w:w="445" w:type="dxa"/>
          </w:tcPr>
          <w:p w:rsidR="008E5266" w:rsidRPr="008C1C8E" w:rsidRDefault="008E5266" w:rsidP="00A1528D">
            <w:pPr>
              <w:pStyle w:val="Sraopastraipa"/>
              <w:numPr>
                <w:ilvl w:val="0"/>
                <w:numId w:val="22"/>
              </w:numPr>
              <w:ind w:left="360"/>
              <w:jc w:val="both"/>
              <w:rPr>
                <w:sz w:val="24"/>
                <w:szCs w:val="24"/>
              </w:rPr>
            </w:pPr>
          </w:p>
        </w:tc>
        <w:tc>
          <w:tcPr>
            <w:tcW w:w="9161" w:type="dxa"/>
          </w:tcPr>
          <w:p w:rsidR="008E5266" w:rsidRDefault="00285111" w:rsidP="001300B8">
            <w:pPr>
              <w:pStyle w:val="Sraopastraipa"/>
              <w:tabs>
                <w:tab w:val="left" w:pos="0"/>
                <w:tab w:val="left" w:pos="993"/>
                <w:tab w:val="left" w:pos="1276"/>
              </w:tabs>
              <w:ind w:left="0"/>
              <w:jc w:val="both"/>
              <w:rPr>
                <w:sz w:val="24"/>
                <w:szCs w:val="24"/>
              </w:rPr>
            </w:pPr>
            <w:r>
              <w:rPr>
                <w:sz w:val="24"/>
                <w:szCs w:val="24"/>
              </w:rPr>
              <w:t>Įstatymo 86 straipsnio 9 dalis</w:t>
            </w:r>
            <w:r w:rsidR="00297E39">
              <w:rPr>
                <w:rStyle w:val="Puslapioinaosnuoroda"/>
                <w:sz w:val="24"/>
                <w:szCs w:val="24"/>
              </w:rPr>
              <w:footnoteReference w:id="5"/>
            </w:r>
            <w:r>
              <w:rPr>
                <w:sz w:val="24"/>
                <w:szCs w:val="24"/>
              </w:rPr>
              <w:t xml:space="preserve"> </w:t>
            </w:r>
          </w:p>
          <w:p w:rsidR="003C5110" w:rsidRPr="00A2577E" w:rsidRDefault="003C5110" w:rsidP="001300B8">
            <w:pPr>
              <w:pStyle w:val="Sraopastraipa"/>
              <w:tabs>
                <w:tab w:val="left" w:pos="0"/>
                <w:tab w:val="left" w:pos="993"/>
                <w:tab w:val="left" w:pos="1276"/>
              </w:tabs>
              <w:ind w:left="0"/>
              <w:jc w:val="both"/>
              <w:rPr>
                <w:sz w:val="24"/>
                <w:szCs w:val="24"/>
              </w:rPr>
            </w:pPr>
            <w:r>
              <w:rPr>
                <w:sz w:val="24"/>
                <w:szCs w:val="24"/>
              </w:rPr>
              <w:t>Įstatymo 17 straipsnio 1 dalis</w:t>
            </w:r>
            <w:r>
              <w:rPr>
                <w:rStyle w:val="Puslapioinaosnuoroda"/>
                <w:sz w:val="24"/>
                <w:szCs w:val="24"/>
              </w:rPr>
              <w:footnoteReference w:id="6"/>
            </w:r>
          </w:p>
        </w:tc>
      </w:tr>
      <w:tr w:rsidR="008E5266" w:rsidRPr="00851750" w:rsidTr="008E5266">
        <w:tc>
          <w:tcPr>
            <w:tcW w:w="9606" w:type="dxa"/>
            <w:gridSpan w:val="2"/>
          </w:tcPr>
          <w:p w:rsidR="00285111" w:rsidRDefault="00285111" w:rsidP="00285111">
            <w:pPr>
              <w:pStyle w:val="Sraopastraipa"/>
              <w:tabs>
                <w:tab w:val="left" w:pos="851"/>
              </w:tabs>
              <w:ind w:left="0"/>
              <w:jc w:val="both"/>
              <w:rPr>
                <w:sz w:val="24"/>
                <w:szCs w:val="24"/>
              </w:rPr>
            </w:pPr>
            <w:r>
              <w:rPr>
                <w:sz w:val="24"/>
                <w:szCs w:val="24"/>
              </w:rPr>
              <w:t xml:space="preserve">Perkančioji organizacija </w:t>
            </w:r>
            <w:r w:rsidR="00651157">
              <w:rPr>
                <w:sz w:val="24"/>
                <w:szCs w:val="24"/>
              </w:rPr>
              <w:t xml:space="preserve">Pirkimo pagrindu </w:t>
            </w:r>
            <w:r>
              <w:rPr>
                <w:sz w:val="24"/>
                <w:szCs w:val="24"/>
              </w:rPr>
              <w:t>sudarytą Pacientų dieti</w:t>
            </w:r>
            <w:r w:rsidR="00651157">
              <w:rPr>
                <w:sz w:val="24"/>
                <w:szCs w:val="24"/>
              </w:rPr>
              <w:t>nio maitinimo paslaugų pirkimo S</w:t>
            </w:r>
            <w:r>
              <w:rPr>
                <w:sz w:val="24"/>
                <w:szCs w:val="24"/>
              </w:rPr>
              <w:t xml:space="preserve">utartį paskelbė Centrinėje viešųjų pirkimų informacinėje sistemoje (toliau – CVP IS) tik 2018 m. gegužės 31 d., t. y. praleidusi Įstatymo 86 straipsnio 9 dalyje nustatytą 15 dienų terminą. </w:t>
            </w:r>
          </w:p>
          <w:p w:rsidR="008E5266" w:rsidRPr="008C1C8E" w:rsidRDefault="00285111" w:rsidP="00915BF5">
            <w:pPr>
              <w:pStyle w:val="Sraopastraipa"/>
              <w:tabs>
                <w:tab w:val="left" w:pos="0"/>
                <w:tab w:val="left" w:pos="993"/>
                <w:tab w:val="left" w:pos="1276"/>
              </w:tabs>
              <w:ind w:left="0"/>
              <w:jc w:val="both"/>
              <w:rPr>
                <w:i/>
                <w:sz w:val="24"/>
                <w:szCs w:val="24"/>
              </w:rPr>
            </w:pPr>
            <w:r>
              <w:rPr>
                <w:sz w:val="24"/>
                <w:szCs w:val="24"/>
              </w:rPr>
              <w:t>Tarnyba konstatuoja, kad p</w:t>
            </w:r>
            <w:r w:rsidR="00651157">
              <w:rPr>
                <w:sz w:val="24"/>
                <w:szCs w:val="24"/>
              </w:rPr>
              <w:t>avėluotai paviešinusi sudarytą S</w:t>
            </w:r>
            <w:r>
              <w:rPr>
                <w:sz w:val="24"/>
                <w:szCs w:val="24"/>
              </w:rPr>
              <w:t>utartį Perkančioji organizacija pažeidė Įstatymo 86 straipsnio 9 dalies reikalavimus ir Įstatymo 17 straipsnio 1 dalyje įtvirtintą skaidrumo principą.</w:t>
            </w:r>
            <w:r w:rsidR="00915BF5" w:rsidRPr="008C1C8E">
              <w:rPr>
                <w:i/>
                <w:sz w:val="24"/>
                <w:szCs w:val="24"/>
              </w:rPr>
              <w:t xml:space="preserve"> </w:t>
            </w:r>
          </w:p>
        </w:tc>
      </w:tr>
    </w:tbl>
    <w:p w:rsidR="00A1528D" w:rsidRDefault="00A1528D" w:rsidP="00A1528D">
      <w:pPr>
        <w:rPr>
          <w:b/>
          <w:sz w:val="24"/>
          <w:szCs w:val="24"/>
        </w:rPr>
      </w:pPr>
    </w:p>
    <w:p w:rsidR="001444D6" w:rsidRDefault="001444D6" w:rsidP="00A1528D">
      <w:pPr>
        <w:rPr>
          <w:b/>
          <w:sz w:val="24"/>
          <w:szCs w:val="24"/>
        </w:rPr>
      </w:pPr>
    </w:p>
    <w:p w:rsidR="00A1528D" w:rsidRDefault="00A1528D" w:rsidP="00A1528D">
      <w:pPr>
        <w:jc w:val="center"/>
        <w:rPr>
          <w:b/>
          <w:sz w:val="24"/>
          <w:szCs w:val="24"/>
        </w:rPr>
      </w:pPr>
      <w:r w:rsidRPr="008C1C8E">
        <w:rPr>
          <w:b/>
          <w:sz w:val="24"/>
          <w:szCs w:val="24"/>
        </w:rPr>
        <w:t>III dalis Pastabos, į kurias perkančioji organizacija turėtų atsižvelgti vykdydama kitus pirkimus</w:t>
      </w:r>
    </w:p>
    <w:p w:rsidR="00EB4216" w:rsidRPr="008C1C8E" w:rsidRDefault="00EB4216" w:rsidP="00A1528D">
      <w:pPr>
        <w:jc w:val="center"/>
        <w:rPr>
          <w:b/>
          <w:sz w:val="24"/>
          <w:szCs w:val="24"/>
        </w:rPr>
      </w:pPr>
    </w:p>
    <w:tbl>
      <w:tblPr>
        <w:tblStyle w:val="Lentelstinklelis"/>
        <w:tblW w:w="9634" w:type="dxa"/>
        <w:tblLook w:val="04A0" w:firstRow="1" w:lastRow="0" w:firstColumn="1" w:lastColumn="0" w:noHBand="0" w:noVBand="1"/>
      </w:tblPr>
      <w:tblGrid>
        <w:gridCol w:w="421"/>
        <w:gridCol w:w="9213"/>
      </w:tblGrid>
      <w:tr w:rsidR="00A1528D" w:rsidRPr="00851750" w:rsidTr="003C5110">
        <w:tc>
          <w:tcPr>
            <w:tcW w:w="421" w:type="dxa"/>
          </w:tcPr>
          <w:p w:rsidR="00A1528D" w:rsidRPr="008C1C8E" w:rsidRDefault="00A1528D" w:rsidP="00A1528D">
            <w:pPr>
              <w:pStyle w:val="Sraopastraipa"/>
              <w:numPr>
                <w:ilvl w:val="0"/>
                <w:numId w:val="23"/>
              </w:numPr>
              <w:ind w:hanging="728"/>
              <w:rPr>
                <w:sz w:val="24"/>
                <w:szCs w:val="24"/>
              </w:rPr>
            </w:pPr>
          </w:p>
        </w:tc>
        <w:tc>
          <w:tcPr>
            <w:tcW w:w="9213" w:type="dxa"/>
          </w:tcPr>
          <w:p w:rsidR="00285111" w:rsidRPr="008C1C8E" w:rsidRDefault="00285111" w:rsidP="00285111">
            <w:pPr>
              <w:jc w:val="both"/>
              <w:rPr>
                <w:i/>
                <w:sz w:val="24"/>
                <w:szCs w:val="24"/>
              </w:rPr>
            </w:pPr>
          </w:p>
        </w:tc>
      </w:tr>
      <w:tr w:rsidR="003C5110" w:rsidRPr="00851750" w:rsidTr="00362021">
        <w:tc>
          <w:tcPr>
            <w:tcW w:w="9634" w:type="dxa"/>
            <w:gridSpan w:val="2"/>
          </w:tcPr>
          <w:p w:rsidR="003C5110" w:rsidRPr="000100CE" w:rsidRDefault="003C5110" w:rsidP="00D166A1">
            <w:pPr>
              <w:jc w:val="both"/>
              <w:rPr>
                <w:sz w:val="24"/>
                <w:szCs w:val="24"/>
              </w:rPr>
            </w:pPr>
            <w:r w:rsidRPr="007A6A13">
              <w:rPr>
                <w:sz w:val="24"/>
                <w:szCs w:val="24"/>
              </w:rPr>
              <w:t xml:space="preserve">Pirkimo sąlygų </w:t>
            </w:r>
            <w:r>
              <w:rPr>
                <w:sz w:val="24"/>
                <w:szCs w:val="24"/>
              </w:rPr>
              <w:t xml:space="preserve">2 skyriaus „Pirkimo objektas“ 2.10 punkte ir </w:t>
            </w:r>
            <w:r w:rsidR="00BB110B">
              <w:rPr>
                <w:sz w:val="24"/>
                <w:szCs w:val="24"/>
              </w:rPr>
              <w:t>Pirkimo sąlygų 1 priedo „</w:t>
            </w:r>
            <w:r w:rsidRPr="007A6A13">
              <w:rPr>
                <w:sz w:val="24"/>
                <w:szCs w:val="24"/>
              </w:rPr>
              <w:t>Techninės specifikacijos</w:t>
            </w:r>
            <w:r w:rsidR="00BB110B">
              <w:rPr>
                <w:sz w:val="24"/>
                <w:szCs w:val="24"/>
              </w:rPr>
              <w:t>“</w:t>
            </w:r>
            <w:r w:rsidRPr="007A6A13">
              <w:rPr>
                <w:sz w:val="24"/>
                <w:szCs w:val="24"/>
              </w:rPr>
              <w:t xml:space="preserve"> </w:t>
            </w:r>
            <w:r w:rsidR="00BB110B">
              <w:rPr>
                <w:sz w:val="24"/>
                <w:szCs w:val="24"/>
              </w:rPr>
              <w:t xml:space="preserve">(toliau - Techninė specifikacija) </w:t>
            </w:r>
            <w:r>
              <w:rPr>
                <w:sz w:val="24"/>
                <w:szCs w:val="24"/>
              </w:rPr>
              <w:t xml:space="preserve">7 punkte yra įtvirtinta nuostata, kad „Teikiamas maistas turi būti gaminamas VšĮ Mažeikių ligoninės pastato Mažeikių rajono savivaldybei priklausančiose patalpose &lt;...&gt;, turint Mažeikių rajono Savivaldybės sprendimą dėl patalpų nuomos laimėjusiai &lt;...&gt; konkursą dėl pacientų maitinimo paslaugos. </w:t>
            </w:r>
            <w:r w:rsidRPr="008A0F75">
              <w:rPr>
                <w:sz w:val="24"/>
                <w:szCs w:val="24"/>
                <w:u w:val="single"/>
              </w:rPr>
              <w:t>Virtuvės įrangą ir inventorių perduoti naudojimui sudarius nuomos sutartį</w:t>
            </w:r>
            <w:r>
              <w:rPr>
                <w:sz w:val="24"/>
                <w:szCs w:val="24"/>
              </w:rPr>
              <w:t xml:space="preserve">“ ir Pirkimo sąlygų 3.11.4 papunkčio nuostata, kad tiekėjas </w:t>
            </w:r>
            <w:r w:rsidRPr="008A0F75">
              <w:rPr>
                <w:sz w:val="24"/>
                <w:szCs w:val="24"/>
                <w:u w:val="single"/>
              </w:rPr>
              <w:t>turi turėti reikiamą įrangą maisto ruošimui ir gaminimui</w:t>
            </w:r>
            <w:r w:rsidRPr="007400EF">
              <w:rPr>
                <w:sz w:val="24"/>
                <w:szCs w:val="24"/>
              </w:rPr>
              <w:t xml:space="preserve"> nėra </w:t>
            </w:r>
            <w:r>
              <w:rPr>
                <w:sz w:val="24"/>
                <w:szCs w:val="24"/>
              </w:rPr>
              <w:t>tikslios ir aiškios, nes nėra pateikta informacija už kokią kainą bus nuomojamos patalpos, nepateiktas sąrašas koks bus perduotas inventorius ir kokia</w:t>
            </w:r>
            <w:r w:rsidRPr="007400EF">
              <w:rPr>
                <w:sz w:val="24"/>
                <w:szCs w:val="24"/>
              </w:rPr>
              <w:t xml:space="preserve"> </w:t>
            </w:r>
            <w:r>
              <w:rPr>
                <w:sz w:val="24"/>
                <w:szCs w:val="24"/>
              </w:rPr>
              <w:t>bus perduota virtuvės įranga, nenurodyta kokią konkrečiai įrangą maisto ruošimui ir gaminimui turi turėti tiekėjas. Tokiu būdu susidaro situacija, kad potencialūs tiekėjai negali tinkamai įsivertinti galimų išlaidų, susijusių su paslaugos tiekimu ir tinkamai apskaičiuoti pasiūlymo kainos, nes patys turi nuspręsti kokia įranga reikalinga būsimai paslaugai tiekti. Nenurodžius šios informacijos pirkimo dokumentuose, sudaromos palankesnes sąlygos ir suteikiamas nepagrįstas pranašumas laimėjusiam Pirkimą tiekėjui VšĮ „Kretingos maistas“ (dabar VšĮ „Bruneros“), kuris prieš tai turėjo maitinimo paslaugų sutartį su Perkančiąja organizacija ir atitinkamai disponavo reikiamais duomenimis apie tai, kokia yra nuomojamų patalpų kaina, kokia yra virtuvės įranga ir inventorius Perkančiojoje organizacijoje, ir kokių investicijų gali prireikti vykdant Sutartį. Tokiu būdu Perkančioji organizacija neužtikrina Įstatymo 17 straipsnio 1 dalyje įtvirtinto skaidrumo ir lygia</w:t>
            </w:r>
            <w:r w:rsidR="00D166A1">
              <w:rPr>
                <w:sz w:val="24"/>
                <w:szCs w:val="24"/>
              </w:rPr>
              <w:t>teisiškumo</w:t>
            </w:r>
            <w:r>
              <w:rPr>
                <w:sz w:val="24"/>
                <w:szCs w:val="24"/>
              </w:rPr>
              <w:t xml:space="preserve"> principų laikymosi bei Įstatymo 35 straipsnio 4 dalies, jog pirkimo dokumentai turi būti tikslūs ir aiškūs, be dviprasmybių.</w:t>
            </w:r>
            <w:r w:rsidRPr="008C1C8E">
              <w:rPr>
                <w:sz w:val="24"/>
                <w:szCs w:val="24"/>
              </w:rPr>
              <w:t xml:space="preserve"> </w:t>
            </w:r>
          </w:p>
        </w:tc>
      </w:tr>
      <w:tr w:rsidR="003C5110" w:rsidRPr="00851750" w:rsidTr="003C5110">
        <w:tc>
          <w:tcPr>
            <w:tcW w:w="421" w:type="dxa"/>
          </w:tcPr>
          <w:p w:rsidR="003C5110" w:rsidRPr="008C1C8E" w:rsidRDefault="003C5110" w:rsidP="00A1528D">
            <w:pPr>
              <w:pStyle w:val="Sraopastraipa"/>
              <w:numPr>
                <w:ilvl w:val="0"/>
                <w:numId w:val="23"/>
              </w:numPr>
              <w:ind w:hanging="728"/>
              <w:rPr>
                <w:sz w:val="24"/>
                <w:szCs w:val="24"/>
              </w:rPr>
            </w:pPr>
          </w:p>
        </w:tc>
        <w:tc>
          <w:tcPr>
            <w:tcW w:w="9213" w:type="dxa"/>
          </w:tcPr>
          <w:p w:rsidR="003C5110" w:rsidRPr="000100CE" w:rsidRDefault="003C5110" w:rsidP="00EE426E">
            <w:pPr>
              <w:jc w:val="both"/>
              <w:rPr>
                <w:sz w:val="24"/>
                <w:szCs w:val="24"/>
              </w:rPr>
            </w:pPr>
          </w:p>
        </w:tc>
      </w:tr>
      <w:tr w:rsidR="00EE426E" w:rsidRPr="00851750" w:rsidTr="00F85394">
        <w:tc>
          <w:tcPr>
            <w:tcW w:w="9634" w:type="dxa"/>
            <w:gridSpan w:val="2"/>
          </w:tcPr>
          <w:p w:rsidR="00EE426E" w:rsidRPr="000100CE" w:rsidRDefault="00EE426E" w:rsidP="001A4C8B">
            <w:pPr>
              <w:jc w:val="both"/>
              <w:rPr>
                <w:sz w:val="24"/>
                <w:szCs w:val="24"/>
              </w:rPr>
            </w:pPr>
            <w:r>
              <w:rPr>
                <w:sz w:val="24"/>
                <w:szCs w:val="24"/>
              </w:rPr>
              <w:t>Pažymėtina, kad Sutarties 5.2.2 papunkčio</w:t>
            </w:r>
            <w:r>
              <w:rPr>
                <w:rStyle w:val="Puslapioinaosnuoroda"/>
                <w:sz w:val="24"/>
                <w:szCs w:val="24"/>
              </w:rPr>
              <w:footnoteReference w:id="7"/>
            </w:r>
            <w:r>
              <w:rPr>
                <w:sz w:val="24"/>
                <w:szCs w:val="24"/>
              </w:rPr>
              <w:t xml:space="preserve"> sąlygoje nustatytas netesybų dydis, kad tiekėjas moka Perkančiajai organizacijai pareikalavus 0,2 % delspinigių </w:t>
            </w:r>
            <w:r w:rsidRPr="00120629">
              <w:rPr>
                <w:sz w:val="24"/>
                <w:szCs w:val="24"/>
                <w:u w:val="single"/>
              </w:rPr>
              <w:t>nuo neatlikto įsipareigojimo vertės</w:t>
            </w:r>
            <w:r>
              <w:rPr>
                <w:sz w:val="24"/>
                <w:szCs w:val="24"/>
              </w:rPr>
              <w:t xml:space="preserve"> už kiekvieną uždelstą dieną, Tarnybos nuomone, yra neproporcingas Pirkimo objekto vertei ir jo svarbai, atsižvelgiant į tai, kad Pirkimo objektas yra susijęs su ligoninės pacientų dietiniu maitinimo paslaugomis. Dietinio pacientų maitinimo neatlikimas reikštų, kad jei pacientai vieną dieną negautų jiems būtino maitinimo, tai teikėjui (pvz. nuo nepateiktų visiems 180 pacientams vienos paros (5 kartai) dietinio maitinimų 180 (kiekis) x 2,82 (paros kaina) </w:t>
            </w:r>
            <w:r>
              <w:rPr>
                <w:sz w:val="24"/>
                <w:szCs w:val="24"/>
                <w:lang w:val="en-US"/>
              </w:rPr>
              <w:t>= 507,6 (suma) x 0.2</w:t>
            </w:r>
            <w:r>
              <w:rPr>
                <w:sz w:val="24"/>
                <w:szCs w:val="24"/>
              </w:rPr>
              <w:t>% (delspinigiai) = 1,01 eu</w:t>
            </w:r>
            <w:r w:rsidR="001A4C8B">
              <w:rPr>
                <w:sz w:val="24"/>
                <w:szCs w:val="24"/>
              </w:rPr>
              <w:t>r</w:t>
            </w:r>
            <w:r>
              <w:rPr>
                <w:sz w:val="24"/>
                <w:szCs w:val="24"/>
              </w:rPr>
              <w:t xml:space="preserve"> delspinigių suma) apskaičiuotų delspinigių dydžio pagrįstumas būtų neproporcingas siekiamam tikslui pasiekti. Taip pat Sutart</w:t>
            </w:r>
            <w:r w:rsidR="001A4C8B">
              <w:rPr>
                <w:sz w:val="24"/>
                <w:szCs w:val="24"/>
              </w:rPr>
              <w:t>ies</w:t>
            </w:r>
            <w:r>
              <w:rPr>
                <w:sz w:val="24"/>
                <w:szCs w:val="24"/>
              </w:rPr>
              <w:t xml:space="preserve"> 7.2 punkte</w:t>
            </w:r>
            <w:r>
              <w:rPr>
                <w:rStyle w:val="Puslapioinaosnuoroda"/>
                <w:sz w:val="24"/>
                <w:szCs w:val="24"/>
              </w:rPr>
              <w:footnoteReference w:id="8"/>
            </w:r>
            <w:r>
              <w:rPr>
                <w:sz w:val="24"/>
                <w:szCs w:val="24"/>
              </w:rPr>
              <w:t xml:space="preserve"> įtvirtinta nuostata, kad nevykdant įsipareigojimų Perkančioji organizacija gali pasinaudoti Sutarties įvykdymo užtikrinimu, tačiau nedetalizuota kada ir kuriais konkrečiai atvejais Perkančioji organizacija pasinaudotų Sutarties 5. 2. 2. papunkčio nuostata</w:t>
            </w:r>
            <w:r>
              <w:t xml:space="preserve">, </w:t>
            </w:r>
            <w:r>
              <w:rPr>
                <w:sz w:val="24"/>
                <w:szCs w:val="24"/>
              </w:rPr>
              <w:t>o kada taikytų Sutarties 7.2 punkto</w:t>
            </w:r>
            <w:r>
              <w:t xml:space="preserve"> </w:t>
            </w:r>
            <w:r>
              <w:rPr>
                <w:sz w:val="24"/>
                <w:szCs w:val="24"/>
              </w:rPr>
              <w:t>sąlygą. Sutartyje nuostatos dėl netesybų yra reikalingos užtikrinti tinkamą Sutarties vykdymą ir turi būti proporcingos pirkimo objektui, tikslios ir aiškios, be dviprasmybių.</w:t>
            </w:r>
          </w:p>
        </w:tc>
      </w:tr>
      <w:tr w:rsidR="003C5110" w:rsidRPr="00851750" w:rsidTr="003C5110">
        <w:tc>
          <w:tcPr>
            <w:tcW w:w="421" w:type="dxa"/>
          </w:tcPr>
          <w:p w:rsidR="003C5110" w:rsidRPr="008C1C8E" w:rsidRDefault="003C5110" w:rsidP="00A1528D">
            <w:pPr>
              <w:pStyle w:val="Sraopastraipa"/>
              <w:numPr>
                <w:ilvl w:val="0"/>
                <w:numId w:val="23"/>
              </w:numPr>
              <w:ind w:hanging="728"/>
              <w:rPr>
                <w:sz w:val="24"/>
                <w:szCs w:val="24"/>
              </w:rPr>
            </w:pPr>
          </w:p>
        </w:tc>
        <w:tc>
          <w:tcPr>
            <w:tcW w:w="9213" w:type="dxa"/>
          </w:tcPr>
          <w:p w:rsidR="003C5110" w:rsidRPr="000100CE" w:rsidRDefault="003C5110" w:rsidP="00285111">
            <w:pPr>
              <w:jc w:val="both"/>
              <w:rPr>
                <w:sz w:val="24"/>
                <w:szCs w:val="24"/>
              </w:rPr>
            </w:pPr>
          </w:p>
        </w:tc>
      </w:tr>
      <w:tr w:rsidR="00523B45" w:rsidRPr="00851750" w:rsidTr="003C5110">
        <w:tc>
          <w:tcPr>
            <w:tcW w:w="9634" w:type="dxa"/>
            <w:gridSpan w:val="2"/>
          </w:tcPr>
          <w:p w:rsidR="00BC1BD5" w:rsidRDefault="00BC1BD5" w:rsidP="00BC1BD5">
            <w:pPr>
              <w:ind w:firstLine="880"/>
              <w:jc w:val="both"/>
              <w:rPr>
                <w:sz w:val="24"/>
                <w:szCs w:val="24"/>
              </w:rPr>
            </w:pPr>
            <w:r>
              <w:rPr>
                <w:sz w:val="24"/>
                <w:szCs w:val="24"/>
              </w:rPr>
              <w:t xml:space="preserve">Pirkimo dokumentuose nustatyta, kad: </w:t>
            </w:r>
            <w:r w:rsidR="00A259B6" w:rsidRPr="00BC1BD5">
              <w:rPr>
                <w:sz w:val="24"/>
                <w:szCs w:val="24"/>
              </w:rPr>
              <w:t xml:space="preserve">Pirkimo sąlygų </w:t>
            </w:r>
            <w:r w:rsidR="000A303C" w:rsidRPr="00BC1BD5">
              <w:rPr>
                <w:sz w:val="24"/>
                <w:szCs w:val="24"/>
              </w:rPr>
              <w:t xml:space="preserve">1.3 punkte įtvirtinta, kad </w:t>
            </w:r>
            <w:r w:rsidR="000A303C" w:rsidRPr="00BB110B">
              <w:rPr>
                <w:sz w:val="24"/>
                <w:szCs w:val="24"/>
              </w:rPr>
              <w:t>„P</w:t>
            </w:r>
            <w:r w:rsidR="00DB0DEC" w:rsidRPr="00BB110B">
              <w:rPr>
                <w:sz w:val="24"/>
                <w:szCs w:val="24"/>
              </w:rPr>
              <w:t>aslaugos teikiamos pagal vieno paciento vienos paros maitinimo kainą, atskirai nurodant pusryčių, priešpiečių, pietų, pavakarių ir vakarienės įkainį &lt;...&gt;</w:t>
            </w:r>
            <w:r w:rsidRPr="00BB110B">
              <w:rPr>
                <w:sz w:val="24"/>
                <w:szCs w:val="24"/>
              </w:rPr>
              <w:t>“,</w:t>
            </w:r>
            <w:r w:rsidRPr="00BC1BD5">
              <w:rPr>
                <w:sz w:val="24"/>
                <w:szCs w:val="24"/>
              </w:rPr>
              <w:t xml:space="preserve"> </w:t>
            </w:r>
            <w:r w:rsidR="00A259B6" w:rsidRPr="00BC1BD5">
              <w:rPr>
                <w:sz w:val="24"/>
                <w:szCs w:val="24"/>
              </w:rPr>
              <w:t xml:space="preserve">Techninės specifikacijos 11 punkte nurodyti paslaugos organizavimo tipai: maitinimas </w:t>
            </w:r>
            <w:r w:rsidR="00A259B6" w:rsidRPr="00BC1BD5">
              <w:rPr>
                <w:sz w:val="24"/>
                <w:szCs w:val="24"/>
                <w:u w:val="single"/>
              </w:rPr>
              <w:t>tris kartus per dieną</w:t>
            </w:r>
            <w:r w:rsidR="00A259B6" w:rsidRPr="00BC1BD5">
              <w:rPr>
                <w:sz w:val="24"/>
                <w:szCs w:val="24"/>
              </w:rPr>
              <w:t xml:space="preserve"> (standartinis), </w:t>
            </w:r>
            <w:r w:rsidR="00A259B6" w:rsidRPr="00BC1BD5">
              <w:rPr>
                <w:sz w:val="24"/>
                <w:szCs w:val="24"/>
                <w:u w:val="single"/>
              </w:rPr>
              <w:t>maitinimas penkis kartus per dieną</w:t>
            </w:r>
            <w:r w:rsidR="00A259B6" w:rsidRPr="00BC1BD5">
              <w:rPr>
                <w:sz w:val="24"/>
                <w:szCs w:val="24"/>
              </w:rPr>
              <w:t xml:space="preserve">, jei iškyla problemų dėl paciento ypatingos fizinės būklės&lt;...&gt; ir </w:t>
            </w:r>
            <w:r w:rsidR="00A259B6" w:rsidRPr="00BC1BD5">
              <w:rPr>
                <w:sz w:val="24"/>
                <w:szCs w:val="24"/>
                <w:u w:val="single"/>
              </w:rPr>
              <w:t>individualus maitinimas</w:t>
            </w:r>
            <w:r w:rsidR="00A259B6" w:rsidRPr="00BC1BD5">
              <w:rPr>
                <w:sz w:val="24"/>
                <w:szCs w:val="24"/>
              </w:rPr>
              <w:t xml:space="preserve"> </w:t>
            </w:r>
            <w:r w:rsidRPr="00BC1BD5">
              <w:rPr>
                <w:sz w:val="24"/>
                <w:szCs w:val="24"/>
              </w:rPr>
              <w:t>(vegetarinis, mažai kaloringas)</w:t>
            </w:r>
            <w:r w:rsidR="00BB110B">
              <w:rPr>
                <w:sz w:val="24"/>
                <w:szCs w:val="24"/>
              </w:rPr>
              <w:t>,</w:t>
            </w:r>
            <w:r>
              <w:rPr>
                <w:sz w:val="24"/>
                <w:szCs w:val="24"/>
              </w:rPr>
              <w:t xml:space="preserve"> </w:t>
            </w:r>
            <w:r w:rsidR="00867DC7" w:rsidRPr="00BC1BD5">
              <w:rPr>
                <w:sz w:val="24"/>
                <w:szCs w:val="24"/>
              </w:rPr>
              <w:t>Sutarties</w:t>
            </w:r>
            <w:r w:rsidRPr="00BC1BD5">
              <w:rPr>
                <w:sz w:val="24"/>
                <w:szCs w:val="24"/>
              </w:rPr>
              <w:t xml:space="preserve"> projekto (Pirkimo sąlygų 3 priedas)</w:t>
            </w:r>
            <w:r w:rsidR="00867DC7" w:rsidRPr="00BC1BD5">
              <w:rPr>
                <w:sz w:val="24"/>
                <w:szCs w:val="24"/>
              </w:rPr>
              <w:t xml:space="preserve"> 3.1. punkte nurodyta, kad </w:t>
            </w:r>
            <w:r w:rsidR="00867DC7" w:rsidRPr="00BB110B">
              <w:rPr>
                <w:sz w:val="24"/>
                <w:szCs w:val="24"/>
              </w:rPr>
              <w:t>„</w:t>
            </w:r>
            <w:r w:rsidR="000A303C" w:rsidRPr="00BB110B">
              <w:rPr>
                <w:sz w:val="24"/>
                <w:szCs w:val="24"/>
              </w:rPr>
              <w:t>P</w:t>
            </w:r>
            <w:r w:rsidR="00867DC7" w:rsidRPr="00BB110B">
              <w:rPr>
                <w:sz w:val="24"/>
                <w:szCs w:val="24"/>
              </w:rPr>
              <w:t>aslaugos pirkėjas už suteiktas paslaugas apmoka Paslaugos tiekėjui už faktiškai suteiktas pusryčių, priešpiečių, pietų, pavakarių ir vakarienės paslaugas pagal fiksuotą vieno dietinio maitinimo v</w:t>
            </w:r>
            <w:r w:rsidR="000A303C" w:rsidRPr="00BB110B">
              <w:rPr>
                <w:sz w:val="24"/>
                <w:szCs w:val="24"/>
              </w:rPr>
              <w:t>ienos paros kainą &lt;...&gt;.“</w:t>
            </w:r>
            <w:r w:rsidR="000A303C" w:rsidRPr="00BC1BD5">
              <w:rPr>
                <w:sz w:val="24"/>
                <w:szCs w:val="24"/>
              </w:rPr>
              <w:t xml:space="preserve"> </w:t>
            </w:r>
            <w:r>
              <w:rPr>
                <w:sz w:val="24"/>
                <w:szCs w:val="24"/>
              </w:rPr>
              <w:t xml:space="preserve">Tačiau Pasiūlymo Pirkimui formoje (Pirkimo sąlygų 2 priedas) nustatyta, kad tiekėjai turi patekti tik </w:t>
            </w:r>
            <w:r w:rsidR="00551482" w:rsidRPr="00BC1BD5">
              <w:rPr>
                <w:sz w:val="24"/>
                <w:szCs w:val="24"/>
                <w:u w:val="single"/>
              </w:rPr>
              <w:t>maitinim</w:t>
            </w:r>
            <w:r w:rsidR="00551482">
              <w:rPr>
                <w:sz w:val="24"/>
                <w:szCs w:val="24"/>
                <w:u w:val="single"/>
              </w:rPr>
              <w:t>o penkių</w:t>
            </w:r>
            <w:r w:rsidR="00551482" w:rsidRPr="00BC1BD5">
              <w:rPr>
                <w:sz w:val="24"/>
                <w:szCs w:val="24"/>
                <w:u w:val="single"/>
              </w:rPr>
              <w:t xml:space="preserve"> kart</w:t>
            </w:r>
            <w:r w:rsidR="00551482">
              <w:rPr>
                <w:sz w:val="24"/>
                <w:szCs w:val="24"/>
                <w:u w:val="single"/>
              </w:rPr>
              <w:t>ų</w:t>
            </w:r>
            <w:r w:rsidR="00551482" w:rsidRPr="00BC1BD5">
              <w:rPr>
                <w:sz w:val="24"/>
                <w:szCs w:val="24"/>
                <w:u w:val="single"/>
              </w:rPr>
              <w:t xml:space="preserve"> per dieną</w:t>
            </w:r>
            <w:r w:rsidR="00551482">
              <w:rPr>
                <w:sz w:val="24"/>
                <w:szCs w:val="24"/>
                <w:u w:val="single"/>
              </w:rPr>
              <w:t xml:space="preserve"> įkainius.</w:t>
            </w:r>
          </w:p>
          <w:p w:rsidR="005C6AF9" w:rsidRPr="00BB110B" w:rsidRDefault="00551482" w:rsidP="00836174">
            <w:pPr>
              <w:ind w:firstLine="880"/>
              <w:jc w:val="both"/>
              <w:rPr>
                <w:sz w:val="24"/>
                <w:szCs w:val="24"/>
              </w:rPr>
            </w:pPr>
            <w:r>
              <w:rPr>
                <w:sz w:val="24"/>
                <w:szCs w:val="24"/>
              </w:rPr>
              <w:lastRenderedPageBreak/>
              <w:t>Atsižvelgiant į išdėstytus Pirkimo dokumentų reikalavimus</w:t>
            </w:r>
            <w:r w:rsidR="00906200" w:rsidRPr="00551482">
              <w:rPr>
                <w:sz w:val="24"/>
                <w:szCs w:val="24"/>
              </w:rPr>
              <w:t xml:space="preserve">, darytina išvada, kad </w:t>
            </w:r>
            <w:r w:rsidR="005C6AF9">
              <w:rPr>
                <w:sz w:val="24"/>
                <w:szCs w:val="24"/>
              </w:rPr>
              <w:t>vykdant</w:t>
            </w:r>
            <w:r w:rsidR="00836174">
              <w:rPr>
                <w:sz w:val="24"/>
                <w:szCs w:val="24"/>
              </w:rPr>
              <w:t xml:space="preserve"> Pirkimo sutartį, </w:t>
            </w:r>
            <w:r w:rsidR="00906200" w:rsidRPr="00551482">
              <w:rPr>
                <w:sz w:val="24"/>
                <w:szCs w:val="24"/>
              </w:rPr>
              <w:t xml:space="preserve">pacientai, kurie </w:t>
            </w:r>
            <w:r w:rsidRPr="00551482">
              <w:rPr>
                <w:sz w:val="24"/>
                <w:szCs w:val="24"/>
              </w:rPr>
              <w:t>gaus maitinim</w:t>
            </w:r>
            <w:r>
              <w:rPr>
                <w:sz w:val="24"/>
                <w:szCs w:val="24"/>
              </w:rPr>
              <w:t>ą penkis</w:t>
            </w:r>
            <w:r w:rsidRPr="00551482">
              <w:rPr>
                <w:sz w:val="24"/>
                <w:szCs w:val="24"/>
              </w:rPr>
              <w:t xml:space="preserve"> kartus</w:t>
            </w:r>
            <w:r>
              <w:rPr>
                <w:sz w:val="24"/>
                <w:szCs w:val="24"/>
              </w:rPr>
              <w:t xml:space="preserve"> bus maitinami </w:t>
            </w:r>
            <w:r w:rsidRPr="00BB110B">
              <w:rPr>
                <w:sz w:val="24"/>
                <w:szCs w:val="24"/>
              </w:rPr>
              <w:t xml:space="preserve">už </w:t>
            </w:r>
            <w:r w:rsidRPr="00BB110B">
              <w:rPr>
                <w:sz w:val="24"/>
                <w:szCs w:val="24"/>
                <w:u w:val="single"/>
              </w:rPr>
              <w:t>vieno paciento vienos paros maitinimo kainą</w:t>
            </w:r>
            <w:r w:rsidRPr="00BB110B">
              <w:rPr>
                <w:sz w:val="24"/>
                <w:szCs w:val="24"/>
              </w:rPr>
              <w:t>,</w:t>
            </w:r>
            <w:r w:rsidRPr="00551482">
              <w:rPr>
                <w:sz w:val="24"/>
                <w:szCs w:val="24"/>
              </w:rPr>
              <w:t xml:space="preserve"> o </w:t>
            </w:r>
            <w:r>
              <w:rPr>
                <w:sz w:val="24"/>
                <w:szCs w:val="24"/>
              </w:rPr>
              <w:t xml:space="preserve">kurie </w:t>
            </w:r>
            <w:r w:rsidR="00906200" w:rsidRPr="00551482">
              <w:rPr>
                <w:sz w:val="24"/>
                <w:szCs w:val="24"/>
              </w:rPr>
              <w:t xml:space="preserve">gaus maitinimą </w:t>
            </w:r>
            <w:r>
              <w:rPr>
                <w:sz w:val="24"/>
                <w:szCs w:val="24"/>
              </w:rPr>
              <w:t>tris</w:t>
            </w:r>
            <w:r w:rsidR="00906200" w:rsidRPr="00551482">
              <w:rPr>
                <w:sz w:val="24"/>
                <w:szCs w:val="24"/>
              </w:rPr>
              <w:t xml:space="preserve"> kartus </w:t>
            </w:r>
            <w:r>
              <w:rPr>
                <w:sz w:val="24"/>
                <w:szCs w:val="24"/>
              </w:rPr>
              <w:t xml:space="preserve">– </w:t>
            </w:r>
            <w:r w:rsidR="00906200" w:rsidRPr="00551482">
              <w:rPr>
                <w:sz w:val="24"/>
                <w:szCs w:val="24"/>
              </w:rPr>
              <w:t>bus maitinami pigiau</w:t>
            </w:r>
            <w:r>
              <w:rPr>
                <w:sz w:val="24"/>
                <w:szCs w:val="24"/>
              </w:rPr>
              <w:t xml:space="preserve"> (negaus </w:t>
            </w:r>
            <w:r w:rsidRPr="00551482">
              <w:rPr>
                <w:i/>
                <w:sz w:val="24"/>
                <w:szCs w:val="24"/>
              </w:rPr>
              <w:t>priešpiečių</w:t>
            </w:r>
            <w:r w:rsidRPr="00551482">
              <w:rPr>
                <w:sz w:val="24"/>
                <w:szCs w:val="24"/>
              </w:rPr>
              <w:t xml:space="preserve"> ir </w:t>
            </w:r>
            <w:r w:rsidRPr="00551482">
              <w:rPr>
                <w:i/>
                <w:sz w:val="24"/>
                <w:szCs w:val="24"/>
              </w:rPr>
              <w:t>pavakarių</w:t>
            </w:r>
            <w:r w:rsidRPr="00551482">
              <w:rPr>
                <w:sz w:val="24"/>
                <w:szCs w:val="24"/>
              </w:rPr>
              <w:t>)</w:t>
            </w:r>
            <w:r>
              <w:rPr>
                <w:sz w:val="24"/>
                <w:szCs w:val="24"/>
              </w:rPr>
              <w:t>.</w:t>
            </w:r>
            <w:r w:rsidR="00837E90" w:rsidRPr="00551482">
              <w:rPr>
                <w:sz w:val="24"/>
                <w:szCs w:val="24"/>
              </w:rPr>
              <w:t xml:space="preserve"> Perkančioji organizacija raštu</w:t>
            </w:r>
            <w:r w:rsidR="00837E90">
              <w:rPr>
                <w:rStyle w:val="Puslapioinaosnuoroda"/>
                <w:sz w:val="24"/>
                <w:szCs w:val="24"/>
              </w:rPr>
              <w:footnoteReference w:id="9"/>
            </w:r>
            <w:r w:rsidR="00837E90" w:rsidRPr="00551482">
              <w:rPr>
                <w:sz w:val="24"/>
                <w:szCs w:val="24"/>
              </w:rPr>
              <w:t xml:space="preserve"> </w:t>
            </w:r>
            <w:r w:rsidR="00D166A1">
              <w:rPr>
                <w:sz w:val="24"/>
                <w:szCs w:val="24"/>
              </w:rPr>
              <w:t>nurodė</w:t>
            </w:r>
            <w:r w:rsidR="00837E90" w:rsidRPr="00551482">
              <w:rPr>
                <w:sz w:val="24"/>
                <w:szCs w:val="24"/>
              </w:rPr>
              <w:t xml:space="preserve">, kad </w:t>
            </w:r>
            <w:r w:rsidR="00837E90" w:rsidRPr="00BB110B">
              <w:rPr>
                <w:sz w:val="24"/>
                <w:szCs w:val="24"/>
              </w:rPr>
              <w:t>„&lt;...&gt; visų dietų rūšių patiekalai gaminami atsižvelgiant į dietų sudėtį: angliavandenius, baltymus, riebalus ir jų energetinę vertę</w:t>
            </w:r>
            <w:r w:rsidR="001A4C8B" w:rsidRPr="00BB110B">
              <w:rPr>
                <w:sz w:val="24"/>
                <w:szCs w:val="24"/>
              </w:rPr>
              <w:t xml:space="preserve"> (</w:t>
            </w:r>
            <w:r w:rsidR="005C6AF9" w:rsidRPr="00BB110B">
              <w:rPr>
                <w:sz w:val="24"/>
                <w:szCs w:val="24"/>
              </w:rPr>
              <w:t>kilokolorijas</w:t>
            </w:r>
            <w:r w:rsidR="001A4C8B" w:rsidRPr="00BB110B">
              <w:rPr>
                <w:sz w:val="24"/>
                <w:szCs w:val="24"/>
              </w:rPr>
              <w:t>)</w:t>
            </w:r>
            <w:r w:rsidR="00837E90" w:rsidRPr="00BB110B">
              <w:rPr>
                <w:sz w:val="24"/>
                <w:szCs w:val="24"/>
              </w:rPr>
              <w:t>.</w:t>
            </w:r>
            <w:r w:rsidR="001A4C8B" w:rsidRPr="00BB110B">
              <w:rPr>
                <w:sz w:val="24"/>
                <w:szCs w:val="24"/>
              </w:rPr>
              <w:t xml:space="preserve"> </w:t>
            </w:r>
            <w:r w:rsidR="00837E90" w:rsidRPr="00BB110B">
              <w:rPr>
                <w:sz w:val="24"/>
                <w:szCs w:val="24"/>
              </w:rPr>
              <w:t xml:space="preserve">Pagrindinių, standartinių ir specialiųjų dietų patiekalams pagaminti naudojamos tos pačios technologijos, maisto žaliavos“, </w:t>
            </w:r>
            <w:r w:rsidR="00D166A1">
              <w:rPr>
                <w:sz w:val="24"/>
                <w:szCs w:val="24"/>
              </w:rPr>
              <w:t>tačiau lieka neaišku</w:t>
            </w:r>
            <w:r w:rsidR="005C6AF9" w:rsidRPr="00BB110B">
              <w:rPr>
                <w:sz w:val="24"/>
                <w:szCs w:val="24"/>
              </w:rPr>
              <w:t>, kaip maitinant pacientus tris kartus (pigiau nei vieno paciento vienos paros maitinimo kaina) bus užtikrinama patiekalų energetinė vertė.</w:t>
            </w:r>
          </w:p>
          <w:p w:rsidR="00523B45" w:rsidRPr="00551482" w:rsidRDefault="00D166A1" w:rsidP="001444D6">
            <w:pPr>
              <w:ind w:firstLine="880"/>
              <w:jc w:val="both"/>
              <w:rPr>
                <w:sz w:val="24"/>
                <w:szCs w:val="24"/>
              </w:rPr>
            </w:pPr>
            <w:r>
              <w:rPr>
                <w:sz w:val="24"/>
                <w:szCs w:val="24"/>
              </w:rPr>
              <w:t>Taip pat pažymėtina, kad</w:t>
            </w:r>
            <w:r w:rsidR="000A303C" w:rsidRPr="00551482">
              <w:rPr>
                <w:sz w:val="24"/>
                <w:szCs w:val="24"/>
              </w:rPr>
              <w:t xml:space="preserve"> perkam</w:t>
            </w:r>
            <w:r w:rsidR="00257CC8">
              <w:rPr>
                <w:sz w:val="24"/>
                <w:szCs w:val="24"/>
              </w:rPr>
              <w:t>as maitinimas pagal</w:t>
            </w:r>
            <w:r w:rsidR="000A303C" w:rsidRPr="00551482">
              <w:rPr>
                <w:sz w:val="24"/>
                <w:szCs w:val="24"/>
              </w:rPr>
              <w:t xml:space="preserve"> skirting</w:t>
            </w:r>
            <w:r w:rsidR="00257CC8">
              <w:rPr>
                <w:sz w:val="24"/>
                <w:szCs w:val="24"/>
              </w:rPr>
              <w:t>a</w:t>
            </w:r>
            <w:r w:rsidR="000A303C" w:rsidRPr="00551482">
              <w:rPr>
                <w:sz w:val="24"/>
                <w:szCs w:val="24"/>
              </w:rPr>
              <w:t>s diet</w:t>
            </w:r>
            <w:r w:rsidR="00257CC8">
              <w:rPr>
                <w:sz w:val="24"/>
                <w:szCs w:val="24"/>
              </w:rPr>
              <w:t>a</w:t>
            </w:r>
            <w:r w:rsidR="000A303C" w:rsidRPr="00551482">
              <w:rPr>
                <w:sz w:val="24"/>
                <w:szCs w:val="24"/>
              </w:rPr>
              <w:t xml:space="preserve">s, </w:t>
            </w:r>
            <w:r w:rsidR="00B1009C">
              <w:rPr>
                <w:sz w:val="24"/>
                <w:szCs w:val="24"/>
              </w:rPr>
              <w:t xml:space="preserve">todėl </w:t>
            </w:r>
            <w:bookmarkStart w:id="2" w:name="_GoBack"/>
            <w:bookmarkEnd w:id="2"/>
            <w:r w:rsidR="000A303C" w:rsidRPr="00551482">
              <w:rPr>
                <w:sz w:val="24"/>
                <w:szCs w:val="24"/>
              </w:rPr>
              <w:t xml:space="preserve">Tarnybos nuomone, Perkančioji organizacija, siekdama </w:t>
            </w:r>
            <w:r w:rsidR="00257CC8" w:rsidRPr="00551482">
              <w:rPr>
                <w:sz w:val="24"/>
                <w:szCs w:val="24"/>
              </w:rPr>
              <w:t>pirkimo tikslo</w:t>
            </w:r>
            <w:r w:rsidR="00EA34AA">
              <w:rPr>
                <w:sz w:val="24"/>
                <w:szCs w:val="24"/>
              </w:rPr>
              <w:t xml:space="preserve"> bei užtikrindama</w:t>
            </w:r>
            <w:r w:rsidR="00257CC8">
              <w:rPr>
                <w:sz w:val="24"/>
                <w:szCs w:val="24"/>
              </w:rPr>
              <w:t xml:space="preserve"> skaidrumo principo laikymąsi</w:t>
            </w:r>
            <w:r w:rsidR="000A303C" w:rsidRPr="00551482">
              <w:rPr>
                <w:sz w:val="24"/>
                <w:szCs w:val="24"/>
              </w:rPr>
              <w:t xml:space="preserve">, </w:t>
            </w:r>
            <w:r w:rsidR="00257CC8">
              <w:rPr>
                <w:sz w:val="24"/>
                <w:szCs w:val="24"/>
              </w:rPr>
              <w:t>turėtų</w:t>
            </w:r>
            <w:r w:rsidR="000A303C" w:rsidRPr="00551482">
              <w:rPr>
                <w:sz w:val="24"/>
                <w:szCs w:val="24"/>
              </w:rPr>
              <w:t xml:space="preserve"> suteikti tiekėjams galimybę pateikti pasiūlymus </w:t>
            </w:r>
            <w:r w:rsidR="00257CC8">
              <w:rPr>
                <w:sz w:val="24"/>
                <w:szCs w:val="24"/>
              </w:rPr>
              <w:t xml:space="preserve">(įkainius) </w:t>
            </w:r>
            <w:r w:rsidR="000A303C" w:rsidRPr="00551482">
              <w:rPr>
                <w:sz w:val="24"/>
                <w:szCs w:val="24"/>
              </w:rPr>
              <w:t>pagal atskirus maitinimo tipus</w:t>
            </w:r>
            <w:r w:rsidR="00257CC8">
              <w:rPr>
                <w:sz w:val="24"/>
                <w:szCs w:val="24"/>
              </w:rPr>
              <w:t>,</w:t>
            </w:r>
            <w:r w:rsidR="0047570C" w:rsidRPr="00551482">
              <w:rPr>
                <w:sz w:val="24"/>
                <w:szCs w:val="24"/>
              </w:rPr>
              <w:t xml:space="preserve"> nurodant kiekvienam maitinimo tip</w:t>
            </w:r>
            <w:r w:rsidR="00B1009C">
              <w:rPr>
                <w:sz w:val="24"/>
                <w:szCs w:val="24"/>
              </w:rPr>
              <w:t>ui</w:t>
            </w:r>
            <w:r w:rsidR="0047570C" w:rsidRPr="00551482">
              <w:rPr>
                <w:sz w:val="24"/>
                <w:szCs w:val="24"/>
              </w:rPr>
              <w:t xml:space="preserve"> numatomus paslaugų kiekius</w:t>
            </w:r>
            <w:r w:rsidR="00257CC8">
              <w:rPr>
                <w:sz w:val="24"/>
                <w:szCs w:val="24"/>
              </w:rPr>
              <w:t xml:space="preserve"> </w:t>
            </w:r>
            <w:r w:rsidR="001444D6">
              <w:rPr>
                <w:sz w:val="24"/>
                <w:szCs w:val="24"/>
              </w:rPr>
              <w:t xml:space="preserve">arba </w:t>
            </w:r>
            <w:r w:rsidR="00257CC8">
              <w:rPr>
                <w:sz w:val="24"/>
                <w:szCs w:val="24"/>
              </w:rPr>
              <w:t>lyginamuosius svorius.</w:t>
            </w:r>
          </w:p>
        </w:tc>
      </w:tr>
    </w:tbl>
    <w:p w:rsidR="00EB4216" w:rsidRDefault="00EB4216" w:rsidP="00A1528D">
      <w:pPr>
        <w:jc w:val="center"/>
        <w:rPr>
          <w:b/>
          <w:sz w:val="24"/>
          <w:szCs w:val="24"/>
        </w:rPr>
      </w:pPr>
    </w:p>
    <w:p w:rsidR="00D166A1" w:rsidRDefault="00D166A1" w:rsidP="00A1528D">
      <w:pPr>
        <w:jc w:val="center"/>
        <w:rPr>
          <w:b/>
          <w:sz w:val="24"/>
          <w:szCs w:val="24"/>
        </w:rPr>
      </w:pPr>
    </w:p>
    <w:p w:rsidR="00A1528D" w:rsidRPr="008C1C8E" w:rsidRDefault="00A1528D" w:rsidP="00A1528D">
      <w:pPr>
        <w:jc w:val="center"/>
        <w:rPr>
          <w:b/>
          <w:sz w:val="24"/>
          <w:szCs w:val="24"/>
        </w:rPr>
      </w:pPr>
      <w:r w:rsidRPr="008C1C8E">
        <w:rPr>
          <w:b/>
          <w:sz w:val="24"/>
          <w:szCs w:val="24"/>
        </w:rPr>
        <w:t>IV dalis. SPRENDIMAS</w:t>
      </w:r>
    </w:p>
    <w:p w:rsidR="000951F3" w:rsidRDefault="000951F3" w:rsidP="000951F3">
      <w:pPr>
        <w:tabs>
          <w:tab w:val="left" w:pos="993"/>
        </w:tabs>
        <w:ind w:firstLine="567"/>
        <w:rPr>
          <w:b/>
          <w:sz w:val="24"/>
          <w:szCs w:val="24"/>
        </w:rPr>
      </w:pPr>
    </w:p>
    <w:p w:rsidR="00E93D64" w:rsidRDefault="000951F3" w:rsidP="009F12AE">
      <w:pPr>
        <w:tabs>
          <w:tab w:val="left" w:pos="993"/>
        </w:tabs>
        <w:ind w:firstLine="567"/>
        <w:jc w:val="both"/>
        <w:rPr>
          <w:bCs/>
          <w:sz w:val="24"/>
          <w:szCs w:val="24"/>
        </w:rPr>
      </w:pPr>
      <w:r>
        <w:rPr>
          <w:bCs/>
          <w:sz w:val="24"/>
          <w:szCs w:val="24"/>
        </w:rPr>
        <w:t>Atsižvelg</w:t>
      </w:r>
      <w:r w:rsidR="00651157">
        <w:rPr>
          <w:bCs/>
          <w:sz w:val="24"/>
          <w:szCs w:val="24"/>
        </w:rPr>
        <w:t xml:space="preserve">dama į </w:t>
      </w:r>
      <w:r w:rsidR="0047570C">
        <w:rPr>
          <w:bCs/>
          <w:sz w:val="24"/>
          <w:szCs w:val="24"/>
        </w:rPr>
        <w:t xml:space="preserve">vertinimo išvados </w:t>
      </w:r>
      <w:r w:rsidR="00E93D64">
        <w:rPr>
          <w:bCs/>
          <w:sz w:val="24"/>
          <w:szCs w:val="24"/>
        </w:rPr>
        <w:t xml:space="preserve">II dalyje nustatytus pažeidimus, Tarnyba rekomenduoja </w:t>
      </w:r>
      <w:r w:rsidR="00651157">
        <w:rPr>
          <w:bCs/>
          <w:sz w:val="24"/>
          <w:szCs w:val="24"/>
        </w:rPr>
        <w:t xml:space="preserve">Pirkimo </w:t>
      </w:r>
      <w:r w:rsidR="00E93D64">
        <w:rPr>
          <w:bCs/>
          <w:sz w:val="24"/>
          <w:szCs w:val="24"/>
        </w:rPr>
        <w:t>Sutarties 2.3 punkte įtvirtintą nuostatą dėl kainos perskaičiavimo, esant maisto gaminimo išlaidų pasikeitimui, panaikinti.</w:t>
      </w:r>
    </w:p>
    <w:p w:rsidR="00E93D64" w:rsidRDefault="00E93D64" w:rsidP="00E93D64">
      <w:pPr>
        <w:tabs>
          <w:tab w:val="left" w:pos="993"/>
        </w:tabs>
        <w:ind w:firstLine="567"/>
        <w:jc w:val="both"/>
        <w:rPr>
          <w:bCs/>
          <w:sz w:val="24"/>
          <w:szCs w:val="24"/>
        </w:rPr>
      </w:pPr>
      <w:r>
        <w:rPr>
          <w:bCs/>
          <w:sz w:val="24"/>
          <w:szCs w:val="24"/>
        </w:rPr>
        <w:t>Tarnyba prašo ne vėliau kaip per 10 darbo dienų Perkančiosios organizacijos raštu informuoti Tarnybą apie priimtus sprendimus.</w:t>
      </w:r>
    </w:p>
    <w:p w:rsidR="000951F3" w:rsidRPr="009F12AE" w:rsidRDefault="000951F3" w:rsidP="009F12AE">
      <w:pPr>
        <w:tabs>
          <w:tab w:val="left" w:pos="993"/>
        </w:tabs>
        <w:ind w:firstLine="567"/>
        <w:jc w:val="both"/>
        <w:rPr>
          <w:bCs/>
          <w:sz w:val="24"/>
          <w:szCs w:val="24"/>
        </w:rPr>
      </w:pPr>
      <w:r>
        <w:rPr>
          <w:bCs/>
          <w:sz w:val="24"/>
          <w:szCs w:val="24"/>
        </w:rPr>
        <w:t>Vadovaujantis Lietuvos Respublikos administracinių bylų teisenos įstatymo 5 ir 17 straipsniais, nesutikę su Tarnybos išvada, Jūs galite ją apskųsti teismui šio įstatymo nustatyta tvarka.</w:t>
      </w:r>
    </w:p>
    <w:p w:rsidR="00A1528D" w:rsidRPr="008C1C8E" w:rsidRDefault="00A1528D" w:rsidP="00A1528D">
      <w:pPr>
        <w:jc w:val="both"/>
        <w:rPr>
          <w:sz w:val="24"/>
          <w:szCs w:val="24"/>
        </w:rPr>
      </w:pPr>
    </w:p>
    <w:p w:rsidR="0088148E" w:rsidRPr="0088148E" w:rsidRDefault="0088148E" w:rsidP="0088148E">
      <w:pPr>
        <w:jc w:val="both"/>
        <w:rPr>
          <w:rFonts w:eastAsia="Calibri"/>
          <w:sz w:val="24"/>
          <w:szCs w:val="24"/>
        </w:rPr>
      </w:pPr>
    </w:p>
    <w:p w:rsidR="00D166A1" w:rsidRDefault="00D166A1" w:rsidP="0088148E">
      <w:pPr>
        <w:jc w:val="both"/>
        <w:rPr>
          <w:rFonts w:eastAsia="Calibri"/>
          <w:sz w:val="24"/>
          <w:szCs w:val="24"/>
        </w:rPr>
      </w:pPr>
    </w:p>
    <w:p w:rsidR="00D166A1" w:rsidRDefault="00D166A1" w:rsidP="0088148E">
      <w:pPr>
        <w:jc w:val="both"/>
        <w:rPr>
          <w:rFonts w:eastAsia="Calibri"/>
          <w:sz w:val="24"/>
          <w:szCs w:val="24"/>
        </w:rPr>
      </w:pPr>
    </w:p>
    <w:p w:rsidR="0088148E" w:rsidRPr="0088148E" w:rsidRDefault="00915BF5" w:rsidP="0088148E">
      <w:pPr>
        <w:jc w:val="both"/>
        <w:rPr>
          <w:rFonts w:eastAsia="Calibri"/>
          <w:sz w:val="24"/>
          <w:szCs w:val="24"/>
        </w:rPr>
      </w:pPr>
      <w:r w:rsidRPr="0088148E">
        <w:rPr>
          <w:rFonts w:eastAsia="Calibri"/>
          <w:sz w:val="24"/>
          <w:szCs w:val="24"/>
        </w:rPr>
        <w:t>Direktorė</w:t>
      </w:r>
    </w:p>
    <w:tbl>
      <w:tblPr>
        <w:tblW w:w="0" w:type="auto"/>
        <w:tblLook w:val="04A0" w:firstRow="1" w:lastRow="0" w:firstColumn="1" w:lastColumn="0" w:noHBand="0" w:noVBand="1"/>
      </w:tblPr>
      <w:tblGrid>
        <w:gridCol w:w="4812"/>
        <w:gridCol w:w="4827"/>
      </w:tblGrid>
      <w:tr w:rsidR="0088148E" w:rsidRPr="0088148E" w:rsidTr="00F255C4">
        <w:tc>
          <w:tcPr>
            <w:tcW w:w="4927" w:type="dxa"/>
            <w:shd w:val="clear" w:color="auto" w:fill="auto"/>
          </w:tcPr>
          <w:p w:rsidR="0088148E" w:rsidRPr="0088148E" w:rsidRDefault="0088148E" w:rsidP="0088148E">
            <w:pPr>
              <w:rPr>
                <w:rFonts w:eastAsia="Calibri"/>
                <w:b/>
                <w:sz w:val="24"/>
                <w:szCs w:val="24"/>
              </w:rPr>
            </w:pPr>
          </w:p>
        </w:tc>
        <w:tc>
          <w:tcPr>
            <w:tcW w:w="4927" w:type="dxa"/>
            <w:shd w:val="clear" w:color="auto" w:fill="auto"/>
          </w:tcPr>
          <w:p w:rsidR="0088148E" w:rsidRPr="0088148E" w:rsidRDefault="0088148E" w:rsidP="0088148E">
            <w:pPr>
              <w:spacing w:line="360" w:lineRule="auto"/>
              <w:jc w:val="right"/>
              <w:rPr>
                <w:rFonts w:eastAsia="Calibri"/>
                <w:b/>
                <w:sz w:val="24"/>
                <w:szCs w:val="24"/>
              </w:rPr>
            </w:pPr>
            <w:r w:rsidRPr="0088148E">
              <w:rPr>
                <w:rFonts w:eastAsia="Calibri"/>
                <w:sz w:val="24"/>
                <w:szCs w:val="24"/>
              </w:rPr>
              <w:t>Diana Vilytė</w:t>
            </w:r>
          </w:p>
        </w:tc>
      </w:tr>
    </w:tbl>
    <w:p w:rsidR="00915BF5" w:rsidRDefault="00915BF5" w:rsidP="00EA34AA">
      <w:pPr>
        <w:tabs>
          <w:tab w:val="left" w:pos="900"/>
        </w:tabs>
        <w:rPr>
          <w:sz w:val="24"/>
          <w:szCs w:val="24"/>
        </w:rPr>
      </w:pPr>
    </w:p>
    <w:p w:rsidR="00915BF5" w:rsidRDefault="00915BF5"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D166A1" w:rsidRDefault="00D166A1" w:rsidP="00EA34AA">
      <w:pPr>
        <w:tabs>
          <w:tab w:val="left" w:pos="900"/>
        </w:tabs>
        <w:rPr>
          <w:sz w:val="24"/>
          <w:szCs w:val="24"/>
        </w:rPr>
      </w:pPr>
    </w:p>
    <w:p w:rsidR="000D0FB3" w:rsidRPr="008B661B" w:rsidRDefault="000D0FB3" w:rsidP="00EA34AA">
      <w:pPr>
        <w:tabs>
          <w:tab w:val="left" w:pos="900"/>
        </w:tabs>
        <w:rPr>
          <w:sz w:val="24"/>
          <w:szCs w:val="24"/>
        </w:rPr>
      </w:pPr>
      <w:r>
        <w:rPr>
          <w:sz w:val="24"/>
          <w:szCs w:val="24"/>
        </w:rPr>
        <w:t>Audronė Šatūnienė</w:t>
      </w:r>
      <w:r w:rsidRPr="008B661B">
        <w:rPr>
          <w:sz w:val="24"/>
          <w:szCs w:val="24"/>
        </w:rPr>
        <w:t>, tel. (8 5) 219 70</w:t>
      </w:r>
      <w:r>
        <w:rPr>
          <w:sz w:val="24"/>
          <w:szCs w:val="24"/>
        </w:rPr>
        <w:t>18</w:t>
      </w:r>
      <w:r w:rsidRPr="008B661B">
        <w:rPr>
          <w:sz w:val="24"/>
          <w:szCs w:val="24"/>
        </w:rPr>
        <w:t xml:space="preserve">, faks. (8 5) 213 6213, el. p. </w:t>
      </w:r>
      <w:r>
        <w:rPr>
          <w:sz w:val="24"/>
          <w:szCs w:val="24"/>
        </w:rPr>
        <w:t>Audrone.Satuniene</w:t>
      </w:r>
      <w:r w:rsidRPr="008B661B">
        <w:rPr>
          <w:sz w:val="24"/>
          <w:szCs w:val="24"/>
        </w:rPr>
        <w:t>@vpt.lt</w:t>
      </w:r>
    </w:p>
    <w:sectPr w:rsidR="000D0FB3" w:rsidRPr="008B661B" w:rsidSect="001C573C">
      <w:headerReference w:type="even" r:id="rId11"/>
      <w:headerReference w:type="default" r:id="rId12"/>
      <w:footerReference w:type="default" r:id="rId13"/>
      <w:footerReference w:type="first" r:id="rId14"/>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AA4" w:rsidRDefault="00A36AA4">
      <w:r>
        <w:separator/>
      </w:r>
    </w:p>
  </w:endnote>
  <w:endnote w:type="continuationSeparator" w:id="0">
    <w:p w:rsidR="00A36AA4" w:rsidRDefault="00A3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DA8" w:rsidRDefault="00AB2DA8">
    <w:pPr>
      <w:pStyle w:val="Porat"/>
    </w:pPr>
  </w:p>
  <w:p w:rsidR="00AB2DA8" w:rsidRDefault="00AB2DA8">
    <w:pPr>
      <w:pStyle w:val="Porat"/>
    </w:pPr>
  </w:p>
  <w:p w:rsidR="00AB2DA8" w:rsidRDefault="00AB2DA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DA8" w:rsidRPr="00BB2F72" w:rsidRDefault="00AB2DA8" w:rsidP="00D04BBF">
    <w:pPr>
      <w:pBdr>
        <w:top w:val="single" w:sz="4" w:space="1" w:color="auto"/>
      </w:pBdr>
      <w:rPr>
        <w:sz w:val="18"/>
      </w:rPr>
    </w:pPr>
    <w:r>
      <w:rPr>
        <w:noProof/>
        <w:lang w:eastAsia="lt-LT"/>
      </w:rPr>
      <w:drawing>
        <wp:anchor distT="0" distB="0" distL="114300" distR="114300" simplePos="0" relativeHeight="251659264" behindDoc="0" locked="0" layoutInCell="1" allowOverlap="1" wp14:anchorId="118B35FD" wp14:editId="24A2E3B5">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AB2DA8" w:rsidRPr="00BB2F72" w:rsidRDefault="00AB2DA8" w:rsidP="00D04BBF">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rsidR="00AB2DA8" w:rsidRPr="00BB2F72" w:rsidRDefault="00AB2DA8" w:rsidP="00D04BBF">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rsidR="00AB2DA8" w:rsidRPr="008F10BE" w:rsidRDefault="00AB2DA8"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AA4" w:rsidRDefault="00A36AA4">
      <w:r>
        <w:separator/>
      </w:r>
    </w:p>
  </w:footnote>
  <w:footnote w:type="continuationSeparator" w:id="0">
    <w:p w:rsidR="00A36AA4" w:rsidRDefault="00A36AA4">
      <w:r>
        <w:continuationSeparator/>
      </w:r>
    </w:p>
  </w:footnote>
  <w:footnote w:id="1">
    <w:p w:rsidR="00AB2DA8" w:rsidRDefault="00AB2DA8" w:rsidP="00630F61">
      <w:pPr>
        <w:pStyle w:val="Puslapioinaostekstas"/>
        <w:jc w:val="both"/>
      </w:pPr>
      <w:r>
        <w:rPr>
          <w:rStyle w:val="Puslapioinaosnuoroda"/>
        </w:rPr>
        <w:footnoteRef/>
      </w:r>
      <w:r>
        <w:t xml:space="preserve"> </w:t>
      </w:r>
      <w:r w:rsidR="00285111">
        <w:t>Perkančioji organizacija užtikrina, kad vykdant pirkimą būtų laikomasi lygiateisiškumo, nediskriminavimo, abipusio pripažinimo, proporcingumo, skaidrumo principų.</w:t>
      </w:r>
    </w:p>
  </w:footnote>
  <w:footnote w:id="2">
    <w:p w:rsidR="00285111" w:rsidRDefault="00285111" w:rsidP="00630F61">
      <w:pPr>
        <w:pStyle w:val="Puslapioinaostekstas"/>
        <w:jc w:val="both"/>
      </w:pPr>
      <w:r>
        <w:rPr>
          <w:rStyle w:val="Puslapioinaosnuoroda"/>
        </w:rPr>
        <w:footnoteRef/>
      </w:r>
      <w:r>
        <w:t xml:space="preserve"> </w:t>
      </w:r>
      <w:r w:rsidR="00AE1021">
        <w:t xml:space="preserve">Pirkimo sutartyje, kai ji sudaroma raštu, turi būti nustatyta: &lt;...&gt; 3) </w:t>
      </w:r>
      <w:r>
        <w:t>Kainodaros taisyklės nustatytos pagal Viešųjų pirkimų tarnybos patvirtintą metodiką</w:t>
      </w:r>
      <w:r w:rsidR="00AE1021">
        <w:t>.</w:t>
      </w:r>
    </w:p>
  </w:footnote>
  <w:footnote w:id="3">
    <w:p w:rsidR="00651157" w:rsidRDefault="00651157" w:rsidP="00651157">
      <w:pPr>
        <w:pStyle w:val="Puslapioinaostekstas"/>
      </w:pPr>
      <w:r>
        <w:rPr>
          <w:rStyle w:val="Puslapioinaosnuoroda"/>
        </w:rPr>
        <w:footnoteRef/>
      </w:r>
      <w:r>
        <w:t xml:space="preserve"> Pirkimo pagrindu sudaryta 2018-02-02 tarp VšĮ „Mažeikų ligoninė“ ir VšĮ „Kretingos maistas“ „Pacientų dietinio maitinimo paslaugų pirkimo sutartis“ Nr. 919 </w:t>
      </w:r>
    </w:p>
  </w:footnote>
  <w:footnote w:id="4">
    <w:p w:rsidR="00285111" w:rsidRDefault="00285111" w:rsidP="00630F61">
      <w:pPr>
        <w:pStyle w:val="Puslapioinaostekstas"/>
        <w:jc w:val="both"/>
      </w:pPr>
      <w:r>
        <w:rPr>
          <w:rStyle w:val="Puslapioinaosnuoroda"/>
        </w:rPr>
        <w:footnoteRef/>
      </w:r>
      <w:r>
        <w:t xml:space="preserve"> Taikant peržiūrą: sutarties kainos perskaičiavimo formulę; pavyzdžiui, perskaičiavimo formulė gali būti nurodyta ne tik visai kainai ar įkainiui, bet ir jų sudedamosioms dalims, tačiau tokiu atveju svarbu, kad pirkimo vykdytojas pirkimo dokumentuose (rengiant pasiūlymo formą, į kurią tiekėjai surašo siūlomas kainas ar įkainius ir pan.) reikalautų tiekėjų nurodyti tokią informaciją, kuri jam perskaičiuojant kainos ar įkainio sudedamąsias dalis leistų turėti aiškias jų reikšmes ir nustatyti jų svarbumą galutinei įkainiui ar kainai.</w:t>
      </w:r>
    </w:p>
  </w:footnote>
  <w:footnote w:id="5">
    <w:p w:rsidR="00297E39" w:rsidRDefault="00297E39" w:rsidP="00630F61">
      <w:pPr>
        <w:pStyle w:val="Puslapioinaostekstas"/>
        <w:jc w:val="both"/>
      </w:pPr>
      <w:r>
        <w:rPr>
          <w:rStyle w:val="Puslapioinaosnuoroda"/>
        </w:rPr>
        <w:footnoteRef/>
      </w:r>
      <w:r>
        <w:t xml:space="preserve"> </w:t>
      </w:r>
      <w:r w:rsidR="005D2DF8">
        <w:t>Perkančioji organizacija laimėjusio dalyvio pasiūlymą, sudarytą pirkimo sutartį, preliminarią sutartį ir šių sutarčių pakeitimus, išskyrus informaciją, kurios atskleidimas prieštarautų informacijos duomenų apsaugą reguliuojantiems teisės aktams arba visuomenės interesams,&lt;...&gt;</w:t>
      </w:r>
      <w:r w:rsidR="00630F61">
        <w:t xml:space="preserve">ne vėliau kaip per 15 dienų nuo pirkimo sutarties ar preliminariosios sutarties sudarymo ar jų pakeitimo, bet ne vėliau kaip iki pirmojo mokėjimo pradžios Viešųjų pirkimų tvarka turi paskelbti Centrinėje viešųjų pirkimų informacinėje sistemoje&lt;...&gt; </w:t>
      </w:r>
    </w:p>
  </w:footnote>
  <w:footnote w:id="6">
    <w:p w:rsidR="003C5110" w:rsidRDefault="003C5110" w:rsidP="003C5110">
      <w:pPr>
        <w:pStyle w:val="Puslapioinaostekstas"/>
        <w:jc w:val="both"/>
      </w:pPr>
      <w:r>
        <w:rPr>
          <w:rStyle w:val="Puslapioinaosnuoroda"/>
        </w:rPr>
        <w:footnoteRef/>
      </w:r>
      <w:r>
        <w:t xml:space="preserve"> Perkančioji organizacija užtikrina, kad vykdant pirkimą būtų laikomasi lygiateisiškumo, nediskriminavimo, abipusio pripažinimo, proporcingumo, skaidrumo principų.</w:t>
      </w:r>
    </w:p>
    <w:p w:rsidR="003C5110" w:rsidRDefault="003C5110">
      <w:pPr>
        <w:pStyle w:val="Puslapioinaostekstas"/>
      </w:pPr>
    </w:p>
  </w:footnote>
  <w:footnote w:id="7">
    <w:p w:rsidR="00EE426E" w:rsidRPr="00CC5747" w:rsidRDefault="00EE426E" w:rsidP="00EE426E">
      <w:pPr>
        <w:pStyle w:val="Puslapioinaostekstas"/>
        <w:jc w:val="both"/>
      </w:pPr>
      <w:r>
        <w:rPr>
          <w:rStyle w:val="Puslapioinaosnuoroda"/>
        </w:rPr>
        <w:footnoteRef/>
      </w:r>
      <w:r>
        <w:t xml:space="preserve"> Už netinkamai ir nekokybiškai atliktas paslaugas, Paslaugos tiekėjas moka Paslaugos pirkėjui 0,2</w:t>
      </w:r>
      <w:r>
        <w:rPr>
          <w:lang w:val="en-GB"/>
        </w:rPr>
        <w:t>% delspinigius nuo nealikto įsipareigojimo vertės už kiekvieną pavėluotą dieną.</w:t>
      </w:r>
    </w:p>
  </w:footnote>
  <w:footnote w:id="8">
    <w:p w:rsidR="00EE426E" w:rsidRDefault="00EE426E" w:rsidP="00EE426E">
      <w:pPr>
        <w:pStyle w:val="Puslapioinaostekstas"/>
        <w:jc w:val="both"/>
      </w:pPr>
      <w:r>
        <w:rPr>
          <w:rStyle w:val="Puslapioinaosnuoroda"/>
        </w:rPr>
        <w:footnoteRef/>
      </w:r>
      <w:r>
        <w:t xml:space="preserve"> Paslaugos teikėjui nevykdant savo sutartinių įsipareigojimų&lt; paslaugos pirkėjas turi teisę į baudas, netesybas, nuostolių atlyginimą bei teisę pasinaudoti Sutarties užtikrinimu.</w:t>
      </w:r>
    </w:p>
  </w:footnote>
  <w:footnote w:id="9">
    <w:p w:rsidR="00837E90" w:rsidRDefault="00837E90" w:rsidP="003D16A8">
      <w:pPr>
        <w:pStyle w:val="Puslapioinaostekstas"/>
        <w:jc w:val="both"/>
      </w:pPr>
      <w:r>
        <w:rPr>
          <w:rStyle w:val="Puslapioinaosnuoroda"/>
        </w:rPr>
        <w:footnoteRef/>
      </w:r>
      <w:r>
        <w:t xml:space="preserve"> </w:t>
      </w:r>
      <w:r w:rsidR="003D16A8" w:rsidRPr="003D16A8">
        <w:t>2018-07-23</w:t>
      </w:r>
      <w:r w:rsidR="003D16A8">
        <w:t xml:space="preserve"> VšĮ „Mažeikių ligoninės“ raštas </w:t>
      </w:r>
      <w:r w:rsidR="00AD37F3">
        <w:t xml:space="preserve">Nr. V2-409 </w:t>
      </w:r>
      <w:r w:rsidR="003D16A8">
        <w:t>„Dėl papildomos informacijos, susijusios su Pirkimu Nr.360887 pateikimo“</w:t>
      </w:r>
      <w:r w:rsidR="00AD37F3">
        <w:t>.</w:t>
      </w:r>
      <w:r w:rsidR="003D16A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DA8" w:rsidRDefault="00AB2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B2DA8" w:rsidRDefault="00AB2DA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DA8" w:rsidRDefault="00AB2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009C">
      <w:rPr>
        <w:rStyle w:val="Puslapionumeris"/>
        <w:noProof/>
      </w:rPr>
      <w:t>4</w:t>
    </w:r>
    <w:r>
      <w:rPr>
        <w:rStyle w:val="Puslapionumeris"/>
      </w:rPr>
      <w:fldChar w:fldCharType="end"/>
    </w:r>
  </w:p>
  <w:p w:rsidR="00AB2DA8" w:rsidRDefault="00AB2D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6406B"/>
    <w:multiLevelType w:val="hybridMultilevel"/>
    <w:tmpl w:val="CE4E07A2"/>
    <w:lvl w:ilvl="0" w:tplc="7E1EC18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672D56"/>
    <w:multiLevelType w:val="hybridMultilevel"/>
    <w:tmpl w:val="2E7E16FE"/>
    <w:lvl w:ilvl="0" w:tplc="C938F394">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7400FA"/>
    <w:multiLevelType w:val="hybridMultilevel"/>
    <w:tmpl w:val="5CA23940"/>
    <w:lvl w:ilvl="0" w:tplc="611CCF7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B925D24"/>
    <w:multiLevelType w:val="hybridMultilevel"/>
    <w:tmpl w:val="60CC0DE0"/>
    <w:lvl w:ilvl="0" w:tplc="A7A2753E">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7"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9"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9718D6"/>
    <w:multiLevelType w:val="multilevel"/>
    <w:tmpl w:val="83E0BA7A"/>
    <w:lvl w:ilvl="0">
      <w:start w:val="1"/>
      <w:numFmt w:val="decimal"/>
      <w:lvlText w:val="%1."/>
      <w:lvlJc w:val="left"/>
      <w:pPr>
        <w:ind w:left="1070"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6D9543FF"/>
    <w:multiLevelType w:val="hybridMultilevel"/>
    <w:tmpl w:val="15D0514A"/>
    <w:lvl w:ilvl="0" w:tplc="0427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D7C546B"/>
    <w:multiLevelType w:val="hybridMultilevel"/>
    <w:tmpl w:val="15D0514A"/>
    <w:lvl w:ilvl="0" w:tplc="0427000F">
      <w:start w:val="1"/>
      <w:numFmt w:val="decimal"/>
      <w:lvlText w:val="%1."/>
      <w:lvlJc w:val="left"/>
      <w:pPr>
        <w:ind w:left="75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24"/>
  </w:num>
  <w:num w:numId="3">
    <w:abstractNumId w:val="14"/>
  </w:num>
  <w:num w:numId="4">
    <w:abstractNumId w:val="16"/>
  </w:num>
  <w:num w:numId="5">
    <w:abstractNumId w:val="8"/>
  </w:num>
  <w:num w:numId="6">
    <w:abstractNumId w:val="6"/>
  </w:num>
  <w:num w:numId="7">
    <w:abstractNumId w:val="15"/>
  </w:num>
  <w:num w:numId="8">
    <w:abstractNumId w:val="23"/>
  </w:num>
  <w:num w:numId="9">
    <w:abstractNumId w:val="17"/>
  </w:num>
  <w:num w:numId="10">
    <w:abstractNumId w:val="27"/>
  </w:num>
  <w:num w:numId="11">
    <w:abstractNumId w:val="10"/>
  </w:num>
  <w:num w:numId="12">
    <w:abstractNumId w:val="19"/>
  </w:num>
  <w:num w:numId="13">
    <w:abstractNumId w:val="13"/>
  </w:num>
  <w:num w:numId="14">
    <w:abstractNumId w:val="2"/>
  </w:num>
  <w:num w:numId="15">
    <w:abstractNumId w:val="26"/>
  </w:num>
  <w:num w:numId="16">
    <w:abstractNumId w:val="3"/>
  </w:num>
  <w:num w:numId="17">
    <w:abstractNumId w:val="18"/>
  </w:num>
  <w:num w:numId="18">
    <w:abstractNumId w:val="22"/>
  </w:num>
  <w:num w:numId="19">
    <w:abstractNumId w:val="1"/>
  </w:num>
  <w:num w:numId="20">
    <w:abstractNumId w:val="0"/>
  </w:num>
  <w:num w:numId="21">
    <w:abstractNumId w:val="5"/>
  </w:num>
  <w:num w:numId="22">
    <w:abstractNumId w:val="21"/>
  </w:num>
  <w:num w:numId="23">
    <w:abstractNumId w:val="25"/>
  </w:num>
  <w:num w:numId="24">
    <w:abstractNumId w:val="20"/>
  </w:num>
  <w:num w:numId="25">
    <w:abstractNumId w:val="11"/>
  </w:num>
  <w:num w:numId="26">
    <w:abstractNumId w:val="4"/>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5373"/>
    <w:rsid w:val="00007372"/>
    <w:rsid w:val="000100CE"/>
    <w:rsid w:val="00012A03"/>
    <w:rsid w:val="00012ADC"/>
    <w:rsid w:val="00012CF3"/>
    <w:rsid w:val="0001466A"/>
    <w:rsid w:val="00021053"/>
    <w:rsid w:val="000220AE"/>
    <w:rsid w:val="00023B43"/>
    <w:rsid w:val="00032628"/>
    <w:rsid w:val="000327A3"/>
    <w:rsid w:val="00033A32"/>
    <w:rsid w:val="00033CC7"/>
    <w:rsid w:val="00035EB7"/>
    <w:rsid w:val="00036B71"/>
    <w:rsid w:val="0004130A"/>
    <w:rsid w:val="00044AFE"/>
    <w:rsid w:val="000506A7"/>
    <w:rsid w:val="00052C07"/>
    <w:rsid w:val="00063476"/>
    <w:rsid w:val="0006795B"/>
    <w:rsid w:val="00071704"/>
    <w:rsid w:val="000717C1"/>
    <w:rsid w:val="00072251"/>
    <w:rsid w:val="00073D46"/>
    <w:rsid w:val="0008682A"/>
    <w:rsid w:val="00087CE3"/>
    <w:rsid w:val="00092283"/>
    <w:rsid w:val="0009375D"/>
    <w:rsid w:val="000951F3"/>
    <w:rsid w:val="00097A68"/>
    <w:rsid w:val="00097F19"/>
    <w:rsid w:val="000A1C7A"/>
    <w:rsid w:val="000A303C"/>
    <w:rsid w:val="000A449F"/>
    <w:rsid w:val="000A4E9C"/>
    <w:rsid w:val="000A5052"/>
    <w:rsid w:val="000B16A4"/>
    <w:rsid w:val="000B32CC"/>
    <w:rsid w:val="000B6318"/>
    <w:rsid w:val="000B6B7A"/>
    <w:rsid w:val="000B711A"/>
    <w:rsid w:val="000C1BD8"/>
    <w:rsid w:val="000C1C29"/>
    <w:rsid w:val="000C7CB3"/>
    <w:rsid w:val="000D0FB3"/>
    <w:rsid w:val="000D197A"/>
    <w:rsid w:val="000E0F48"/>
    <w:rsid w:val="000E5D45"/>
    <w:rsid w:val="000F219F"/>
    <w:rsid w:val="000F259D"/>
    <w:rsid w:val="000F3A51"/>
    <w:rsid w:val="000F71FC"/>
    <w:rsid w:val="00103DFB"/>
    <w:rsid w:val="0011054C"/>
    <w:rsid w:val="00117AAD"/>
    <w:rsid w:val="00120629"/>
    <w:rsid w:val="00124DA9"/>
    <w:rsid w:val="001300B8"/>
    <w:rsid w:val="001316D9"/>
    <w:rsid w:val="00135799"/>
    <w:rsid w:val="0013788E"/>
    <w:rsid w:val="00141409"/>
    <w:rsid w:val="001444D6"/>
    <w:rsid w:val="001530D4"/>
    <w:rsid w:val="00153D28"/>
    <w:rsid w:val="00166628"/>
    <w:rsid w:val="0017077F"/>
    <w:rsid w:val="001709FB"/>
    <w:rsid w:val="00174911"/>
    <w:rsid w:val="00175CAB"/>
    <w:rsid w:val="00182F1B"/>
    <w:rsid w:val="00193F9C"/>
    <w:rsid w:val="001947C6"/>
    <w:rsid w:val="001962D7"/>
    <w:rsid w:val="001A02BA"/>
    <w:rsid w:val="001A1436"/>
    <w:rsid w:val="001A2A3C"/>
    <w:rsid w:val="001A334E"/>
    <w:rsid w:val="001A368C"/>
    <w:rsid w:val="001A4C8B"/>
    <w:rsid w:val="001B762A"/>
    <w:rsid w:val="001C3E95"/>
    <w:rsid w:val="001C4AEA"/>
    <w:rsid w:val="001C573C"/>
    <w:rsid w:val="001C64A9"/>
    <w:rsid w:val="001D5209"/>
    <w:rsid w:val="001E268A"/>
    <w:rsid w:val="001E4D19"/>
    <w:rsid w:val="001F2F54"/>
    <w:rsid w:val="001F556E"/>
    <w:rsid w:val="002011C3"/>
    <w:rsid w:val="0020247F"/>
    <w:rsid w:val="00202C42"/>
    <w:rsid w:val="00223E47"/>
    <w:rsid w:val="00225780"/>
    <w:rsid w:val="00234FC6"/>
    <w:rsid w:val="00236A08"/>
    <w:rsid w:val="00244987"/>
    <w:rsid w:val="0024531A"/>
    <w:rsid w:val="00246C3A"/>
    <w:rsid w:val="002539B1"/>
    <w:rsid w:val="00255CC8"/>
    <w:rsid w:val="002563D1"/>
    <w:rsid w:val="00256CEF"/>
    <w:rsid w:val="002571B3"/>
    <w:rsid w:val="00257CC8"/>
    <w:rsid w:val="00264928"/>
    <w:rsid w:val="00282A9C"/>
    <w:rsid w:val="002836BA"/>
    <w:rsid w:val="00285111"/>
    <w:rsid w:val="002859C8"/>
    <w:rsid w:val="00287365"/>
    <w:rsid w:val="002878B6"/>
    <w:rsid w:val="00297410"/>
    <w:rsid w:val="00297E39"/>
    <w:rsid w:val="002A06B0"/>
    <w:rsid w:val="002A50CA"/>
    <w:rsid w:val="002B0D9C"/>
    <w:rsid w:val="002B52E1"/>
    <w:rsid w:val="002B5FFD"/>
    <w:rsid w:val="002B6A22"/>
    <w:rsid w:val="002C4A68"/>
    <w:rsid w:val="002D1F71"/>
    <w:rsid w:val="002D2221"/>
    <w:rsid w:val="002D5292"/>
    <w:rsid w:val="002D56FB"/>
    <w:rsid w:val="002D5A37"/>
    <w:rsid w:val="002E3F97"/>
    <w:rsid w:val="002F2B58"/>
    <w:rsid w:val="002F566D"/>
    <w:rsid w:val="002F6A88"/>
    <w:rsid w:val="00300CAD"/>
    <w:rsid w:val="00313FC6"/>
    <w:rsid w:val="003146FA"/>
    <w:rsid w:val="00323923"/>
    <w:rsid w:val="00324BDB"/>
    <w:rsid w:val="003406A1"/>
    <w:rsid w:val="0034260F"/>
    <w:rsid w:val="003435A1"/>
    <w:rsid w:val="0034430C"/>
    <w:rsid w:val="0034536A"/>
    <w:rsid w:val="003507C5"/>
    <w:rsid w:val="00351E8D"/>
    <w:rsid w:val="0035640A"/>
    <w:rsid w:val="00356A47"/>
    <w:rsid w:val="00357A1F"/>
    <w:rsid w:val="003633EE"/>
    <w:rsid w:val="00363575"/>
    <w:rsid w:val="00364784"/>
    <w:rsid w:val="00366A1E"/>
    <w:rsid w:val="00383E99"/>
    <w:rsid w:val="00394BAF"/>
    <w:rsid w:val="00396B0F"/>
    <w:rsid w:val="003A01FB"/>
    <w:rsid w:val="003A4571"/>
    <w:rsid w:val="003B006E"/>
    <w:rsid w:val="003B1CB8"/>
    <w:rsid w:val="003B2CB4"/>
    <w:rsid w:val="003B3873"/>
    <w:rsid w:val="003B61F5"/>
    <w:rsid w:val="003B6F14"/>
    <w:rsid w:val="003C4F5A"/>
    <w:rsid w:val="003C5110"/>
    <w:rsid w:val="003D16A8"/>
    <w:rsid w:val="003D3D13"/>
    <w:rsid w:val="003D4521"/>
    <w:rsid w:val="003D5878"/>
    <w:rsid w:val="003F2AFD"/>
    <w:rsid w:val="003F5351"/>
    <w:rsid w:val="003F5F04"/>
    <w:rsid w:val="003F6798"/>
    <w:rsid w:val="003F7ECB"/>
    <w:rsid w:val="00400419"/>
    <w:rsid w:val="00403221"/>
    <w:rsid w:val="00407574"/>
    <w:rsid w:val="00412169"/>
    <w:rsid w:val="00413ACA"/>
    <w:rsid w:val="0041421A"/>
    <w:rsid w:val="004172A1"/>
    <w:rsid w:val="004204F6"/>
    <w:rsid w:val="004306E5"/>
    <w:rsid w:val="00433CCA"/>
    <w:rsid w:val="0043638A"/>
    <w:rsid w:val="004434D2"/>
    <w:rsid w:val="0044729E"/>
    <w:rsid w:val="0045154A"/>
    <w:rsid w:val="00454D65"/>
    <w:rsid w:val="004567A8"/>
    <w:rsid w:val="00462A10"/>
    <w:rsid w:val="00462D1D"/>
    <w:rsid w:val="004653D9"/>
    <w:rsid w:val="004726CF"/>
    <w:rsid w:val="0047570C"/>
    <w:rsid w:val="00475E85"/>
    <w:rsid w:val="004807C7"/>
    <w:rsid w:val="0048148B"/>
    <w:rsid w:val="00486E35"/>
    <w:rsid w:val="00491154"/>
    <w:rsid w:val="00493E4F"/>
    <w:rsid w:val="004A2BDD"/>
    <w:rsid w:val="004A32E9"/>
    <w:rsid w:val="004A37DB"/>
    <w:rsid w:val="004A6E8F"/>
    <w:rsid w:val="004A72CA"/>
    <w:rsid w:val="004A78DE"/>
    <w:rsid w:val="004C39B1"/>
    <w:rsid w:val="004C44D9"/>
    <w:rsid w:val="004D03A6"/>
    <w:rsid w:val="004D1BAD"/>
    <w:rsid w:val="004D2891"/>
    <w:rsid w:val="004D46F3"/>
    <w:rsid w:val="004D50DD"/>
    <w:rsid w:val="004D6A5A"/>
    <w:rsid w:val="004F2642"/>
    <w:rsid w:val="004F2FEC"/>
    <w:rsid w:val="004F6B07"/>
    <w:rsid w:val="004F733B"/>
    <w:rsid w:val="00503F87"/>
    <w:rsid w:val="00510C55"/>
    <w:rsid w:val="00510D7D"/>
    <w:rsid w:val="00514B13"/>
    <w:rsid w:val="00516788"/>
    <w:rsid w:val="00523B45"/>
    <w:rsid w:val="00532610"/>
    <w:rsid w:val="0053501A"/>
    <w:rsid w:val="00541630"/>
    <w:rsid w:val="005428DC"/>
    <w:rsid w:val="00542FAC"/>
    <w:rsid w:val="00551482"/>
    <w:rsid w:val="00554D9B"/>
    <w:rsid w:val="00554E90"/>
    <w:rsid w:val="005700DD"/>
    <w:rsid w:val="005811EC"/>
    <w:rsid w:val="00582F9E"/>
    <w:rsid w:val="005832AB"/>
    <w:rsid w:val="00586530"/>
    <w:rsid w:val="005872B5"/>
    <w:rsid w:val="00597D0F"/>
    <w:rsid w:val="005A1DFA"/>
    <w:rsid w:val="005A3C6F"/>
    <w:rsid w:val="005B0F81"/>
    <w:rsid w:val="005B1FEC"/>
    <w:rsid w:val="005B6914"/>
    <w:rsid w:val="005B6FCB"/>
    <w:rsid w:val="005C07E0"/>
    <w:rsid w:val="005C31BC"/>
    <w:rsid w:val="005C4A0B"/>
    <w:rsid w:val="005C6AF9"/>
    <w:rsid w:val="005D22B9"/>
    <w:rsid w:val="005D2DF8"/>
    <w:rsid w:val="005D3300"/>
    <w:rsid w:val="005D714F"/>
    <w:rsid w:val="005E61D1"/>
    <w:rsid w:val="005E7486"/>
    <w:rsid w:val="005F3063"/>
    <w:rsid w:val="005F580D"/>
    <w:rsid w:val="005F5F70"/>
    <w:rsid w:val="00601D8F"/>
    <w:rsid w:val="006020F8"/>
    <w:rsid w:val="00604645"/>
    <w:rsid w:val="0060688B"/>
    <w:rsid w:val="006105C7"/>
    <w:rsid w:val="006130F2"/>
    <w:rsid w:val="00617673"/>
    <w:rsid w:val="006216A1"/>
    <w:rsid w:val="00626943"/>
    <w:rsid w:val="00630F61"/>
    <w:rsid w:val="00633E2F"/>
    <w:rsid w:val="006358E2"/>
    <w:rsid w:val="00636C2D"/>
    <w:rsid w:val="006416BA"/>
    <w:rsid w:val="006416BB"/>
    <w:rsid w:val="00641920"/>
    <w:rsid w:val="0064768F"/>
    <w:rsid w:val="00650A6B"/>
    <w:rsid w:val="00651157"/>
    <w:rsid w:val="00653884"/>
    <w:rsid w:val="00654627"/>
    <w:rsid w:val="00654BAE"/>
    <w:rsid w:val="006579F4"/>
    <w:rsid w:val="00657DCF"/>
    <w:rsid w:val="006608AC"/>
    <w:rsid w:val="00661BA7"/>
    <w:rsid w:val="00663222"/>
    <w:rsid w:val="00664877"/>
    <w:rsid w:val="00665CE3"/>
    <w:rsid w:val="00681F41"/>
    <w:rsid w:val="00691084"/>
    <w:rsid w:val="0069169D"/>
    <w:rsid w:val="00692322"/>
    <w:rsid w:val="006935D2"/>
    <w:rsid w:val="00693D78"/>
    <w:rsid w:val="00693F43"/>
    <w:rsid w:val="00694C5D"/>
    <w:rsid w:val="00694EC5"/>
    <w:rsid w:val="0069667B"/>
    <w:rsid w:val="006A189E"/>
    <w:rsid w:val="006A58F0"/>
    <w:rsid w:val="006B0871"/>
    <w:rsid w:val="006B7199"/>
    <w:rsid w:val="006B7885"/>
    <w:rsid w:val="006B7BEB"/>
    <w:rsid w:val="006C69AD"/>
    <w:rsid w:val="006C6FDB"/>
    <w:rsid w:val="006D2C84"/>
    <w:rsid w:val="006D44EB"/>
    <w:rsid w:val="006D6F78"/>
    <w:rsid w:val="006E2104"/>
    <w:rsid w:val="006E299F"/>
    <w:rsid w:val="006E49E8"/>
    <w:rsid w:val="006F40CE"/>
    <w:rsid w:val="00700508"/>
    <w:rsid w:val="00700704"/>
    <w:rsid w:val="00702DFF"/>
    <w:rsid w:val="007039AE"/>
    <w:rsid w:val="007064C6"/>
    <w:rsid w:val="00707161"/>
    <w:rsid w:val="00710079"/>
    <w:rsid w:val="0071380F"/>
    <w:rsid w:val="007139FB"/>
    <w:rsid w:val="007142D2"/>
    <w:rsid w:val="0072074D"/>
    <w:rsid w:val="007241FC"/>
    <w:rsid w:val="007265B1"/>
    <w:rsid w:val="00727CA6"/>
    <w:rsid w:val="00733D75"/>
    <w:rsid w:val="0073429E"/>
    <w:rsid w:val="00735397"/>
    <w:rsid w:val="007400EF"/>
    <w:rsid w:val="00744E44"/>
    <w:rsid w:val="00757424"/>
    <w:rsid w:val="00760CBC"/>
    <w:rsid w:val="00765ED2"/>
    <w:rsid w:val="00782C55"/>
    <w:rsid w:val="007876D0"/>
    <w:rsid w:val="00792F77"/>
    <w:rsid w:val="00793418"/>
    <w:rsid w:val="00793677"/>
    <w:rsid w:val="007A3192"/>
    <w:rsid w:val="007A3CE6"/>
    <w:rsid w:val="007A6A13"/>
    <w:rsid w:val="007A7FEC"/>
    <w:rsid w:val="007B01B4"/>
    <w:rsid w:val="007B5C2E"/>
    <w:rsid w:val="007B7485"/>
    <w:rsid w:val="007C0534"/>
    <w:rsid w:val="007C3867"/>
    <w:rsid w:val="007C762B"/>
    <w:rsid w:val="007D0FBD"/>
    <w:rsid w:val="007D4ED7"/>
    <w:rsid w:val="007D5459"/>
    <w:rsid w:val="007E3EAF"/>
    <w:rsid w:val="007E66B0"/>
    <w:rsid w:val="007E7008"/>
    <w:rsid w:val="007F39CC"/>
    <w:rsid w:val="007F62F4"/>
    <w:rsid w:val="00801D0A"/>
    <w:rsid w:val="00806986"/>
    <w:rsid w:val="00810BEB"/>
    <w:rsid w:val="008124CA"/>
    <w:rsid w:val="00813E6B"/>
    <w:rsid w:val="00814D7C"/>
    <w:rsid w:val="008175E3"/>
    <w:rsid w:val="00832DBE"/>
    <w:rsid w:val="00835A10"/>
    <w:rsid w:val="00836174"/>
    <w:rsid w:val="00836720"/>
    <w:rsid w:val="0083695F"/>
    <w:rsid w:val="00836AAA"/>
    <w:rsid w:val="00837E90"/>
    <w:rsid w:val="00840688"/>
    <w:rsid w:val="00845929"/>
    <w:rsid w:val="008465EF"/>
    <w:rsid w:val="00846E64"/>
    <w:rsid w:val="008477DD"/>
    <w:rsid w:val="00853C52"/>
    <w:rsid w:val="00854F66"/>
    <w:rsid w:val="008602CD"/>
    <w:rsid w:val="00861C52"/>
    <w:rsid w:val="008631DC"/>
    <w:rsid w:val="00863D04"/>
    <w:rsid w:val="00864E0F"/>
    <w:rsid w:val="00867DC7"/>
    <w:rsid w:val="008743A5"/>
    <w:rsid w:val="00877384"/>
    <w:rsid w:val="00877740"/>
    <w:rsid w:val="0088148E"/>
    <w:rsid w:val="0089022E"/>
    <w:rsid w:val="00897B60"/>
    <w:rsid w:val="008A03FE"/>
    <w:rsid w:val="008A0F75"/>
    <w:rsid w:val="008A3AD7"/>
    <w:rsid w:val="008A5A7B"/>
    <w:rsid w:val="008B223F"/>
    <w:rsid w:val="008B369B"/>
    <w:rsid w:val="008B4AF6"/>
    <w:rsid w:val="008C06E5"/>
    <w:rsid w:val="008C08DC"/>
    <w:rsid w:val="008C2F12"/>
    <w:rsid w:val="008E5266"/>
    <w:rsid w:val="008E620F"/>
    <w:rsid w:val="008E6CDE"/>
    <w:rsid w:val="008E6EDF"/>
    <w:rsid w:val="008E7D4C"/>
    <w:rsid w:val="008F10BE"/>
    <w:rsid w:val="008F2919"/>
    <w:rsid w:val="008F68FF"/>
    <w:rsid w:val="00900135"/>
    <w:rsid w:val="009012E7"/>
    <w:rsid w:val="00906200"/>
    <w:rsid w:val="0090638B"/>
    <w:rsid w:val="00907C82"/>
    <w:rsid w:val="00915BF5"/>
    <w:rsid w:val="00917A02"/>
    <w:rsid w:val="00924869"/>
    <w:rsid w:val="009310AB"/>
    <w:rsid w:val="00943DBD"/>
    <w:rsid w:val="00945641"/>
    <w:rsid w:val="00946648"/>
    <w:rsid w:val="00951BF7"/>
    <w:rsid w:val="00951DC3"/>
    <w:rsid w:val="0095689C"/>
    <w:rsid w:val="00956B26"/>
    <w:rsid w:val="009607FC"/>
    <w:rsid w:val="00961D2E"/>
    <w:rsid w:val="009626E8"/>
    <w:rsid w:val="00962A1E"/>
    <w:rsid w:val="00964056"/>
    <w:rsid w:val="009647F1"/>
    <w:rsid w:val="009704A9"/>
    <w:rsid w:val="00970AF5"/>
    <w:rsid w:val="0097361A"/>
    <w:rsid w:val="00980F37"/>
    <w:rsid w:val="009831BF"/>
    <w:rsid w:val="0098570E"/>
    <w:rsid w:val="00987111"/>
    <w:rsid w:val="0098735F"/>
    <w:rsid w:val="00987795"/>
    <w:rsid w:val="00987F7F"/>
    <w:rsid w:val="00990937"/>
    <w:rsid w:val="0099427E"/>
    <w:rsid w:val="00995603"/>
    <w:rsid w:val="00995D7D"/>
    <w:rsid w:val="009A7CC2"/>
    <w:rsid w:val="009B0E76"/>
    <w:rsid w:val="009B4276"/>
    <w:rsid w:val="009B709B"/>
    <w:rsid w:val="009C217A"/>
    <w:rsid w:val="009D3EC8"/>
    <w:rsid w:val="009F12AE"/>
    <w:rsid w:val="009F1576"/>
    <w:rsid w:val="009F2561"/>
    <w:rsid w:val="009F6CB9"/>
    <w:rsid w:val="00A06D15"/>
    <w:rsid w:val="00A07134"/>
    <w:rsid w:val="00A07FB5"/>
    <w:rsid w:val="00A10430"/>
    <w:rsid w:val="00A1528D"/>
    <w:rsid w:val="00A15ECC"/>
    <w:rsid w:val="00A24D9A"/>
    <w:rsid w:val="00A2577E"/>
    <w:rsid w:val="00A259B6"/>
    <w:rsid w:val="00A261BE"/>
    <w:rsid w:val="00A26FAE"/>
    <w:rsid w:val="00A36AA4"/>
    <w:rsid w:val="00A4030A"/>
    <w:rsid w:val="00A41F79"/>
    <w:rsid w:val="00A42E43"/>
    <w:rsid w:val="00A43254"/>
    <w:rsid w:val="00A4740E"/>
    <w:rsid w:val="00A5133D"/>
    <w:rsid w:val="00A630A8"/>
    <w:rsid w:val="00A64547"/>
    <w:rsid w:val="00A657F7"/>
    <w:rsid w:val="00A73A36"/>
    <w:rsid w:val="00A74A8A"/>
    <w:rsid w:val="00A74C7C"/>
    <w:rsid w:val="00A76D45"/>
    <w:rsid w:val="00A77BDD"/>
    <w:rsid w:val="00A82D4A"/>
    <w:rsid w:val="00A85D78"/>
    <w:rsid w:val="00AA2AEA"/>
    <w:rsid w:val="00AA3802"/>
    <w:rsid w:val="00AA6776"/>
    <w:rsid w:val="00AA6E20"/>
    <w:rsid w:val="00AA79D0"/>
    <w:rsid w:val="00AB25FD"/>
    <w:rsid w:val="00AB2DA8"/>
    <w:rsid w:val="00AB3B99"/>
    <w:rsid w:val="00AB46D2"/>
    <w:rsid w:val="00AB7516"/>
    <w:rsid w:val="00AC14C2"/>
    <w:rsid w:val="00AC24AE"/>
    <w:rsid w:val="00AC3287"/>
    <w:rsid w:val="00AC720E"/>
    <w:rsid w:val="00AD08E2"/>
    <w:rsid w:val="00AD37F3"/>
    <w:rsid w:val="00AD4FCC"/>
    <w:rsid w:val="00AD6B9F"/>
    <w:rsid w:val="00AE1021"/>
    <w:rsid w:val="00AE1A79"/>
    <w:rsid w:val="00AF2D97"/>
    <w:rsid w:val="00AF3FBD"/>
    <w:rsid w:val="00AF77D9"/>
    <w:rsid w:val="00B0095E"/>
    <w:rsid w:val="00B02F9C"/>
    <w:rsid w:val="00B1009C"/>
    <w:rsid w:val="00B1182C"/>
    <w:rsid w:val="00B13D09"/>
    <w:rsid w:val="00B160C1"/>
    <w:rsid w:val="00B23321"/>
    <w:rsid w:val="00B23540"/>
    <w:rsid w:val="00B24DEE"/>
    <w:rsid w:val="00B32EA2"/>
    <w:rsid w:val="00B33E49"/>
    <w:rsid w:val="00B34117"/>
    <w:rsid w:val="00B36DDA"/>
    <w:rsid w:val="00B50E45"/>
    <w:rsid w:val="00B53DC4"/>
    <w:rsid w:val="00B550EB"/>
    <w:rsid w:val="00B55C56"/>
    <w:rsid w:val="00B55CDA"/>
    <w:rsid w:val="00B61E88"/>
    <w:rsid w:val="00B62719"/>
    <w:rsid w:val="00B62F9D"/>
    <w:rsid w:val="00B64871"/>
    <w:rsid w:val="00B67F07"/>
    <w:rsid w:val="00B734E3"/>
    <w:rsid w:val="00B75CE1"/>
    <w:rsid w:val="00B77328"/>
    <w:rsid w:val="00B85F0B"/>
    <w:rsid w:val="00BA13EE"/>
    <w:rsid w:val="00BA20C3"/>
    <w:rsid w:val="00BA4761"/>
    <w:rsid w:val="00BA4F02"/>
    <w:rsid w:val="00BA51B7"/>
    <w:rsid w:val="00BB0636"/>
    <w:rsid w:val="00BB110B"/>
    <w:rsid w:val="00BB1BBF"/>
    <w:rsid w:val="00BB3371"/>
    <w:rsid w:val="00BB6D51"/>
    <w:rsid w:val="00BC1BD5"/>
    <w:rsid w:val="00BC2A65"/>
    <w:rsid w:val="00BC6417"/>
    <w:rsid w:val="00BE5F43"/>
    <w:rsid w:val="00BF30D4"/>
    <w:rsid w:val="00BF5913"/>
    <w:rsid w:val="00C00D92"/>
    <w:rsid w:val="00C037DA"/>
    <w:rsid w:val="00C04AB2"/>
    <w:rsid w:val="00C11535"/>
    <w:rsid w:val="00C17B58"/>
    <w:rsid w:val="00C21C19"/>
    <w:rsid w:val="00C267ED"/>
    <w:rsid w:val="00C3102D"/>
    <w:rsid w:val="00C347DD"/>
    <w:rsid w:val="00C42E12"/>
    <w:rsid w:val="00C55F76"/>
    <w:rsid w:val="00C5654B"/>
    <w:rsid w:val="00C63366"/>
    <w:rsid w:val="00C66CE8"/>
    <w:rsid w:val="00C71B4A"/>
    <w:rsid w:val="00C7210E"/>
    <w:rsid w:val="00C76A98"/>
    <w:rsid w:val="00C90612"/>
    <w:rsid w:val="00C9438A"/>
    <w:rsid w:val="00C95B7C"/>
    <w:rsid w:val="00C96CAB"/>
    <w:rsid w:val="00CA09B7"/>
    <w:rsid w:val="00CA1439"/>
    <w:rsid w:val="00CA181A"/>
    <w:rsid w:val="00CA2CC5"/>
    <w:rsid w:val="00CC1551"/>
    <w:rsid w:val="00CC5747"/>
    <w:rsid w:val="00CC5CDB"/>
    <w:rsid w:val="00CD0D68"/>
    <w:rsid w:val="00CD3767"/>
    <w:rsid w:val="00CE09C2"/>
    <w:rsid w:val="00CE2D44"/>
    <w:rsid w:val="00CE6C99"/>
    <w:rsid w:val="00CF04CE"/>
    <w:rsid w:val="00CF1243"/>
    <w:rsid w:val="00CF6ED4"/>
    <w:rsid w:val="00D021FE"/>
    <w:rsid w:val="00D04BBF"/>
    <w:rsid w:val="00D10D48"/>
    <w:rsid w:val="00D11A4A"/>
    <w:rsid w:val="00D13689"/>
    <w:rsid w:val="00D166A1"/>
    <w:rsid w:val="00D215F6"/>
    <w:rsid w:val="00D22153"/>
    <w:rsid w:val="00D26C7E"/>
    <w:rsid w:val="00D30739"/>
    <w:rsid w:val="00D37AE0"/>
    <w:rsid w:val="00D405C3"/>
    <w:rsid w:val="00D40D40"/>
    <w:rsid w:val="00D5057E"/>
    <w:rsid w:val="00D57EA6"/>
    <w:rsid w:val="00D62AC2"/>
    <w:rsid w:val="00D63143"/>
    <w:rsid w:val="00D648D5"/>
    <w:rsid w:val="00D703CC"/>
    <w:rsid w:val="00D71FB9"/>
    <w:rsid w:val="00D73CF3"/>
    <w:rsid w:val="00D74661"/>
    <w:rsid w:val="00D85DA1"/>
    <w:rsid w:val="00D87661"/>
    <w:rsid w:val="00D917BE"/>
    <w:rsid w:val="00D93ED9"/>
    <w:rsid w:val="00D944B0"/>
    <w:rsid w:val="00D96926"/>
    <w:rsid w:val="00DB0DEC"/>
    <w:rsid w:val="00DB2F39"/>
    <w:rsid w:val="00DB377D"/>
    <w:rsid w:val="00DB3D63"/>
    <w:rsid w:val="00DC6CB9"/>
    <w:rsid w:val="00DD083B"/>
    <w:rsid w:val="00DD2C9A"/>
    <w:rsid w:val="00DD7006"/>
    <w:rsid w:val="00DD75A6"/>
    <w:rsid w:val="00DE7300"/>
    <w:rsid w:val="00DF184E"/>
    <w:rsid w:val="00DF2C6A"/>
    <w:rsid w:val="00E00CCF"/>
    <w:rsid w:val="00E01475"/>
    <w:rsid w:val="00E02E4F"/>
    <w:rsid w:val="00E03CAA"/>
    <w:rsid w:val="00E05C3E"/>
    <w:rsid w:val="00E0756A"/>
    <w:rsid w:val="00E1020E"/>
    <w:rsid w:val="00E10488"/>
    <w:rsid w:val="00E117ED"/>
    <w:rsid w:val="00E11AC6"/>
    <w:rsid w:val="00E13347"/>
    <w:rsid w:val="00E1506E"/>
    <w:rsid w:val="00E1788F"/>
    <w:rsid w:val="00E200F6"/>
    <w:rsid w:val="00E244C5"/>
    <w:rsid w:val="00E3200B"/>
    <w:rsid w:val="00E34C4E"/>
    <w:rsid w:val="00E37DA9"/>
    <w:rsid w:val="00E50AEE"/>
    <w:rsid w:val="00E52781"/>
    <w:rsid w:val="00E57CC2"/>
    <w:rsid w:val="00E57E4F"/>
    <w:rsid w:val="00E60E78"/>
    <w:rsid w:val="00E67ED1"/>
    <w:rsid w:val="00E7655B"/>
    <w:rsid w:val="00E833A6"/>
    <w:rsid w:val="00E8449C"/>
    <w:rsid w:val="00E912C2"/>
    <w:rsid w:val="00E921DD"/>
    <w:rsid w:val="00E93062"/>
    <w:rsid w:val="00E93D64"/>
    <w:rsid w:val="00E9727E"/>
    <w:rsid w:val="00EA34AA"/>
    <w:rsid w:val="00EA465B"/>
    <w:rsid w:val="00EA4855"/>
    <w:rsid w:val="00EB1882"/>
    <w:rsid w:val="00EB4216"/>
    <w:rsid w:val="00EB7DCC"/>
    <w:rsid w:val="00EC1185"/>
    <w:rsid w:val="00EC3B31"/>
    <w:rsid w:val="00EC7D09"/>
    <w:rsid w:val="00ED3CEF"/>
    <w:rsid w:val="00EE277F"/>
    <w:rsid w:val="00EE378D"/>
    <w:rsid w:val="00EE426E"/>
    <w:rsid w:val="00EE6BF4"/>
    <w:rsid w:val="00EF34FA"/>
    <w:rsid w:val="00F060A9"/>
    <w:rsid w:val="00F06805"/>
    <w:rsid w:val="00F10D03"/>
    <w:rsid w:val="00F139D9"/>
    <w:rsid w:val="00F170B2"/>
    <w:rsid w:val="00F17B34"/>
    <w:rsid w:val="00F21E4E"/>
    <w:rsid w:val="00F244B9"/>
    <w:rsid w:val="00F255C4"/>
    <w:rsid w:val="00F305DF"/>
    <w:rsid w:val="00F327BB"/>
    <w:rsid w:val="00F34035"/>
    <w:rsid w:val="00F40A0B"/>
    <w:rsid w:val="00F51022"/>
    <w:rsid w:val="00F5710E"/>
    <w:rsid w:val="00F57910"/>
    <w:rsid w:val="00F606BC"/>
    <w:rsid w:val="00F72A76"/>
    <w:rsid w:val="00F75C32"/>
    <w:rsid w:val="00F75CB5"/>
    <w:rsid w:val="00F75D57"/>
    <w:rsid w:val="00F822F1"/>
    <w:rsid w:val="00F90553"/>
    <w:rsid w:val="00F90D16"/>
    <w:rsid w:val="00F91A5F"/>
    <w:rsid w:val="00F93201"/>
    <w:rsid w:val="00F94496"/>
    <w:rsid w:val="00F948CD"/>
    <w:rsid w:val="00FA0294"/>
    <w:rsid w:val="00FA0C34"/>
    <w:rsid w:val="00FA3073"/>
    <w:rsid w:val="00FA5C7A"/>
    <w:rsid w:val="00FA6BE9"/>
    <w:rsid w:val="00FA76E1"/>
    <w:rsid w:val="00FB200E"/>
    <w:rsid w:val="00FB2F66"/>
    <w:rsid w:val="00FB7CBA"/>
    <w:rsid w:val="00FC6632"/>
    <w:rsid w:val="00FD0AF9"/>
    <w:rsid w:val="00FE72D9"/>
    <w:rsid w:val="00FE7F47"/>
    <w:rsid w:val="00FF013B"/>
    <w:rsid w:val="00FF0E24"/>
    <w:rsid w:val="00FF5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5120B3B-3EC2-400B-9A02-51104856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basedOn w:val="prastasis"/>
    <w:link w:val="PuslapioinaostekstasDiagrama"/>
    <w:uiPriority w:val="99"/>
    <w:unhideWhenUsed/>
    <w:rsid w:val="0088148E"/>
  </w:style>
  <w:style w:type="character" w:customStyle="1" w:styleId="PuslapioinaostekstasDiagrama">
    <w:name w:val="Puslapio išnašos tekstas Diagrama"/>
    <w:basedOn w:val="Numatytasispastraiposriftas"/>
    <w:link w:val="Puslapioinaostekstas"/>
    <w:uiPriority w:val="99"/>
    <w:rsid w:val="0088148E"/>
    <w:rPr>
      <w:lang w:eastAsia="en-US"/>
    </w:rPr>
  </w:style>
  <w:style w:type="character" w:styleId="Puslapioinaosnuoroda">
    <w:name w:val="footnote reference"/>
    <w:uiPriority w:val="99"/>
    <w:unhideWhenUsed/>
    <w:rsid w:val="0088148E"/>
    <w:rPr>
      <w:vertAlign w:val="superscript"/>
    </w:rPr>
  </w:style>
  <w:style w:type="paragraph" w:customStyle="1" w:styleId="Normal12pt">
    <w:name w:val="Normal + 12 pt"/>
    <w:basedOn w:val="prastasis"/>
    <w:link w:val="Normal12ptChar"/>
    <w:rsid w:val="006D2C84"/>
    <w:pPr>
      <w:tabs>
        <w:tab w:val="left" w:pos="737"/>
      </w:tabs>
      <w:spacing w:before="120"/>
      <w:ind w:right="-283" w:firstLine="425"/>
      <w:jc w:val="both"/>
    </w:pPr>
    <w:rPr>
      <w:sz w:val="24"/>
      <w:szCs w:val="24"/>
      <w:lang w:eastAsia="x-none"/>
    </w:rPr>
  </w:style>
  <w:style w:type="character" w:customStyle="1" w:styleId="Normal12ptChar">
    <w:name w:val="Normal + 12 pt Char"/>
    <w:link w:val="Normal12pt"/>
    <w:rsid w:val="006D2C84"/>
    <w:rPr>
      <w:sz w:val="24"/>
      <w:szCs w:val="24"/>
      <w:lang w:eastAsia="x-none"/>
    </w:rPr>
  </w:style>
  <w:style w:type="paragraph" w:customStyle="1" w:styleId="MediumGrid21">
    <w:name w:val="Medium Grid 21"/>
    <w:uiPriority w:val="1"/>
    <w:qFormat/>
    <w:rsid w:val="006D2C84"/>
    <w:pPr>
      <w:spacing w:before="120" w:after="120"/>
      <w:ind w:firstLine="425"/>
      <w:jc w:val="both"/>
    </w:pPr>
    <w:rPr>
      <w:rFonts w:ascii="Calibri" w:eastAsia="Calibri" w:hAnsi="Calibri"/>
      <w:sz w:val="22"/>
      <w:szCs w:val="22"/>
      <w:lang w:val="ru-RU" w:eastAsia="en-US"/>
    </w:rPr>
  </w:style>
  <w:style w:type="character" w:customStyle="1" w:styleId="SraopastraipaDiagrama">
    <w:name w:val="Sąrašo pastraipa Diagrama"/>
    <w:link w:val="Sraopastraipa"/>
    <w:uiPriority w:val="34"/>
    <w:locked/>
    <w:rsid w:val="006B7B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76179">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2851895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868594610">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20229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azeikiuligonin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8F05F-024D-44B0-AC5C-D34A6F17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405</TotalTime>
  <Pages>4</Pages>
  <Words>1227</Words>
  <Characters>8745</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Audronė Šatūnienė</cp:lastModifiedBy>
  <cp:revision>5</cp:revision>
  <cp:lastPrinted>2018-08-23T10:59:00Z</cp:lastPrinted>
  <dcterms:created xsi:type="dcterms:W3CDTF">2018-08-22T11:10:00Z</dcterms:created>
  <dcterms:modified xsi:type="dcterms:W3CDTF">2018-08-24T08:11:00Z</dcterms:modified>
</cp:coreProperties>
</file>