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00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7A00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667A00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:rsidR="006760D4" w:rsidRPr="006760D4" w:rsidRDefault="006760D4" w:rsidP="006760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29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2B6E7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6E7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D140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CD14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760D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6760D4">
        <w:rPr>
          <w:rFonts w:ascii="Times New Roman" w:hAnsi="Times New Roman" w:cs="Times New Roman"/>
          <w:sz w:val="24"/>
          <w:szCs w:val="24"/>
          <w:lang w:val="en-US"/>
        </w:rPr>
        <w:t>. 4S-_________</w:t>
      </w:r>
    </w:p>
    <w:p w:rsidR="00667A00" w:rsidRDefault="00667A00" w:rsidP="00667A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60D4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0105E0" w:rsidRPr="000105E0" w:rsidRDefault="00E70420" w:rsidP="000105E0">
      <w:pPr>
        <w:spacing w:after="0" w:line="240" w:lineRule="auto"/>
        <w:ind w:left="-142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0105E0">
        <w:rPr>
          <w:rFonts w:ascii="Times New Roman" w:hAnsi="Times New Roman" w:cs="Times New Roman"/>
          <w:sz w:val="24"/>
          <w:szCs w:val="24"/>
          <w:lang w:val="lt-LT"/>
        </w:rPr>
        <w:t>Viešųjų pirkimų tarnyba (toliau – Tarnyba), vadovaudamasi Lietuvos Respublikos viešųjų pirkimų įstatymo 8² straipsnio 1 dalies 2 punktu</w:t>
      </w:r>
      <w:r w:rsidR="00AB12EC" w:rsidRPr="000105E0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105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105E0" w:rsidRPr="000105E0">
        <w:rPr>
          <w:rFonts w:ascii="Times New Roman" w:hAnsi="Times New Roman"/>
          <w:bCs/>
          <w:sz w:val="24"/>
          <w:szCs w:val="24"/>
          <w:lang w:val="lt-LT"/>
        </w:rPr>
        <w:t xml:space="preserve">įvertino </w:t>
      </w:r>
      <w:proofErr w:type="spellStart"/>
      <w:r w:rsidR="000105E0" w:rsidRPr="000105E0">
        <w:rPr>
          <w:rFonts w:ascii="Times New Roman" w:hAnsi="Times New Roman" w:cs="Times New Roman"/>
          <w:sz w:val="24"/>
          <w:szCs w:val="24"/>
          <w:lang w:val="lt-LT"/>
        </w:rPr>
        <w:t>VšĮ</w:t>
      </w:r>
      <w:proofErr w:type="spellEnd"/>
      <w:r w:rsidR="000105E0" w:rsidRPr="000105E0">
        <w:rPr>
          <w:rFonts w:ascii="Times New Roman" w:hAnsi="Times New Roman" w:cs="Times New Roman"/>
          <w:sz w:val="24"/>
          <w:szCs w:val="24"/>
          <w:lang w:val="lt-LT"/>
        </w:rPr>
        <w:t xml:space="preserve"> Alytaus apskrities S. Kudirkos ligoninės </w:t>
      </w:r>
      <w:r w:rsidR="000105E0" w:rsidRPr="000105E0">
        <w:rPr>
          <w:rFonts w:ascii="Times New Roman" w:hAnsi="Times New Roman"/>
          <w:bCs/>
          <w:sz w:val="24"/>
          <w:szCs w:val="24"/>
          <w:lang w:val="lt-LT"/>
        </w:rPr>
        <w:t>(toliau – Perkančioji organizacija) pateiktus dokumentus, susijusius su vykdomu viešuoju pirkimu.</w:t>
      </w:r>
    </w:p>
    <w:p w:rsidR="006C7E58" w:rsidRPr="000105E0" w:rsidRDefault="006C7E58" w:rsidP="006C7E58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B1809" w:rsidRPr="00164E22" w:rsidRDefault="00AB1809" w:rsidP="00562F97">
      <w:pPr>
        <w:ind w:left="2689"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4E22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164E2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AB1809" w:rsidRPr="00164E22" w:rsidRDefault="0066787B" w:rsidP="005E66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Laboratoriniai reagentai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(Centrinėje viešųjų pirkimų informacinėje sistemoje </w:t>
            </w:r>
            <w:r w:rsidR="005E66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CVP IS) skelbtas 2016-10-04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pirkimo Nr. 17</w:t>
            </w:r>
            <w:r w:rsidR="005E66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9310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(toliau – Pirkimas)</w:t>
            </w:r>
            <w:r w:rsidR="007A5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5631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164E22" w:rsidRDefault="005F51F2" w:rsidP="00164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tviras konkursas</w:t>
            </w:r>
            <w:r w:rsidR="007A5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:rsidR="00AB1809" w:rsidRPr="00164E22" w:rsidRDefault="00E4685B" w:rsidP="005F51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1.390.000,00</w:t>
            </w:r>
            <w:r w:rsidR="002E6A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PVM</w:t>
            </w:r>
            <w:r w:rsidR="007A5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AB1809" w:rsidRPr="00164E22" w:rsidRDefault="00A36346" w:rsidP="00A36346">
            <w:pPr>
              <w:tabs>
                <w:tab w:val="left" w:pos="900"/>
              </w:tabs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CD5FFF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:rsidR="00AB1809" w:rsidRPr="00164E22" w:rsidRDefault="00FC2860" w:rsidP="002E6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įstatymas (redakcija nuo 201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7A5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164E22" w:rsidRDefault="00D85D6D" w:rsidP="007A5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Dalinis Pirkimo vertinimas/</w:t>
            </w:r>
            <w:r w:rsidR="00E90356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Pirkimo procedūrų vertinimas </w:t>
            </w:r>
            <w:r w:rsidR="007A537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po</w:t>
            </w:r>
            <w:r w:rsidR="008F152C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E6A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vokų su pasiūlymais atplėšimo p</w:t>
            </w:r>
            <w:r w:rsidR="007A14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</w:t>
            </w:r>
            <w:r w:rsidR="002E6A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ocedūros</w:t>
            </w:r>
            <w:r w:rsidR="007A537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bet iki sutarčių sudarymo.</w:t>
            </w:r>
          </w:p>
        </w:tc>
      </w:tr>
      <w:tr w:rsidR="00164E22" w:rsidRPr="00164E22" w:rsidTr="007E4301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9759D4" w:rsidRPr="00164E22" w:rsidRDefault="009759D4" w:rsidP="00EC0919">
            <w:pPr>
              <w:pStyle w:val="Sraopastraip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E75F7" w:rsidRDefault="00AE75F7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925F0D" w:rsidRDefault="00925F0D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A500B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 xml:space="preserve">II dalis. </w:t>
      </w:r>
      <w:r w:rsidR="00C5562E" w:rsidRPr="00307F8F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034"/>
        <w:gridCol w:w="276"/>
        <w:gridCol w:w="350"/>
        <w:gridCol w:w="8096"/>
      </w:tblGrid>
      <w:tr w:rsidR="006741AE" w:rsidRPr="00307F8F" w:rsidTr="00F83ADC">
        <w:trPr>
          <w:trHeight w:val="500"/>
        </w:trPr>
        <w:tc>
          <w:tcPr>
            <w:tcW w:w="887" w:type="dxa"/>
          </w:tcPr>
          <w:p w:rsidR="006741AE" w:rsidRPr="00307F8F" w:rsidRDefault="006741AE" w:rsidP="00AB1809">
            <w:pPr>
              <w:pStyle w:val="Sraopastraipa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747" w:type="dxa"/>
            <w:gridSpan w:val="3"/>
          </w:tcPr>
          <w:p w:rsidR="00F8009F" w:rsidRPr="00E70F9C" w:rsidRDefault="00130A42" w:rsidP="00130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</w:t>
            </w:r>
            <w:r w:rsidRPr="00130A42">
              <w:rPr>
                <w:rFonts w:ascii="Times New Roman" w:hAnsi="Times New Roman" w:cs="Times New Roman"/>
                <w:lang w:val="lt-LT"/>
              </w:rPr>
              <w:t>o</w:t>
            </w:r>
            <w:r w:rsidRPr="00130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</w:t>
            </w:r>
            <w:r w:rsidRPr="00E576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straipsnio 2 dalis</w:t>
            </w:r>
            <w:r w:rsidR="00334369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E576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D00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</w:t>
            </w:r>
            <w:r w:rsidR="007A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DB2D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F11947"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straipsnio 1 dalis</w:t>
            </w:r>
            <w:r w:rsidR="003251DE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 w:rsidR="007A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BC0A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1947" w:rsidRPr="00130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2 dalis</w:t>
            </w:r>
            <w:r w:rsidR="00A715BD" w:rsidRPr="00130A42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  <w:r w:rsidR="002856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464513" w:rsidRPr="00130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E47623" w:rsidRPr="00307F8F" w:rsidTr="00F56B3B">
        <w:tc>
          <w:tcPr>
            <w:tcW w:w="9634" w:type="dxa"/>
            <w:gridSpan w:val="4"/>
          </w:tcPr>
          <w:p w:rsidR="006F7F04" w:rsidRDefault="00DE2751" w:rsidP="006F7F04">
            <w:pPr>
              <w:ind w:left="29"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Pirkimo sąlygos patvirtintos Pirkimo komisijos </w:t>
            </w:r>
            <w:r w:rsidR="000C01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2016-09-</w:t>
            </w:r>
            <w:r w:rsidR="00CC672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25</w:t>
            </w:r>
            <w:r w:rsidR="000C01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posėd</w:t>
            </w:r>
            <w:r w:rsidR="00CC672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yje</w:t>
            </w:r>
            <w:r w:rsidR="000C01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C672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</w:t>
            </w:r>
            <w:r w:rsidR="000C01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protokol</w:t>
            </w:r>
            <w:r w:rsidR="00CC672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as</w:t>
            </w:r>
            <w:r w:rsidR="000C01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Nr. 2</w:t>
            </w:r>
            <w:r w:rsidR="00CC672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="000C01F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(toliau – Pirkimo sąlygos).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D04D8E"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Įvertinusi Pirkimo sąlygų </w:t>
            </w:r>
            <w:r w:rsidR="0035464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D04D8E"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priedo techninėje specifikacijoje </w:t>
            </w:r>
            <w:r w:rsidR="001A68C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(toliau – Techninė specifikacija) </w:t>
            </w:r>
            <w:r w:rsidR="00D04D8E"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nurodytus reikalavimus, Tarnyba, remdamasi </w:t>
            </w:r>
            <w:r w:rsidR="00D619D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nepriklausomo </w:t>
            </w:r>
            <w:r w:rsidR="00D04D8E"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eksperto išvadomis, nustatė, kad</w:t>
            </w:r>
            <w:r w:rsid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:</w:t>
            </w:r>
          </w:p>
          <w:p w:rsidR="00D05525" w:rsidRPr="006F7F04" w:rsidRDefault="003E2142" w:rsidP="006F7F04">
            <w:pPr>
              <w:pStyle w:val="Sraopastraipa"/>
              <w:numPr>
                <w:ilvl w:val="1"/>
                <w:numId w:val="18"/>
              </w:numPr>
              <w:ind w:left="0"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Pirkimo objekto dalies Nr. 1 </w:t>
            </w:r>
            <w:r w:rsidR="007F24C2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Techninė</w:t>
            </w:r>
            <w:r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="007F24C2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specifikacijo</w:t>
            </w:r>
            <w:r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="009E7A69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85494C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24 punkte nustatytas</w:t>
            </w:r>
            <w:r w:rsidR="007F24C2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reikalavimas, kad </w:t>
            </w:r>
            <w:r w:rsidR="009A31F6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„</w:t>
            </w:r>
            <w:r w:rsidR="007F24C2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našumas</w:t>
            </w:r>
            <w:r w:rsidR="009A31F6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– ne mažiau kaip 200 tyrimų per valandą</w:t>
            </w:r>
            <w:r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  <w:r w:rsidR="009A31F6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. </w:t>
            </w:r>
            <w:r w:rsidR="00F650AE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Atsižvelgiant į numatomą įsigyti preliminarų tyrimų skaičių </w:t>
            </w:r>
            <w:r w:rsidR="00DB278B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20000 / 24 mėn. laikotarpiui</w:t>
            </w:r>
            <w:r w:rsidR="00A66A77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sprendžiama, kad per parą planuojamas preliminarus kiekis būtų </w:t>
            </w:r>
            <w:r w:rsidR="0099006E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apie </w:t>
            </w:r>
            <w:r w:rsidR="00A66A77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28</w:t>
            </w:r>
            <w:r w:rsidR="00B07693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tyrim</w:t>
            </w:r>
            <w:r w:rsidR="0099006E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us.</w:t>
            </w:r>
            <w:r w:rsidR="00F16492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Todėl nustatytas reikalavimas „našumui“</w:t>
            </w:r>
            <w:r w:rsidR="00E86799" w:rsidRPr="006F7F0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nėra proporcingas Perkančiosios organizacijos poreikiams.</w:t>
            </w:r>
          </w:p>
          <w:p w:rsidR="007A7430" w:rsidRPr="007A7430" w:rsidRDefault="00D05525" w:rsidP="00143C8A">
            <w:pPr>
              <w:pStyle w:val="Sraopastraipa"/>
              <w:ind w:left="0" w:firstLine="99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C348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Taip pat </w:t>
            </w:r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pažymėti</w:t>
            </w:r>
            <w:r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</w:t>
            </w:r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</w:t>
            </w:r>
            <w:r w:rsidR="000664F4" w:rsidRPr="001C348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Pirkimo objekto dalies Nr. 1 Techninės specifikacijos </w:t>
            </w:r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9D1486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-15 </w:t>
            </w:r>
            <w:r w:rsidR="009D1486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punktuose nustatyti reikalavimai, susiję su APR (</w:t>
            </w:r>
            <w:r w:rsidR="00AF6E62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automatinis ląstelių atpažinimas</w:t>
            </w:r>
            <w:r w:rsidR="009D1486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AF6E62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programine įranga</w:t>
            </w:r>
            <w:r w:rsidR="009D1486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pritaikyti </w:t>
            </w:r>
            <w:proofErr w:type="spellStart"/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Beckman</w:t>
            </w:r>
            <w:proofErr w:type="spellEnd"/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Coulter</w:t>
            </w:r>
            <w:proofErr w:type="spellEnd"/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Diagnostics</w:t>
            </w:r>
            <w:proofErr w:type="spellEnd"/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gaminamų mikroskopijos modulių serijos Iris iQ200 gaminiams</w:t>
            </w:r>
            <w:r w:rsidR="00B342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574E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17A13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Atkreiptinas </w:t>
            </w:r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dėmesį ir į tai, kad </w:t>
            </w:r>
            <w:r w:rsidR="00CA0B18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Techninėje </w:t>
            </w:r>
            <w:r w:rsidR="007A7430" w:rsidRPr="001C34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specifikacijoje automatinio ląstelių atpažinimo funkcija yra </w:t>
            </w:r>
            <w:r w:rsidR="007A7430" w:rsidRPr="00D055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trumpinama kaip APR</w:t>
            </w:r>
            <w:r w:rsidR="00066CC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066CC9" w:rsidRPr="00D055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 </w:t>
            </w:r>
            <w:r w:rsidR="00CA0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proofErr w:type="spellStart"/>
            <w:r w:rsidR="00CA0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Interlux</w:t>
            </w:r>
            <w:proofErr w:type="spellEnd"/>
            <w:r w:rsidR="00CA0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</w:t>
            </w:r>
            <w:r w:rsidR="00D718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(laimėtojo) </w:t>
            </w:r>
            <w:r w:rsidR="00CA0B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pasiūlymo </w:t>
            </w:r>
            <w:r w:rsidR="00C95B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C31B4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objekto daliai </w:t>
            </w:r>
            <w:r w:rsidR="0044270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Nr. 1 </w:t>
            </w:r>
            <w:r w:rsidR="00C31B4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(</w:t>
            </w:r>
            <w:r w:rsidR="007A7430" w:rsidRPr="00D055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63 pried</w:t>
            </w:r>
            <w:r w:rsidR="0044270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e,</w:t>
            </w:r>
            <w:r w:rsidR="007A7430" w:rsidRPr="00D055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gamintojo brošiūroje</w:t>
            </w:r>
            <w:r w:rsidR="00D718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</w:t>
            </w:r>
            <w:r w:rsidR="007A7430" w:rsidRPr="00D055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ši funkcija yra nurodoma kaip „</w:t>
            </w:r>
            <w:r w:rsidR="007A7430" w:rsidRPr="00D0552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Auto-</w:t>
            </w:r>
            <w:proofErr w:type="spellStart"/>
            <w:r w:rsidR="007A7430" w:rsidRPr="00D0552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Particle</w:t>
            </w:r>
            <w:proofErr w:type="spellEnd"/>
            <w:r w:rsidR="007A7430" w:rsidRPr="00D0552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A7430" w:rsidRPr="00D0552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Recognition</w:t>
            </w:r>
            <w:proofErr w:type="spellEnd"/>
            <w:r w:rsidR="007A7430" w:rsidRPr="00D0552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(APR</w:t>
            </w:r>
            <w:r w:rsidR="007A7430" w:rsidRPr="00D0552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lt-LT"/>
              </w:rPr>
              <w:t>TM</w:t>
            </w:r>
            <w:r w:rsidR="007A7430" w:rsidRPr="00D0552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  <w:r w:rsidR="007A7430" w:rsidRPr="00D055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kas rodo, j</w:t>
            </w:r>
            <w:r w:rsidR="008C35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og trumpinys APR yra gamintojo </w:t>
            </w:r>
            <w:r w:rsidR="00E609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Iris </w:t>
            </w:r>
            <w:proofErr w:type="spellStart"/>
            <w:r w:rsidR="00BA1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International</w:t>
            </w:r>
            <w:proofErr w:type="spellEnd"/>
            <w:r w:rsidR="00BA1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BA1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Inc</w:t>
            </w:r>
            <w:proofErr w:type="spellEnd"/>
            <w:r w:rsidR="00BA1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7A7430" w:rsidRPr="00D055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prekės ženklas</w:t>
            </w:r>
            <w:r w:rsidR="00BA19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609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bookmarkStart w:id="0" w:name="_GoBack"/>
            <w:bookmarkEnd w:id="0"/>
            <w:r w:rsidR="007A7430" w:rsidRPr="00D055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angl. „</w:t>
            </w:r>
            <w:proofErr w:type="spellStart"/>
            <w:r w:rsidR="007A7430" w:rsidRPr="00D0552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trademark</w:t>
            </w:r>
            <w:proofErr w:type="spellEnd"/>
            <w:r w:rsidR="007A7430" w:rsidRPr="00D055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“).</w:t>
            </w:r>
          </w:p>
          <w:p w:rsidR="003F4A1D" w:rsidRDefault="006B5D19" w:rsidP="00C37725">
            <w:pPr>
              <w:spacing w:line="22" w:lineRule="atLeast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1.2</w:t>
            </w:r>
            <w:r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  <w:r w:rsidR="00855039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3E2142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Pirkimo objekto dalies Nr. 2</w:t>
            </w:r>
            <w:r w:rsidR="001525F1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Techninės specifikacijos </w:t>
            </w:r>
            <w:r w:rsidR="00195791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6 punkte nustatyti reikalavimai „mėginio tūriui“ (</w:t>
            </w:r>
            <w:r w:rsidR="000F463A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„</w:t>
            </w:r>
            <w:r w:rsidR="00D86079" w:rsidRPr="00793E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CRB </w:t>
            </w:r>
            <w:r w:rsidR="00D86079" w:rsidRPr="00E5686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tyrimui </w:t>
            </w:r>
            <w:r w:rsidR="00793E3D" w:rsidRPr="00E5686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–</w:t>
            </w:r>
            <w:r w:rsidR="00D86079" w:rsidRPr="00E5686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ne daugiau kaip 10 </w:t>
            </w:r>
            <w:proofErr w:type="spellStart"/>
            <w:r w:rsidR="00D86079" w:rsidRPr="00E5686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µl</w:t>
            </w:r>
            <w:proofErr w:type="spellEnd"/>
            <w:r w:rsidR="00D86079" w:rsidRPr="00E5686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veninio ar kapiliarinio kraujo, serumo, plazmos, PCT tyrimui – ne daugiau 150 </w:t>
            </w:r>
            <w:proofErr w:type="spellStart"/>
            <w:r w:rsidR="00D86079" w:rsidRPr="00E5686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µl</w:t>
            </w:r>
            <w:proofErr w:type="spellEnd"/>
            <w:r w:rsidR="00D86079" w:rsidRPr="00E5686D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serumo arba plazmos</w:t>
            </w:r>
            <w:r w:rsidR="009C1CA3" w:rsidRPr="00E5686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  <w:r w:rsidR="008850FA" w:rsidRPr="00E5686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="009C1CA3" w:rsidRPr="00E5686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8 punkte</w:t>
            </w:r>
            <w:r w:rsidR="00180EF8" w:rsidRPr="00E5686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nustatyti reikalavimai </w:t>
            </w:r>
            <w:r w:rsidR="009C1CA3" w:rsidRPr="00E5686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„matavimo riboms</w:t>
            </w:r>
            <w:r w:rsidR="009C1CA3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 („</w:t>
            </w:r>
            <w:r w:rsidR="009760E8" w:rsidRPr="00AF3A1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CRB kapiliariniame kraujyje, veniniame kraujyje, serume ar plazmoje ne mažesn</w:t>
            </w:r>
            <w:r w:rsidR="00620FA5" w:rsidRPr="00AF3A1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ė</w:t>
            </w:r>
            <w:r w:rsidR="009760E8" w:rsidRPr="00AF3A1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s nei </w:t>
            </w:r>
            <w:r w:rsidR="00620FA5" w:rsidRPr="00AF3A1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nuo 2,5 iki 300 mg</w:t>
            </w:r>
            <w:r w:rsidR="00763785" w:rsidRPr="00AF3A1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 xml:space="preserve">/l. PCT serume ar plazmoje ne mažesnės nei 0,25-100 </w:t>
            </w:r>
            <w:proofErr w:type="spellStart"/>
            <w:r w:rsidR="00F5411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n</w:t>
            </w:r>
            <w:r w:rsidR="00763785" w:rsidRPr="00AF3A1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g</w:t>
            </w:r>
            <w:proofErr w:type="spellEnd"/>
            <w:r w:rsidR="00763785" w:rsidRPr="00AF3A1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/ml</w:t>
            </w:r>
            <w:r w:rsidR="00763785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“)</w:t>
            </w:r>
            <w:r w:rsidR="00F5628B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 9 punkte nustatyti reikalavimai „</w:t>
            </w:r>
            <w:r w:rsidR="005B0368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tyrimo trukmei“ (</w:t>
            </w:r>
            <w:r w:rsidR="00E01D48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„</w:t>
            </w:r>
            <w:r w:rsidR="005B0368" w:rsidRPr="00AF3A1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lt-LT"/>
              </w:rPr>
              <w:t>CRB ne ilgiau nei 3 min. PCT ne ilgiau nei 12 min</w:t>
            </w:r>
            <w:r w:rsidR="005B0368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“) </w:t>
            </w:r>
            <w:r w:rsidR="0020185D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yra </w:t>
            </w:r>
            <w:r w:rsidR="004B3FB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dirbtinai </w:t>
            </w:r>
            <w:r w:rsidR="0020185D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ribojantys </w:t>
            </w:r>
            <w:r w:rsidR="003E6D8F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konkurenciją</w:t>
            </w:r>
            <w:r w:rsidR="00EA28F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. Oficialiai patvirtintose gydymo metodikose ir/ar technologijų </w:t>
            </w:r>
            <w:r w:rsidR="00FC23A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vertinimo agentūrų (pvz., NICE) </w:t>
            </w:r>
            <w:r w:rsidR="001761E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informacijoje </w:t>
            </w:r>
            <w:r w:rsidR="00A414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nepateikti duomenys ar rekomendacijos, kuriose būtų nurodyta būtinybė šių tyrimų duomenis turėti per</w:t>
            </w:r>
            <w:r w:rsidR="007C20B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Techninėje specifikacijoje nurodytą laiką </w:t>
            </w:r>
            <w:r w:rsidR="002D385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ir</w:t>
            </w:r>
            <w:r w:rsidR="007C20B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būtų nurodyta C reaktyvinio baltymo koncentracija</w:t>
            </w:r>
            <w:r w:rsidR="00A414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viršijanti</w:t>
            </w:r>
            <w:r w:rsidR="00C3772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667BD7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200 mg/l, o </w:t>
            </w:r>
            <w:proofErr w:type="spellStart"/>
            <w:r w:rsidR="00667BD7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prokalcitonino</w:t>
            </w:r>
            <w:proofErr w:type="spellEnd"/>
            <w:r w:rsidR="00667BD7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– viršijan</w:t>
            </w:r>
            <w:r w:rsidR="00C3772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ti</w:t>
            </w:r>
            <w:r w:rsidR="00667BD7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75 </w:t>
            </w:r>
            <w:proofErr w:type="spellStart"/>
            <w:r w:rsidR="005C49C4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ng</w:t>
            </w:r>
            <w:proofErr w:type="spellEnd"/>
            <w:r w:rsidR="00667BD7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/</w:t>
            </w:r>
            <w:r w:rsidR="005C49C4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  <w:r w:rsidR="00667BD7" w:rsidRPr="00AF3A1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 diagnostinės</w:t>
            </w:r>
            <w:r w:rsidR="00667BD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vertės.</w:t>
            </w:r>
          </w:p>
          <w:p w:rsidR="00F93328" w:rsidRPr="006B5D19" w:rsidRDefault="006B5D19" w:rsidP="006B5D1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1.3. </w:t>
            </w:r>
            <w:r w:rsidR="00707201" w:rsidRPr="006B5D1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Pirkimo objekto dalies Nr. 5 Techninė</w:t>
            </w:r>
            <w:r w:rsidR="005E3512" w:rsidRPr="006B5D1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je</w:t>
            </w:r>
            <w:r w:rsidR="00707201" w:rsidRPr="006B5D1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specifikacijo</w:t>
            </w:r>
            <w:r w:rsidR="005E3512" w:rsidRPr="006B5D1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je 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nustatyt</w:t>
            </w:r>
            <w:r w:rsidR="005E3512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reikalavimų visuma</w:t>
            </w:r>
            <w:r w:rsidR="00134B5C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susijusi su 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gamyklin</w:t>
            </w:r>
            <w:r w:rsidR="00134B5C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kalibracija</w:t>
            </w:r>
            <w:proofErr w:type="spellEnd"/>
            <w:r w:rsidR="00134B5C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(„</w:t>
            </w:r>
            <w:proofErr w:type="spellStart"/>
            <w:r w:rsidR="00134B5C" w:rsidRPr="006B5D1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Protrombino-prokonvertino</w:t>
            </w:r>
            <w:proofErr w:type="spellEnd"/>
            <w:r w:rsidR="00134B5C" w:rsidRPr="006B5D1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(</w:t>
            </w:r>
            <w:proofErr w:type="spellStart"/>
            <w:r w:rsidR="00134B5C" w:rsidRPr="006B5D1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Owren’o</w:t>
            </w:r>
            <w:proofErr w:type="spellEnd"/>
            <w:r w:rsidR="00134B5C" w:rsidRPr="006B5D1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) metodas, turi būti </w:t>
            </w:r>
            <w:r w:rsidR="00134B5C" w:rsidRPr="009E67C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lt-LT"/>
              </w:rPr>
              <w:t xml:space="preserve">gamyklinė </w:t>
            </w:r>
            <w:proofErr w:type="spellStart"/>
            <w:r w:rsidR="00134B5C" w:rsidRPr="009E67C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lt-LT"/>
              </w:rPr>
              <w:t>kalibracija</w:t>
            </w:r>
            <w:proofErr w:type="spellEnd"/>
            <w:r w:rsidR="00134B5C" w:rsidRPr="006B5D1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siūlomam analizatoriui“, </w:t>
            </w:r>
            <w:r w:rsidR="00353B96" w:rsidRPr="006B5D1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„Klauso metodas, darbinio tirpalo stabilumas 2-8° C ne mažiau 2 mėn., turi būti </w:t>
            </w:r>
            <w:r w:rsidR="00353B96" w:rsidRPr="009E67C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lt-LT"/>
              </w:rPr>
              <w:t xml:space="preserve">gamyklinė </w:t>
            </w:r>
            <w:proofErr w:type="spellStart"/>
            <w:r w:rsidR="00353B96" w:rsidRPr="009E67C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lt-LT"/>
              </w:rPr>
              <w:t>kalibracija</w:t>
            </w:r>
            <w:proofErr w:type="spellEnd"/>
            <w:r w:rsidR="00353B96" w:rsidRPr="006B5D1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siūlomam analizatoriui</w:t>
            </w:r>
            <w:r w:rsidR="00353B96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</w:t>
            </w:r>
            <w:proofErr w:type="spellStart"/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Protrombino</w:t>
            </w:r>
            <w:proofErr w:type="spellEnd"/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komplekso aktyvumo matavim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A73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Owren</w:t>
            </w:r>
            <w:proofErr w:type="spellEnd"/>
            <w:r w:rsidR="008A73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metodu, konkre</w:t>
            </w:r>
            <w:r w:rsidR="009E67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čiais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kiekybiniai reikalavimai</w:t>
            </w:r>
            <w:r w:rsidR="009E67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D-</w:t>
            </w:r>
            <w:proofErr w:type="spellStart"/>
            <w:r w:rsidR="009E67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dimerų</w:t>
            </w:r>
            <w:proofErr w:type="spellEnd"/>
            <w:r w:rsidR="009E67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tyrimo regentų rinkiniui</w:t>
            </w:r>
            <w:r w:rsidR="00FF1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pritaikyti </w:t>
            </w:r>
            <w:proofErr w:type="spellStart"/>
            <w:r w:rsidR="00F93328" w:rsidRPr="006B5D19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Diagnostica</w:t>
            </w:r>
            <w:proofErr w:type="spellEnd"/>
            <w:r w:rsidR="00F93328" w:rsidRPr="006B5D19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</w:t>
            </w:r>
            <w:proofErr w:type="spellStart"/>
            <w:r w:rsidR="00F93328" w:rsidRPr="006B5D19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Stago</w:t>
            </w:r>
            <w:proofErr w:type="spellEnd"/>
            <w:r w:rsidR="00F93328" w:rsidRPr="006B5D19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S.A.S. gaminamam </w:t>
            </w:r>
            <w:proofErr w:type="spellStart"/>
            <w:r w:rsidR="00F93328" w:rsidRPr="006B5D19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Compact</w:t>
            </w:r>
            <w:proofErr w:type="spellEnd"/>
            <w:r w:rsidR="00F93328" w:rsidRPr="006B5D19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</w:t>
            </w:r>
            <w:proofErr w:type="spellStart"/>
            <w:r w:rsidR="00F93328" w:rsidRPr="006B5D19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Max</w:t>
            </w:r>
            <w:proofErr w:type="spellEnd"/>
            <w:r w:rsidR="00F93328" w:rsidRPr="006B5D19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analizatoriui</w:t>
            </w:r>
            <w:r w:rsidR="004F24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E45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Perkančiosios organizacijos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2016-11-08 rašte Nr. SD-2230 nurodyti argumentai</w:t>
            </w:r>
            <w:r w:rsidR="002958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958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pavyzdžiui, 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apie tokių reikalavimų </w:t>
            </w:r>
            <w:proofErr w:type="spellStart"/>
            <w:r w:rsidR="00F93328" w:rsidRPr="00AF249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neatsiejamumą</w:t>
            </w:r>
            <w:proofErr w:type="spellEnd"/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</w:t>
            </w:r>
            <w:r w:rsidR="00F93328" w:rsidRPr="006B5D1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nuo konsultacinių arba intervencinių paslaugų teikimo kokybės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apie jų pagrįstumą „</w:t>
            </w:r>
            <w:r w:rsidR="00F93328" w:rsidRPr="006B5D1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šiuolaikinio mokslo duomenimis bei technologiniais pasiekimais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2958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nėra objektyviai pagrįsti. Taip pat, kaip ir teiginys apie tai, kad gamyklinė </w:t>
            </w:r>
            <w:proofErr w:type="spellStart"/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prekalibracija</w:t>
            </w:r>
            <w:proofErr w:type="spellEnd"/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užtikrina </w:t>
            </w:r>
            <w:r w:rsidR="0011735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Perkančiosios organizacijos 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F93328" w:rsidRPr="006B5D1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kokybės sistemos standarto vykdymą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“, </w:t>
            </w:r>
            <w:r w:rsidR="00FF12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neaišku</w:t>
            </w:r>
            <w:r w:rsidR="00130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30A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</w:t>
            </w:r>
            <w:r w:rsidR="00B005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kokybės standart</w:t>
            </w:r>
            <w:r w:rsidR="00B005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 nurodomas (pastebime, kad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viešai </w:t>
            </w:r>
            <w:r w:rsidR="00B005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skelbiamos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informacijos duomenimis, </w:t>
            </w:r>
            <w:r w:rsidR="00B005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Perkančiosios organizacijos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laboratorija nėra akredituota pagal LST EN ISO 15189:2007 „Medicinos laboratorijos. Ypatingieji kokybės ir kompetencijos reikalavimai“</w:t>
            </w:r>
            <w:r w:rsidR="005765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F93328" w:rsidRPr="006B5D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4110CF" w:rsidRDefault="00431350" w:rsidP="00DB446C">
            <w:pPr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Atkreiptinas dėmesys į tai</w:t>
            </w:r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šioje </w:t>
            </w:r>
            <w:r w:rsidR="00D701B0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dalyje nurodytas 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protrombino</w:t>
            </w:r>
            <w:proofErr w:type="spellEnd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komplekso aktyvumo tyrimas (angl. „</w:t>
            </w:r>
            <w:proofErr w:type="spellStart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Prothrombin</w:t>
            </w:r>
            <w:proofErr w:type="spellEnd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time</w:t>
            </w:r>
            <w:proofErr w:type="spellEnd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arba PT), vartojamas gydymo antikoaguliantais sekimui, gali būti atliekamas dviem skirtingais metodais: </w:t>
            </w:r>
            <w:r w:rsidR="00B043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Quick</w:t>
            </w:r>
            <w:proofErr w:type="spellEnd"/>
            <w:r w:rsidR="00B043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</w:t>
            </w:r>
            <w:r w:rsidR="00B043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Owren</w:t>
            </w:r>
            <w:proofErr w:type="spellEnd"/>
            <w:r w:rsidR="00B043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Pasaulyje dažniausiai naudojamas </w:t>
            </w:r>
            <w:r w:rsidR="002B39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Quick</w:t>
            </w:r>
            <w:proofErr w:type="spellEnd"/>
            <w:r w:rsidR="002B39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metodas, o </w:t>
            </w:r>
            <w:r w:rsidR="002B39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Owren</w:t>
            </w:r>
            <w:proofErr w:type="spellEnd"/>
            <w:r w:rsidR="002B39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metodas, kuriam reikalavimas yra nustatytas </w:t>
            </w:r>
            <w:r w:rsidR="002B39E5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2B39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objekto </w:t>
            </w:r>
            <w:r w:rsidR="002B39E5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dalyje</w:t>
            </w:r>
            <w:r w:rsidR="002B39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Nr.</w:t>
            </w:r>
            <w:r w:rsidR="002B39E5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2B39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taikomas tik keliose šalyse (Skandinavijoje, 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Benelukse</w:t>
            </w:r>
            <w:proofErr w:type="spellEnd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Japonijoje, Lietuvoje), tačiau abu metodai yra tinkami gydymo antikoaguliantais monitoringui ir kiekvienas metodas turi savo privalumų ir trūkumų (</w:t>
            </w:r>
            <w:hyperlink r:id="rId10" w:history="1">
              <w:r w:rsidR="00F93328" w:rsidRPr="006C5FA6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https://www.ncbi.nlm.nih.gov/pmc/articles/ PMC3222250/</w:t>
              </w:r>
            </w:hyperlink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Lietuvoje 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protrombino</w:t>
            </w:r>
            <w:proofErr w:type="spellEnd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komplekso tyrimas yra dažnai net trumpinamas kaip SPA (angl. „</w:t>
            </w:r>
            <w:proofErr w:type="spellStart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Stago</w:t>
            </w:r>
            <w:proofErr w:type="spellEnd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Prothrombin</w:t>
            </w:r>
            <w:proofErr w:type="spellEnd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Assay</w:t>
            </w:r>
            <w:proofErr w:type="spellEnd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“). Pasaulio Sveikatos Organizacija, siekdama suvienodinti gydymo antikoaguliantais kontrolę, gydymo efektyvumui įvertinanti rekomenduoja naudoti ne PT, o išvestinį rodiklį TNS arba tarptautinį normalizuotą santykį (angl. „</w:t>
            </w:r>
            <w:proofErr w:type="spellStart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International</w:t>
            </w:r>
            <w:proofErr w:type="spellEnd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Normalized</w:t>
            </w:r>
            <w:proofErr w:type="spellEnd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Ratio</w:t>
            </w:r>
            <w:proofErr w:type="spellEnd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“), kurio rezultatai nepriklauso nuo naudojamo metodo ar reagentų. Lietuvoje patvirtintame prieširdžių virpėjimo gydymo protokole taip pat nurodoma, kad skiriant 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antikoaguliacinį</w:t>
            </w:r>
            <w:proofErr w:type="spellEnd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gydymą 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varfarinu</w:t>
            </w:r>
            <w:proofErr w:type="spellEnd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</w:t>
            </w:r>
            <w:r w:rsidR="00F93328" w:rsidRPr="006C5FA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turi būti reguliariai tikrinamas TNS</w:t>
            </w:r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(</w:t>
            </w:r>
            <w:hyperlink r:id="rId11" w:history="1">
              <w:r w:rsidR="00F93328" w:rsidRPr="006C5FA6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https://sam.lrv.lt/diagnostikos-gydymo-metodikos-ir-rekomendacijos/diagnostikos-ir-gydymo-protokolai</w:t>
              </w:r>
            </w:hyperlink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Todėl reikalavimas, jog 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protrombino</w:t>
            </w:r>
            <w:proofErr w:type="spellEnd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komplekso tyrimas būtų atliekamas būtinai </w:t>
            </w:r>
            <w:proofErr w:type="spellStart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Owren</w:t>
            </w:r>
            <w:proofErr w:type="spellEnd"/>
            <w:r w:rsidR="00F93328" w:rsidRPr="006C5FA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metodu, taip pat negali būti vertinamas, kaip pagrįstas.</w:t>
            </w:r>
          </w:p>
          <w:p w:rsidR="00E031F0" w:rsidRPr="004110CF" w:rsidRDefault="00D072BA" w:rsidP="00510DC3">
            <w:pPr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1.4. </w:t>
            </w:r>
            <w:r w:rsidR="0026276A" w:rsidRPr="00AD41F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Pirkimo objekto dalies Nr. 8 Techninėje specifikacijoje </w:t>
            </w:r>
            <w:r w:rsidR="0026276A" w:rsidRPr="00AD41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nustatyt</w:t>
            </w:r>
            <w:r w:rsidR="00360621" w:rsidRPr="00AD41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26276A" w:rsidRPr="00AD41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reikalavim</w:t>
            </w:r>
            <w:r w:rsidR="00360621" w:rsidRPr="00AD41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4847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360621" w:rsidRPr="00AD41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847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(1) </w:t>
            </w:r>
            <w:r w:rsidR="0006700D" w:rsidRPr="00AD41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ekstriniams tyrimams („&lt;...&gt;</w:t>
            </w:r>
            <w:r w:rsidR="0006700D" w:rsidRPr="00AD41F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be pauzių ir nestabdant tyrimu atlikimo, ne mažiau nei </w:t>
            </w:r>
            <w:r w:rsidR="00901049" w:rsidRPr="00AD41F8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šešiems tyrimams</w:t>
            </w:r>
            <w:r w:rsidR="0006700D" w:rsidRPr="00AD41F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</w:t>
            </w:r>
            <w:r w:rsidR="00576D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4847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879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(2) </w:t>
            </w:r>
            <w:r w:rsidR="00B8792D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kortelių nuotraukoms būti „</w:t>
            </w:r>
            <w:r w:rsidR="00B8792D" w:rsidRPr="004110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nuskaitytomis iš abiejų kortelės pusių</w:t>
            </w:r>
            <w:r w:rsidR="008C7FAB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</w:t>
            </w:r>
            <w:r w:rsidR="00576D23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(3) </w:t>
            </w:r>
            <w:r w:rsidR="00976A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plastikinei kortelei (</w:t>
            </w:r>
            <w:r w:rsidR="00576D23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576D23" w:rsidRPr="004110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Monokloniniai</w:t>
            </w:r>
            <w:proofErr w:type="spellEnd"/>
            <w:r w:rsidR="00576D23" w:rsidRPr="004110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reagentai. Plastikinė kortelė iš šešių stulpelių paruošta naudoti</w:t>
            </w:r>
            <w:r w:rsidR="00576D23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976A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06700D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</w:t>
            </w:r>
            <w:r w:rsidR="00976A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dirbtinai </w:t>
            </w:r>
            <w:r w:rsidR="0006700D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ribojant</w:t>
            </w:r>
            <w:r w:rsidR="008C7FAB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ys</w:t>
            </w:r>
            <w:r w:rsidR="0006700D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konkurencij</w:t>
            </w:r>
            <w:r w:rsidR="00901049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ą.</w:t>
            </w:r>
            <w:r w:rsidR="00A60D3B" w:rsidRPr="00411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C77CB3" w:rsidRPr="009A7C29" w:rsidRDefault="000012C7" w:rsidP="00510DC3">
            <w:pPr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Tarnyba pažymi,</w:t>
            </w:r>
            <w:r w:rsidR="00C77CB3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kad</w:t>
            </w:r>
            <w:r w:rsidR="00C77CB3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:rsidR="00BE64D9" w:rsidRPr="009A7C29" w:rsidRDefault="00C77CB3" w:rsidP="00510DC3">
            <w:pPr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976A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76A83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(1)</w:t>
            </w:r>
            <w:r w:rsidR="000012C7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funkcionalumas</w:t>
            </w:r>
            <w:r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ekstriniams tyrimams</w:t>
            </w:r>
            <w:r w:rsidR="000012C7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turėtų būti įvardijamas kaip galimybė atlikti ekstrinius (STAT) tyrimus (angl. „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Capability</w:t>
            </w:r>
            <w:proofErr w:type="spellEnd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to 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process</w:t>
            </w:r>
            <w:proofErr w:type="spellEnd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STAT 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samples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“, žr. </w:t>
            </w:r>
            <w:proofErr w:type="spellStart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Bio-Rad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IH-1000 </w:t>
            </w:r>
            <w:hyperlink r:id="rId12" w:history="1">
              <w:r w:rsidR="0006700D" w:rsidRPr="009A7C2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https://www.fda.gov/downloads/BiologicsBloodVaccines/BloodBloodProducts/ApprovedProducts/SubstantiallyEquivalent510kDeviceInformation/UCM526710.pdf</w:t>
              </w:r>
            </w:hyperlink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Gryfols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Erytra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6700D" w:rsidRPr="009A7C29">
              <w:rPr>
                <w:rStyle w:val="Hipersaitas"/>
                <w:rFonts w:ascii="Times New Roman" w:hAnsi="Times New Roman" w:cs="Times New Roman"/>
                <w:sz w:val="24"/>
                <w:szCs w:val="24"/>
                <w:lang w:val="lt-LT"/>
              </w:rPr>
              <w:t>https://www.fda.gov/downloads/ BiologicsBloodVaccines/BloodBloodProducts/ApprovedProducts/SubstantiallyEquivalent510kDeviceInformation/UCM383111.pdf</w:t>
            </w:r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t.t.). Taip pat ir gamintojai šį funkcionalumą įvardina kaip „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Immediate</w:t>
            </w:r>
            <w:proofErr w:type="spellEnd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STAT 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handling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(</w:t>
            </w:r>
            <w:hyperlink r:id="rId13" w:history="1">
              <w:r w:rsidR="0006700D" w:rsidRPr="009A7C2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http://www.bio-rad.com/en-uk/product/ih-500-system?pcp_loc=catprod</w:t>
              </w:r>
            </w:hyperlink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„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Priority</w:t>
            </w:r>
            <w:proofErr w:type="spellEnd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sample</w:t>
            </w:r>
            <w:proofErr w:type="spellEnd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handling</w:t>
            </w:r>
            <w:proofErr w:type="spellEnd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with</w:t>
            </w:r>
            <w:proofErr w:type="spellEnd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STAT 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functionality</w:t>
            </w:r>
            <w:proofErr w:type="spellEnd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/STAT </w:t>
            </w:r>
            <w:proofErr w:type="spellStart"/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Priority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(</w:t>
            </w:r>
            <w:hyperlink r:id="rId14" w:history="1">
              <w:r w:rsidR="0006700D" w:rsidRPr="009A7C2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 xml:space="preserve">http://www.immucor.com/enin/Products/Documents/ </w:t>
              </w:r>
              <w:proofErr w:type="spellStart"/>
              <w:r w:rsidR="0006700D" w:rsidRPr="009A7C2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Immucor_ECHO-Brochure_US_web.pdf</w:t>
              </w:r>
            </w:hyperlink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Kita galima reikalavimo formuluotė galėtų būti „</w:t>
            </w:r>
            <w:r w:rsidR="0006700D" w:rsidRPr="009A7C2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galimybė atlikti ekstrinius (STAT) tyrimus nestabdant kitų tyrimų atlikimo</w:t>
            </w:r>
            <w:r w:rsidR="00BE64D9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“;</w:t>
            </w:r>
          </w:p>
          <w:p w:rsidR="0006700D" w:rsidRPr="009A7C29" w:rsidRDefault="00BE64D9" w:rsidP="00510DC3">
            <w:pPr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510DC3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774B1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(2)</w:t>
            </w:r>
            <w:r w:rsidR="00C774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9333F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funkcionalumą </w:t>
            </w:r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kortelių nuotraukoms</w:t>
            </w:r>
            <w:r w:rsidR="00EC2423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sprendžiant iš viešai prieinamos informacijos</w:t>
            </w:r>
            <w:r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658D7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06700D" w:rsidRPr="00C774B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funkcionalumą, kuris nėra būtinas tyrimo patikimumui</w:t>
            </w:r>
            <w:r w:rsidR="004658D7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gali pasiūlyti tik </w:t>
            </w:r>
            <w:proofErr w:type="spellStart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Ortho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Clinical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Diagnostics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gaminami ORTHO </w:t>
            </w:r>
            <w:proofErr w:type="spellStart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AutoVue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Innova</w:t>
            </w:r>
            <w:proofErr w:type="spellEnd"/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hyperlink r:id="rId15" w:history="1">
              <w:r w:rsidR="0006700D" w:rsidRPr="009A7C2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https://dicipa-public.sharepoint.com/PDF/Banco%20de%20Sangre/4%20Inmunohematolog%C3%ADa%20B.S/Autoview.pdf</w:t>
              </w:r>
            </w:hyperlink>
            <w:r w:rsidR="0006700D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ar ORTHO VISION analizatoriai (</w:t>
            </w:r>
            <w:hyperlink r:id="rId16" w:history="1">
              <w:r w:rsidR="0006700D" w:rsidRPr="009A7C29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https://www.orthoclinical.com/File%20Library/pdf/en/OV-BioVue-brochure.pdf</w:t>
              </w:r>
            </w:hyperlink>
            <w:r w:rsidR="00AA63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786C6F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:rsidR="0006700D" w:rsidRPr="009A7C29" w:rsidRDefault="00786C6F" w:rsidP="00375CCD">
            <w:pPr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="00AA63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(3) </w:t>
            </w:r>
            <w:r w:rsidR="000624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</w:t>
            </w:r>
            <w:r w:rsidR="000910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sios</w:t>
            </w:r>
            <w:r w:rsidR="00C45A15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organizacij</w:t>
            </w:r>
            <w:r w:rsidR="000910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0624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2016-11-08 (raštas Nr. SD-2227) </w:t>
            </w:r>
            <w:r w:rsidR="00921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Tarnybai</w:t>
            </w:r>
            <w:r w:rsidR="000910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71D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</w:t>
            </w:r>
            <w:r w:rsidR="000910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informacija</w:t>
            </w:r>
            <w:r w:rsidR="00921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 tiekėjas UAB „</w:t>
            </w:r>
            <w:proofErr w:type="spellStart"/>
            <w:r w:rsidR="00921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Diamedica</w:t>
            </w:r>
            <w:proofErr w:type="spellEnd"/>
            <w:r w:rsidR="009219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9D24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atstovauja gamintoją „</w:t>
            </w:r>
            <w:proofErr w:type="spellStart"/>
            <w:r w:rsidR="009D24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Grifols</w:t>
            </w:r>
            <w:proofErr w:type="spellEnd"/>
            <w:r w:rsidR="009D24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kuris savo pasiūloje turi analizatorių „</w:t>
            </w:r>
            <w:proofErr w:type="spellStart"/>
            <w:r w:rsidR="009D24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Grifols</w:t>
            </w:r>
            <w:proofErr w:type="spellEnd"/>
            <w:r w:rsidR="009D24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9D24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Erytra</w:t>
            </w:r>
            <w:proofErr w:type="spellEnd"/>
            <w:r w:rsidR="009D24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at</w:t>
            </w:r>
            <w:r w:rsidR="00EF66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itinkantį Techninėje specifikacijoje nustatytus reikalavimus</w:t>
            </w:r>
            <w:r w:rsidR="00552B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yra klaidinga, nes analizatorius „</w:t>
            </w:r>
            <w:proofErr w:type="spellStart"/>
            <w:r w:rsidR="00552B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Grifols</w:t>
            </w:r>
            <w:proofErr w:type="spellEnd"/>
            <w:r w:rsidR="00552B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552B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Erytra</w:t>
            </w:r>
            <w:proofErr w:type="spellEnd"/>
            <w:r w:rsidR="00552B5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naudoja ne 6, o 8 stulpelių korteles</w:t>
            </w:r>
            <w:r w:rsidR="00A85A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85A9E">
              <w:rPr>
                <w:rFonts w:ascii="PT Serif" w:hAnsi="PT Serif"/>
                <w:sz w:val="20"/>
                <w:szCs w:val="20"/>
              </w:rPr>
              <w:t>(</w:t>
            </w:r>
            <w:hyperlink r:id="rId17" w:history="1">
              <w:r w:rsidR="00A85A9E" w:rsidRPr="00A85A9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http://www.grifolsusa.com/en/web/eeuu/diagnostics/-/product/dg-gel-cards</w:t>
              </w:r>
            </w:hyperlink>
            <w:r w:rsidR="00A85A9E" w:rsidRPr="00A85A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="00A85A9E" w:rsidRPr="00A85A9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https://www.fda.gov/downloads/BiologicsBloodVaccines/BloodBloodProducts/ApprovedProducts/ SubstantiallyEquivalent510kDeviceInformation/UCM383111.pdf</w:t>
              </w:r>
            </w:hyperlink>
            <w:r w:rsidR="00702F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02F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Atkreiptinas dėmesys</w:t>
            </w:r>
            <w:r w:rsidR="00743C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į tai,</w:t>
            </w:r>
            <w:r w:rsidR="00702F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kad Perkančiosios organizacijos </w:t>
            </w:r>
            <w:r w:rsidR="00525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panaudos sutartį </w:t>
            </w:r>
            <w:r w:rsidR="00C45A15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naudojam</w:t>
            </w:r>
            <w:r w:rsidR="00267D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C45A15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ORT</w:t>
            </w:r>
            <w:r w:rsidR="00525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HO </w:t>
            </w:r>
            <w:proofErr w:type="spellStart"/>
            <w:r w:rsidR="00525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AutoVue</w:t>
            </w:r>
            <w:proofErr w:type="spellEnd"/>
            <w:r w:rsidR="00525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525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Innova</w:t>
            </w:r>
            <w:proofErr w:type="spellEnd"/>
            <w:r w:rsidR="005255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analizatorius</w:t>
            </w:r>
            <w:r w:rsidR="00C45A15" w:rsidRPr="009A7C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67D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plastikinė kortelė yra iš 8 stulpelių</w:t>
            </w:r>
            <w:r w:rsidR="00BB51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6A3595" w:rsidRDefault="001D36F0" w:rsidP="0069321E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1.5</w:t>
            </w:r>
            <w:r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Pr="00131C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Pirkimo objekto dalies Nr. 12 Techninėje specifikacijoje</w:t>
            </w:r>
            <w:r w:rsidR="00A36261" w:rsidRPr="00131C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</w:t>
            </w:r>
            <w:r w:rsidR="004D21C0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reikalavim</w:t>
            </w:r>
            <w:r w:rsidR="004D21C0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visumą (</w:t>
            </w:r>
            <w:r w:rsidR="00375C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įskaitant</w:t>
            </w:r>
            <w:r w:rsidR="009802C9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reikalavimą, kad „</w:t>
            </w:r>
            <w:r w:rsidR="003E43F1" w:rsidRPr="00131C4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lt-LT"/>
              </w:rPr>
              <w:t>matavimo laikas</w:t>
            </w:r>
            <w:r w:rsidR="009802C9" w:rsidRPr="00131C4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lt-LT"/>
              </w:rPr>
              <w:t xml:space="preserve"> ne ilgiau kaip </w:t>
            </w:r>
            <w:r w:rsidR="006A3595" w:rsidRPr="00131C4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lt-LT"/>
              </w:rPr>
              <w:t>20 sek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E43F1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 atitinka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tik ALCOR </w:t>
            </w:r>
            <w:proofErr w:type="spellStart"/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Scientific</w:t>
            </w:r>
            <w:proofErr w:type="spellEnd"/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Inc</w:t>
            </w:r>
            <w:proofErr w:type="spellEnd"/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gaminamas analizatorius </w:t>
            </w:r>
            <w:proofErr w:type="spellStart"/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iSED</w:t>
            </w:r>
            <w:proofErr w:type="spellEnd"/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hyperlink r:id="rId19" w:history="1">
              <w:r w:rsidR="006A3595" w:rsidRPr="00131C42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http://alcorscientific.com/wp-content/uploads/2016/ 11/112-09-054-07.2014-US-iSED-Sell-Sheet_1.pdf</w:t>
              </w:r>
            </w:hyperlink>
            <w:r w:rsidR="0047333B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Pažymėtina, kad Perkančioji organizacija 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paramos sutartį </w:t>
            </w:r>
            <w:r w:rsidR="00EF47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tokį </w:t>
            </w:r>
            <w:r w:rsidR="004F2E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analizatorių ir 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</w:t>
            </w:r>
            <w:r w:rsidR="003E43F1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Artimiausi</w:t>
            </w:r>
            <w:r w:rsidR="00EF47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ypač trumpą tyrimo greitį</w:t>
            </w:r>
            <w:r w:rsidR="00EF47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ALIFAX </w:t>
            </w:r>
            <w:proofErr w:type="spellStart"/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S.r.l</w:t>
            </w:r>
            <w:proofErr w:type="spellEnd"/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gaminami automatiniai analizatoriai </w:t>
            </w:r>
            <w:r w:rsidR="005E38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TEST 1 ir ROLLER 20 LC</w:t>
            </w:r>
            <w:r w:rsidR="005E38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neatitinka visos eilės reikalavimų (našumo, pirmojo rezultato išdavimo laiko ir t.t., žr. </w:t>
            </w:r>
            <w:hyperlink r:id="rId20" w:history="1">
              <w:r w:rsidR="006A3595" w:rsidRPr="00131C42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http://www.alifax.com/assets/Uploads/ESR-Bro001-ESR-family-instruments-26-07-16-EN-Rid.pdf</w:t>
              </w:r>
            </w:hyperlink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Kiti rinkoje esantys prietaisai tyrimą atlieka </w:t>
            </w:r>
            <w:r w:rsidR="00EF47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 ilgesnį laiką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F47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6A3595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5-15 min.</w:t>
            </w:r>
            <w:r w:rsidR="00EF47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  <w:r w:rsidR="005E38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5E38B2" w:rsidRDefault="005E38B2" w:rsidP="00EF47D2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pat </w:t>
            </w:r>
            <w:r w:rsidR="00BA7E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nustatytas reikalavimas analizatoriaus našumui (</w:t>
            </w:r>
            <w:r w:rsidR="00BA7EC0" w:rsidRPr="00BA7EC0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ne mažau kaip 180 tyrimų per valandą</w:t>
            </w:r>
            <w:r w:rsidR="00BA7E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atsižvelgiant į</w:t>
            </w:r>
            <w:r w:rsidR="00C942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F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numatomą įsigyti</w:t>
            </w:r>
            <w:r w:rsidR="00C942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preliminarų tyrimų skaičių – 5000 vnt. per 24 mėn. (</w:t>
            </w:r>
            <w:r w:rsidR="00C9424B" w:rsidRPr="007B2CC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vidutiniškai </w:t>
            </w:r>
            <w:r w:rsidR="007B2CCA" w:rsidRPr="007B2CC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7</w:t>
            </w:r>
            <w:r w:rsidR="00C9424B" w:rsidRPr="007B2CC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tyrim</w:t>
            </w:r>
            <w:r w:rsidR="007B2CCA" w:rsidRPr="007B2CC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ai</w:t>
            </w:r>
            <w:r w:rsidR="00C9424B" w:rsidRPr="007B2CC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per </w:t>
            </w:r>
            <w:r w:rsidR="00E40F0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parą</w:t>
            </w:r>
            <w:r w:rsidR="007B2C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F16E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7B2C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nėra pagrįstas.</w:t>
            </w:r>
          </w:p>
          <w:p w:rsidR="0069321E" w:rsidRPr="00131C42" w:rsidRDefault="0069321E" w:rsidP="00EF47D2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Atkreiptinas dėmesys į tai, kad </w:t>
            </w:r>
            <w:r w:rsidR="0021441F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pasaulyje </w:t>
            </w:r>
            <w:r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jau ilgą laiką referenciniu eritrocitų nusėdimo greičio (toliau – ENG) matavimo metodu („auksiniu standartu“) yra laikomas modifikuotas </w:t>
            </w:r>
            <w:proofErr w:type="spellStart"/>
            <w:r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Westergren</w:t>
            </w:r>
            <w:proofErr w:type="spellEnd"/>
            <w:r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būdas (žr.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Jou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J.M.,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Lewis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S.M.,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Briggs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C., et al. ICSH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review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of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measurement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of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erythrocyte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sedimentation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rate: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Int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. J.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Lab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Haem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2011: 33,125-132, </w:t>
            </w:r>
            <w:hyperlink r:id="rId21" w:history="1">
              <w:r w:rsidRPr="00131C42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http://www.islh.org/web/downloads/ICSH_Standards/Sed%20Rate%20IJLH %202011.pdf</w:t>
              </w:r>
            </w:hyperlink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Clinical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and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Laboratory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Standards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Institute (CLSI),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Procedures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for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Erythrocyte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Sedimentation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Rate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Test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;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Approved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Standard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Fifth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Edition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. H02-A5, </w:t>
            </w:r>
            <w:proofErr w:type="spellStart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May</w:t>
            </w:r>
            <w:proofErr w:type="spellEnd"/>
            <w:r w:rsidRPr="00131C42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2011. ISBN 1-56238-754-5)</w:t>
            </w:r>
            <w:r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o P</w:t>
            </w:r>
            <w:r w:rsidR="004B1B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erkančiosios organizacijos</w:t>
            </w:r>
            <w:r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naudojamas analizatorius ENG nustatymui naudoja kitą, ne referencinį </w:t>
            </w:r>
            <w:r w:rsidR="004B1B1D"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būdą</w:t>
            </w:r>
            <w:r w:rsidRPr="00131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DE1107" w:rsidRPr="00971FD0" w:rsidRDefault="0082194A" w:rsidP="00830805">
            <w:pPr>
              <w:pStyle w:val="Default"/>
              <w:ind w:firstLine="8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Apibendrindama, </w:t>
            </w:r>
            <w:r w:rsidR="001A68CA">
              <w:rPr>
                <w:rFonts w:ascii="Times New Roman" w:hAnsi="Times New Roman" w:cs="Times New Roman"/>
              </w:rPr>
              <w:t xml:space="preserve">Tarnyba </w:t>
            </w:r>
            <w:r w:rsidR="009A2105">
              <w:rPr>
                <w:rFonts w:ascii="Times New Roman" w:hAnsi="Times New Roman" w:cs="Times New Roman"/>
              </w:rPr>
              <w:t>konstatuoja</w:t>
            </w:r>
            <w:r w:rsidR="001A68CA">
              <w:rPr>
                <w:rFonts w:ascii="Times New Roman" w:hAnsi="Times New Roman" w:cs="Times New Roman"/>
              </w:rPr>
              <w:t xml:space="preserve">, kad </w:t>
            </w:r>
            <w:r w:rsidR="00830805" w:rsidRPr="005A5A20">
              <w:rPr>
                <w:rFonts w:ascii="Times New Roman" w:hAnsi="Times New Roman" w:cs="Times New Roman"/>
                <w:bCs/>
              </w:rPr>
              <w:t>Pirkimo objekto dal</w:t>
            </w:r>
            <w:r w:rsidR="00897E67">
              <w:rPr>
                <w:rFonts w:ascii="Times New Roman" w:hAnsi="Times New Roman" w:cs="Times New Roman"/>
                <w:bCs/>
              </w:rPr>
              <w:t>ių</w:t>
            </w:r>
            <w:r w:rsidR="00830805" w:rsidRPr="005A5A20">
              <w:rPr>
                <w:rFonts w:ascii="Times New Roman" w:hAnsi="Times New Roman" w:cs="Times New Roman"/>
                <w:bCs/>
              </w:rPr>
              <w:t xml:space="preserve"> Nr.</w:t>
            </w:r>
            <w:r w:rsidR="00830805">
              <w:rPr>
                <w:rFonts w:ascii="Times New Roman" w:hAnsi="Times New Roman" w:cs="Times New Roman"/>
                <w:bCs/>
              </w:rPr>
              <w:t xml:space="preserve"> 1, 2</w:t>
            </w:r>
            <w:r w:rsidR="00993D4F">
              <w:rPr>
                <w:rFonts w:ascii="Times New Roman" w:hAnsi="Times New Roman" w:cs="Times New Roman"/>
                <w:bCs/>
              </w:rPr>
              <w:t>, 5, 8 ir 12</w:t>
            </w:r>
            <w:r w:rsidR="00F01E5B">
              <w:rPr>
                <w:rFonts w:ascii="Times New Roman" w:hAnsi="Times New Roman" w:cs="Times New Roman"/>
                <w:bCs/>
              </w:rPr>
              <w:t xml:space="preserve"> </w:t>
            </w:r>
            <w:r w:rsidR="00830805">
              <w:rPr>
                <w:rFonts w:ascii="Times New Roman" w:hAnsi="Times New Roman" w:cs="Times New Roman"/>
                <w:bCs/>
              </w:rPr>
              <w:t xml:space="preserve">Techninėje specifikacijoje </w:t>
            </w:r>
            <w:r w:rsidR="00897E67">
              <w:rPr>
                <w:rFonts w:ascii="Times New Roman" w:hAnsi="Times New Roman" w:cs="Times New Roman"/>
                <w:bCs/>
              </w:rPr>
              <w:t xml:space="preserve">nustatyti </w:t>
            </w:r>
            <w:r w:rsidR="00F01E5B">
              <w:rPr>
                <w:rFonts w:ascii="Times New Roman" w:hAnsi="Times New Roman" w:cs="Times New Roman"/>
                <w:bCs/>
              </w:rPr>
              <w:t>reikalavim</w:t>
            </w:r>
            <w:r w:rsidR="00714FCA">
              <w:rPr>
                <w:rFonts w:ascii="Times New Roman" w:hAnsi="Times New Roman" w:cs="Times New Roman"/>
                <w:bCs/>
              </w:rPr>
              <w:t xml:space="preserve">ai yra </w:t>
            </w:r>
            <w:r w:rsidR="00C533A4">
              <w:rPr>
                <w:rFonts w:ascii="Times New Roman" w:hAnsi="Times New Roman" w:cs="Times New Roman"/>
                <w:bCs/>
              </w:rPr>
              <w:t xml:space="preserve">nepagrįsti, </w:t>
            </w:r>
            <w:r w:rsidR="00714FCA">
              <w:rPr>
                <w:rFonts w:ascii="Times New Roman" w:hAnsi="Times New Roman" w:cs="Times New Roman"/>
                <w:bCs/>
              </w:rPr>
              <w:t>diskriminaciniai ir ribojantys</w:t>
            </w:r>
            <w:r w:rsidR="00714FCA" w:rsidRPr="0059205B">
              <w:rPr>
                <w:rFonts w:ascii="Times New Roman" w:hAnsi="Times New Roman" w:cs="Times New Roman"/>
                <w:bCs/>
              </w:rPr>
              <w:t xml:space="preserve"> tiekėjų konkurenciją</w:t>
            </w:r>
            <w:r w:rsidR="00714FCA">
              <w:rPr>
                <w:rFonts w:ascii="Times New Roman" w:hAnsi="Times New Roman" w:cs="Times New Roman"/>
                <w:bCs/>
              </w:rPr>
              <w:t xml:space="preserve">, todėl </w:t>
            </w:r>
            <w:r w:rsidR="00E576B6" w:rsidRPr="00E576B6">
              <w:rPr>
                <w:rFonts w:ascii="Times New Roman" w:hAnsi="Times New Roman" w:cs="Times New Roman"/>
              </w:rPr>
              <w:t>pažeidžia Įstatym</w:t>
            </w:r>
            <w:r w:rsidR="00E576B6">
              <w:rPr>
                <w:rFonts w:ascii="Times New Roman" w:hAnsi="Times New Roman" w:cs="Times New Roman"/>
              </w:rPr>
              <w:t>o</w:t>
            </w:r>
            <w:r w:rsidR="00E576B6" w:rsidRPr="00E576B6">
              <w:rPr>
                <w:rFonts w:ascii="Times New Roman" w:hAnsi="Times New Roman" w:cs="Times New Roman"/>
              </w:rPr>
              <w:t xml:space="preserve"> 25 straipsnio 2 dalies nuostatas</w:t>
            </w:r>
            <w:r w:rsidR="00D21720">
              <w:rPr>
                <w:rFonts w:ascii="Times New Roman" w:hAnsi="Times New Roman" w:cs="Times New Roman"/>
              </w:rPr>
              <w:t>,</w:t>
            </w:r>
            <w:r w:rsidR="00714FCA">
              <w:rPr>
                <w:rFonts w:ascii="Times New Roman" w:hAnsi="Times New Roman" w:cs="Times New Roman"/>
              </w:rPr>
              <w:t xml:space="preserve"> Įstatymo 3 straipsnio 1 dalyje įtvirtint</w:t>
            </w:r>
            <w:r w:rsidR="0056187E">
              <w:rPr>
                <w:rFonts w:ascii="Times New Roman" w:hAnsi="Times New Roman" w:cs="Times New Roman"/>
              </w:rPr>
              <w:t>us skaidrumo ir lygiateisiškumo</w:t>
            </w:r>
            <w:r w:rsidR="00714FCA">
              <w:rPr>
                <w:rFonts w:ascii="Times New Roman" w:hAnsi="Times New Roman" w:cs="Times New Roman"/>
              </w:rPr>
              <w:t xml:space="preserve"> princip</w:t>
            </w:r>
            <w:r w:rsidR="0056187E">
              <w:rPr>
                <w:rFonts w:ascii="Times New Roman" w:hAnsi="Times New Roman" w:cs="Times New Roman"/>
              </w:rPr>
              <w:t>us</w:t>
            </w:r>
            <w:r w:rsidR="00714FCA">
              <w:rPr>
                <w:rFonts w:ascii="Times New Roman" w:hAnsi="Times New Roman" w:cs="Times New Roman"/>
              </w:rPr>
              <w:t xml:space="preserve"> ir </w:t>
            </w:r>
            <w:r w:rsidR="00971FD0">
              <w:rPr>
                <w:rFonts w:ascii="Times New Roman" w:hAnsi="Times New Roman" w:cs="Times New Roman"/>
              </w:rPr>
              <w:t>Įstatymo 3 straipsnio 2 dali</w:t>
            </w:r>
            <w:r w:rsidR="00A375CF">
              <w:rPr>
                <w:rFonts w:ascii="Times New Roman" w:hAnsi="Times New Roman" w:cs="Times New Roman"/>
              </w:rPr>
              <w:t>e</w:t>
            </w:r>
            <w:r w:rsidR="00971FD0">
              <w:rPr>
                <w:rFonts w:ascii="Times New Roman" w:hAnsi="Times New Roman" w:cs="Times New Roman"/>
              </w:rPr>
              <w:t>s</w:t>
            </w:r>
            <w:r w:rsidR="00130A42">
              <w:rPr>
                <w:rFonts w:ascii="Times New Roman" w:hAnsi="Times New Roman" w:cs="Times New Roman"/>
              </w:rPr>
              <w:t xml:space="preserve"> </w:t>
            </w:r>
            <w:r w:rsidR="00A375CF">
              <w:rPr>
                <w:rFonts w:ascii="Times New Roman" w:hAnsi="Times New Roman" w:cs="Times New Roman"/>
              </w:rPr>
              <w:t>nuostatas</w:t>
            </w:r>
            <w:r w:rsidR="00971FD0">
              <w:rPr>
                <w:rFonts w:ascii="Times New Roman" w:hAnsi="Times New Roman" w:cs="Times New Roman"/>
              </w:rPr>
              <w:t>.</w:t>
            </w:r>
          </w:p>
          <w:p w:rsidR="00631760" w:rsidRPr="00307F8F" w:rsidRDefault="00631760" w:rsidP="003E2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80939" w:rsidRPr="00307F8F" w:rsidTr="00F83ADC">
        <w:tc>
          <w:tcPr>
            <w:tcW w:w="1401" w:type="dxa"/>
            <w:gridSpan w:val="3"/>
          </w:tcPr>
          <w:p w:rsidR="00480939" w:rsidRDefault="00480939" w:rsidP="00480939">
            <w:pPr>
              <w:ind w:left="29" w:firstLine="39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2.</w:t>
            </w:r>
          </w:p>
        </w:tc>
        <w:tc>
          <w:tcPr>
            <w:tcW w:w="8233" w:type="dxa"/>
          </w:tcPr>
          <w:p w:rsidR="00480939" w:rsidRDefault="00835791" w:rsidP="00835791">
            <w:pPr>
              <w:ind w:left="29" w:firstLine="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Įstatymo 39 straipsnio </w:t>
            </w:r>
            <w:r w:rsidR="004335A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 dalis</w:t>
            </w:r>
            <w:r w:rsidR="004335AA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4"/>
            </w:r>
            <w:r w:rsidR="0011229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Įstatymo 39 straipsnio 2 dalies 2 punktas</w:t>
            </w:r>
            <w:r w:rsidR="00112291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5"/>
            </w:r>
            <w:r w:rsidR="006C142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480939" w:rsidRPr="00307F8F" w:rsidTr="00F56B3B">
        <w:tc>
          <w:tcPr>
            <w:tcW w:w="9634" w:type="dxa"/>
            <w:gridSpan w:val="4"/>
          </w:tcPr>
          <w:p w:rsidR="00C41A29" w:rsidRDefault="00CB45E0" w:rsidP="00C41A29">
            <w:pPr>
              <w:ind w:left="29"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Pirkimo komisija 2016-12-02 posėdyje </w:t>
            </w:r>
            <w:r w:rsidR="004D1E5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(protokolas Nr. 10) nustatė </w:t>
            </w:r>
            <w:r w:rsidR="00115A1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pasiūlymų eilę</w:t>
            </w:r>
            <w:r w:rsidR="003F6E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 w:rsidR="00115A1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Pirkimo objekto daly</w:t>
            </w:r>
            <w:r w:rsidR="009E2AC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je</w:t>
            </w:r>
            <w:r w:rsidR="003F6E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Nr. 1 įrašydama vienintelį tiekėją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Interlux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  <w:r w:rsidR="001C4ED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  <w:r w:rsidR="00C41A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ir priėmė sprendimą su j</w:t>
            </w:r>
            <w:r w:rsidR="00DE37D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</w:t>
            </w:r>
            <w:r w:rsidR="00C41A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sudaryti pirkimo sutartį.</w:t>
            </w:r>
          </w:p>
          <w:p w:rsidR="00A67F2C" w:rsidRDefault="00447898" w:rsidP="00CA0909">
            <w:pPr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Tarnyba, susipažinusi su UAB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Interlux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 pasiūlymu Pirkimo objekto daliai Nr. 1, nustatė, kad:</w:t>
            </w:r>
            <w:r w:rsidR="00C75E8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(1)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tiekėjo UAB „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Interlux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“ pasiūlyta automatinė šlapimo tyrimų sistema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susidedanti iš analizatorių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Arkray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Aution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Max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AX4030 ir Iris iQ200,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neatitinka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75E88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C75E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objekto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dalies </w:t>
            </w:r>
            <w:r w:rsidR="00C75E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1 </w:t>
            </w:r>
            <w:r w:rsidR="00C75E88" w:rsidRPr="001C4EDB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Techninės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specifikacijos 24 p. reikalavimų sistemos našumui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(„</w:t>
            </w:r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ne mažiau, kaip 200 tyrimų per valandą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“), nes šlapimo mikroskopijos įrenginio našumas, kuris riboja sistemos našumą (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Arkray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Aution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Max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AX4030 našumas yra 225 tyrimai/val.), neviršija 101 tyrimo per valandą (</w:t>
            </w:r>
            <w:hyperlink r:id="rId22" w:history="1">
              <w:r w:rsidR="00881ECC" w:rsidRPr="001C4ED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http://www.beckmancoulterurinalysis.com/ wp-content/uploads/2015/08/Iris-Urinalysis-Urine-Microscopy-Solution-Brochure-UK.pdf</w:t>
              </w:r>
            </w:hyperlink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</w:t>
            </w:r>
            <w:r w:rsidR="00BB73EB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Atkreipti</w:t>
            </w:r>
            <w:r w:rsidR="00BB73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nas</w:t>
            </w:r>
            <w:r w:rsidR="00BB73EB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dėmes</w:t>
            </w:r>
            <w:r w:rsidR="00BB73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ys į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tai, kad tiekėjo pateiktame </w:t>
            </w:r>
            <w:r w:rsidR="00BB73EB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pasiūlymo </w:t>
            </w:r>
            <w:r w:rsidR="00A90F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2016 m. lapkričio 11 d.</w:t>
            </w:r>
            <w:r w:rsidR="00A90F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priede „Gamintojo dokumentai“ nėra pateikta informacija apie siūlomo Iris iQ200 įrenginio našumą (žr. 66-69 psl.), o taip pat nėra nurodytas nei tiekėjo siūlomo įrenginio modelis, kas leistų įvertinti įrenginio našumo atitikimą </w:t>
            </w:r>
            <w:r w:rsidR="00C9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nustatytiems</w:t>
            </w:r>
            <w:r w:rsidR="00A90FC0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reikalavimams, nei įrenginio gamyklinis kodas, kuris leistų identifikuoti konkretų modelį ir tuo pa</w:t>
            </w:r>
            <w:r w:rsidR="00C9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čiu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našumą. Viso to </w:t>
            </w:r>
            <w:r w:rsidR="00C00B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aplinkybė,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galimai</w:t>
            </w:r>
            <w:r w:rsidR="00C00B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ta, kad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Beckman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Coulter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gaminamų automatinių šlapimo mikroskopijos įrenginių (modulių) našumas yra gerokai mažesnis nei nurodyta techninėje specifikacijoje: skirtingų iQ200 serijos modulių našumas svyruoja nuo 40 iki maksimaliai 101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tyrimo per valandą (</w:t>
            </w:r>
            <w:r w:rsidR="00881ECC" w:rsidRPr="0027382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žr. aukščiau pateiktos nuorodos</w:t>
            </w:r>
            <w:r w:rsidR="0027382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informacija</w:t>
            </w:r>
            <w:r w:rsidR="00881ECC" w:rsidRPr="0027382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4 psl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.). Tokiu būdu</w:t>
            </w:r>
            <w:r w:rsidR="002738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UAB „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Interlux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pasiūlyta sistema neatitinka </w:t>
            </w:r>
            <w:r w:rsidR="0027382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Techninės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specifikacijos reikalavimų našumui, nes pasiūlyta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sistema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 atlikti nuo 40 iki 101 šlapimo tyrimo per valandą. Svarbu pažymėti, kad tokio pobūdžio sistemose našumą riboją mikroskopijos modelio našumas ir gamintojai </w:t>
            </w:r>
            <w:r w:rsidR="00CB2C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 sistemos našumą</w:t>
            </w:r>
            <w:r w:rsidR="00CB2C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nurodo mažiau tyrimų per val. atliekančio modulio, t. y. sistemos dalies, našumą</w:t>
            </w:r>
            <w:r w:rsidR="00CB2C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B2C3B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Pvz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CB2C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057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(i)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Siemens gaminamos automatinės CLINITEK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AUWi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 sistemos, susidedančios iš cheminio modulio CLINITEK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Novus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(našumas – 240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tyr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./val.) ir mikroskopijos modulio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Sysmex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UF-1000i, gamintojo nurodomas sistemos našumas yra tik 80 tyrimų/val. (</w:t>
            </w:r>
            <w:hyperlink r:id="rId23" w:history="1">
              <w:r w:rsidR="00881ECC" w:rsidRPr="001C4ED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http://usa.healthcare.siemens.com/urinalysis/systems/clinitek-auwi-pro-system/technical-specifications</w:t>
              </w:r>
            </w:hyperlink>
            <w:r w:rsidR="005057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057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proofErr w:type="spellStart"/>
            <w:r w:rsidR="005057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</w:t>
            </w:r>
            <w:proofErr w:type="spellEnd"/>
            <w:r w:rsidR="005057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505745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analogiškai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Roche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Diagnostics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nurodo, kad automatinės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cobas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6500 sistemos našumas yra ribojamas mikroskopijos modulio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cobas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 701 našumo („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throughput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(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theoretical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max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)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depends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on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rate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of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samples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that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are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processed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on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cobas</w:t>
            </w:r>
            <w:proofErr w:type="spellEnd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u 701 </w:t>
            </w:r>
            <w:proofErr w:type="spellStart"/>
            <w:r w:rsidR="00881ECC" w:rsidRPr="001C4ED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analyzer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 ir yra tik 116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tyr</w:t>
            </w:r>
            <w:proofErr w:type="spellEnd"/>
            <w:r w:rsidR="005130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./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val., nors į sistemą įeinančio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juostelinio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cheminio modulio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cobas</w:t>
            </w:r>
            <w:proofErr w:type="spellEnd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 601 našumas yra 240 </w:t>
            </w:r>
            <w:proofErr w:type="spellStart"/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tyr</w:t>
            </w:r>
            <w:proofErr w:type="spellEnd"/>
            <w:r w:rsidR="005130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/val. (žr. 14 psl.: </w:t>
            </w:r>
            <w:hyperlink r:id="rId24" w:history="1">
              <w:r w:rsidR="00881ECC" w:rsidRPr="001C4ED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http://www.cobas.com/content/dam/cobas_com/pdf/product/cobas-6500-urine-analyzer-series/ Brochure%20cobas%20u%206500%20urine%20analyzer%20series.pdf</w:t>
              </w:r>
            </w:hyperlink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</w:t>
            </w:r>
          </w:p>
          <w:p w:rsidR="00A67F2C" w:rsidRPr="001C4EDB" w:rsidRDefault="00A67F2C" w:rsidP="00A67F2C">
            <w:pPr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pat pažymėtina, kad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Interlux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“ pasiūlymo </w:t>
            </w:r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priede „Gamintojo dokumentai“ 63-65 psl. yra pateiktas gamintojo IRIS </w:t>
            </w:r>
            <w:proofErr w:type="spellStart"/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International</w:t>
            </w:r>
            <w:proofErr w:type="spellEnd"/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Inc</w:t>
            </w:r>
            <w:proofErr w:type="spellEnd"/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2013-05-17 patvirtinimas, kad mikroskopijos modulis Iris iQ200 atitinka  Direktyvos 93/42/EEB reikalavimus, tačiau šis gamintojas 2012 m. tapo </w:t>
            </w:r>
            <w:proofErr w:type="spellStart"/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Beckman</w:t>
            </w:r>
            <w:proofErr w:type="spellEnd"/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Coulter</w:t>
            </w:r>
            <w:proofErr w:type="spellEnd"/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Diagnostics</w:t>
            </w:r>
            <w:proofErr w:type="spellEnd"/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dalimi (</w:t>
            </w:r>
            <w:hyperlink r:id="rId25" w:history="1">
              <w:r w:rsidRPr="001C4ED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https://globenewswire.com/news-release/2012/09/17/491022/10005316/en/IRIS-International-Announces-Agreement-to-be-Acquired-by-Danaher-Corporation-for-19-50-per-Share.html</w:t>
              </w:r>
            </w:hyperlink>
            <w:r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kuri šiuo metu ir tiekia rinkai mikroskopijos modulių Iris iQ200 serijos gaminius (</w:t>
            </w:r>
            <w:hyperlink r:id="rId26" w:history="1">
              <w:r w:rsidRPr="001C4ED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https://www.beckmancoulter.com/ wsrportal/WSR/diagnostics/clinical-products/urinalysis/iricell-microscopy/index.htm</w:t>
              </w:r>
            </w:hyperlink>
            <w:r w:rsidR="00A45D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tačiau </w:t>
            </w:r>
            <w:r w:rsidR="00BA67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šio gamintojo dokumentas nepateiktas.</w:t>
            </w:r>
          </w:p>
          <w:p w:rsidR="004F6D4E" w:rsidRPr="00221B44" w:rsidRDefault="00BA6730" w:rsidP="004F6D4E">
            <w:pPr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Tarnyba konstatuoja, kad </w:t>
            </w:r>
            <w:r w:rsidR="00631F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</w:t>
            </w:r>
            <w:r w:rsidR="00631F9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UAB „</w:t>
            </w:r>
            <w:proofErr w:type="spellStart"/>
            <w:r w:rsidR="00631F9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Interlux</w:t>
            </w:r>
            <w:proofErr w:type="spellEnd"/>
            <w:r w:rsidR="00631F9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 pasiūlymą Pirkimo objekto daliai Nr. 1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26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įvertino ne pagal Pirkimo dokumentuose nustatytus reikalavimus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626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 neteisėtai pripažino laimėtoju Pirkimo objekto dalyje Nr. 1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6264D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UAB „</w:t>
            </w:r>
            <w:proofErr w:type="spellStart"/>
            <w:r w:rsidR="006264D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Interlux</w:t>
            </w:r>
            <w:proofErr w:type="spellEnd"/>
            <w:r w:rsidR="006264D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“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pasiūlymas turėjo būti atmestas, kaip neatitinkanti</w:t>
            </w:r>
            <w:r w:rsidR="003C14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F084E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</w:t>
            </w:r>
            <w:r w:rsidR="006F084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dokumentų</w:t>
            </w:r>
            <w:r w:rsidR="006F084E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81ECC" w:rsidRPr="001C4E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reikalavimų). </w:t>
            </w:r>
          </w:p>
        </w:tc>
      </w:tr>
      <w:tr w:rsidR="00F83ADC" w:rsidRPr="00307F8F" w:rsidTr="00F83ADC">
        <w:tc>
          <w:tcPr>
            <w:tcW w:w="1101" w:type="dxa"/>
            <w:gridSpan w:val="2"/>
          </w:tcPr>
          <w:p w:rsidR="00F83ADC" w:rsidRPr="004F6D4E" w:rsidRDefault="00F83ADC" w:rsidP="004F6D4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8533" w:type="dxa"/>
            <w:gridSpan w:val="2"/>
          </w:tcPr>
          <w:p w:rsidR="00F83ADC" w:rsidRPr="004F6D4E" w:rsidRDefault="00F83ADC" w:rsidP="00F83AD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Įstatymo 39 straipsnio 7 dalis</w:t>
            </w:r>
            <w:r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6"/>
            </w:r>
            <w:r w:rsidR="006C142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Įstatymo 39 straipsnio 2 dalies 2 punktas</w:t>
            </w:r>
            <w:r w:rsidR="006C142F">
              <w:rPr>
                <w:rStyle w:val="Puslapioinaosnuoroda"/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footnoteReference w:id="7"/>
            </w:r>
            <w:r w:rsidR="006C142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</w:tr>
      <w:tr w:rsidR="004F6D4E" w:rsidRPr="00307F8F" w:rsidTr="00251BFD">
        <w:tc>
          <w:tcPr>
            <w:tcW w:w="9634" w:type="dxa"/>
            <w:gridSpan w:val="4"/>
          </w:tcPr>
          <w:p w:rsidR="00DE37D6" w:rsidRDefault="00DE37D6" w:rsidP="007C49D2">
            <w:pPr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Pirkimo komisija 2016-12-02 posėdyje (protokolas Nr. 10) nustatė pasiūlymų eilę,  Pirkimo objekto dalyje Nr. 6 įrašydama vienintelį tiekėją UAB „</w:t>
            </w:r>
            <w:r w:rsidR="003534E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Diagnostinės sistemos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“, ir priėmė sprendimą su ja sudaryti pirkimo sutartį.</w:t>
            </w:r>
            <w:r w:rsidR="00101C6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104E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Perkančioji organizacija, gavusi kito tiekėjo pretenziją</w:t>
            </w:r>
            <w:r w:rsidR="00635EE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</w:t>
            </w:r>
            <w:r w:rsidR="007A6B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2016-12-16)</w:t>
            </w:r>
            <w:r w:rsidR="00104E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dėl UAB „Diagnostinės sistemos“ pasiūlymo</w:t>
            </w:r>
            <w:r w:rsidR="00635EEC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Pirkimo objekto daliai Nr. 6 neatitikimo Pirkimo dokumentuose nustatytiems reikalavimams</w:t>
            </w:r>
            <w:r w:rsidR="007A6BE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 w:rsidR="009D0DC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nepagrįstai atmetė tiekėjo pretenziją ir netinkamai įvertino </w:t>
            </w:r>
            <w:r w:rsidR="0059793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UAB „Diagnostinės sistemos“ </w:t>
            </w:r>
            <w:r w:rsidR="009D0DC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pasiūlymo atitiktį </w:t>
            </w:r>
            <w:r w:rsidR="0059793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Pirkimo dokumentų (Techninės specifikacijos) reikalavimams</w:t>
            </w:r>
            <w:r w:rsidR="000843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(Perkančiosios organizacijos 2016-12-23 raštas Nr. SD-2661</w:t>
            </w:r>
            <w:r w:rsidR="007C49D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toliau – Raštas</w:t>
            </w:r>
            <w:r w:rsidR="000843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)</w:t>
            </w:r>
            <w:r w:rsidR="00D65D6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:</w:t>
            </w:r>
            <w:r w:rsidR="0059793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  <w:p w:rsidR="006F6CB3" w:rsidRPr="006F6CB3" w:rsidRDefault="002D0459" w:rsidP="007A0351">
            <w:pPr>
              <w:pStyle w:val="Sraopastraipa"/>
              <w:numPr>
                <w:ilvl w:val="0"/>
                <w:numId w:val="47"/>
              </w:numPr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6C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objekto dalies Nr. 6 Techninėje specifikacijoje nustatyta, kad tyrimo „Laisvas T3“ </w:t>
            </w:r>
            <w:r w:rsidR="007A08E5" w:rsidRPr="006F6C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7A08E5" w:rsidRPr="006F6CB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analizinis jautrumas ≤ 1,5 </w:t>
            </w:r>
            <w:proofErr w:type="spellStart"/>
            <w:r w:rsidR="007A08E5" w:rsidRPr="006F6CB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pmol</w:t>
            </w:r>
            <w:proofErr w:type="spellEnd"/>
            <w:r w:rsidR="007A08E5" w:rsidRPr="006F6CB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/l</w:t>
            </w:r>
            <w:r w:rsidR="007A08E5" w:rsidRPr="006F6C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  <w:p w:rsidR="00DA1732" w:rsidRPr="007A0351" w:rsidRDefault="00733640" w:rsidP="007A0351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Rašte nurodyta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 „</w:t>
            </w:r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pagal &lt;...&gt;  analizatoriaus gamintojo duomenis, kiekybinio matavimo riba buvo mažesnė nei 0,96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pg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/ml [1,47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pmol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/l]“. </w:t>
            </w:r>
            <w:r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Perkančioji organizacija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taip pat pateikia</w:t>
            </w:r>
            <w:r w:rsidR="006F6CB3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D7B25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</w:t>
            </w:r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gamintojo informacijos iškarpą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“, kuri turėtų pagrįsti siūlomo </w:t>
            </w:r>
            <w:r w:rsidR="006F6CB3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reagento </w:t>
            </w:r>
            <w:r w:rsidR="00D05B86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6F6CB3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Laisvas 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T3</w:t>
            </w:r>
            <w:r w:rsidR="00D05B86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atitikimą </w:t>
            </w:r>
            <w:r w:rsidR="00AD7B25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Techninės 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specifikacijos </w:t>
            </w:r>
            <w:r w:rsidR="00D05B86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(Pirkimo objekto daliai Nr. 6) 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reikalavimams („</w:t>
            </w:r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Analizinis jautrumas &lt; 1,5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pmol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/l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“). Tačiau specifikacijoje yra nurodomas reikalavimas ne kiekybinio matavimo ribai (angl. „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limit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of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quantitation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“), o analiziniam jautrumui (angl. „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analytical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sensitivity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“). Viešai prieinamoje informacijoje apie </w:t>
            </w:r>
            <w:proofErr w:type="spellStart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Abbott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Architect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analizatoriaus laisvo T3 hormono testo reagentų rinkinį (katalogo Nr. 7K63, žr. </w:t>
            </w:r>
            <w:hyperlink r:id="rId27" w:history="1">
              <w:r w:rsidR="00DA1732" w:rsidRPr="007A035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http://www.ilexmedical.com/files/PDF/FreeT3_ARC.pdf</w:t>
              </w:r>
            </w:hyperlink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yra nurodyta, kad reagento analizinis 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jautrumas yra 1,0 </w:t>
            </w:r>
            <w:proofErr w:type="spellStart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pg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proofErr w:type="spellStart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mL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(„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analytical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sensitivity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(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low-linearity)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is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defined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in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ARCHITECT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Free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T3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assay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parameters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as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1.0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pg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mL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“), o taip pat nurodyta, kad konversijos į </w:t>
            </w:r>
            <w:proofErr w:type="spellStart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pmol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/l koeficientas yra 1,536</w:t>
            </w:r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(„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Conversion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Formula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: (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Concentration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in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pg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mL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) x (1.536) =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Concentration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in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pmol</w:t>
            </w:r>
            <w:proofErr w:type="spellEnd"/>
            <w:r w:rsidR="00DA1732" w:rsidRPr="007A035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/L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“). Tokiu būdu</w:t>
            </w:r>
            <w:r w:rsidR="00074C5D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gamintojo informacijoje yra nurodyta, kad ši</w:t>
            </w:r>
            <w:r w:rsidR="00D3745C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reagentų rinkinio analizinis jautrumas viršija 1,5 </w:t>
            </w:r>
            <w:proofErr w:type="spellStart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pmol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/l ribą ir tokiu būdu jis neatitinka </w:t>
            </w:r>
            <w:r w:rsidR="00074C5D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</w:t>
            </w:r>
            <w:r w:rsidR="00D3745C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dokumentų 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reikalavimų. Svarbu pastebėti, kad kaip gamintojo informaciją </w:t>
            </w:r>
            <w:r w:rsidR="00D3745C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Perkančioji organizacija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pateikia mokslinės konferencijos (68th AACC </w:t>
            </w:r>
            <w:proofErr w:type="spellStart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Annual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Scientific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Meeting</w:t>
            </w:r>
            <w:proofErr w:type="spellEnd"/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abstraktą, kas jokiu būdu nėra oficiali gamintojo informacija ir į ką pagrįstai atkreipė dėmesį </w:t>
            </w:r>
            <w:r w:rsidR="0050442F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pateikęs pretenziją</w:t>
            </w:r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hyperlink r:id="rId28" w:history="1">
              <w:r w:rsidR="00DA1732" w:rsidRPr="007A0351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https://www.aacc.org/~/media/files/annual-meeting/2016/abstracts/aacc16_am_a161a238.pdf?la=en</w:t>
              </w:r>
            </w:hyperlink>
            <w:r w:rsidR="00DA1732" w:rsidRP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);  </w:t>
            </w:r>
          </w:p>
          <w:p w:rsidR="005F54E4" w:rsidRDefault="006F6CB3" w:rsidP="00ED4755">
            <w:pPr>
              <w:pStyle w:val="Sraopastraipa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objekto dalies Nr. 6 Techninėje specifikacijoje nustatyta, kad tyrimo „</w:t>
            </w:r>
            <w:r w:rsidR="007A035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Testosteronas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„</w:t>
            </w:r>
            <w:r w:rsidR="005F54E4"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kiekybinio matavimo riba </w:t>
            </w:r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≤ </w:t>
            </w:r>
            <w:r w:rsid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0,1</w:t>
            </w:r>
            <w:r w:rsidRPr="006F6CB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</w:t>
            </w:r>
            <w:r w:rsidRPr="006F6CB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mol</w:t>
            </w:r>
            <w:proofErr w:type="spellEnd"/>
            <w:r w:rsidRPr="006F6CB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  <w:p w:rsidR="00DA1732" w:rsidRPr="005F54E4" w:rsidRDefault="00DA1732" w:rsidP="00ED4755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A215E9"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erkančioji organizacija Rašte</w:t>
            </w:r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nurodo, kad UAB „Diagnostinės sistemos“ pasiūlyto testosterono 2-os kartos testo kiekybinio matavimo riba (angl. „</w:t>
            </w:r>
            <w:proofErr w:type="spellStart"/>
            <w:r w:rsidRPr="005F54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Limit</w:t>
            </w:r>
            <w:proofErr w:type="spellEnd"/>
            <w:r w:rsidRPr="005F54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oj</w:t>
            </w:r>
            <w:proofErr w:type="spellEnd"/>
            <w:r w:rsidRPr="005F54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Quantitation</w:t>
            </w:r>
            <w:proofErr w:type="spellEnd"/>
            <w:r w:rsidRPr="005F54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– </w:t>
            </w:r>
            <w:proofErr w:type="spellStart"/>
            <w:r w:rsidRPr="005F54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LoQ</w:t>
            </w:r>
            <w:proofErr w:type="spellEnd"/>
            <w:r w:rsidRPr="005F54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“</w:t>
            </w:r>
            <w:r w:rsidRPr="005F54E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)</w:t>
            </w:r>
            <w:r w:rsidRPr="005F54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0,08 </w:t>
            </w:r>
            <w:proofErr w:type="spellStart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nmol</w:t>
            </w:r>
            <w:proofErr w:type="spellEnd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B52322"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 (2,30 </w:t>
            </w:r>
            <w:proofErr w:type="spellStart"/>
            <w:r w:rsidR="00B52322"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ng</w:t>
            </w:r>
            <w:proofErr w:type="spellEnd"/>
            <w:r w:rsidR="00B52322"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/dl) ir kaip įrodymą taip pat</w:t>
            </w:r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pateikia „</w:t>
            </w:r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Gamintojo informacijos iškarpą</w:t>
            </w:r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kurioje nurodyta, kad „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LoQ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was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determined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based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on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guidance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from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NCCLS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document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EPI7-A</w:t>
            </w:r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lt-LT"/>
              </w:rPr>
              <w:t>15</w:t>
            </w:r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observed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LoQ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for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ARCHITECT 2nd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Generation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Testosterone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assay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was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0.08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nmol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/L (2.30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ng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dL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)</w:t>
            </w:r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“. Tačiau viešai </w:t>
            </w:r>
            <w:r w:rsidR="00B52322"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skelbiama</w:t>
            </w:r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informacija to nepatvirtina: gamintojo paraiškoje JAV vaistų ir maisto agentūrai yra nurodyta, kad testosterono 2-os kartos testo </w:t>
            </w:r>
            <w:proofErr w:type="spellStart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LoQ</w:t>
            </w:r>
            <w:proofErr w:type="spellEnd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4.33 </w:t>
            </w:r>
            <w:proofErr w:type="spellStart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ng</w:t>
            </w:r>
            <w:proofErr w:type="spellEnd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proofErr w:type="spellStart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dL</w:t>
            </w:r>
            <w:proofErr w:type="spellEnd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t.y. 0,15 </w:t>
            </w:r>
            <w:proofErr w:type="spellStart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nmol</w:t>
            </w:r>
            <w:proofErr w:type="spellEnd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/l („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LoQ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study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design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was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based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on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guidance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from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NCCLS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document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EP17-A.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observed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LoQ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for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ARCHITECT 2nd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Generation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Testosterone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assay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was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4.33 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ng</w:t>
            </w:r>
            <w:proofErr w:type="spellEnd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</w:t>
            </w:r>
            <w:proofErr w:type="spellStart"/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dL</w:t>
            </w:r>
            <w:proofErr w:type="spellEnd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“, žr. </w:t>
            </w:r>
            <w:hyperlink r:id="rId29" w:history="1">
              <w:r w:rsidRPr="005F54E4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https://www.accessdata.fda.gov/cdrh_docs/pdf12/k120009.pdf</w:t>
              </w:r>
            </w:hyperlink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</w:t>
            </w:r>
            <w:r w:rsidR="00D95627"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Atsižvelgiant į tai, Perkančiosios organizacijos</w:t>
            </w:r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pateikt</w:t>
            </w:r>
            <w:r w:rsidR="00D95627"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informacija (</w:t>
            </w:r>
            <w:r w:rsidR="00D95627"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ne</w:t>
            </w:r>
            <w:r w:rsidRPr="005F54E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oficiali gamintojo</w:t>
            </w:r>
            <w:r w:rsidR="009D1F75"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ne</w:t>
            </w:r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pagrindžiančia, jog reagento kiekybinio matavimo riba yra 0.08 </w:t>
            </w:r>
            <w:proofErr w:type="spellStart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nmol</w:t>
            </w:r>
            <w:proofErr w:type="spellEnd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/l, o ne 0,15 </w:t>
            </w:r>
            <w:proofErr w:type="spellStart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nmol</w:t>
            </w:r>
            <w:proofErr w:type="spellEnd"/>
            <w:r w:rsidRPr="005F5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/l;</w:t>
            </w:r>
          </w:p>
          <w:p w:rsidR="00714C87" w:rsidRPr="00714C87" w:rsidRDefault="00D10505" w:rsidP="00714C87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14C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(3) </w:t>
            </w:r>
            <w:r w:rsidR="00714C87" w:rsidRPr="00714C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objekto dalies Nr. 6 Techninėje specifikacijoje nustatyta, kad tyrimo „</w:t>
            </w:r>
            <w:r w:rsidR="00BB4B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Progesteronas</w:t>
            </w:r>
            <w:r w:rsidR="00714C87" w:rsidRPr="00714C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„</w:t>
            </w:r>
            <w:r w:rsidR="00BB4B41" w:rsidRPr="00BB4B4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analizinis jautrumas</w:t>
            </w:r>
            <w:r w:rsidR="00714C87" w:rsidRPr="00BB4B4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≤ 0,</w:t>
            </w:r>
            <w:r w:rsidR="00BB4B41" w:rsidRPr="00BB4B4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3</w:t>
            </w:r>
            <w:r w:rsidR="00714C87" w:rsidRPr="00BB4B4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14C87" w:rsidRPr="00BB4B4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nmol</w:t>
            </w:r>
            <w:proofErr w:type="spellEnd"/>
            <w:r w:rsidR="00714C87" w:rsidRPr="00BB4B41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/l</w:t>
            </w:r>
            <w:r w:rsidR="00714C87" w:rsidRPr="00714C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  <w:p w:rsidR="00DA1732" w:rsidRPr="007C0A5B" w:rsidRDefault="00DA1732" w:rsidP="00D10505">
            <w:pPr>
              <w:pStyle w:val="Sraopastraipa"/>
              <w:autoSpaceDE w:val="0"/>
              <w:autoSpaceDN w:val="0"/>
              <w:adjustRightInd w:val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Gamintojo </w:t>
            </w:r>
            <w:proofErr w:type="spellStart"/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Architect</w:t>
            </w:r>
            <w:proofErr w:type="spellEnd"/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progesterono reagentų rinkinio (katalogo Nr. 7K77) aprašyme yra nurodyta, kad testo analizinis jautrumas yra ≤ 0.1 </w:t>
            </w:r>
            <w:proofErr w:type="spellStart"/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ng</w:t>
            </w:r>
            <w:proofErr w:type="spellEnd"/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/ml („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ARCHITECT Progesterone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assay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is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designed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to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have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an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analytical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sensitivity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of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≤ 0.1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ng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mL</w:t>
            </w:r>
            <w:proofErr w:type="spellEnd"/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 arba ≤ </w:t>
            </w:r>
            <w:r w:rsidRPr="001C7696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0.318 </w:t>
            </w:r>
            <w:proofErr w:type="spellStart"/>
            <w:r w:rsidRPr="001C7696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nmol</w:t>
            </w:r>
            <w:proofErr w:type="spellEnd"/>
            <w:r w:rsidRPr="001C7696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/l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tokiu būdu jis neatitinka </w:t>
            </w:r>
            <w:r w:rsidR="001C76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specifikacijos</w:t>
            </w:r>
            <w:r w:rsidR="001C7696"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reikalavimų (“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default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result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unit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for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ARCHITECT Progesterone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assay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is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ng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mL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When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alternate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result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unit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nmol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/L,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is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selected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conversion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factor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used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by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system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is</w:t>
            </w:r>
            <w:proofErr w:type="spellEnd"/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3.18”, 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žr. </w:t>
            </w:r>
            <w:hyperlink r:id="rId30" w:history="1">
              <w:r w:rsidRPr="007C0A5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http://www.ilexmedical.com/files/PDF/Progesterone_ARC.pdf</w:t>
              </w:r>
            </w:hyperlink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  <w:r w:rsidR="008C42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Pastebėtina, kad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906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Perkančiosios organizacijos 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</w:t>
            </w:r>
            <w:r w:rsidR="003C17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ištrauka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 „gamintojo informacijos“ („</w:t>
            </w:r>
            <w:r w:rsidRPr="007C0A5B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Dokumentas 200920-104.fm. (4 versija) "ARCHITECT Progesterono tyrimo sutrikimų šalinimo rekomendacijos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") verčia abejoti</w:t>
            </w:r>
            <w:r w:rsidR="00292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</w:t>
            </w:r>
            <w:r w:rsidR="00292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„rekomendacijos“ 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oficialus gamintojo reagentų rinkinio aprašas</w:t>
            </w:r>
            <w:r w:rsidR="00292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ar šią informaciją galima būtų vertinti</w:t>
            </w:r>
            <w:r w:rsidR="002923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C0A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oficialią gamintojo informaciją apie testo analizinį jautrumą;</w:t>
            </w:r>
          </w:p>
          <w:p w:rsidR="003B656A" w:rsidRPr="003B656A" w:rsidRDefault="003B656A" w:rsidP="003B656A">
            <w:pPr>
              <w:pStyle w:val="Sraopastraipa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objekto dalies Nr. 6 Techninėje specifikacijoje nustatyta, kad tyrimo „</w:t>
            </w:r>
            <w:r w:rsidR="00041C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 peptidas</w:t>
            </w:r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„</w:t>
            </w:r>
            <w:r w:rsidR="00041C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aptikimo riba (serume ir plazmoje</w:t>
            </w:r>
            <w:r w:rsidR="0029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≤ </w:t>
            </w:r>
            <w:r w:rsidR="00296C0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3,0 </w:t>
            </w:r>
            <w:proofErr w:type="spellStart"/>
            <w:r w:rsidR="00296C0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</w:t>
            </w:r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mol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/l</w:t>
            </w:r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  <w:p w:rsidR="00DA1732" w:rsidRPr="003B656A" w:rsidRDefault="00DA1732" w:rsidP="00296C0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Abbott</w:t>
            </w:r>
            <w:proofErr w:type="spellEnd"/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Architect</w:t>
            </w:r>
            <w:proofErr w:type="spellEnd"/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 peptido testo regentų komplekto (katalogo Nr. 3L53) apraše gamintojas nurodo, kad testo aptikimo riba (angl. „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Limit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of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Detection</w:t>
            </w:r>
            <w:proofErr w:type="spellEnd"/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 yra 0.01 </w:t>
            </w:r>
            <w:proofErr w:type="spellStart"/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ng</w:t>
            </w:r>
            <w:proofErr w:type="spellEnd"/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/ml („</w:t>
            </w:r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A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study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was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performed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based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on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guidance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from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the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CLSI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Protocol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EP17-A20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and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resulted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in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&lt;...&gt;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LoD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of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0.01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ng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mL</w:t>
            </w:r>
            <w:proofErr w:type="spellEnd"/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 arba </w:t>
            </w:r>
            <w:r w:rsidRPr="00997B8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3.33 </w:t>
            </w:r>
            <w:proofErr w:type="spellStart"/>
            <w:r w:rsidRPr="00997B8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pmol</w:t>
            </w:r>
            <w:proofErr w:type="spellEnd"/>
            <w:r w:rsidRPr="00997B8D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/l</w:t>
            </w:r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(„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Conversion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formula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: (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Concentration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in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ng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mL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) x (333.33) = </w:t>
            </w:r>
            <w:proofErr w:type="spellStart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pmol</w:t>
            </w:r>
            <w:proofErr w:type="spellEnd"/>
            <w:r w:rsidRPr="003B656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/L</w:t>
            </w:r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“, </w:t>
            </w:r>
            <w:hyperlink r:id="rId31" w:history="1">
              <w:r w:rsidRPr="003B656A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lt-LT"/>
                </w:rPr>
                <w:t>http://www.ilexmedical.com/files/PDF/C-Peptide_ARC.pdf</w:t>
              </w:r>
            </w:hyperlink>
            <w:r w:rsidR="00997B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 Tai patvirtina</w:t>
            </w:r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jog testas neatitinka </w:t>
            </w:r>
            <w:r w:rsidR="00C91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specifikacijos</w:t>
            </w:r>
            <w:r w:rsidR="00C916B0"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reikalavimų. P</w:t>
            </w:r>
            <w:r w:rsidR="00C916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erkančiosios organizacijos</w:t>
            </w:r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pateiktos „gamintojo informacijos“ ištraukos pavadinimas rodo, jog tai nėra oficialus gamintojo reagentų rinkinio aprašas (</w:t>
            </w:r>
            <w:r w:rsidRPr="00BB3A9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</w:t>
            </w:r>
            <w:r w:rsidR="00BB3A99" w:rsidRPr="00BB3A9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aip pat,</w:t>
            </w:r>
            <w:r w:rsidRPr="00BB3A9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kaip ir progesterono testo rinkinio atvej</w:t>
            </w:r>
            <w:r w:rsidR="00BB3A9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u</w:t>
            </w:r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todėl tokia informacija neturėtų būti remiamasi darant išvadas apie rinkinio atitikimą </w:t>
            </w:r>
            <w:r w:rsidR="00BB3A99"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BB3A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dokumentų </w:t>
            </w:r>
            <w:r w:rsidRPr="003B656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reikalavimams. </w:t>
            </w:r>
          </w:p>
          <w:p w:rsidR="004F6D4E" w:rsidRPr="00307F8F" w:rsidRDefault="004F6D4E" w:rsidP="00251BFD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4975B1" w:rsidRDefault="004975B1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C71D91" w:rsidRDefault="00C71D91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8F466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ED2E43" w:rsidRPr="00307F8F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307F8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BA3D29" w:rsidRPr="00307F8F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45"/>
        <w:gridCol w:w="9189"/>
      </w:tblGrid>
      <w:tr w:rsidR="00FD74E9" w:rsidRPr="00307F8F" w:rsidTr="00403905">
        <w:tc>
          <w:tcPr>
            <w:tcW w:w="445" w:type="dxa"/>
          </w:tcPr>
          <w:p w:rsidR="00FD74E9" w:rsidRPr="00307F8F" w:rsidRDefault="00FD74E9" w:rsidP="00BA3D29">
            <w:pPr>
              <w:pStyle w:val="Sraopastraipa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89" w:type="dxa"/>
          </w:tcPr>
          <w:p w:rsidR="00FD74E9" w:rsidRPr="00307F8F" w:rsidRDefault="000F6D6C" w:rsidP="003C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E098B" w:rsidRPr="00307F8F" w:rsidTr="00403905">
        <w:tc>
          <w:tcPr>
            <w:tcW w:w="9634" w:type="dxa"/>
            <w:gridSpan w:val="2"/>
          </w:tcPr>
          <w:p w:rsidR="004E098B" w:rsidRPr="00307F8F" w:rsidRDefault="004E098B" w:rsidP="008B3D96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8E38C1" w:rsidRDefault="008E38C1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90EFE" w:rsidRPr="00780425" w:rsidRDefault="003C17A6" w:rsidP="0007339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80425">
        <w:rPr>
          <w:rFonts w:ascii="Times New Roman" w:hAnsi="Times New Roman" w:cs="Times New Roman"/>
          <w:b/>
          <w:sz w:val="24"/>
          <w:szCs w:val="24"/>
          <w:lang w:val="lt-LT"/>
        </w:rPr>
        <w:t>IV dalis. SPRENDIMAS</w:t>
      </w:r>
    </w:p>
    <w:p w:rsidR="00553737" w:rsidRDefault="00C47501" w:rsidP="005C7AD3">
      <w:pPr>
        <w:pStyle w:val="Normal12pt"/>
        <w:ind w:right="0" w:firstLine="851"/>
      </w:pPr>
      <w:r w:rsidRPr="00780425">
        <w:t xml:space="preserve">Tarnyba, </w:t>
      </w:r>
      <w:r w:rsidR="00553737" w:rsidRPr="00780425">
        <w:t>vadovaudamasi Lietuvos Respublikos viešųjų pirkimų įstatymo 8</w:t>
      </w:r>
      <w:r w:rsidR="00553737" w:rsidRPr="00780425">
        <w:rPr>
          <w:vertAlign w:val="superscript"/>
        </w:rPr>
        <w:t>2</w:t>
      </w:r>
      <w:r w:rsidR="00553737" w:rsidRPr="00780425">
        <w:t xml:space="preserve"> straipsnio 2 dalies 6 punktu, </w:t>
      </w:r>
      <w:r w:rsidR="00553737" w:rsidRPr="00780425">
        <w:rPr>
          <w:b/>
        </w:rPr>
        <w:t>įpareigoja</w:t>
      </w:r>
      <w:r w:rsidR="00553737" w:rsidRPr="00780425">
        <w:t xml:space="preserve"> Perkančiąją organizaciją:</w:t>
      </w:r>
    </w:p>
    <w:p w:rsidR="0043589A" w:rsidRDefault="00553737" w:rsidP="0043589A">
      <w:pPr>
        <w:pStyle w:val="Normal12pt"/>
        <w:numPr>
          <w:ilvl w:val="0"/>
          <w:numId w:val="49"/>
        </w:numPr>
        <w:tabs>
          <w:tab w:val="clear" w:pos="737"/>
          <w:tab w:val="left" w:pos="0"/>
        </w:tabs>
        <w:ind w:left="0" w:right="0" w:firstLine="851"/>
      </w:pPr>
      <w:r w:rsidRPr="00780425">
        <w:t xml:space="preserve">Atsižvelgdama </w:t>
      </w:r>
      <w:r w:rsidR="00C47501" w:rsidRPr="00780425">
        <w:t>į išvados II dal</w:t>
      </w:r>
      <w:r>
        <w:t>ies 1 punkte</w:t>
      </w:r>
      <w:r w:rsidR="00C47501" w:rsidRPr="00780425">
        <w:t xml:space="preserve"> nustatytus Įstatymo nuostatų pažeidimus</w:t>
      </w:r>
      <w:r w:rsidR="00490EFE" w:rsidRPr="008D2BC1">
        <w:t xml:space="preserve">, </w:t>
      </w:r>
      <w:r w:rsidR="00490EFE">
        <w:t xml:space="preserve">kurių nėra galimybės ištaisyti, nes įvyko vokų su pasiūlymais atplėšimo procedūra, </w:t>
      </w:r>
      <w:r w:rsidR="007D2E72">
        <w:t>nutraukti Pirkimo objekto dalių Nr. 1, Nr. 2</w:t>
      </w:r>
      <w:r w:rsidR="00E07161">
        <w:t>,</w:t>
      </w:r>
      <w:r w:rsidR="007D2E72">
        <w:t xml:space="preserve"> Nr. </w:t>
      </w:r>
      <w:r w:rsidR="0043589A">
        <w:t>5</w:t>
      </w:r>
      <w:r w:rsidR="00E07161">
        <w:t>, Nr. 8 ir Nr. 12</w:t>
      </w:r>
      <w:r w:rsidR="0043589A">
        <w:t xml:space="preserve"> procedūra</w:t>
      </w:r>
      <w:r w:rsidR="00E07161">
        <w:t>s</w:t>
      </w:r>
      <w:r w:rsidR="0043589A">
        <w:t>;</w:t>
      </w:r>
    </w:p>
    <w:p w:rsidR="0098658F" w:rsidRDefault="0043589A" w:rsidP="00FA01D7">
      <w:pPr>
        <w:pStyle w:val="Normal12pt"/>
        <w:numPr>
          <w:ilvl w:val="0"/>
          <w:numId w:val="49"/>
        </w:numPr>
        <w:tabs>
          <w:tab w:val="clear" w:pos="737"/>
          <w:tab w:val="left" w:pos="0"/>
        </w:tabs>
        <w:ind w:left="0" w:right="0" w:firstLine="851"/>
        <w:rPr>
          <w:lang w:eastAsia="lt-LT"/>
        </w:rPr>
      </w:pPr>
      <w:r w:rsidRPr="00780425">
        <w:t>Atsižvelgdama į išvados II dal</w:t>
      </w:r>
      <w:r>
        <w:t xml:space="preserve">ies </w:t>
      </w:r>
      <w:r w:rsidR="00F83ADC">
        <w:t xml:space="preserve">3 </w:t>
      </w:r>
      <w:r>
        <w:t>punkt</w:t>
      </w:r>
      <w:r w:rsidR="00E56A10">
        <w:t>e</w:t>
      </w:r>
      <w:r w:rsidRPr="00780425">
        <w:t xml:space="preserve"> nustatytus Įstatymo nuostatų pažeidimus</w:t>
      </w:r>
      <w:r>
        <w:t xml:space="preserve">, panaikinti priimtus sprendimus </w:t>
      </w:r>
      <w:r w:rsidR="00E35F0D">
        <w:t>dėl</w:t>
      </w:r>
      <w:r w:rsidR="00E56A10">
        <w:t xml:space="preserve"> </w:t>
      </w:r>
      <w:r w:rsidR="00E56A10">
        <w:rPr>
          <w:bCs/>
        </w:rPr>
        <w:t>Pirkimo objekto dali</w:t>
      </w:r>
      <w:r w:rsidR="005334B8">
        <w:rPr>
          <w:bCs/>
        </w:rPr>
        <w:t>es</w:t>
      </w:r>
      <w:r w:rsidR="00E56A10">
        <w:rPr>
          <w:bCs/>
        </w:rPr>
        <w:t xml:space="preserve"> Nr. 6 pasiūlymų eilės sudarymo ir laimėtoj</w:t>
      </w:r>
      <w:r w:rsidR="00960CED">
        <w:rPr>
          <w:bCs/>
        </w:rPr>
        <w:t>o</w:t>
      </w:r>
      <w:r w:rsidR="00E56A10">
        <w:rPr>
          <w:bCs/>
        </w:rPr>
        <w:t xml:space="preserve"> nustatymo. </w:t>
      </w:r>
      <w:r w:rsidR="009434D2">
        <w:rPr>
          <w:bCs/>
        </w:rPr>
        <w:t>Iš naujo įvertinti tiekėj</w:t>
      </w:r>
      <w:r w:rsidR="001E650D">
        <w:rPr>
          <w:bCs/>
        </w:rPr>
        <w:t>o</w:t>
      </w:r>
      <w:r w:rsidR="00B56A46">
        <w:rPr>
          <w:bCs/>
        </w:rPr>
        <w:t xml:space="preserve"> UAB „Diagnostinės sistemos“ (Pirkimo objekto dalyje Nr. 6)</w:t>
      </w:r>
      <w:r w:rsidR="00FA01D7">
        <w:rPr>
          <w:bCs/>
        </w:rPr>
        <w:t xml:space="preserve"> pasiūlym</w:t>
      </w:r>
      <w:r w:rsidR="00960CED">
        <w:rPr>
          <w:bCs/>
        </w:rPr>
        <w:t>o</w:t>
      </w:r>
      <w:r w:rsidR="00FA01D7">
        <w:rPr>
          <w:bCs/>
        </w:rPr>
        <w:t xml:space="preserve"> atitiktį Techninės specifikacijos reikalavimams.</w:t>
      </w:r>
    </w:p>
    <w:p w:rsidR="00C47501" w:rsidRDefault="0098658F" w:rsidP="0098658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3. </w:t>
      </w:r>
      <w:r w:rsidR="00C47501" w:rsidRPr="00780425">
        <w:rPr>
          <w:rFonts w:ascii="Times New Roman" w:hAnsi="Times New Roman" w:cs="Times New Roman"/>
          <w:sz w:val="24"/>
          <w:szCs w:val="24"/>
          <w:lang w:val="lt-LT"/>
        </w:rPr>
        <w:t>Raštu informuoti Tarnybą apie įpareigojimo įvykdymą ir pateikti tai patvirtinančius dokumentus.</w:t>
      </w:r>
    </w:p>
    <w:p w:rsidR="00165CFB" w:rsidRPr="00780425" w:rsidRDefault="00165CFB" w:rsidP="0016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Tarnyba neprieštarauja, kad Pirkimo objekto dalių </w:t>
      </w:r>
      <w:r w:rsidR="00D44711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FA01D7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1E650D">
        <w:rPr>
          <w:rFonts w:ascii="Times New Roman" w:hAnsi="Times New Roman" w:cs="Times New Roman"/>
          <w:sz w:val="24"/>
          <w:szCs w:val="24"/>
          <w:lang w:val="lt-LT"/>
        </w:rPr>
        <w:t>, Nr. 4</w:t>
      </w:r>
      <w:r w:rsidR="00D44711">
        <w:rPr>
          <w:rFonts w:ascii="Times New Roman" w:hAnsi="Times New Roman" w:cs="Times New Roman"/>
          <w:sz w:val="24"/>
          <w:szCs w:val="24"/>
          <w:lang w:val="lt-LT"/>
        </w:rPr>
        <w:t xml:space="preserve">, Nr. </w:t>
      </w:r>
      <w:r w:rsidR="00552C54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D44711">
        <w:rPr>
          <w:rFonts w:ascii="Times New Roman" w:hAnsi="Times New Roman" w:cs="Times New Roman"/>
          <w:sz w:val="24"/>
          <w:szCs w:val="24"/>
          <w:lang w:val="lt-LT"/>
        </w:rPr>
        <w:t xml:space="preserve">, Nr. </w:t>
      </w:r>
      <w:r w:rsidR="00552C54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1E650D">
        <w:rPr>
          <w:rFonts w:ascii="Times New Roman" w:hAnsi="Times New Roman" w:cs="Times New Roman"/>
          <w:sz w:val="24"/>
          <w:szCs w:val="24"/>
          <w:lang w:val="lt-LT"/>
        </w:rPr>
        <w:t xml:space="preserve"> ir Nr. 11</w:t>
      </w:r>
      <w:r w:rsidR="00D4471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procedūros būtų tęsiamos.</w:t>
      </w:r>
    </w:p>
    <w:p w:rsidR="00C47501" w:rsidRPr="00780425" w:rsidRDefault="00C47501" w:rsidP="00C47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0425">
        <w:rPr>
          <w:rFonts w:ascii="Times New Roman" w:hAnsi="Times New Roman" w:cs="Times New Roman"/>
          <w:sz w:val="24"/>
          <w:szCs w:val="24"/>
          <w:lang w:val="lt-LT"/>
        </w:rPr>
        <w:t xml:space="preserve">Vadovaujantis Lietuvos Respublikos administracinių bylų teisenos įstatymo 5 </w:t>
      </w:r>
      <w:r w:rsidRPr="0020546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05465">
        <w:rPr>
          <w:rFonts w:ascii="Times New Roman" w:hAnsi="Times New Roman" w:cs="Times New Roman"/>
          <w:sz w:val="24"/>
          <w:szCs w:val="24"/>
          <w:lang w:val="lt-LT"/>
        </w:rPr>
        <w:t>17</w:t>
      </w:r>
      <w:r w:rsidRPr="0078042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780425">
        <w:rPr>
          <w:rFonts w:ascii="Times New Roman" w:hAnsi="Times New Roman" w:cs="Times New Roman"/>
          <w:sz w:val="24"/>
          <w:szCs w:val="24"/>
          <w:lang w:val="lt-LT"/>
        </w:rPr>
        <w:t>straipsniais, nesutikę su Tarnybos įpareigojimu, Jūs galite ją apskųsti teismui šio įstatymo nustatyta tvarka.</w:t>
      </w:r>
    </w:p>
    <w:p w:rsidR="00971FD0" w:rsidRDefault="00971FD0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81C1C" w:rsidRPr="00463C95" w:rsidRDefault="00081C1C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7324A" w:rsidRDefault="00463A83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vyriausioji specialistė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EB1582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</w:t>
      </w:r>
      <w:r w:rsidR="0000023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  Gema Petronytė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574B2D" w:rsidRDefault="00574B2D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574B2D" w:rsidRDefault="00574B2D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574B2D" w:rsidRDefault="00574B2D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574B2D" w:rsidRDefault="00574B2D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574B2D" w:rsidRDefault="00574B2D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574B2D" w:rsidRDefault="00574B2D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574B2D" w:rsidRDefault="00574B2D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574B2D" w:rsidRDefault="00574B2D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D21892" w:rsidRDefault="00D21892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215F77" w:rsidRDefault="00215F77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215F77" w:rsidRDefault="00215F77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215F77" w:rsidRDefault="00215F77" w:rsidP="004975B1">
      <w:pPr>
        <w:tabs>
          <w:tab w:val="left" w:pos="900"/>
        </w:tabs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574B2D" w:rsidRPr="00D21892" w:rsidRDefault="00574B2D" w:rsidP="00D21892">
      <w:pPr>
        <w:tabs>
          <w:tab w:val="left" w:pos="900"/>
        </w:tabs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574B2D">
        <w:rPr>
          <w:rFonts w:ascii="Times New Roman" w:hAnsi="Times New Roman" w:cs="Times New Roman"/>
          <w:sz w:val="24"/>
          <w:szCs w:val="24"/>
        </w:rPr>
        <w:t xml:space="preserve">Gema Petronytė, </w:t>
      </w:r>
      <w:proofErr w:type="spellStart"/>
      <w:r w:rsidRPr="00574B2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574B2D">
        <w:rPr>
          <w:rFonts w:ascii="Times New Roman" w:hAnsi="Times New Roman" w:cs="Times New Roman"/>
          <w:sz w:val="24"/>
          <w:szCs w:val="24"/>
        </w:rPr>
        <w:t xml:space="preserve">. (8 5) 219 7047, </w:t>
      </w:r>
      <w:proofErr w:type="spellStart"/>
      <w:r w:rsidRPr="00574B2D">
        <w:rPr>
          <w:rFonts w:ascii="Times New Roman" w:hAnsi="Times New Roman" w:cs="Times New Roman"/>
          <w:sz w:val="24"/>
          <w:szCs w:val="24"/>
        </w:rPr>
        <w:t>faks</w:t>
      </w:r>
      <w:proofErr w:type="spellEnd"/>
      <w:r w:rsidRPr="00574B2D">
        <w:rPr>
          <w:rFonts w:ascii="Times New Roman" w:hAnsi="Times New Roman" w:cs="Times New Roman"/>
          <w:sz w:val="24"/>
          <w:szCs w:val="24"/>
        </w:rPr>
        <w:t xml:space="preserve">. (8 5) 213 6213, </w:t>
      </w:r>
      <w:proofErr w:type="spellStart"/>
      <w:r w:rsidRPr="00574B2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574B2D">
        <w:rPr>
          <w:rFonts w:ascii="Times New Roman" w:hAnsi="Times New Roman" w:cs="Times New Roman"/>
          <w:sz w:val="24"/>
          <w:szCs w:val="24"/>
        </w:rPr>
        <w:t xml:space="preserve">. p. </w:t>
      </w:r>
      <w:hyperlink r:id="rId32" w:history="1">
        <w:r w:rsidRPr="00574B2D">
          <w:rPr>
            <w:rStyle w:val="Hipersaitas"/>
            <w:rFonts w:ascii="Times New Roman" w:hAnsi="Times New Roman" w:cs="Times New Roman"/>
            <w:sz w:val="24"/>
            <w:szCs w:val="24"/>
          </w:rPr>
          <w:t>Gema.Petronyte@vpt.lt</w:t>
        </w:r>
      </w:hyperlink>
    </w:p>
    <w:sectPr w:rsidR="00574B2D" w:rsidRPr="00D21892" w:rsidSect="004D176F">
      <w:headerReference w:type="default" r:id="rId33"/>
      <w:pgSz w:w="11906" w:h="16838"/>
      <w:pgMar w:top="1440" w:right="566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83" w:rsidRDefault="00945D83" w:rsidP="006741AE">
      <w:pPr>
        <w:spacing w:after="0" w:line="240" w:lineRule="auto"/>
      </w:pPr>
      <w:r>
        <w:separator/>
      </w:r>
    </w:p>
  </w:endnote>
  <w:end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83" w:rsidRDefault="00945D83" w:rsidP="006741AE">
      <w:pPr>
        <w:spacing w:after="0" w:line="240" w:lineRule="auto"/>
      </w:pPr>
      <w:r>
        <w:separator/>
      </w:r>
    </w:p>
  </w:footnote>
  <w:foot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footnote>
  <w:footnote w:id="1">
    <w:p w:rsidR="00334369" w:rsidRPr="00334369" w:rsidRDefault="00334369">
      <w:pPr>
        <w:pStyle w:val="Puslapioinaostekstas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334369">
        <w:rPr>
          <w:rFonts w:ascii="Times New Roman" w:hAnsi="Times New Roman" w:cs="Times New Roman"/>
          <w:lang w:val="lt-LT"/>
        </w:rPr>
        <w:t>„Techninė specifikacija turi užtikrinti konkurenciją ir nediskriminuoti tiekėjų“</w:t>
      </w:r>
      <w:r>
        <w:rPr>
          <w:rFonts w:ascii="Times New Roman" w:hAnsi="Times New Roman" w:cs="Times New Roman"/>
          <w:lang w:val="lt-LT"/>
        </w:rPr>
        <w:t>.</w:t>
      </w:r>
    </w:p>
  </w:footnote>
  <w:footnote w:id="2">
    <w:p w:rsidR="003251DE" w:rsidRPr="004E1EAB" w:rsidRDefault="003251DE" w:rsidP="00A21B8A">
      <w:pPr>
        <w:pStyle w:val="Puslapioinaostekstas"/>
        <w:ind w:right="-99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A715BD" w:rsidRPr="00FC5CCF">
        <w:rPr>
          <w:rFonts w:ascii="Times New Roman" w:hAnsi="Times New Roman"/>
        </w:rPr>
        <w:t>„</w:t>
      </w:r>
      <w:r w:rsidR="00A715BD" w:rsidRPr="004E1EAB">
        <w:rPr>
          <w:rFonts w:ascii="Times New Roman" w:hAnsi="Times New Roman"/>
          <w:lang w:val="lt-LT"/>
        </w:rPr>
        <w:t>Perkančioji organizacija</w:t>
      </w:r>
      <w:r w:rsidR="00A715BD" w:rsidRPr="004E1EA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715BD" w:rsidRPr="004E1EAB">
        <w:rPr>
          <w:rFonts w:ascii="Times New Roman" w:hAnsi="Times New Roman"/>
          <w:lang w:val="lt-LT"/>
        </w:rPr>
        <w:t>užtikrina, kad atliekant pirkimo procedūras ir nust</w:t>
      </w:r>
      <w:r w:rsidR="00E06340">
        <w:rPr>
          <w:rFonts w:ascii="Times New Roman" w:hAnsi="Times New Roman"/>
          <w:lang w:val="lt-LT"/>
        </w:rPr>
        <w:t xml:space="preserve">atant laimėtoją būtų laikomasi </w:t>
      </w:r>
      <w:r w:rsidR="00A715BD" w:rsidRPr="004E1EAB">
        <w:rPr>
          <w:rFonts w:ascii="Times New Roman" w:hAnsi="Times New Roman"/>
          <w:lang w:val="lt-LT"/>
        </w:rPr>
        <w:t>skaidrumo</w:t>
      </w:r>
      <w:r w:rsidR="005F5859">
        <w:rPr>
          <w:rFonts w:ascii="Times New Roman" w:hAnsi="Times New Roman"/>
          <w:lang w:val="lt-LT"/>
        </w:rPr>
        <w:t>, nediskriminavimo, proporcingumo</w:t>
      </w:r>
      <w:r w:rsidR="00334369">
        <w:rPr>
          <w:rFonts w:ascii="Times New Roman" w:hAnsi="Times New Roman"/>
          <w:lang w:val="lt-LT"/>
        </w:rPr>
        <w:t xml:space="preserve"> principų“.</w:t>
      </w:r>
    </w:p>
  </w:footnote>
  <w:footnote w:id="3">
    <w:p w:rsidR="00A715BD" w:rsidRPr="004E1EAB" w:rsidRDefault="00A715BD" w:rsidP="00A21B8A">
      <w:pPr>
        <w:pStyle w:val="Puslapioinaostekstas"/>
        <w:ind w:right="-99"/>
        <w:jc w:val="both"/>
        <w:rPr>
          <w:lang w:val="lt-LT"/>
        </w:rPr>
      </w:pPr>
      <w:r w:rsidRPr="004E1EAB">
        <w:rPr>
          <w:rStyle w:val="Puslapioinaosnuoroda"/>
          <w:lang w:val="lt-LT"/>
        </w:rPr>
        <w:footnoteRef/>
      </w:r>
      <w:r w:rsidRPr="004E1EAB">
        <w:rPr>
          <w:lang w:val="lt-LT"/>
        </w:rPr>
        <w:t xml:space="preserve"> </w:t>
      </w:r>
      <w:r w:rsidRPr="004E1EAB">
        <w:rPr>
          <w:rFonts w:ascii="Times New Roman" w:hAnsi="Times New Roman" w:cs="Times New Roman"/>
          <w:lang w:val="lt-LT"/>
        </w:rPr>
        <w:t>„</w:t>
      </w:r>
      <w:r w:rsidR="00B6544C">
        <w:rPr>
          <w:rFonts w:ascii="Times New Roman" w:hAnsi="Times New Roman" w:cs="Times New Roman"/>
          <w:lang w:val="lt-LT"/>
        </w:rPr>
        <w:t>P</w:t>
      </w:r>
      <w:r w:rsidRPr="004E1EAB">
        <w:rPr>
          <w:rFonts w:ascii="Times New Roman" w:hAnsi="Times New Roman" w:cs="Times New Roman"/>
          <w:lang w:val="lt-LT"/>
        </w:rPr>
        <w:t>irkimų tiksl</w:t>
      </w:r>
      <w:r w:rsidR="00B6544C">
        <w:rPr>
          <w:rFonts w:ascii="Times New Roman" w:hAnsi="Times New Roman" w:cs="Times New Roman"/>
          <w:lang w:val="lt-LT"/>
        </w:rPr>
        <w:t>as</w:t>
      </w:r>
      <w:r w:rsidRPr="004E1EAB">
        <w:rPr>
          <w:rFonts w:ascii="Times New Roman" w:hAnsi="Times New Roman" w:cs="Times New Roman"/>
          <w:lang w:val="lt-LT"/>
        </w:rPr>
        <w:t xml:space="preserve"> – vadovaujantis šio įstatymo reikalavimais sudaryti pirkimo sutartį, leidžiančią įsigyti </w:t>
      </w:r>
      <w:r w:rsidR="00CB6942">
        <w:rPr>
          <w:rFonts w:ascii="Times New Roman" w:hAnsi="Times New Roman" w:cs="Times New Roman"/>
          <w:lang w:val="lt-LT"/>
        </w:rPr>
        <w:t xml:space="preserve">perkančiajai organizacijai </w:t>
      </w:r>
      <w:r w:rsidRPr="004E1EAB">
        <w:rPr>
          <w:rFonts w:ascii="Times New Roman" w:hAnsi="Times New Roman" w:cs="Times New Roman"/>
          <w:lang w:val="lt-LT"/>
        </w:rPr>
        <w:t xml:space="preserve">reikalingų </w:t>
      </w:r>
      <w:r w:rsidR="00CB6942">
        <w:rPr>
          <w:rFonts w:ascii="Times New Roman" w:hAnsi="Times New Roman" w:cs="Times New Roman"/>
          <w:lang w:val="lt-LT"/>
        </w:rPr>
        <w:t xml:space="preserve">prekių, </w:t>
      </w:r>
      <w:r w:rsidRPr="004E1EAB">
        <w:rPr>
          <w:rFonts w:ascii="Times New Roman" w:hAnsi="Times New Roman" w:cs="Times New Roman"/>
          <w:lang w:val="lt-LT"/>
        </w:rPr>
        <w:t>paslaugų, racionali</w:t>
      </w:r>
      <w:r w:rsidR="00334369">
        <w:rPr>
          <w:rFonts w:ascii="Times New Roman" w:hAnsi="Times New Roman" w:cs="Times New Roman"/>
          <w:lang w:val="lt-LT"/>
        </w:rPr>
        <w:t>ai naudojant tam skirtas lėšas“.</w:t>
      </w:r>
    </w:p>
  </w:footnote>
  <w:footnote w:id="4">
    <w:p w:rsidR="004335AA" w:rsidRPr="004335AA" w:rsidRDefault="004335AA" w:rsidP="00E67256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E67256" w:rsidRPr="00E67256">
        <w:rPr>
          <w:rFonts w:ascii="Times New Roman" w:hAnsi="Times New Roman" w:cs="Times New Roman"/>
          <w:lang w:val="lt-LT"/>
        </w:rPr>
        <w:t>„</w:t>
      </w:r>
      <w:r w:rsidR="00E67256" w:rsidRPr="00E67256">
        <w:rPr>
          <w:rFonts w:ascii="Times New Roman" w:hAnsi="Times New Roman" w:cs="Times New Roman"/>
          <w:color w:val="000000"/>
          <w:lang w:val="lt-LT"/>
        </w:rPr>
        <w:t xml:space="preserve">Perkančioji organizacija, norėdama priimti sprendimą sudaryti pirkimo sutartį, turi pagal pirkimo dokumentuose nustatytus vertinimo kriterijus ir tvarką nedelsdama įvertinti pateiktus dalyvių pasiūlymus, </w:t>
      </w:r>
      <w:r w:rsidR="00316092">
        <w:rPr>
          <w:rFonts w:ascii="Times New Roman" w:hAnsi="Times New Roman" w:cs="Times New Roman"/>
          <w:color w:val="000000"/>
          <w:lang w:val="lt-LT"/>
        </w:rPr>
        <w:t>&lt;...&gt;</w:t>
      </w:r>
      <w:r w:rsidR="00E67256" w:rsidRPr="00E67256">
        <w:rPr>
          <w:rFonts w:ascii="Times New Roman" w:hAnsi="Times New Roman" w:cs="Times New Roman"/>
          <w:color w:val="000000"/>
          <w:lang w:val="lt-LT"/>
        </w:rPr>
        <w:t xml:space="preserve"> nustatyti pasiūlymų eilę (išskyrus atvejus, kai pasiūlymą pateikti kviečiamas tik vienas tiekėjas arba pasiūlymą pateikia tik vienas tiekėjas) ir laimėjusį pasiūlymą</w:t>
      </w:r>
      <w:r w:rsidR="00316092">
        <w:rPr>
          <w:rFonts w:ascii="Times New Roman" w:hAnsi="Times New Roman" w:cs="Times New Roman"/>
          <w:color w:val="000000"/>
          <w:lang w:val="lt-LT"/>
        </w:rPr>
        <w:t>“.</w:t>
      </w:r>
    </w:p>
  </w:footnote>
  <w:footnote w:id="5">
    <w:p w:rsidR="00112291" w:rsidRPr="00611712" w:rsidRDefault="00112291" w:rsidP="00611712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611712" w:rsidRPr="00611712">
        <w:rPr>
          <w:rStyle w:val="apple-converted-space"/>
          <w:rFonts w:ascii="Times New Roman" w:hAnsi="Times New Roman" w:cs="Times New Roman"/>
          <w:color w:val="000000"/>
          <w:lang w:val="lt-LT"/>
        </w:rPr>
        <w:t>„</w:t>
      </w:r>
      <w:r w:rsidR="00611712" w:rsidRPr="00611712">
        <w:rPr>
          <w:rFonts w:ascii="Times New Roman" w:hAnsi="Times New Roman" w:cs="Times New Roman"/>
          <w:color w:val="000000"/>
          <w:lang w:val="lt-LT"/>
        </w:rPr>
        <w:t>Perkančioji organizacija pasiūlymą turi atmesti, jeigu: &lt;...&gt; pasiūlymas neatitinka pirkimo dokumentuose nustatytų reikalavimų“.</w:t>
      </w:r>
    </w:p>
  </w:footnote>
  <w:footnote w:id="6">
    <w:p w:rsidR="00F83ADC" w:rsidRPr="009A741D" w:rsidRDefault="00F83ADC" w:rsidP="00F83ADC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9B352F" w:rsidRPr="009A741D">
        <w:rPr>
          <w:rFonts w:ascii="Times New Roman" w:hAnsi="Times New Roman" w:cs="Times New Roman"/>
          <w:lang w:val="lt-LT"/>
        </w:rPr>
        <w:t>Žr. išnašą Nr. 4.</w:t>
      </w:r>
    </w:p>
  </w:footnote>
  <w:footnote w:id="7">
    <w:p w:rsidR="006C142F" w:rsidRPr="009A741D" w:rsidRDefault="006C142F" w:rsidP="006C142F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9A741D">
        <w:rPr>
          <w:rStyle w:val="Puslapioinaosnuoroda"/>
          <w:rFonts w:ascii="Times New Roman" w:hAnsi="Times New Roman" w:cs="Times New Roman"/>
        </w:rPr>
        <w:footnoteRef/>
      </w:r>
      <w:r w:rsidRPr="009A741D">
        <w:rPr>
          <w:rFonts w:ascii="Times New Roman" w:hAnsi="Times New Roman" w:cs="Times New Roman"/>
        </w:rPr>
        <w:t xml:space="preserve"> </w:t>
      </w:r>
      <w:r w:rsidR="009B352F" w:rsidRPr="009A741D">
        <w:rPr>
          <w:rFonts w:ascii="Times New Roman" w:hAnsi="Times New Roman" w:cs="Times New Roman"/>
          <w:lang w:val="lt-LT"/>
        </w:rPr>
        <w:t>Žr. išnašą Nr. 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039302"/>
      <w:docPartObj>
        <w:docPartGallery w:val="Page Numbers (Top of Page)"/>
        <w:docPartUnique/>
      </w:docPartObj>
    </w:sdtPr>
    <w:sdtEndPr/>
    <w:sdtContent>
      <w:p w:rsidR="004D176F" w:rsidRDefault="004D17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942" w:rsidRPr="00E60942">
          <w:rPr>
            <w:noProof/>
            <w:lang w:val="lt-LT"/>
          </w:rPr>
          <w:t>2</w:t>
        </w:r>
        <w:r>
          <w:fldChar w:fldCharType="end"/>
        </w:r>
      </w:p>
    </w:sdtContent>
  </w:sdt>
  <w:p w:rsidR="004D176F" w:rsidRDefault="004D176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D4F17"/>
    <w:multiLevelType w:val="hybridMultilevel"/>
    <w:tmpl w:val="7430BDA6"/>
    <w:lvl w:ilvl="0" w:tplc="FCAE25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8CC17E6"/>
    <w:multiLevelType w:val="hybridMultilevel"/>
    <w:tmpl w:val="0EEA86AC"/>
    <w:lvl w:ilvl="0" w:tplc="7FE4DE26"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983287F"/>
    <w:multiLevelType w:val="hybridMultilevel"/>
    <w:tmpl w:val="A56CA6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1B2875"/>
    <w:multiLevelType w:val="hybridMultilevel"/>
    <w:tmpl w:val="96EE9780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B722A"/>
    <w:multiLevelType w:val="hybridMultilevel"/>
    <w:tmpl w:val="065408B4"/>
    <w:lvl w:ilvl="0" w:tplc="B31A9AA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4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26829B2"/>
    <w:multiLevelType w:val="hybridMultilevel"/>
    <w:tmpl w:val="3398BB56"/>
    <w:lvl w:ilvl="0" w:tplc="D28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27803A8"/>
    <w:multiLevelType w:val="hybridMultilevel"/>
    <w:tmpl w:val="DCBE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40C3A"/>
    <w:multiLevelType w:val="hybridMultilevel"/>
    <w:tmpl w:val="F5A0A44A"/>
    <w:lvl w:ilvl="0" w:tplc="EE46AE8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3701D"/>
    <w:multiLevelType w:val="hybridMultilevel"/>
    <w:tmpl w:val="566CF630"/>
    <w:lvl w:ilvl="0" w:tplc="7A825E0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91D45F7"/>
    <w:multiLevelType w:val="hybridMultilevel"/>
    <w:tmpl w:val="F58220D8"/>
    <w:lvl w:ilvl="0" w:tplc="5EEAC6A4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AE11BAE"/>
    <w:multiLevelType w:val="hybridMultilevel"/>
    <w:tmpl w:val="42B0DAE2"/>
    <w:lvl w:ilvl="0" w:tplc="1E446BC8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E004256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3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8B0C22"/>
    <w:multiLevelType w:val="hybridMultilevel"/>
    <w:tmpl w:val="28EA0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8C0FB9"/>
    <w:multiLevelType w:val="hybridMultilevel"/>
    <w:tmpl w:val="40BCF254"/>
    <w:lvl w:ilvl="0" w:tplc="5DCCC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F927493"/>
    <w:multiLevelType w:val="hybridMultilevel"/>
    <w:tmpl w:val="4914E6A6"/>
    <w:lvl w:ilvl="0" w:tplc="F2184D5C">
      <w:start w:val="2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2D36A9F"/>
    <w:multiLevelType w:val="hybridMultilevel"/>
    <w:tmpl w:val="11146B94"/>
    <w:lvl w:ilvl="0" w:tplc="4FD4F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563E68"/>
    <w:multiLevelType w:val="hybridMultilevel"/>
    <w:tmpl w:val="AF109DBE"/>
    <w:lvl w:ilvl="0" w:tplc="645E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7B5774"/>
    <w:multiLevelType w:val="hybridMultilevel"/>
    <w:tmpl w:val="2BF84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35">
    <w:nsid w:val="4F0E0667"/>
    <w:multiLevelType w:val="hybridMultilevel"/>
    <w:tmpl w:val="0E149782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BD0A0F"/>
    <w:multiLevelType w:val="hybridMultilevel"/>
    <w:tmpl w:val="22242BDC"/>
    <w:lvl w:ilvl="0" w:tplc="0FCC5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D80177"/>
    <w:multiLevelType w:val="hybridMultilevel"/>
    <w:tmpl w:val="11DA15D8"/>
    <w:lvl w:ilvl="0" w:tplc="28B4F690">
      <w:start w:val="1"/>
      <w:numFmt w:val="decimal"/>
      <w:lvlText w:val="(%1)"/>
      <w:lvlJc w:val="left"/>
      <w:pPr>
        <w:ind w:left="2126" w:hanging="12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7685120"/>
    <w:multiLevelType w:val="hybridMultilevel"/>
    <w:tmpl w:val="27148648"/>
    <w:lvl w:ilvl="0" w:tplc="4D062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4617E8"/>
    <w:multiLevelType w:val="hybridMultilevel"/>
    <w:tmpl w:val="E36C25B4"/>
    <w:lvl w:ilvl="0" w:tplc="5E62563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FC4415"/>
    <w:multiLevelType w:val="hybridMultilevel"/>
    <w:tmpl w:val="024C9CAA"/>
    <w:lvl w:ilvl="0" w:tplc="FD94A04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6D9543FF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6">
    <w:nsid w:val="747D3D70"/>
    <w:multiLevelType w:val="hybridMultilevel"/>
    <w:tmpl w:val="16586CA4"/>
    <w:lvl w:ilvl="0" w:tplc="6F22F358">
      <w:start w:val="1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7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48"/>
  </w:num>
  <w:num w:numId="3">
    <w:abstractNumId w:val="30"/>
  </w:num>
  <w:num w:numId="4">
    <w:abstractNumId w:val="41"/>
  </w:num>
  <w:num w:numId="5">
    <w:abstractNumId w:val="47"/>
  </w:num>
  <w:num w:numId="6">
    <w:abstractNumId w:val="4"/>
  </w:num>
  <w:num w:numId="7">
    <w:abstractNumId w:val="15"/>
  </w:num>
  <w:num w:numId="8">
    <w:abstractNumId w:val="40"/>
  </w:num>
  <w:num w:numId="9">
    <w:abstractNumId w:val="10"/>
  </w:num>
  <w:num w:numId="10">
    <w:abstractNumId w:val="31"/>
  </w:num>
  <w:num w:numId="11">
    <w:abstractNumId w:val="3"/>
  </w:num>
  <w:num w:numId="12">
    <w:abstractNumId w:val="29"/>
  </w:num>
  <w:num w:numId="13">
    <w:abstractNumId w:val="34"/>
  </w:num>
  <w:num w:numId="14">
    <w:abstractNumId w:val="7"/>
  </w:num>
  <w:num w:numId="15">
    <w:abstractNumId w:val="14"/>
  </w:num>
  <w:num w:numId="16">
    <w:abstractNumId w:val="37"/>
  </w:num>
  <w:num w:numId="17">
    <w:abstractNumId w:val="36"/>
  </w:num>
  <w:num w:numId="18">
    <w:abstractNumId w:val="45"/>
  </w:num>
  <w:num w:numId="19">
    <w:abstractNumId w:val="24"/>
  </w:num>
  <w:num w:numId="20">
    <w:abstractNumId w:val="23"/>
  </w:num>
  <w:num w:numId="21">
    <w:abstractNumId w:val="11"/>
  </w:num>
  <w:num w:numId="22">
    <w:abstractNumId w:val="1"/>
  </w:num>
  <w:num w:numId="23">
    <w:abstractNumId w:val="12"/>
  </w:num>
  <w:num w:numId="24">
    <w:abstractNumId w:val="0"/>
  </w:num>
  <w:num w:numId="25">
    <w:abstractNumId w:val="21"/>
  </w:num>
  <w:num w:numId="26">
    <w:abstractNumId w:val="18"/>
  </w:num>
  <w:num w:numId="27">
    <w:abstractNumId w:val="28"/>
  </w:num>
  <w:num w:numId="28">
    <w:abstractNumId w:val="5"/>
  </w:num>
  <w:num w:numId="29">
    <w:abstractNumId w:val="27"/>
  </w:num>
  <w:num w:numId="30">
    <w:abstractNumId w:val="2"/>
  </w:num>
  <w:num w:numId="31">
    <w:abstractNumId w:val="43"/>
  </w:num>
  <w:num w:numId="32">
    <w:abstractNumId w:val="16"/>
  </w:num>
  <w:num w:numId="33">
    <w:abstractNumId w:val="42"/>
  </w:num>
  <w:num w:numId="34">
    <w:abstractNumId w:val="26"/>
  </w:num>
  <w:num w:numId="35">
    <w:abstractNumId w:val="32"/>
  </w:num>
  <w:num w:numId="36">
    <w:abstractNumId w:val="38"/>
  </w:num>
  <w:num w:numId="37">
    <w:abstractNumId w:val="33"/>
  </w:num>
  <w:num w:numId="38">
    <w:abstractNumId w:val="46"/>
  </w:num>
  <w:num w:numId="39">
    <w:abstractNumId w:val="8"/>
  </w:num>
  <w:num w:numId="40">
    <w:abstractNumId w:val="17"/>
  </w:num>
  <w:num w:numId="41">
    <w:abstractNumId w:val="6"/>
  </w:num>
  <w:num w:numId="42">
    <w:abstractNumId w:val="35"/>
  </w:num>
  <w:num w:numId="43">
    <w:abstractNumId w:val="13"/>
  </w:num>
  <w:num w:numId="44">
    <w:abstractNumId w:val="22"/>
  </w:num>
  <w:num w:numId="45">
    <w:abstractNumId w:val="25"/>
  </w:num>
  <w:num w:numId="46">
    <w:abstractNumId w:val="44"/>
  </w:num>
  <w:num w:numId="47">
    <w:abstractNumId w:val="39"/>
  </w:num>
  <w:num w:numId="48">
    <w:abstractNumId w:val="2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16"/>
    <w:rsid w:val="0000023E"/>
    <w:rsid w:val="00000CAC"/>
    <w:rsid w:val="000012C7"/>
    <w:rsid w:val="00003C52"/>
    <w:rsid w:val="00005E74"/>
    <w:rsid w:val="00006467"/>
    <w:rsid w:val="000105E0"/>
    <w:rsid w:val="0001178A"/>
    <w:rsid w:val="00015674"/>
    <w:rsid w:val="00016BEA"/>
    <w:rsid w:val="00016F78"/>
    <w:rsid w:val="00017150"/>
    <w:rsid w:val="00017E71"/>
    <w:rsid w:val="000219A0"/>
    <w:rsid w:val="00022C19"/>
    <w:rsid w:val="00027566"/>
    <w:rsid w:val="00030CC3"/>
    <w:rsid w:val="00036FDA"/>
    <w:rsid w:val="00037399"/>
    <w:rsid w:val="00037B8D"/>
    <w:rsid w:val="0004111C"/>
    <w:rsid w:val="00041245"/>
    <w:rsid w:val="00041C21"/>
    <w:rsid w:val="00043B22"/>
    <w:rsid w:val="00047391"/>
    <w:rsid w:val="000474AA"/>
    <w:rsid w:val="00054198"/>
    <w:rsid w:val="000547B1"/>
    <w:rsid w:val="00054882"/>
    <w:rsid w:val="00054DD2"/>
    <w:rsid w:val="000552B0"/>
    <w:rsid w:val="00060DEC"/>
    <w:rsid w:val="000624B0"/>
    <w:rsid w:val="00065347"/>
    <w:rsid w:val="00065B9B"/>
    <w:rsid w:val="0006608E"/>
    <w:rsid w:val="000664F4"/>
    <w:rsid w:val="00066CC9"/>
    <w:rsid w:val="00066D43"/>
    <w:rsid w:val="0006700D"/>
    <w:rsid w:val="00067CE8"/>
    <w:rsid w:val="000701A9"/>
    <w:rsid w:val="00070776"/>
    <w:rsid w:val="0007339E"/>
    <w:rsid w:val="00074C5D"/>
    <w:rsid w:val="0007506E"/>
    <w:rsid w:val="00075A88"/>
    <w:rsid w:val="00075B0D"/>
    <w:rsid w:val="000763A0"/>
    <w:rsid w:val="00081C1C"/>
    <w:rsid w:val="0008234B"/>
    <w:rsid w:val="000843F5"/>
    <w:rsid w:val="00084D58"/>
    <w:rsid w:val="00085418"/>
    <w:rsid w:val="00090734"/>
    <w:rsid w:val="00091035"/>
    <w:rsid w:val="00096EF5"/>
    <w:rsid w:val="000A2F8E"/>
    <w:rsid w:val="000A336E"/>
    <w:rsid w:val="000A66E6"/>
    <w:rsid w:val="000B300D"/>
    <w:rsid w:val="000B46C0"/>
    <w:rsid w:val="000B55F3"/>
    <w:rsid w:val="000C01F3"/>
    <w:rsid w:val="000C19E9"/>
    <w:rsid w:val="000C20C2"/>
    <w:rsid w:val="000C5F03"/>
    <w:rsid w:val="000C6ED4"/>
    <w:rsid w:val="000C723E"/>
    <w:rsid w:val="000D1879"/>
    <w:rsid w:val="000D3969"/>
    <w:rsid w:val="000D3D36"/>
    <w:rsid w:val="000D3E88"/>
    <w:rsid w:val="000E3558"/>
    <w:rsid w:val="000E3C5B"/>
    <w:rsid w:val="000E4F6F"/>
    <w:rsid w:val="000E6E0A"/>
    <w:rsid w:val="000E7B16"/>
    <w:rsid w:val="000F1325"/>
    <w:rsid w:val="000F1C2C"/>
    <w:rsid w:val="000F27D5"/>
    <w:rsid w:val="000F4593"/>
    <w:rsid w:val="000F463A"/>
    <w:rsid w:val="000F6C05"/>
    <w:rsid w:val="000F6D6C"/>
    <w:rsid w:val="00101C67"/>
    <w:rsid w:val="00104EAD"/>
    <w:rsid w:val="001057DE"/>
    <w:rsid w:val="00112291"/>
    <w:rsid w:val="00114DD4"/>
    <w:rsid w:val="001155C7"/>
    <w:rsid w:val="00115A14"/>
    <w:rsid w:val="00117359"/>
    <w:rsid w:val="00120D6E"/>
    <w:rsid w:val="00121EA3"/>
    <w:rsid w:val="00121F78"/>
    <w:rsid w:val="0012523C"/>
    <w:rsid w:val="00130A2A"/>
    <w:rsid w:val="00130A42"/>
    <w:rsid w:val="00131C42"/>
    <w:rsid w:val="00134B5C"/>
    <w:rsid w:val="0014028C"/>
    <w:rsid w:val="001404F3"/>
    <w:rsid w:val="001426D8"/>
    <w:rsid w:val="00143C8A"/>
    <w:rsid w:val="0014601B"/>
    <w:rsid w:val="0015217D"/>
    <w:rsid w:val="001525F1"/>
    <w:rsid w:val="00155525"/>
    <w:rsid w:val="00160956"/>
    <w:rsid w:val="00160D01"/>
    <w:rsid w:val="00163E78"/>
    <w:rsid w:val="0016439A"/>
    <w:rsid w:val="0016484B"/>
    <w:rsid w:val="00164E22"/>
    <w:rsid w:val="00165133"/>
    <w:rsid w:val="00165CA2"/>
    <w:rsid w:val="00165CFB"/>
    <w:rsid w:val="00170525"/>
    <w:rsid w:val="00170DA0"/>
    <w:rsid w:val="0017324A"/>
    <w:rsid w:val="001734C5"/>
    <w:rsid w:val="001746EC"/>
    <w:rsid w:val="001761E9"/>
    <w:rsid w:val="00180ED5"/>
    <w:rsid w:val="00180EF8"/>
    <w:rsid w:val="00181F8F"/>
    <w:rsid w:val="00193342"/>
    <w:rsid w:val="00194431"/>
    <w:rsid w:val="00195271"/>
    <w:rsid w:val="00195791"/>
    <w:rsid w:val="00197989"/>
    <w:rsid w:val="00197E2C"/>
    <w:rsid w:val="001A1AA5"/>
    <w:rsid w:val="001A271F"/>
    <w:rsid w:val="001A3A03"/>
    <w:rsid w:val="001A4B21"/>
    <w:rsid w:val="001A4E6D"/>
    <w:rsid w:val="001A59B7"/>
    <w:rsid w:val="001A68CA"/>
    <w:rsid w:val="001A6E55"/>
    <w:rsid w:val="001A7519"/>
    <w:rsid w:val="001B02BD"/>
    <w:rsid w:val="001B27FA"/>
    <w:rsid w:val="001B3C55"/>
    <w:rsid w:val="001B3EA8"/>
    <w:rsid w:val="001B4057"/>
    <w:rsid w:val="001B75E3"/>
    <w:rsid w:val="001C041E"/>
    <w:rsid w:val="001C31D5"/>
    <w:rsid w:val="001C3480"/>
    <w:rsid w:val="001C4EDB"/>
    <w:rsid w:val="001C7696"/>
    <w:rsid w:val="001D36F0"/>
    <w:rsid w:val="001D6AA6"/>
    <w:rsid w:val="001D7D6D"/>
    <w:rsid w:val="001E62B2"/>
    <w:rsid w:val="001E650D"/>
    <w:rsid w:val="001E72AF"/>
    <w:rsid w:val="001F1111"/>
    <w:rsid w:val="001F16E1"/>
    <w:rsid w:val="001F19E6"/>
    <w:rsid w:val="001F2A4D"/>
    <w:rsid w:val="001F6DA8"/>
    <w:rsid w:val="001F6FB0"/>
    <w:rsid w:val="0020185D"/>
    <w:rsid w:val="00203DBD"/>
    <w:rsid w:val="002043AE"/>
    <w:rsid w:val="00205465"/>
    <w:rsid w:val="00213292"/>
    <w:rsid w:val="0021441F"/>
    <w:rsid w:val="00215F77"/>
    <w:rsid w:val="00220083"/>
    <w:rsid w:val="00221B44"/>
    <w:rsid w:val="00221D89"/>
    <w:rsid w:val="002247B4"/>
    <w:rsid w:val="00224BAB"/>
    <w:rsid w:val="00225C01"/>
    <w:rsid w:val="002271FE"/>
    <w:rsid w:val="00227537"/>
    <w:rsid w:val="00230011"/>
    <w:rsid w:val="00230E79"/>
    <w:rsid w:val="002310C2"/>
    <w:rsid w:val="00237ED3"/>
    <w:rsid w:val="0024059C"/>
    <w:rsid w:val="00240707"/>
    <w:rsid w:val="00242D24"/>
    <w:rsid w:val="00243FAC"/>
    <w:rsid w:val="002441C4"/>
    <w:rsid w:val="00246C98"/>
    <w:rsid w:val="0026276A"/>
    <w:rsid w:val="0026481C"/>
    <w:rsid w:val="00267D02"/>
    <w:rsid w:val="0027382C"/>
    <w:rsid w:val="00275FB2"/>
    <w:rsid w:val="002764DC"/>
    <w:rsid w:val="00276DEF"/>
    <w:rsid w:val="00277007"/>
    <w:rsid w:val="00280FCA"/>
    <w:rsid w:val="00281F9A"/>
    <w:rsid w:val="002852A7"/>
    <w:rsid w:val="002856D6"/>
    <w:rsid w:val="002923B8"/>
    <w:rsid w:val="0029371F"/>
    <w:rsid w:val="0029588E"/>
    <w:rsid w:val="00295E35"/>
    <w:rsid w:val="002968F9"/>
    <w:rsid w:val="00296C0C"/>
    <w:rsid w:val="002A2BF1"/>
    <w:rsid w:val="002A2D0F"/>
    <w:rsid w:val="002A4102"/>
    <w:rsid w:val="002A55A7"/>
    <w:rsid w:val="002B0659"/>
    <w:rsid w:val="002B2CAB"/>
    <w:rsid w:val="002B39E5"/>
    <w:rsid w:val="002B4EE8"/>
    <w:rsid w:val="002B6E74"/>
    <w:rsid w:val="002C1665"/>
    <w:rsid w:val="002C2EBD"/>
    <w:rsid w:val="002C4DB9"/>
    <w:rsid w:val="002C6680"/>
    <w:rsid w:val="002C6752"/>
    <w:rsid w:val="002D0459"/>
    <w:rsid w:val="002D3858"/>
    <w:rsid w:val="002D3EDA"/>
    <w:rsid w:val="002E0E16"/>
    <w:rsid w:val="002E112C"/>
    <w:rsid w:val="002E145F"/>
    <w:rsid w:val="002E2985"/>
    <w:rsid w:val="002E6A0B"/>
    <w:rsid w:val="002E6F44"/>
    <w:rsid w:val="002F00A9"/>
    <w:rsid w:val="002F12DF"/>
    <w:rsid w:val="002F5166"/>
    <w:rsid w:val="003021F6"/>
    <w:rsid w:val="003023DB"/>
    <w:rsid w:val="00307F8F"/>
    <w:rsid w:val="00311B02"/>
    <w:rsid w:val="00313361"/>
    <w:rsid w:val="00313455"/>
    <w:rsid w:val="00316092"/>
    <w:rsid w:val="003251DE"/>
    <w:rsid w:val="00334369"/>
    <w:rsid w:val="00334C30"/>
    <w:rsid w:val="00335398"/>
    <w:rsid w:val="003374EE"/>
    <w:rsid w:val="00340E5B"/>
    <w:rsid w:val="003534E1"/>
    <w:rsid w:val="003538C0"/>
    <w:rsid w:val="00353B96"/>
    <w:rsid w:val="0035464F"/>
    <w:rsid w:val="00355E12"/>
    <w:rsid w:val="003565DE"/>
    <w:rsid w:val="00360621"/>
    <w:rsid w:val="00370047"/>
    <w:rsid w:val="00370217"/>
    <w:rsid w:val="0037586E"/>
    <w:rsid w:val="00375CCD"/>
    <w:rsid w:val="00376E28"/>
    <w:rsid w:val="003777E2"/>
    <w:rsid w:val="00377C32"/>
    <w:rsid w:val="00386B5E"/>
    <w:rsid w:val="00387828"/>
    <w:rsid w:val="00391A1D"/>
    <w:rsid w:val="0039481D"/>
    <w:rsid w:val="003974B1"/>
    <w:rsid w:val="003A0F96"/>
    <w:rsid w:val="003A2E94"/>
    <w:rsid w:val="003A5796"/>
    <w:rsid w:val="003A6AA8"/>
    <w:rsid w:val="003A7DCA"/>
    <w:rsid w:val="003B3B16"/>
    <w:rsid w:val="003B4970"/>
    <w:rsid w:val="003B5F8C"/>
    <w:rsid w:val="003B656A"/>
    <w:rsid w:val="003B6572"/>
    <w:rsid w:val="003C0DD8"/>
    <w:rsid w:val="003C14D5"/>
    <w:rsid w:val="003C172F"/>
    <w:rsid w:val="003C17A6"/>
    <w:rsid w:val="003C1ABE"/>
    <w:rsid w:val="003C3518"/>
    <w:rsid w:val="003C381A"/>
    <w:rsid w:val="003C3D7B"/>
    <w:rsid w:val="003C57C3"/>
    <w:rsid w:val="003C716A"/>
    <w:rsid w:val="003D19E1"/>
    <w:rsid w:val="003D3541"/>
    <w:rsid w:val="003D58F6"/>
    <w:rsid w:val="003D5BD2"/>
    <w:rsid w:val="003D601A"/>
    <w:rsid w:val="003D68B0"/>
    <w:rsid w:val="003E2142"/>
    <w:rsid w:val="003E24C8"/>
    <w:rsid w:val="003E2BF7"/>
    <w:rsid w:val="003E435E"/>
    <w:rsid w:val="003E43F1"/>
    <w:rsid w:val="003E6D8F"/>
    <w:rsid w:val="003F01B6"/>
    <w:rsid w:val="003F2332"/>
    <w:rsid w:val="003F4A1D"/>
    <w:rsid w:val="003F6E7D"/>
    <w:rsid w:val="00403905"/>
    <w:rsid w:val="0040717D"/>
    <w:rsid w:val="004110CF"/>
    <w:rsid w:val="00411871"/>
    <w:rsid w:val="00416B0D"/>
    <w:rsid w:val="00422723"/>
    <w:rsid w:val="004229AF"/>
    <w:rsid w:val="00426034"/>
    <w:rsid w:val="00431350"/>
    <w:rsid w:val="00431DC5"/>
    <w:rsid w:val="00432D7A"/>
    <w:rsid w:val="00432E27"/>
    <w:rsid w:val="004335AA"/>
    <w:rsid w:val="0043589A"/>
    <w:rsid w:val="00437480"/>
    <w:rsid w:val="00440769"/>
    <w:rsid w:val="00440936"/>
    <w:rsid w:val="00442708"/>
    <w:rsid w:val="004447F0"/>
    <w:rsid w:val="004450E7"/>
    <w:rsid w:val="00445145"/>
    <w:rsid w:val="00446786"/>
    <w:rsid w:val="00447898"/>
    <w:rsid w:val="00447B35"/>
    <w:rsid w:val="00451209"/>
    <w:rsid w:val="00455118"/>
    <w:rsid w:val="00455514"/>
    <w:rsid w:val="00455B55"/>
    <w:rsid w:val="00455BB0"/>
    <w:rsid w:val="00457788"/>
    <w:rsid w:val="00457DFD"/>
    <w:rsid w:val="004619B2"/>
    <w:rsid w:val="00462450"/>
    <w:rsid w:val="00463A83"/>
    <w:rsid w:val="00463C95"/>
    <w:rsid w:val="00464513"/>
    <w:rsid w:val="00465826"/>
    <w:rsid w:val="004658D7"/>
    <w:rsid w:val="00465F98"/>
    <w:rsid w:val="00466E2D"/>
    <w:rsid w:val="00467745"/>
    <w:rsid w:val="004700B0"/>
    <w:rsid w:val="0047333B"/>
    <w:rsid w:val="0047431D"/>
    <w:rsid w:val="004756E6"/>
    <w:rsid w:val="00477CA4"/>
    <w:rsid w:val="00480939"/>
    <w:rsid w:val="00481739"/>
    <w:rsid w:val="00484716"/>
    <w:rsid w:val="00487124"/>
    <w:rsid w:val="004908D0"/>
    <w:rsid w:val="00490EFE"/>
    <w:rsid w:val="00496DC5"/>
    <w:rsid w:val="004975B1"/>
    <w:rsid w:val="004A15C1"/>
    <w:rsid w:val="004B0241"/>
    <w:rsid w:val="004B17A3"/>
    <w:rsid w:val="004B1B1D"/>
    <w:rsid w:val="004B23E3"/>
    <w:rsid w:val="004B2A57"/>
    <w:rsid w:val="004B3FBF"/>
    <w:rsid w:val="004B4174"/>
    <w:rsid w:val="004B4420"/>
    <w:rsid w:val="004B4CD7"/>
    <w:rsid w:val="004B62B6"/>
    <w:rsid w:val="004C0437"/>
    <w:rsid w:val="004D115A"/>
    <w:rsid w:val="004D176F"/>
    <w:rsid w:val="004D195F"/>
    <w:rsid w:val="004D1E5B"/>
    <w:rsid w:val="004D21C0"/>
    <w:rsid w:val="004D28DF"/>
    <w:rsid w:val="004D2B41"/>
    <w:rsid w:val="004D529C"/>
    <w:rsid w:val="004E082E"/>
    <w:rsid w:val="004E098B"/>
    <w:rsid w:val="004E1ADA"/>
    <w:rsid w:val="004E1EAB"/>
    <w:rsid w:val="004E550F"/>
    <w:rsid w:val="004E5711"/>
    <w:rsid w:val="004F2469"/>
    <w:rsid w:val="004F29DC"/>
    <w:rsid w:val="004F2EBE"/>
    <w:rsid w:val="004F35FA"/>
    <w:rsid w:val="004F6D4E"/>
    <w:rsid w:val="004F6ED7"/>
    <w:rsid w:val="0050105E"/>
    <w:rsid w:val="00503085"/>
    <w:rsid w:val="0050442F"/>
    <w:rsid w:val="00504B73"/>
    <w:rsid w:val="00505745"/>
    <w:rsid w:val="00505B22"/>
    <w:rsid w:val="00510DC3"/>
    <w:rsid w:val="00513063"/>
    <w:rsid w:val="00513DF0"/>
    <w:rsid w:val="0052272F"/>
    <w:rsid w:val="00522F8A"/>
    <w:rsid w:val="00525558"/>
    <w:rsid w:val="00525A89"/>
    <w:rsid w:val="005334B8"/>
    <w:rsid w:val="00534448"/>
    <w:rsid w:val="00536648"/>
    <w:rsid w:val="00536C44"/>
    <w:rsid w:val="00540E8A"/>
    <w:rsid w:val="00540FE7"/>
    <w:rsid w:val="00541357"/>
    <w:rsid w:val="005424AD"/>
    <w:rsid w:val="0054358A"/>
    <w:rsid w:val="00551C9A"/>
    <w:rsid w:val="00552B55"/>
    <w:rsid w:val="00552C54"/>
    <w:rsid w:val="00553737"/>
    <w:rsid w:val="005551E0"/>
    <w:rsid w:val="0056187E"/>
    <w:rsid w:val="00562F97"/>
    <w:rsid w:val="00563156"/>
    <w:rsid w:val="005724EA"/>
    <w:rsid w:val="0057406F"/>
    <w:rsid w:val="00574B2D"/>
    <w:rsid w:val="00574E8F"/>
    <w:rsid w:val="00576522"/>
    <w:rsid w:val="005765E4"/>
    <w:rsid w:val="00576D23"/>
    <w:rsid w:val="005776F4"/>
    <w:rsid w:val="00583661"/>
    <w:rsid w:val="00584815"/>
    <w:rsid w:val="00585A4D"/>
    <w:rsid w:val="0058741E"/>
    <w:rsid w:val="005874A4"/>
    <w:rsid w:val="0059205B"/>
    <w:rsid w:val="0059333F"/>
    <w:rsid w:val="00593A6F"/>
    <w:rsid w:val="00595176"/>
    <w:rsid w:val="0059657F"/>
    <w:rsid w:val="00597935"/>
    <w:rsid w:val="005A5A20"/>
    <w:rsid w:val="005A5DBC"/>
    <w:rsid w:val="005A75A4"/>
    <w:rsid w:val="005A7F48"/>
    <w:rsid w:val="005B0368"/>
    <w:rsid w:val="005B107C"/>
    <w:rsid w:val="005B15FD"/>
    <w:rsid w:val="005B4AC7"/>
    <w:rsid w:val="005B5A06"/>
    <w:rsid w:val="005B66C2"/>
    <w:rsid w:val="005B6F01"/>
    <w:rsid w:val="005B7D72"/>
    <w:rsid w:val="005C49C4"/>
    <w:rsid w:val="005C6E99"/>
    <w:rsid w:val="005C7AD3"/>
    <w:rsid w:val="005D01A3"/>
    <w:rsid w:val="005D0BC6"/>
    <w:rsid w:val="005D33BC"/>
    <w:rsid w:val="005E0FBF"/>
    <w:rsid w:val="005E2852"/>
    <w:rsid w:val="005E3512"/>
    <w:rsid w:val="005E364E"/>
    <w:rsid w:val="005E38B2"/>
    <w:rsid w:val="005E4589"/>
    <w:rsid w:val="005E54FA"/>
    <w:rsid w:val="005E6676"/>
    <w:rsid w:val="005E7A5A"/>
    <w:rsid w:val="005F3086"/>
    <w:rsid w:val="005F51F2"/>
    <w:rsid w:val="005F54E4"/>
    <w:rsid w:val="005F5859"/>
    <w:rsid w:val="005F687B"/>
    <w:rsid w:val="005F7D34"/>
    <w:rsid w:val="00603C4E"/>
    <w:rsid w:val="00606DEB"/>
    <w:rsid w:val="00607934"/>
    <w:rsid w:val="006111DA"/>
    <w:rsid w:val="00611712"/>
    <w:rsid w:val="00612DE8"/>
    <w:rsid w:val="00612F3B"/>
    <w:rsid w:val="00616C55"/>
    <w:rsid w:val="00620FA5"/>
    <w:rsid w:val="006216E4"/>
    <w:rsid w:val="006233A6"/>
    <w:rsid w:val="006233C9"/>
    <w:rsid w:val="006234C3"/>
    <w:rsid w:val="0062364D"/>
    <w:rsid w:val="006264D1"/>
    <w:rsid w:val="00631760"/>
    <w:rsid w:val="00631F9B"/>
    <w:rsid w:val="006352F3"/>
    <w:rsid w:val="00635EEC"/>
    <w:rsid w:val="00636CE3"/>
    <w:rsid w:val="00643583"/>
    <w:rsid w:val="0064529A"/>
    <w:rsid w:val="006525D8"/>
    <w:rsid w:val="00653193"/>
    <w:rsid w:val="00656464"/>
    <w:rsid w:val="0065758C"/>
    <w:rsid w:val="00660F9F"/>
    <w:rsid w:val="00662A11"/>
    <w:rsid w:val="00664639"/>
    <w:rsid w:val="0066787B"/>
    <w:rsid w:val="00667A00"/>
    <w:rsid w:val="00667BD7"/>
    <w:rsid w:val="0067077F"/>
    <w:rsid w:val="0067161C"/>
    <w:rsid w:val="006741AE"/>
    <w:rsid w:val="00674BB0"/>
    <w:rsid w:val="006760D4"/>
    <w:rsid w:val="00681361"/>
    <w:rsid w:val="006867B4"/>
    <w:rsid w:val="00690339"/>
    <w:rsid w:val="0069046E"/>
    <w:rsid w:val="00690A35"/>
    <w:rsid w:val="0069321E"/>
    <w:rsid w:val="00695442"/>
    <w:rsid w:val="006965FC"/>
    <w:rsid w:val="006A22AE"/>
    <w:rsid w:val="006A3595"/>
    <w:rsid w:val="006A4755"/>
    <w:rsid w:val="006A5D53"/>
    <w:rsid w:val="006B1E6D"/>
    <w:rsid w:val="006B4978"/>
    <w:rsid w:val="006B5750"/>
    <w:rsid w:val="006B5D19"/>
    <w:rsid w:val="006C142F"/>
    <w:rsid w:val="006C5FA6"/>
    <w:rsid w:val="006C75D4"/>
    <w:rsid w:val="006C7E58"/>
    <w:rsid w:val="006D01EC"/>
    <w:rsid w:val="006D1A7C"/>
    <w:rsid w:val="006D53E8"/>
    <w:rsid w:val="006D6C10"/>
    <w:rsid w:val="006E5172"/>
    <w:rsid w:val="006E7493"/>
    <w:rsid w:val="006E7956"/>
    <w:rsid w:val="006F084E"/>
    <w:rsid w:val="006F2575"/>
    <w:rsid w:val="006F2BB6"/>
    <w:rsid w:val="006F459F"/>
    <w:rsid w:val="006F45D3"/>
    <w:rsid w:val="006F6616"/>
    <w:rsid w:val="006F6CB3"/>
    <w:rsid w:val="006F7CED"/>
    <w:rsid w:val="006F7F04"/>
    <w:rsid w:val="00701C5D"/>
    <w:rsid w:val="00702637"/>
    <w:rsid w:val="00702FF2"/>
    <w:rsid w:val="007032C0"/>
    <w:rsid w:val="00706930"/>
    <w:rsid w:val="00707201"/>
    <w:rsid w:val="00707303"/>
    <w:rsid w:val="00711D28"/>
    <w:rsid w:val="007126E1"/>
    <w:rsid w:val="0071396E"/>
    <w:rsid w:val="00713C2D"/>
    <w:rsid w:val="00714C87"/>
    <w:rsid w:val="00714FCA"/>
    <w:rsid w:val="00720737"/>
    <w:rsid w:val="0072166C"/>
    <w:rsid w:val="00722368"/>
    <w:rsid w:val="00723DD9"/>
    <w:rsid w:val="00723F5F"/>
    <w:rsid w:val="00724A2F"/>
    <w:rsid w:val="007269F7"/>
    <w:rsid w:val="007274FE"/>
    <w:rsid w:val="0073255C"/>
    <w:rsid w:val="00732787"/>
    <w:rsid w:val="00733640"/>
    <w:rsid w:val="00740F2F"/>
    <w:rsid w:val="00743C5E"/>
    <w:rsid w:val="0074598C"/>
    <w:rsid w:val="00750A67"/>
    <w:rsid w:val="0075243C"/>
    <w:rsid w:val="007540C1"/>
    <w:rsid w:val="00756C65"/>
    <w:rsid w:val="00762F32"/>
    <w:rsid w:val="00763785"/>
    <w:rsid w:val="0076682F"/>
    <w:rsid w:val="00776548"/>
    <w:rsid w:val="00780425"/>
    <w:rsid w:val="00783047"/>
    <w:rsid w:val="007846F0"/>
    <w:rsid w:val="0078555A"/>
    <w:rsid w:val="00786C6F"/>
    <w:rsid w:val="00787E66"/>
    <w:rsid w:val="00787F58"/>
    <w:rsid w:val="00790165"/>
    <w:rsid w:val="00793D4C"/>
    <w:rsid w:val="00793E3D"/>
    <w:rsid w:val="00794970"/>
    <w:rsid w:val="00795D5B"/>
    <w:rsid w:val="007A0351"/>
    <w:rsid w:val="007A08E5"/>
    <w:rsid w:val="007A12CE"/>
    <w:rsid w:val="007A1415"/>
    <w:rsid w:val="007A1C3E"/>
    <w:rsid w:val="007A3697"/>
    <w:rsid w:val="007A537B"/>
    <w:rsid w:val="007A63D5"/>
    <w:rsid w:val="007A6BE7"/>
    <w:rsid w:val="007A7430"/>
    <w:rsid w:val="007A7ABA"/>
    <w:rsid w:val="007B294A"/>
    <w:rsid w:val="007B2CCA"/>
    <w:rsid w:val="007C01D0"/>
    <w:rsid w:val="007C0A5B"/>
    <w:rsid w:val="007C20BA"/>
    <w:rsid w:val="007C49D2"/>
    <w:rsid w:val="007D2E72"/>
    <w:rsid w:val="007D3107"/>
    <w:rsid w:val="007D4652"/>
    <w:rsid w:val="007D5E80"/>
    <w:rsid w:val="007E0E8B"/>
    <w:rsid w:val="007E4301"/>
    <w:rsid w:val="007E45B5"/>
    <w:rsid w:val="007E7047"/>
    <w:rsid w:val="007F09E8"/>
    <w:rsid w:val="007F24C2"/>
    <w:rsid w:val="007F74D8"/>
    <w:rsid w:val="00804C16"/>
    <w:rsid w:val="0081393A"/>
    <w:rsid w:val="00814533"/>
    <w:rsid w:val="008147A8"/>
    <w:rsid w:val="0081593C"/>
    <w:rsid w:val="00816D04"/>
    <w:rsid w:val="0082194A"/>
    <w:rsid w:val="008222C9"/>
    <w:rsid w:val="008244B7"/>
    <w:rsid w:val="008267AE"/>
    <w:rsid w:val="0082697A"/>
    <w:rsid w:val="0082759E"/>
    <w:rsid w:val="00830464"/>
    <w:rsid w:val="00830805"/>
    <w:rsid w:val="00830E7B"/>
    <w:rsid w:val="00835791"/>
    <w:rsid w:val="008461FE"/>
    <w:rsid w:val="0085037E"/>
    <w:rsid w:val="00850388"/>
    <w:rsid w:val="0085494C"/>
    <w:rsid w:val="00855039"/>
    <w:rsid w:val="008553B0"/>
    <w:rsid w:val="00857B02"/>
    <w:rsid w:val="00862E0A"/>
    <w:rsid w:val="0086352F"/>
    <w:rsid w:val="008635E6"/>
    <w:rsid w:val="0086518C"/>
    <w:rsid w:val="00865505"/>
    <w:rsid w:val="00865E82"/>
    <w:rsid w:val="00870494"/>
    <w:rsid w:val="00881ECC"/>
    <w:rsid w:val="008850FA"/>
    <w:rsid w:val="0088620F"/>
    <w:rsid w:val="008866BF"/>
    <w:rsid w:val="00886719"/>
    <w:rsid w:val="008870C7"/>
    <w:rsid w:val="00890647"/>
    <w:rsid w:val="0089276F"/>
    <w:rsid w:val="008931DD"/>
    <w:rsid w:val="00897E67"/>
    <w:rsid w:val="008A0660"/>
    <w:rsid w:val="008A0C26"/>
    <w:rsid w:val="008A5BB1"/>
    <w:rsid w:val="008A5EF3"/>
    <w:rsid w:val="008A61F3"/>
    <w:rsid w:val="008A73FB"/>
    <w:rsid w:val="008B12E7"/>
    <w:rsid w:val="008B3005"/>
    <w:rsid w:val="008B3D96"/>
    <w:rsid w:val="008B44C9"/>
    <w:rsid w:val="008B5AB9"/>
    <w:rsid w:val="008B77A3"/>
    <w:rsid w:val="008C02FC"/>
    <w:rsid w:val="008C3573"/>
    <w:rsid w:val="008C4202"/>
    <w:rsid w:val="008C5C66"/>
    <w:rsid w:val="008C6EE5"/>
    <w:rsid w:val="008C7FAB"/>
    <w:rsid w:val="008D000D"/>
    <w:rsid w:val="008D002A"/>
    <w:rsid w:val="008D0A6F"/>
    <w:rsid w:val="008D3B2A"/>
    <w:rsid w:val="008D43C5"/>
    <w:rsid w:val="008D46F8"/>
    <w:rsid w:val="008D6CAD"/>
    <w:rsid w:val="008D791E"/>
    <w:rsid w:val="008E0A12"/>
    <w:rsid w:val="008E0A49"/>
    <w:rsid w:val="008E118B"/>
    <w:rsid w:val="008E38C1"/>
    <w:rsid w:val="008E43A6"/>
    <w:rsid w:val="008E4E82"/>
    <w:rsid w:val="008E6C5C"/>
    <w:rsid w:val="008F152C"/>
    <w:rsid w:val="008F2E84"/>
    <w:rsid w:val="008F4663"/>
    <w:rsid w:val="008F4A21"/>
    <w:rsid w:val="008F4A7F"/>
    <w:rsid w:val="00901049"/>
    <w:rsid w:val="00901A72"/>
    <w:rsid w:val="00904295"/>
    <w:rsid w:val="0090549B"/>
    <w:rsid w:val="00905C72"/>
    <w:rsid w:val="009074C1"/>
    <w:rsid w:val="00915F8F"/>
    <w:rsid w:val="00916413"/>
    <w:rsid w:val="009212A2"/>
    <w:rsid w:val="009219DF"/>
    <w:rsid w:val="00921C09"/>
    <w:rsid w:val="009222FD"/>
    <w:rsid w:val="00923C54"/>
    <w:rsid w:val="00925D00"/>
    <w:rsid w:val="00925F0D"/>
    <w:rsid w:val="009267DF"/>
    <w:rsid w:val="009312DA"/>
    <w:rsid w:val="0093180C"/>
    <w:rsid w:val="00934736"/>
    <w:rsid w:val="0093671C"/>
    <w:rsid w:val="009422BA"/>
    <w:rsid w:val="009434D2"/>
    <w:rsid w:val="00943A91"/>
    <w:rsid w:val="00945CB8"/>
    <w:rsid w:val="00945D83"/>
    <w:rsid w:val="0094743E"/>
    <w:rsid w:val="00947885"/>
    <w:rsid w:val="00953701"/>
    <w:rsid w:val="009539A7"/>
    <w:rsid w:val="0095761F"/>
    <w:rsid w:val="0096071D"/>
    <w:rsid w:val="00960CED"/>
    <w:rsid w:val="00960D71"/>
    <w:rsid w:val="009615C0"/>
    <w:rsid w:val="00961B38"/>
    <w:rsid w:val="00961F64"/>
    <w:rsid w:val="009629A5"/>
    <w:rsid w:val="009636B5"/>
    <w:rsid w:val="00963963"/>
    <w:rsid w:val="00971143"/>
    <w:rsid w:val="00971FD0"/>
    <w:rsid w:val="00974E79"/>
    <w:rsid w:val="009759D4"/>
    <w:rsid w:val="009760E8"/>
    <w:rsid w:val="00976A83"/>
    <w:rsid w:val="009802C9"/>
    <w:rsid w:val="00980A7E"/>
    <w:rsid w:val="00980C2B"/>
    <w:rsid w:val="00981A33"/>
    <w:rsid w:val="009848DC"/>
    <w:rsid w:val="0098658F"/>
    <w:rsid w:val="0098733E"/>
    <w:rsid w:val="0099006E"/>
    <w:rsid w:val="009902B2"/>
    <w:rsid w:val="009931B3"/>
    <w:rsid w:val="00993D4F"/>
    <w:rsid w:val="00997B8D"/>
    <w:rsid w:val="009A17C2"/>
    <w:rsid w:val="009A2105"/>
    <w:rsid w:val="009A31F6"/>
    <w:rsid w:val="009A542C"/>
    <w:rsid w:val="009A6034"/>
    <w:rsid w:val="009A6F85"/>
    <w:rsid w:val="009A741D"/>
    <w:rsid w:val="009A7C29"/>
    <w:rsid w:val="009B229D"/>
    <w:rsid w:val="009B352F"/>
    <w:rsid w:val="009B7505"/>
    <w:rsid w:val="009C1CA3"/>
    <w:rsid w:val="009C3875"/>
    <w:rsid w:val="009C3E93"/>
    <w:rsid w:val="009D0218"/>
    <w:rsid w:val="009D0DCE"/>
    <w:rsid w:val="009D1147"/>
    <w:rsid w:val="009D1486"/>
    <w:rsid w:val="009D1808"/>
    <w:rsid w:val="009D1F75"/>
    <w:rsid w:val="009D2446"/>
    <w:rsid w:val="009D274B"/>
    <w:rsid w:val="009E00C0"/>
    <w:rsid w:val="009E2AC4"/>
    <w:rsid w:val="009E2E22"/>
    <w:rsid w:val="009E32D6"/>
    <w:rsid w:val="009E55F8"/>
    <w:rsid w:val="009E5E0A"/>
    <w:rsid w:val="009E67CA"/>
    <w:rsid w:val="009E77F1"/>
    <w:rsid w:val="009E7A69"/>
    <w:rsid w:val="009F3BD5"/>
    <w:rsid w:val="009F60D8"/>
    <w:rsid w:val="00A0518F"/>
    <w:rsid w:val="00A1021E"/>
    <w:rsid w:val="00A1182C"/>
    <w:rsid w:val="00A17A11"/>
    <w:rsid w:val="00A215E9"/>
    <w:rsid w:val="00A21966"/>
    <w:rsid w:val="00A21B8A"/>
    <w:rsid w:val="00A220B9"/>
    <w:rsid w:val="00A34D03"/>
    <w:rsid w:val="00A36261"/>
    <w:rsid w:val="00A36346"/>
    <w:rsid w:val="00A375CF"/>
    <w:rsid w:val="00A37F15"/>
    <w:rsid w:val="00A41442"/>
    <w:rsid w:val="00A41914"/>
    <w:rsid w:val="00A45D51"/>
    <w:rsid w:val="00A46B9F"/>
    <w:rsid w:val="00A46F3E"/>
    <w:rsid w:val="00A500B8"/>
    <w:rsid w:val="00A51C74"/>
    <w:rsid w:val="00A541DF"/>
    <w:rsid w:val="00A56E73"/>
    <w:rsid w:val="00A57DDE"/>
    <w:rsid w:val="00A602BB"/>
    <w:rsid w:val="00A60D3B"/>
    <w:rsid w:val="00A6174D"/>
    <w:rsid w:val="00A6251B"/>
    <w:rsid w:val="00A6346B"/>
    <w:rsid w:val="00A66A77"/>
    <w:rsid w:val="00A66E95"/>
    <w:rsid w:val="00A67824"/>
    <w:rsid w:val="00A67F2C"/>
    <w:rsid w:val="00A715BD"/>
    <w:rsid w:val="00A71F42"/>
    <w:rsid w:val="00A7332E"/>
    <w:rsid w:val="00A7449D"/>
    <w:rsid w:val="00A744D0"/>
    <w:rsid w:val="00A746EC"/>
    <w:rsid w:val="00A74C13"/>
    <w:rsid w:val="00A7589A"/>
    <w:rsid w:val="00A85A9E"/>
    <w:rsid w:val="00A90060"/>
    <w:rsid w:val="00A90FC0"/>
    <w:rsid w:val="00A94F43"/>
    <w:rsid w:val="00AA01BC"/>
    <w:rsid w:val="00AA0220"/>
    <w:rsid w:val="00AA36BF"/>
    <w:rsid w:val="00AA4E04"/>
    <w:rsid w:val="00AA5B92"/>
    <w:rsid w:val="00AA632B"/>
    <w:rsid w:val="00AB12EC"/>
    <w:rsid w:val="00AB1809"/>
    <w:rsid w:val="00AB1C8E"/>
    <w:rsid w:val="00AB215E"/>
    <w:rsid w:val="00AB32BF"/>
    <w:rsid w:val="00AB3D3E"/>
    <w:rsid w:val="00AB4E93"/>
    <w:rsid w:val="00AC3B04"/>
    <w:rsid w:val="00AD2D0B"/>
    <w:rsid w:val="00AD41F8"/>
    <w:rsid w:val="00AD7B25"/>
    <w:rsid w:val="00AE07A6"/>
    <w:rsid w:val="00AE75F7"/>
    <w:rsid w:val="00AE76ED"/>
    <w:rsid w:val="00AE7DD9"/>
    <w:rsid w:val="00AF1469"/>
    <w:rsid w:val="00AF2498"/>
    <w:rsid w:val="00AF36B7"/>
    <w:rsid w:val="00AF3A1C"/>
    <w:rsid w:val="00AF3E0A"/>
    <w:rsid w:val="00AF484F"/>
    <w:rsid w:val="00AF54FA"/>
    <w:rsid w:val="00AF694D"/>
    <w:rsid w:val="00AF6E62"/>
    <w:rsid w:val="00AF795A"/>
    <w:rsid w:val="00B005DB"/>
    <w:rsid w:val="00B006B2"/>
    <w:rsid w:val="00B01491"/>
    <w:rsid w:val="00B015AE"/>
    <w:rsid w:val="00B043F3"/>
    <w:rsid w:val="00B07693"/>
    <w:rsid w:val="00B106F1"/>
    <w:rsid w:val="00B14E0B"/>
    <w:rsid w:val="00B17A13"/>
    <w:rsid w:val="00B21730"/>
    <w:rsid w:val="00B219FA"/>
    <w:rsid w:val="00B2434B"/>
    <w:rsid w:val="00B25586"/>
    <w:rsid w:val="00B32243"/>
    <w:rsid w:val="00B34249"/>
    <w:rsid w:val="00B448F0"/>
    <w:rsid w:val="00B4627F"/>
    <w:rsid w:val="00B52322"/>
    <w:rsid w:val="00B547CD"/>
    <w:rsid w:val="00B5485F"/>
    <w:rsid w:val="00B54A19"/>
    <w:rsid w:val="00B54D6F"/>
    <w:rsid w:val="00B56A46"/>
    <w:rsid w:val="00B578E8"/>
    <w:rsid w:val="00B57A48"/>
    <w:rsid w:val="00B603E7"/>
    <w:rsid w:val="00B60D43"/>
    <w:rsid w:val="00B60FE5"/>
    <w:rsid w:val="00B61E6F"/>
    <w:rsid w:val="00B62D32"/>
    <w:rsid w:val="00B64236"/>
    <w:rsid w:val="00B6544C"/>
    <w:rsid w:val="00B66639"/>
    <w:rsid w:val="00B66A4E"/>
    <w:rsid w:val="00B67C0B"/>
    <w:rsid w:val="00B702A2"/>
    <w:rsid w:val="00B71A06"/>
    <w:rsid w:val="00B71DE3"/>
    <w:rsid w:val="00B72EC3"/>
    <w:rsid w:val="00B76692"/>
    <w:rsid w:val="00B7669D"/>
    <w:rsid w:val="00B822E0"/>
    <w:rsid w:val="00B875B2"/>
    <w:rsid w:val="00B8792D"/>
    <w:rsid w:val="00B92695"/>
    <w:rsid w:val="00B9471F"/>
    <w:rsid w:val="00B94791"/>
    <w:rsid w:val="00BA0688"/>
    <w:rsid w:val="00BA1981"/>
    <w:rsid w:val="00BA23BB"/>
    <w:rsid w:val="00BA2B50"/>
    <w:rsid w:val="00BA3D29"/>
    <w:rsid w:val="00BA6730"/>
    <w:rsid w:val="00BA7EC0"/>
    <w:rsid w:val="00BB1AE7"/>
    <w:rsid w:val="00BB3A99"/>
    <w:rsid w:val="00BB4B41"/>
    <w:rsid w:val="00BB5157"/>
    <w:rsid w:val="00BB73EB"/>
    <w:rsid w:val="00BB78F2"/>
    <w:rsid w:val="00BC0A77"/>
    <w:rsid w:val="00BC25F2"/>
    <w:rsid w:val="00BD03B6"/>
    <w:rsid w:val="00BD1554"/>
    <w:rsid w:val="00BD1EE5"/>
    <w:rsid w:val="00BD3FF8"/>
    <w:rsid w:val="00BD414B"/>
    <w:rsid w:val="00BD7E32"/>
    <w:rsid w:val="00BE3B96"/>
    <w:rsid w:val="00BE5CCD"/>
    <w:rsid w:val="00BE64D9"/>
    <w:rsid w:val="00BE6ECD"/>
    <w:rsid w:val="00BF0B04"/>
    <w:rsid w:val="00BF1392"/>
    <w:rsid w:val="00BF3800"/>
    <w:rsid w:val="00C00B11"/>
    <w:rsid w:val="00C01D71"/>
    <w:rsid w:val="00C02C06"/>
    <w:rsid w:val="00C03270"/>
    <w:rsid w:val="00C05B4E"/>
    <w:rsid w:val="00C10CF8"/>
    <w:rsid w:val="00C1290D"/>
    <w:rsid w:val="00C1672B"/>
    <w:rsid w:val="00C1685F"/>
    <w:rsid w:val="00C173F6"/>
    <w:rsid w:val="00C20482"/>
    <w:rsid w:val="00C26AA6"/>
    <w:rsid w:val="00C26FE7"/>
    <w:rsid w:val="00C31B43"/>
    <w:rsid w:val="00C34BB1"/>
    <w:rsid w:val="00C34EE3"/>
    <w:rsid w:val="00C37725"/>
    <w:rsid w:val="00C40605"/>
    <w:rsid w:val="00C413AB"/>
    <w:rsid w:val="00C41A29"/>
    <w:rsid w:val="00C42B79"/>
    <w:rsid w:val="00C45A15"/>
    <w:rsid w:val="00C46204"/>
    <w:rsid w:val="00C47501"/>
    <w:rsid w:val="00C47A33"/>
    <w:rsid w:val="00C510AC"/>
    <w:rsid w:val="00C52557"/>
    <w:rsid w:val="00C533A4"/>
    <w:rsid w:val="00C5404D"/>
    <w:rsid w:val="00C55343"/>
    <w:rsid w:val="00C5562E"/>
    <w:rsid w:val="00C55815"/>
    <w:rsid w:val="00C55E19"/>
    <w:rsid w:val="00C56014"/>
    <w:rsid w:val="00C608CA"/>
    <w:rsid w:val="00C646CB"/>
    <w:rsid w:val="00C64E4A"/>
    <w:rsid w:val="00C66433"/>
    <w:rsid w:val="00C66589"/>
    <w:rsid w:val="00C66D44"/>
    <w:rsid w:val="00C67865"/>
    <w:rsid w:val="00C702F4"/>
    <w:rsid w:val="00C70FC6"/>
    <w:rsid w:val="00C711BF"/>
    <w:rsid w:val="00C7123B"/>
    <w:rsid w:val="00C71D91"/>
    <w:rsid w:val="00C72D9B"/>
    <w:rsid w:val="00C75E88"/>
    <w:rsid w:val="00C774B1"/>
    <w:rsid w:val="00C77585"/>
    <w:rsid w:val="00C77BBE"/>
    <w:rsid w:val="00C77CB3"/>
    <w:rsid w:val="00C77D52"/>
    <w:rsid w:val="00C83E80"/>
    <w:rsid w:val="00C85D46"/>
    <w:rsid w:val="00C916B0"/>
    <w:rsid w:val="00C93EA4"/>
    <w:rsid w:val="00C9424B"/>
    <w:rsid w:val="00C94DFD"/>
    <w:rsid w:val="00C9591A"/>
    <w:rsid w:val="00C95B29"/>
    <w:rsid w:val="00C96009"/>
    <w:rsid w:val="00C97E1E"/>
    <w:rsid w:val="00CA0909"/>
    <w:rsid w:val="00CA0B18"/>
    <w:rsid w:val="00CA2725"/>
    <w:rsid w:val="00CA2F5B"/>
    <w:rsid w:val="00CB2564"/>
    <w:rsid w:val="00CB2C3B"/>
    <w:rsid w:val="00CB3ECB"/>
    <w:rsid w:val="00CB45E0"/>
    <w:rsid w:val="00CB635E"/>
    <w:rsid w:val="00CB685F"/>
    <w:rsid w:val="00CB6942"/>
    <w:rsid w:val="00CB7E5A"/>
    <w:rsid w:val="00CC01D1"/>
    <w:rsid w:val="00CC0E30"/>
    <w:rsid w:val="00CC226F"/>
    <w:rsid w:val="00CC503E"/>
    <w:rsid w:val="00CC5A72"/>
    <w:rsid w:val="00CC5FA6"/>
    <w:rsid w:val="00CC6721"/>
    <w:rsid w:val="00CC709A"/>
    <w:rsid w:val="00CD1402"/>
    <w:rsid w:val="00CD1B75"/>
    <w:rsid w:val="00CD5FFF"/>
    <w:rsid w:val="00CE009B"/>
    <w:rsid w:val="00CE0DCA"/>
    <w:rsid w:val="00CE4642"/>
    <w:rsid w:val="00CF75E1"/>
    <w:rsid w:val="00D00B37"/>
    <w:rsid w:val="00D00C38"/>
    <w:rsid w:val="00D0440E"/>
    <w:rsid w:val="00D04D8E"/>
    <w:rsid w:val="00D054D1"/>
    <w:rsid w:val="00D05525"/>
    <w:rsid w:val="00D05B86"/>
    <w:rsid w:val="00D072BA"/>
    <w:rsid w:val="00D0747A"/>
    <w:rsid w:val="00D10505"/>
    <w:rsid w:val="00D111BF"/>
    <w:rsid w:val="00D116EC"/>
    <w:rsid w:val="00D124EC"/>
    <w:rsid w:val="00D151B5"/>
    <w:rsid w:val="00D153D7"/>
    <w:rsid w:val="00D15629"/>
    <w:rsid w:val="00D21720"/>
    <w:rsid w:val="00D21892"/>
    <w:rsid w:val="00D264D4"/>
    <w:rsid w:val="00D26829"/>
    <w:rsid w:val="00D32EBC"/>
    <w:rsid w:val="00D33365"/>
    <w:rsid w:val="00D34B62"/>
    <w:rsid w:val="00D3745C"/>
    <w:rsid w:val="00D37A87"/>
    <w:rsid w:val="00D44711"/>
    <w:rsid w:val="00D4579D"/>
    <w:rsid w:val="00D47B52"/>
    <w:rsid w:val="00D50573"/>
    <w:rsid w:val="00D506A3"/>
    <w:rsid w:val="00D50BA4"/>
    <w:rsid w:val="00D51A18"/>
    <w:rsid w:val="00D537C2"/>
    <w:rsid w:val="00D54DB6"/>
    <w:rsid w:val="00D56B55"/>
    <w:rsid w:val="00D601A2"/>
    <w:rsid w:val="00D619D2"/>
    <w:rsid w:val="00D649CD"/>
    <w:rsid w:val="00D65D66"/>
    <w:rsid w:val="00D66594"/>
    <w:rsid w:val="00D666AA"/>
    <w:rsid w:val="00D66C9A"/>
    <w:rsid w:val="00D67162"/>
    <w:rsid w:val="00D701B0"/>
    <w:rsid w:val="00D71599"/>
    <w:rsid w:val="00D71820"/>
    <w:rsid w:val="00D752A8"/>
    <w:rsid w:val="00D75383"/>
    <w:rsid w:val="00D80992"/>
    <w:rsid w:val="00D83099"/>
    <w:rsid w:val="00D85B74"/>
    <w:rsid w:val="00D85D6D"/>
    <w:rsid w:val="00D86079"/>
    <w:rsid w:val="00D86ADE"/>
    <w:rsid w:val="00D873C8"/>
    <w:rsid w:val="00D87A05"/>
    <w:rsid w:val="00D90C52"/>
    <w:rsid w:val="00D915F4"/>
    <w:rsid w:val="00D93E8E"/>
    <w:rsid w:val="00D94CD0"/>
    <w:rsid w:val="00D95627"/>
    <w:rsid w:val="00D9660C"/>
    <w:rsid w:val="00DA049A"/>
    <w:rsid w:val="00DA0A5E"/>
    <w:rsid w:val="00DA157B"/>
    <w:rsid w:val="00DA1732"/>
    <w:rsid w:val="00DA20EB"/>
    <w:rsid w:val="00DA31B8"/>
    <w:rsid w:val="00DA3252"/>
    <w:rsid w:val="00DA429F"/>
    <w:rsid w:val="00DA65FC"/>
    <w:rsid w:val="00DA6B7B"/>
    <w:rsid w:val="00DB1B06"/>
    <w:rsid w:val="00DB278B"/>
    <w:rsid w:val="00DB2A12"/>
    <w:rsid w:val="00DB2D11"/>
    <w:rsid w:val="00DB446C"/>
    <w:rsid w:val="00DB55FB"/>
    <w:rsid w:val="00DB70FA"/>
    <w:rsid w:val="00DD19F3"/>
    <w:rsid w:val="00DD21BE"/>
    <w:rsid w:val="00DD70A7"/>
    <w:rsid w:val="00DE086F"/>
    <w:rsid w:val="00DE10CF"/>
    <w:rsid w:val="00DE1107"/>
    <w:rsid w:val="00DE2751"/>
    <w:rsid w:val="00DE37D6"/>
    <w:rsid w:val="00DE4509"/>
    <w:rsid w:val="00DE518B"/>
    <w:rsid w:val="00DE543B"/>
    <w:rsid w:val="00DE6A7E"/>
    <w:rsid w:val="00DE6B30"/>
    <w:rsid w:val="00E01D48"/>
    <w:rsid w:val="00E031F0"/>
    <w:rsid w:val="00E06125"/>
    <w:rsid w:val="00E06340"/>
    <w:rsid w:val="00E07161"/>
    <w:rsid w:val="00E074EB"/>
    <w:rsid w:val="00E105A3"/>
    <w:rsid w:val="00E10B4E"/>
    <w:rsid w:val="00E1502D"/>
    <w:rsid w:val="00E16378"/>
    <w:rsid w:val="00E224A4"/>
    <w:rsid w:val="00E22C88"/>
    <w:rsid w:val="00E23087"/>
    <w:rsid w:val="00E237F1"/>
    <w:rsid w:val="00E24670"/>
    <w:rsid w:val="00E272A9"/>
    <w:rsid w:val="00E3057E"/>
    <w:rsid w:val="00E310EC"/>
    <w:rsid w:val="00E34F77"/>
    <w:rsid w:val="00E3540A"/>
    <w:rsid w:val="00E35F0D"/>
    <w:rsid w:val="00E40A6A"/>
    <w:rsid w:val="00E40F0C"/>
    <w:rsid w:val="00E4194C"/>
    <w:rsid w:val="00E4274B"/>
    <w:rsid w:val="00E4685B"/>
    <w:rsid w:val="00E47623"/>
    <w:rsid w:val="00E53255"/>
    <w:rsid w:val="00E537A7"/>
    <w:rsid w:val="00E558CA"/>
    <w:rsid w:val="00E56023"/>
    <w:rsid w:val="00E5686D"/>
    <w:rsid w:val="00E56A10"/>
    <w:rsid w:val="00E57395"/>
    <w:rsid w:val="00E576B6"/>
    <w:rsid w:val="00E60942"/>
    <w:rsid w:val="00E62AC6"/>
    <w:rsid w:val="00E67256"/>
    <w:rsid w:val="00E70420"/>
    <w:rsid w:val="00E70F9C"/>
    <w:rsid w:val="00E822B9"/>
    <w:rsid w:val="00E831FA"/>
    <w:rsid w:val="00E8421E"/>
    <w:rsid w:val="00E86799"/>
    <w:rsid w:val="00E90356"/>
    <w:rsid w:val="00E93D32"/>
    <w:rsid w:val="00E957CB"/>
    <w:rsid w:val="00E966C1"/>
    <w:rsid w:val="00E97437"/>
    <w:rsid w:val="00EA0D7B"/>
    <w:rsid w:val="00EA26BA"/>
    <w:rsid w:val="00EA28F8"/>
    <w:rsid w:val="00EA4BA4"/>
    <w:rsid w:val="00EA5BA5"/>
    <w:rsid w:val="00EB024D"/>
    <w:rsid w:val="00EB1582"/>
    <w:rsid w:val="00EB1ACE"/>
    <w:rsid w:val="00EB21A2"/>
    <w:rsid w:val="00EB4966"/>
    <w:rsid w:val="00EB4A70"/>
    <w:rsid w:val="00EB54A3"/>
    <w:rsid w:val="00EC0919"/>
    <w:rsid w:val="00EC1025"/>
    <w:rsid w:val="00EC2423"/>
    <w:rsid w:val="00EC35DF"/>
    <w:rsid w:val="00EC6F75"/>
    <w:rsid w:val="00EC7C8F"/>
    <w:rsid w:val="00ED0B6C"/>
    <w:rsid w:val="00ED160A"/>
    <w:rsid w:val="00ED1C0B"/>
    <w:rsid w:val="00ED2E43"/>
    <w:rsid w:val="00ED4755"/>
    <w:rsid w:val="00ED4A71"/>
    <w:rsid w:val="00ED555E"/>
    <w:rsid w:val="00EE199F"/>
    <w:rsid w:val="00EE1A67"/>
    <w:rsid w:val="00EE6EFB"/>
    <w:rsid w:val="00EF05DD"/>
    <w:rsid w:val="00EF1698"/>
    <w:rsid w:val="00EF1F6B"/>
    <w:rsid w:val="00EF2F7B"/>
    <w:rsid w:val="00EF47D2"/>
    <w:rsid w:val="00EF66BB"/>
    <w:rsid w:val="00F00AE1"/>
    <w:rsid w:val="00F01430"/>
    <w:rsid w:val="00F01E5B"/>
    <w:rsid w:val="00F073EC"/>
    <w:rsid w:val="00F10811"/>
    <w:rsid w:val="00F10D84"/>
    <w:rsid w:val="00F11947"/>
    <w:rsid w:val="00F16492"/>
    <w:rsid w:val="00F1709F"/>
    <w:rsid w:val="00F2358C"/>
    <w:rsid w:val="00F23CF4"/>
    <w:rsid w:val="00F300FC"/>
    <w:rsid w:val="00F307E1"/>
    <w:rsid w:val="00F34F4E"/>
    <w:rsid w:val="00F3527F"/>
    <w:rsid w:val="00F35F41"/>
    <w:rsid w:val="00F37E9F"/>
    <w:rsid w:val="00F43787"/>
    <w:rsid w:val="00F51355"/>
    <w:rsid w:val="00F51902"/>
    <w:rsid w:val="00F52410"/>
    <w:rsid w:val="00F52450"/>
    <w:rsid w:val="00F53B5C"/>
    <w:rsid w:val="00F53E49"/>
    <w:rsid w:val="00F5411E"/>
    <w:rsid w:val="00F54D02"/>
    <w:rsid w:val="00F5628B"/>
    <w:rsid w:val="00F56B3B"/>
    <w:rsid w:val="00F57683"/>
    <w:rsid w:val="00F60E02"/>
    <w:rsid w:val="00F60F3B"/>
    <w:rsid w:val="00F62456"/>
    <w:rsid w:val="00F650AE"/>
    <w:rsid w:val="00F66630"/>
    <w:rsid w:val="00F67CB7"/>
    <w:rsid w:val="00F708C9"/>
    <w:rsid w:val="00F7597D"/>
    <w:rsid w:val="00F75B2C"/>
    <w:rsid w:val="00F8009F"/>
    <w:rsid w:val="00F818D6"/>
    <w:rsid w:val="00F82294"/>
    <w:rsid w:val="00F83ADC"/>
    <w:rsid w:val="00F867A3"/>
    <w:rsid w:val="00F92E9F"/>
    <w:rsid w:val="00F93328"/>
    <w:rsid w:val="00F94144"/>
    <w:rsid w:val="00FA01D7"/>
    <w:rsid w:val="00FA0743"/>
    <w:rsid w:val="00FB1539"/>
    <w:rsid w:val="00FB2EAE"/>
    <w:rsid w:val="00FB5CDB"/>
    <w:rsid w:val="00FC1FE7"/>
    <w:rsid w:val="00FC23A9"/>
    <w:rsid w:val="00FC2860"/>
    <w:rsid w:val="00FC420D"/>
    <w:rsid w:val="00FC78C7"/>
    <w:rsid w:val="00FD285F"/>
    <w:rsid w:val="00FD38ED"/>
    <w:rsid w:val="00FD452D"/>
    <w:rsid w:val="00FD651A"/>
    <w:rsid w:val="00FD6E65"/>
    <w:rsid w:val="00FD74E9"/>
    <w:rsid w:val="00FE0518"/>
    <w:rsid w:val="00FE7880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481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B4E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4E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E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E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23CF4"/>
    <w:pPr>
      <w:spacing w:after="0" w:line="240" w:lineRule="auto"/>
    </w:pPr>
  </w:style>
  <w:style w:type="character" w:styleId="Hipersaitas">
    <w:name w:val="Hyperlink"/>
    <w:basedOn w:val="Numatytasispastraiposriftas"/>
    <w:rsid w:val="000A336E"/>
    <w:rPr>
      <w:color w:val="0000FF"/>
      <w:u w:val="single"/>
    </w:rPr>
  </w:style>
  <w:style w:type="paragraph" w:customStyle="1" w:styleId="Normal12pt">
    <w:name w:val="Normal + 12 pt"/>
    <w:basedOn w:val="prastasis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Numatytasispastraiposriftas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41A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6741A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A87"/>
  </w:style>
  <w:style w:type="paragraph" w:styleId="Porat">
    <w:name w:val="footer"/>
    <w:basedOn w:val="prastasis"/>
    <w:link w:val="Porat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A8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244B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C5A72"/>
  </w:style>
  <w:style w:type="character" w:customStyle="1" w:styleId="FontStyle18">
    <w:name w:val="Font Style18"/>
    <w:basedOn w:val="Numatytasispastraiposriftas"/>
    <w:rsid w:val="00E558CA"/>
    <w:rPr>
      <w:rFonts w:ascii="Times New Roman" w:hAnsi="Times New Roman" w:cs="Times New Roman"/>
      <w:sz w:val="20"/>
      <w:szCs w:val="20"/>
    </w:rPr>
  </w:style>
  <w:style w:type="paragraph" w:styleId="prastasistinklapis">
    <w:name w:val="Normal (Web)"/>
    <w:basedOn w:val="prastasis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F66630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  <w:lang w:val="lt-LT"/>
    </w:rPr>
  </w:style>
  <w:style w:type="character" w:customStyle="1" w:styleId="Mention">
    <w:name w:val="Mention"/>
    <w:basedOn w:val="Numatytasispastraiposriftas"/>
    <w:uiPriority w:val="99"/>
    <w:semiHidden/>
    <w:unhideWhenUsed/>
    <w:rsid w:val="0033539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481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B4E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4E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E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E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23CF4"/>
    <w:pPr>
      <w:spacing w:after="0" w:line="240" w:lineRule="auto"/>
    </w:pPr>
  </w:style>
  <w:style w:type="character" w:styleId="Hipersaitas">
    <w:name w:val="Hyperlink"/>
    <w:basedOn w:val="Numatytasispastraiposriftas"/>
    <w:rsid w:val="000A336E"/>
    <w:rPr>
      <w:color w:val="0000FF"/>
      <w:u w:val="single"/>
    </w:rPr>
  </w:style>
  <w:style w:type="paragraph" w:customStyle="1" w:styleId="Normal12pt">
    <w:name w:val="Normal + 12 pt"/>
    <w:basedOn w:val="prastasis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Numatytasispastraiposriftas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41A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6741A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A87"/>
  </w:style>
  <w:style w:type="paragraph" w:styleId="Porat">
    <w:name w:val="footer"/>
    <w:basedOn w:val="prastasis"/>
    <w:link w:val="Porat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A8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244B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C5A72"/>
  </w:style>
  <w:style w:type="character" w:customStyle="1" w:styleId="FontStyle18">
    <w:name w:val="Font Style18"/>
    <w:basedOn w:val="Numatytasispastraiposriftas"/>
    <w:rsid w:val="00E558CA"/>
    <w:rPr>
      <w:rFonts w:ascii="Times New Roman" w:hAnsi="Times New Roman" w:cs="Times New Roman"/>
      <w:sz w:val="20"/>
      <w:szCs w:val="20"/>
    </w:rPr>
  </w:style>
  <w:style w:type="paragraph" w:styleId="prastasistinklapis">
    <w:name w:val="Normal (Web)"/>
    <w:basedOn w:val="prastasis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F66630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  <w:lang w:val="lt-LT"/>
    </w:rPr>
  </w:style>
  <w:style w:type="character" w:customStyle="1" w:styleId="Mention">
    <w:name w:val="Mention"/>
    <w:basedOn w:val="Numatytasispastraiposriftas"/>
    <w:uiPriority w:val="99"/>
    <w:semiHidden/>
    <w:unhideWhenUsed/>
    <w:rsid w:val="0033539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o-rad.com/en-uk/product/ih-500-system?pcp_loc=catprod" TargetMode="External"/><Relationship Id="rId18" Type="http://schemas.openxmlformats.org/officeDocument/2006/relationships/hyperlink" Target="https://www.fda.gov/downloads/BiologicsBloodVaccines/BloodBloodProducts/ApprovedProducts/%20SubstantiallyEquivalent510kDeviceInformation/UCM383111.pdf" TargetMode="External"/><Relationship Id="rId26" Type="http://schemas.openxmlformats.org/officeDocument/2006/relationships/hyperlink" Target="https://www.beckmancoulter.com/%20wsrportal/WSR/diagnostics/clinical-products/urinalysis/iricell-microscopy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slh.org/web/downloads/ICSH_Standards/Sed%20Rate%20IJLH%20%202011.pdf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da.gov/downloads/BiologicsBloodVaccines/BloodBloodProducts/ApprovedProducts/SubstantiallyEquivalent510kDeviceInformation/UCM526710.pdf" TargetMode="External"/><Relationship Id="rId17" Type="http://schemas.openxmlformats.org/officeDocument/2006/relationships/hyperlink" Target="http://www.grifolsusa.com/en/web/eeuu/diagnostics/-/product/dg-gel-cards" TargetMode="External"/><Relationship Id="rId25" Type="http://schemas.openxmlformats.org/officeDocument/2006/relationships/hyperlink" Target="https://globenewswire.com/news-release/2012/09/17/491022/10005316/en/IRIS-International-Announces-Agreement-to-be-Acquired-by-Danaher-Corporation-for-19-50-per-Share.html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orthoclinical.com/File%20Library/pdf/en/OV-BioVue-brochure.pdf" TargetMode="External"/><Relationship Id="rId20" Type="http://schemas.openxmlformats.org/officeDocument/2006/relationships/hyperlink" Target="http://www.alifax.com/assets/Uploads/ESR-Bro001-ESR-family-instruments-26-07-16-EN-Rid.pdf" TargetMode="External"/><Relationship Id="rId29" Type="http://schemas.openxmlformats.org/officeDocument/2006/relationships/hyperlink" Target="https://www.accessdata.fda.gov/cdrh_docs/pdf12/k120009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m.lrv.lt/diagnostikos-gydymo-metodikos-ir-rekomendacijos/diagnostikos-ir-gydymo-protokolai" TargetMode="External"/><Relationship Id="rId24" Type="http://schemas.openxmlformats.org/officeDocument/2006/relationships/hyperlink" Target="http://www.cobas.com/content/dam/cobas_com/pdf/product/cobas-6500-urine-analyzer-series/%20Brochure%20cobas%20u%206500%20urine%20analyzer%20series.pdf" TargetMode="External"/><Relationship Id="rId32" Type="http://schemas.openxmlformats.org/officeDocument/2006/relationships/hyperlink" Target="mailto:Gema.Petronyte@vpt.l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cipa-public.sharepoint.com/PDF/Banco%20de%20Sangre/4%20Inmunohematolog%C3%ADa%20B.S/Autoview.pdf" TargetMode="External"/><Relationship Id="rId23" Type="http://schemas.openxmlformats.org/officeDocument/2006/relationships/hyperlink" Target="http://usa.healthcare.siemens.com/urinalysis/systems/clinitek-auwi-pro-system/technical-specifications" TargetMode="External"/><Relationship Id="rId28" Type="http://schemas.openxmlformats.org/officeDocument/2006/relationships/hyperlink" Target="https://www.aacc.org/~/media/files/annual-meeting/2016/abstracts/aacc16_am_a161a238.pdf?la=en" TargetMode="External"/><Relationship Id="rId10" Type="http://schemas.openxmlformats.org/officeDocument/2006/relationships/hyperlink" Target="https://www.ncbi.nlm.nih.gov/pmc/articles/%20PMC3222250/" TargetMode="External"/><Relationship Id="rId19" Type="http://schemas.openxmlformats.org/officeDocument/2006/relationships/hyperlink" Target="http://alcorscientific.com/wp-content/uploads/2016/%2011/112-09-054-07.2014-US-iSED-Sell-Sheet_1.pdf" TargetMode="External"/><Relationship Id="rId31" Type="http://schemas.openxmlformats.org/officeDocument/2006/relationships/hyperlink" Target="http://www.ilexmedical.com/files/PDF/C-Peptide_ARC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mmucor.com/enin/Products/Documents/%20Immucor_ECHO-Brochure_US_web.pdf" TargetMode="External"/><Relationship Id="rId22" Type="http://schemas.openxmlformats.org/officeDocument/2006/relationships/hyperlink" Target="http://www.beckmancoulterurinalysis.com/%20wp-content/uploads/2015/08/Iris-Urinalysis-Urine-Microscopy-Solution-Brochure-UK.pdf" TargetMode="External"/><Relationship Id="rId27" Type="http://schemas.openxmlformats.org/officeDocument/2006/relationships/hyperlink" Target="http://www.ilexmedical.com/files/PDF/FreeT3_ARC.pdf" TargetMode="External"/><Relationship Id="rId30" Type="http://schemas.openxmlformats.org/officeDocument/2006/relationships/hyperlink" Target="http://www.ilexmedical.com/files/PDF/Progesterone_ARC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8DA80-595F-48E2-8772-E4381606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7</Pages>
  <Words>16163</Words>
  <Characters>9214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Ilčiukas</dc:creator>
  <cp:lastModifiedBy>Gema Petronytė</cp:lastModifiedBy>
  <cp:revision>187</cp:revision>
  <cp:lastPrinted>2017-05-11T07:53:00Z</cp:lastPrinted>
  <dcterms:created xsi:type="dcterms:W3CDTF">2017-04-24T06:46:00Z</dcterms:created>
  <dcterms:modified xsi:type="dcterms:W3CDTF">2017-05-11T08:34:00Z</dcterms:modified>
</cp:coreProperties>
</file>