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F2" w:rsidRPr="00253137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37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250CE85" wp14:editId="710F6BE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137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137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137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137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1253F2" w:rsidRPr="00253137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3F2" w:rsidRPr="00B0759A" w:rsidRDefault="00316315" w:rsidP="00D40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5A56C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56C6">
        <w:rPr>
          <w:rFonts w:ascii="Times New Roman" w:hAnsi="Times New Roman" w:cs="Times New Roman"/>
          <w:sz w:val="24"/>
          <w:szCs w:val="24"/>
        </w:rPr>
        <w:t>01</w:t>
      </w:r>
      <w:r w:rsidR="00253137" w:rsidRPr="00B0759A">
        <w:rPr>
          <w:rFonts w:ascii="Times New Roman" w:hAnsi="Times New Roman" w:cs="Times New Roman"/>
          <w:sz w:val="24"/>
          <w:szCs w:val="24"/>
        </w:rPr>
        <w:t>-</w:t>
      </w:r>
      <w:r w:rsidR="00C240EC">
        <w:rPr>
          <w:rFonts w:ascii="Times New Roman" w:hAnsi="Times New Roman" w:cs="Times New Roman"/>
          <w:sz w:val="24"/>
          <w:szCs w:val="24"/>
        </w:rPr>
        <w:t>23</w:t>
      </w:r>
      <w:r w:rsidR="00B0759A">
        <w:rPr>
          <w:rFonts w:ascii="Times New Roman" w:hAnsi="Times New Roman" w:cs="Times New Roman"/>
          <w:sz w:val="24"/>
          <w:szCs w:val="24"/>
        </w:rPr>
        <w:t xml:space="preserve"> </w:t>
      </w:r>
      <w:r w:rsidR="001253F2" w:rsidRPr="00B0759A">
        <w:rPr>
          <w:rFonts w:ascii="Times New Roman" w:hAnsi="Times New Roman" w:cs="Times New Roman"/>
          <w:sz w:val="24"/>
          <w:szCs w:val="24"/>
        </w:rPr>
        <w:t xml:space="preserve">Nr. </w:t>
      </w:r>
      <w:r w:rsidR="00253137" w:rsidRPr="00B0759A">
        <w:rPr>
          <w:rFonts w:ascii="Times New Roman" w:hAnsi="Times New Roman" w:cs="Times New Roman"/>
          <w:sz w:val="24"/>
          <w:szCs w:val="24"/>
        </w:rPr>
        <w:t>4S-</w:t>
      </w:r>
      <w:r w:rsidR="00C240EC">
        <w:rPr>
          <w:rFonts w:ascii="Times New Roman" w:hAnsi="Times New Roman" w:cs="Times New Roman"/>
          <w:sz w:val="24"/>
          <w:szCs w:val="24"/>
        </w:rPr>
        <w:t>241</w:t>
      </w:r>
      <w:bookmarkStart w:id="0" w:name="_GoBack"/>
      <w:bookmarkEnd w:id="0"/>
      <w:r w:rsidR="00F04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3F2" w:rsidRPr="00253137" w:rsidRDefault="001253F2" w:rsidP="00D4020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137">
        <w:rPr>
          <w:rFonts w:ascii="Times New Roman" w:hAnsi="Times New Roman" w:cs="Times New Roman"/>
          <w:sz w:val="24"/>
          <w:szCs w:val="24"/>
        </w:rPr>
        <w:t>Vilnius</w:t>
      </w:r>
    </w:p>
    <w:p w:rsidR="001253F2" w:rsidRPr="00253137" w:rsidRDefault="001253F2" w:rsidP="00D4020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137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data, numeris</w:t>
            </w:r>
          </w:p>
        </w:tc>
        <w:tc>
          <w:tcPr>
            <w:tcW w:w="4934" w:type="dxa"/>
          </w:tcPr>
          <w:p w:rsidR="00B013DD" w:rsidRDefault="005A34D3" w:rsidP="00B013D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</w:t>
            </w:r>
            <w:r w:rsidR="00F04A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F04A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spalio 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  <w:r w:rsidR="00F04A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27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utarti</w:t>
            </w:r>
            <w:r w:rsidRPr="005A34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</w:p>
          <w:p w:rsidR="009968DE" w:rsidRPr="00253137" w:rsidRDefault="005A34D3" w:rsidP="002308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="00F04A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Ps_T-15-23200-14</w:t>
            </w:r>
            <w:r w:rsidR="00442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11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</w:t>
            </w:r>
            <w:r w:rsidR="00F04A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="00911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utartis)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tarp </w:t>
            </w:r>
            <w:r w:rsidR="008A7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įgaliojusios </w:t>
            </w:r>
            <w:r w:rsidR="00F055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perkančiosios </w:t>
            </w:r>
            <w:r w:rsidR="008A7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organizacijos </w:t>
            </w:r>
            <w:r w:rsidR="002308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00F04A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</w:t>
            </w:r>
            <w:r w:rsidR="00295D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42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295D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442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ietuvos dujos“</w:t>
            </w:r>
            <w:r w:rsidR="00F04A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64B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442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120059523</w:t>
            </w:r>
            <w:r w:rsidR="00B013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2308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95D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Aguonų g. 2</w:t>
            </w:r>
            <w:r w:rsidR="00442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B013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0</w:t>
            </w:r>
            <w:r w:rsidR="00295D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3212</w:t>
            </w:r>
            <w:r w:rsidR="00B013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Vilnius)</w:t>
            </w:r>
            <w:r w:rsid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95D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(nuo 2016 m. sausio 1 d. ir dabar – Energijos skirs</w:t>
            </w:r>
            <w:r w:rsidR="00442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tymo operatorius, AB (ESO) </w:t>
            </w:r>
            <w:r w:rsidR="00F04A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(toliau – Užsakovas) </w:t>
            </w:r>
            <w:r w:rsidR="00B013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8C20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teikėjo </w:t>
            </w:r>
            <w:r w:rsidR="00B013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r w:rsidR="00F04A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NT Valdos</w:t>
            </w:r>
            <w:r w:rsidR="005A56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pakeitimai (jei tokių buvo): data, Nr.</w:t>
            </w:r>
          </w:p>
        </w:tc>
        <w:tc>
          <w:tcPr>
            <w:tcW w:w="4934" w:type="dxa"/>
          </w:tcPr>
          <w:p w:rsidR="001253F2" w:rsidRPr="00253137" w:rsidRDefault="00864909" w:rsidP="001A34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</w:t>
            </w:r>
            <w:r w:rsidR="00864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rkimo, kurį įvykdžius sudaryta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1253F2" w:rsidRPr="00253137" w:rsidRDefault="00223D4B" w:rsidP="008B2E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ieš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asis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D0DDE" w:rsidRP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nspo</w:t>
            </w:r>
            <w:r w:rsid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 priemo</w:t>
            </w:r>
            <w:r w:rsid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 nuomos ir aptarnavimo paslaugos</w:t>
            </w:r>
            <w:r w:rsidR="003D0DDE" w:rsidRP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(skelbtas </w:t>
            </w:r>
            <w:r w:rsidR="003D0DDE" w:rsidRP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</w:t>
            </w:r>
            <w:r w:rsid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3D0DDE" w:rsidRP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gegužės 11</w:t>
            </w:r>
            <w:r w:rsid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  <w:r w:rsidR="003D0DDE" w:rsidRP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Centrinėje viešųjų pirkimų informacinėje sistemoje</w:t>
            </w:r>
            <w:r w:rsidR="008B2E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CVP IS)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 w:rsidR="003D0DDE" w:rsidRP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Nr. 1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63198</w:t>
            </w:r>
            <w:r w:rsid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D0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Pirkimas)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vykd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ytas</w:t>
            </w:r>
            <w:r w:rsidR="0035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skelbiamų derybų būdu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</w:t>
            </w:r>
          </w:p>
        </w:tc>
        <w:tc>
          <w:tcPr>
            <w:tcW w:w="4934" w:type="dxa"/>
          </w:tcPr>
          <w:p w:rsidR="00992ABC" w:rsidRPr="00253137" w:rsidRDefault="008A7500" w:rsidP="00640CE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UAB Verslo aptarnavimo centras (303359627, P. Lukšio g. 5B, 08221 Vilnius), įgaliotoji perkančioji organizacija, perkanti </w:t>
            </w:r>
            <w:r w:rsidR="00DA50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įgaliojusių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organizacijų </w:t>
            </w:r>
            <w:r w:rsidR="005A56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 savo reikmėms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/ teikėjas / rangovas</w:t>
            </w:r>
          </w:p>
        </w:tc>
        <w:tc>
          <w:tcPr>
            <w:tcW w:w="4934" w:type="dxa"/>
          </w:tcPr>
          <w:p w:rsidR="001A349B" w:rsidRDefault="008A7500" w:rsidP="00911A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„NT Valdos</w:t>
            </w:r>
            <w:r w:rsidR="00C64B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:rsidR="002D76E5" w:rsidRPr="00253137" w:rsidRDefault="00AE0ADD" w:rsidP="008A750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8A7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300634954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8A7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Geologų g. 16,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7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02190 </w:t>
            </w:r>
            <w:r w:rsidR="00C64B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8A7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Paslaugų teikėjas)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C956CC">
            <w:pPr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Subrangovai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subtiekėjai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subteikėjai</w:t>
            </w:r>
          </w:p>
        </w:tc>
        <w:tc>
          <w:tcPr>
            <w:tcW w:w="4934" w:type="dxa"/>
          </w:tcPr>
          <w:p w:rsidR="001253F2" w:rsidRPr="00253137" w:rsidRDefault="009968DE" w:rsidP="00E74C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1253F2" w:rsidRPr="00253137" w:rsidRDefault="009968DE" w:rsidP="00E74C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:rsidR="001253F2" w:rsidRPr="00253137" w:rsidRDefault="00500E85" w:rsidP="00500E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0E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Pirkimui taikomos Lietuvos Respublikos viešųjų pirkimų įstatymo (toliau – Įstatymas) (aktuali redakcija nuo 2015 m. sausio 1 d.) nuostatos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Vertinimo apimtis</w:t>
            </w:r>
            <w:r w:rsidR="00EA7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sutarties vykdymo etapas</w:t>
            </w:r>
          </w:p>
        </w:tc>
        <w:tc>
          <w:tcPr>
            <w:tcW w:w="4934" w:type="dxa"/>
          </w:tcPr>
          <w:p w:rsidR="001253F2" w:rsidRPr="00253137" w:rsidRDefault="00353E23" w:rsidP="00992A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Pilnas</w:t>
            </w:r>
            <w:r w:rsidR="001A34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vertinimas</w:t>
            </w:r>
            <w:r w:rsidR="00996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9968DE" w:rsidRPr="005443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utartis </w:t>
            </w:r>
            <w:r w:rsidR="00544304" w:rsidRPr="005443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oma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dėl sutarties vyksta teismo procesas?</w:t>
            </w:r>
          </w:p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taip, nurodyti:</w:t>
            </w:r>
          </w:p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ieškinio (skundo) dalyką, </w:t>
            </w:r>
          </w:p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bylos šalių pavadinimus, </w:t>
            </w:r>
          </w:p>
          <w:p w:rsidR="001253F2" w:rsidRPr="00253137" w:rsidRDefault="001253F2" w:rsidP="00F85E0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1253F2" w:rsidRPr="00253137" w:rsidRDefault="00152825" w:rsidP="00E74C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253F2" w:rsidRPr="00253137" w:rsidTr="007F74A9">
        <w:tc>
          <w:tcPr>
            <w:tcW w:w="4672" w:type="dxa"/>
          </w:tcPr>
          <w:p w:rsidR="001253F2" w:rsidRPr="00253137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1253F2" w:rsidRPr="00253137" w:rsidRDefault="00152825" w:rsidP="00911A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1253F2" w:rsidRPr="00253137" w:rsidRDefault="001253F2" w:rsidP="001E0B90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37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1253F2" w:rsidRPr="00253137" w:rsidTr="00AB35D1">
        <w:trPr>
          <w:trHeight w:val="271"/>
        </w:trPr>
        <w:tc>
          <w:tcPr>
            <w:tcW w:w="445" w:type="dxa"/>
          </w:tcPr>
          <w:p w:rsidR="001253F2" w:rsidRPr="00BA1CB8" w:rsidRDefault="001253F2" w:rsidP="001253F2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:rsidR="001253F2" w:rsidRPr="00BA1CB8" w:rsidRDefault="00276557" w:rsidP="00BF32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A1C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Įstatymo 18 straipsnio 11 dalis </w:t>
            </w:r>
            <w:r w:rsidRPr="00BA1CB8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</w:p>
        </w:tc>
      </w:tr>
      <w:tr w:rsidR="001253F2" w:rsidRPr="00253137" w:rsidTr="007F74A9">
        <w:tc>
          <w:tcPr>
            <w:tcW w:w="9606" w:type="dxa"/>
            <w:gridSpan w:val="2"/>
          </w:tcPr>
          <w:p w:rsidR="00F11C6B" w:rsidRPr="00BA1CB8" w:rsidRDefault="00276557" w:rsidP="00991DAB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1C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Nagrinėjamu atveju nustatyta, kad Sutartis, sudaryta 2015 m. spalio 5 d., CVP IS buvo paskelbta 2015 m. </w:t>
            </w:r>
            <w:r w:rsidR="00991DAB" w:rsidRPr="00BA1C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gruodžio 2</w:t>
            </w:r>
            <w:r w:rsidRPr="00BA1C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d., t. y. per 5</w:t>
            </w:r>
            <w:r w:rsidR="00991DAB" w:rsidRPr="00BA1C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</w:t>
            </w:r>
            <w:r w:rsidRPr="00BA1C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dienas nuo Sutarties sudarymo. Atsižvelgiant į tai, Tarnyba konstatuoja, kad Užsakovas pažeidė Įstatymo 18 straipsnio 11 dalies nuostatos laikymąsi.</w:t>
            </w:r>
          </w:p>
        </w:tc>
      </w:tr>
    </w:tbl>
    <w:p w:rsidR="001253F2" w:rsidRPr="00253137" w:rsidRDefault="001253F2" w:rsidP="00B23D88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37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</w:t>
      </w:r>
    </w:p>
    <w:tbl>
      <w:tblPr>
        <w:tblStyle w:val="Lentelstinklelis2"/>
        <w:tblW w:w="9606" w:type="dxa"/>
        <w:tblLook w:val="04A0" w:firstRow="1" w:lastRow="0" w:firstColumn="1" w:lastColumn="0" w:noHBand="0" w:noVBand="1"/>
      </w:tblPr>
      <w:tblGrid>
        <w:gridCol w:w="538"/>
        <w:gridCol w:w="9068"/>
      </w:tblGrid>
      <w:tr w:rsidR="007C12EE" w:rsidRPr="00253137" w:rsidTr="00BA1CB8">
        <w:tc>
          <w:tcPr>
            <w:tcW w:w="538" w:type="dxa"/>
          </w:tcPr>
          <w:p w:rsidR="007C12EE" w:rsidRPr="00253137" w:rsidRDefault="007C12EE" w:rsidP="0027655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</w:tcPr>
          <w:p w:rsidR="007C12EE" w:rsidRPr="00253137" w:rsidRDefault="009177EB" w:rsidP="00076517">
            <w:pPr>
              <w:tabs>
                <w:tab w:val="left" w:pos="0"/>
                <w:tab w:val="left" w:pos="993"/>
                <w:tab w:val="left" w:pos="1276"/>
              </w:tabs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1253F2" w:rsidRPr="00253137" w:rsidRDefault="001253F2" w:rsidP="00665C79">
      <w:pPr>
        <w:spacing w:before="240"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137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253F2" w:rsidRPr="00253137" w:rsidTr="007F74A9">
        <w:tc>
          <w:tcPr>
            <w:tcW w:w="9606" w:type="dxa"/>
          </w:tcPr>
          <w:p w:rsidR="00657296" w:rsidRPr="008E6F29" w:rsidRDefault="008E6F29" w:rsidP="008E6F29">
            <w:pPr>
              <w:tabs>
                <w:tab w:val="left" w:pos="284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</w:t>
            </w:r>
            <w:r w:rsidR="0027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ant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Sutartį, </w:t>
            </w:r>
            <w:r w:rsidR="0027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Užsakovas</w:t>
            </w:r>
            <w:r w:rsidR="00245927" w:rsidRPr="002459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7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pažeidė </w:t>
            </w:r>
            <w:r w:rsidR="00657296" w:rsidRPr="008E6F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Įstatymo </w:t>
            </w:r>
            <w:r w:rsidR="0027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 w:rsidR="00657296" w:rsidRPr="008E6F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straipsnio 1</w:t>
            </w:r>
            <w:r w:rsidR="0027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dalies nuostatą.</w:t>
            </w:r>
          </w:p>
          <w:p w:rsidR="00F72C83" w:rsidRPr="00F72C83" w:rsidRDefault="00F72C83" w:rsidP="00F72C83">
            <w:pPr>
              <w:tabs>
                <w:tab w:val="left" w:pos="284"/>
                <w:tab w:val="left" w:pos="851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72C8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Atsižvelgdama į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 </w:t>
            </w:r>
            <w:r w:rsidRPr="00F72C8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Pirkimu susijusių dokumentų ir procedūrų atitikties Įstatymo ir (ar) su jo įgyvendinimu susijusių teisės aktų reikalavimams vertinimo išvadoje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nustatytus pažeidimus</w:t>
            </w:r>
            <w:r w:rsidRPr="00F72C8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Tarnyba rekomenduoja Sutartį nutraukti ir, esant poreikiui, transporto priemonių nuomos ir aptarnavimo paslaugas įsigyti vykdant naujas pirkimo procedūras, vadovaujantis Įstatymo nuostatomis.</w:t>
            </w:r>
          </w:p>
          <w:p w:rsidR="00F72C83" w:rsidRPr="00F72C83" w:rsidRDefault="00F72C83" w:rsidP="00F72C83">
            <w:pPr>
              <w:tabs>
                <w:tab w:val="left" w:pos="284"/>
                <w:tab w:val="left" w:pos="851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72C8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Prašome ne vėliau kaip per 10 darbo dienų, nuo šios vertinimo išvados gavimo dienos, raštu informuoti Tarnybą apie priimtus sprendimus dėl Tarnybos rekomendacijos nutraukti Sutartį.</w:t>
            </w:r>
          </w:p>
          <w:p w:rsidR="00B00C41" w:rsidRPr="00754A3C" w:rsidRDefault="00B00C41" w:rsidP="008E6F29">
            <w:pPr>
              <w:pStyle w:val="Sraopastraipa"/>
              <w:tabs>
                <w:tab w:val="left" w:pos="28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4A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Vadovaujantis Lietuvos Respublikos administracinių bylų teisenos įstatymo 5</w:t>
            </w:r>
            <w:r w:rsidR="00F07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                          17</w:t>
            </w:r>
            <w:r w:rsidRPr="00754A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straipsniais, nesutikę su Vertinimo išvada, galite ją apskųsti teismui šio įstatymo nustatyta tvarka.</w:t>
            </w:r>
          </w:p>
        </w:tc>
      </w:tr>
    </w:tbl>
    <w:p w:rsidR="000A3E95" w:rsidRDefault="000A3E95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7EB" w:rsidRPr="00253137" w:rsidRDefault="009177EB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9"/>
        <w:gridCol w:w="1971"/>
        <w:gridCol w:w="292"/>
        <w:gridCol w:w="3650"/>
      </w:tblGrid>
      <w:tr w:rsidR="001253F2" w:rsidRPr="000E7D85" w:rsidTr="007F74A9">
        <w:tc>
          <w:tcPr>
            <w:tcW w:w="3652" w:type="dxa"/>
            <w:tcBorders>
              <w:bottom w:val="single" w:sz="8" w:space="0" w:color="auto"/>
            </w:tcBorders>
          </w:tcPr>
          <w:p w:rsidR="00EC23D8" w:rsidRDefault="000E7D85" w:rsidP="00EC23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2A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Prevencijos ir pirkimo sutarčių priežiūros skyriaus</w:t>
            </w:r>
          </w:p>
          <w:p w:rsidR="001253F2" w:rsidRPr="003F2A87" w:rsidRDefault="000E7D85" w:rsidP="00EC23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2A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vyriausioji specialistė</w:t>
            </w:r>
          </w:p>
        </w:tc>
        <w:tc>
          <w:tcPr>
            <w:tcW w:w="289" w:type="dxa"/>
          </w:tcPr>
          <w:p w:rsidR="001253F2" w:rsidRPr="00253137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71" w:type="dxa"/>
            <w:tcBorders>
              <w:bottom w:val="single" w:sz="8" w:space="0" w:color="auto"/>
            </w:tcBorders>
          </w:tcPr>
          <w:p w:rsidR="001253F2" w:rsidRPr="00253137" w:rsidRDefault="001253F2" w:rsidP="001253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2" w:type="dxa"/>
          </w:tcPr>
          <w:p w:rsidR="001253F2" w:rsidRPr="00253137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650" w:type="dxa"/>
            <w:tcBorders>
              <w:bottom w:val="single" w:sz="8" w:space="0" w:color="auto"/>
            </w:tcBorders>
          </w:tcPr>
          <w:p w:rsidR="003F2A87" w:rsidRDefault="003F2A87" w:rsidP="001253F2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253F2" w:rsidRPr="000E7D85" w:rsidRDefault="00565920" w:rsidP="00DD466E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Henrika Šileikė</w:t>
            </w:r>
          </w:p>
        </w:tc>
      </w:tr>
      <w:tr w:rsidR="001253F2" w:rsidRPr="00253137" w:rsidTr="007F74A9">
        <w:tc>
          <w:tcPr>
            <w:tcW w:w="3652" w:type="dxa"/>
            <w:tcBorders>
              <w:top w:val="single" w:sz="8" w:space="0" w:color="auto"/>
            </w:tcBorders>
          </w:tcPr>
          <w:p w:rsidR="001253F2" w:rsidRPr="00253137" w:rsidRDefault="001253F2" w:rsidP="001253F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(išvados rengėjo pareigų pavadinimas)</w:t>
            </w:r>
          </w:p>
        </w:tc>
        <w:tc>
          <w:tcPr>
            <w:tcW w:w="289" w:type="dxa"/>
          </w:tcPr>
          <w:p w:rsidR="001253F2" w:rsidRPr="00253137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971" w:type="dxa"/>
            <w:tcBorders>
              <w:top w:val="single" w:sz="8" w:space="0" w:color="auto"/>
            </w:tcBorders>
          </w:tcPr>
          <w:p w:rsidR="001253F2" w:rsidRPr="00253137" w:rsidRDefault="001253F2" w:rsidP="001253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92" w:type="dxa"/>
          </w:tcPr>
          <w:p w:rsidR="001253F2" w:rsidRPr="00253137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3650" w:type="dxa"/>
            <w:tcBorders>
              <w:top w:val="single" w:sz="8" w:space="0" w:color="auto"/>
            </w:tcBorders>
          </w:tcPr>
          <w:p w:rsidR="001253F2" w:rsidRPr="00253137" w:rsidRDefault="001253F2" w:rsidP="001253F2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5313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(vardas, pavardė)</w:t>
            </w:r>
          </w:p>
        </w:tc>
      </w:tr>
    </w:tbl>
    <w:p w:rsidR="001253F2" w:rsidRPr="00253137" w:rsidRDefault="001253F2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3F2" w:rsidRPr="00253137" w:rsidRDefault="001253F2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3F2" w:rsidRPr="00253137" w:rsidRDefault="001253F2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1BC" w:rsidRDefault="009D21BC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6DA" w:rsidRDefault="000656DA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3F2" w:rsidRPr="00253137" w:rsidRDefault="001253F2" w:rsidP="00125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21" w:rsidRPr="00253137" w:rsidRDefault="000E7D85" w:rsidP="00181888">
      <w:pPr>
        <w:spacing w:after="0" w:line="240" w:lineRule="auto"/>
        <w:jc w:val="both"/>
      </w:pPr>
      <w:r w:rsidRPr="000E7D85">
        <w:rPr>
          <w:rFonts w:ascii="Times New Roman" w:eastAsia="Times New Roman" w:hAnsi="Times New Roman" w:cs="Times New Roman"/>
          <w:sz w:val="24"/>
          <w:szCs w:val="24"/>
        </w:rPr>
        <w:t>H. Šileikė, tel. (8 5) 219 7034, faks. (8 5) 213 6213, el. p. Henrika.Sileike@vpt.lt</w:t>
      </w:r>
    </w:p>
    <w:sectPr w:rsidR="001D5721" w:rsidRPr="00253137" w:rsidSect="0062435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7B" w:rsidRDefault="0091117B">
      <w:pPr>
        <w:spacing w:after="0" w:line="240" w:lineRule="auto"/>
      </w:pPr>
      <w:r>
        <w:separator/>
      </w:r>
    </w:p>
  </w:endnote>
  <w:endnote w:type="continuationSeparator" w:id="0">
    <w:p w:rsidR="0091117B" w:rsidRDefault="0091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7B" w:rsidRDefault="0091117B">
      <w:pPr>
        <w:spacing w:after="0" w:line="240" w:lineRule="auto"/>
      </w:pPr>
      <w:r>
        <w:separator/>
      </w:r>
    </w:p>
  </w:footnote>
  <w:footnote w:type="continuationSeparator" w:id="0">
    <w:p w:rsidR="0091117B" w:rsidRDefault="0091117B">
      <w:pPr>
        <w:spacing w:after="0" w:line="240" w:lineRule="auto"/>
      </w:pPr>
      <w:r>
        <w:continuationSeparator/>
      </w:r>
    </w:p>
  </w:footnote>
  <w:footnote w:id="1">
    <w:p w:rsidR="00276557" w:rsidRPr="00BD6713" w:rsidRDefault="00276557" w:rsidP="00276557">
      <w:pPr>
        <w:pStyle w:val="Puslapioinaostekstas"/>
        <w:rPr>
          <w:rFonts w:ascii="Times New Roman" w:hAnsi="Times New Roman" w:cs="Times New Roman"/>
        </w:rPr>
      </w:pPr>
      <w:r w:rsidRPr="00BD6713">
        <w:rPr>
          <w:rStyle w:val="Puslapioinaosnuoroda"/>
          <w:rFonts w:ascii="Times New Roman" w:hAnsi="Times New Roman" w:cs="Times New Roman"/>
        </w:rPr>
        <w:footnoteRef/>
      </w:r>
      <w:r w:rsidRPr="00BD6713">
        <w:rPr>
          <w:rFonts w:ascii="Times New Roman" w:hAnsi="Times New Roman" w:cs="Times New Roman"/>
          <w:bCs/>
        </w:rPr>
        <w:t xml:space="preserve">Perkančioji organizacija laimėjusio dalyvio pasiūlymą, sudarytą pirkimo sutartį ir pirkimo sutarties sąlygų pakeitimus &lt;...&gt; </w:t>
      </w:r>
      <w:r w:rsidRPr="00BD6713">
        <w:rPr>
          <w:rFonts w:ascii="Times New Roman" w:hAnsi="Times New Roman" w:cs="Times New Roman"/>
          <w:bCs/>
          <w:i/>
        </w:rPr>
        <w:t>ne vėliau kaip per 10 dienų</w:t>
      </w:r>
      <w:r w:rsidRPr="00BD6713">
        <w:rPr>
          <w:rFonts w:ascii="Times New Roman" w:hAnsi="Times New Roman" w:cs="Times New Roman"/>
          <w:bCs/>
        </w:rPr>
        <w:t xml:space="preserve"> nuo pirkimo sutarties sudarymo ar jos sąlygų pakeitimo turi paskelbti Centrinėje viešųjų pirkimų informacinėje sistemoje.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:rsidR="009D769F" w:rsidRDefault="001253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0EC" w:rsidRPr="00C240EC">
          <w:rPr>
            <w:noProof/>
            <w:lang w:val="lt-LT"/>
          </w:rPr>
          <w:t>2</w:t>
        </w:r>
        <w:r>
          <w:fldChar w:fldCharType="end"/>
        </w:r>
      </w:p>
    </w:sdtContent>
  </w:sdt>
  <w:p w:rsidR="009D769F" w:rsidRDefault="00C240E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012B"/>
    <w:multiLevelType w:val="hybridMultilevel"/>
    <w:tmpl w:val="54C6C0DE"/>
    <w:lvl w:ilvl="0" w:tplc="AC4C5F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064C11"/>
    <w:multiLevelType w:val="hybridMultilevel"/>
    <w:tmpl w:val="F3F21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87C2E"/>
    <w:multiLevelType w:val="multilevel"/>
    <w:tmpl w:val="A10CE7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4">
    <w:nsid w:val="510861F3"/>
    <w:multiLevelType w:val="hybridMultilevel"/>
    <w:tmpl w:val="D28AB5A6"/>
    <w:lvl w:ilvl="0" w:tplc="19821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B337A"/>
    <w:multiLevelType w:val="hybridMultilevel"/>
    <w:tmpl w:val="1AF0A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543FF"/>
    <w:multiLevelType w:val="hybridMultilevel"/>
    <w:tmpl w:val="0FD4A81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F2"/>
    <w:rsid w:val="00011253"/>
    <w:rsid w:val="00021877"/>
    <w:rsid w:val="00022797"/>
    <w:rsid w:val="00030633"/>
    <w:rsid w:val="000308EF"/>
    <w:rsid w:val="00036DAD"/>
    <w:rsid w:val="00043FAD"/>
    <w:rsid w:val="000458DD"/>
    <w:rsid w:val="000656DA"/>
    <w:rsid w:val="00086504"/>
    <w:rsid w:val="00087CB5"/>
    <w:rsid w:val="000A3E95"/>
    <w:rsid w:val="000B3BB9"/>
    <w:rsid w:val="000D09D8"/>
    <w:rsid w:val="000D6E72"/>
    <w:rsid w:val="000E7D85"/>
    <w:rsid w:val="001253F2"/>
    <w:rsid w:val="00152825"/>
    <w:rsid w:val="001540F3"/>
    <w:rsid w:val="00154AF7"/>
    <w:rsid w:val="001657F8"/>
    <w:rsid w:val="00171219"/>
    <w:rsid w:val="00181888"/>
    <w:rsid w:val="001900BF"/>
    <w:rsid w:val="00196DFC"/>
    <w:rsid w:val="001A349B"/>
    <w:rsid w:val="001D5721"/>
    <w:rsid w:val="001E0B90"/>
    <w:rsid w:val="001F2166"/>
    <w:rsid w:val="00223D4B"/>
    <w:rsid w:val="002308A2"/>
    <w:rsid w:val="002318F4"/>
    <w:rsid w:val="002417A8"/>
    <w:rsid w:val="00245927"/>
    <w:rsid w:val="0025117C"/>
    <w:rsid w:val="00253137"/>
    <w:rsid w:val="00270EAF"/>
    <w:rsid w:val="00276557"/>
    <w:rsid w:val="00295DB8"/>
    <w:rsid w:val="002A31A4"/>
    <w:rsid w:val="002B1DB4"/>
    <w:rsid w:val="002D76E5"/>
    <w:rsid w:val="00316315"/>
    <w:rsid w:val="00333DC1"/>
    <w:rsid w:val="00345E29"/>
    <w:rsid w:val="00353E23"/>
    <w:rsid w:val="003633D7"/>
    <w:rsid w:val="0036429D"/>
    <w:rsid w:val="00385524"/>
    <w:rsid w:val="003B6B7F"/>
    <w:rsid w:val="003C0E4A"/>
    <w:rsid w:val="003D0DDE"/>
    <w:rsid w:val="003F2A87"/>
    <w:rsid w:val="00415F3D"/>
    <w:rsid w:val="004237C4"/>
    <w:rsid w:val="004245FD"/>
    <w:rsid w:val="00440423"/>
    <w:rsid w:val="004421A9"/>
    <w:rsid w:val="0044555B"/>
    <w:rsid w:val="00454975"/>
    <w:rsid w:val="00460882"/>
    <w:rsid w:val="004662AC"/>
    <w:rsid w:val="00496D8B"/>
    <w:rsid w:val="004B1904"/>
    <w:rsid w:val="004B3614"/>
    <w:rsid w:val="004D30D2"/>
    <w:rsid w:val="004D47E4"/>
    <w:rsid w:val="004F668B"/>
    <w:rsid w:val="00500E85"/>
    <w:rsid w:val="0050361E"/>
    <w:rsid w:val="0053194B"/>
    <w:rsid w:val="00544304"/>
    <w:rsid w:val="00561C58"/>
    <w:rsid w:val="00565920"/>
    <w:rsid w:val="005904E1"/>
    <w:rsid w:val="00595A25"/>
    <w:rsid w:val="005A34D3"/>
    <w:rsid w:val="005A56C6"/>
    <w:rsid w:val="005B588A"/>
    <w:rsid w:val="005D17F8"/>
    <w:rsid w:val="005E09F6"/>
    <w:rsid w:val="005E2B7C"/>
    <w:rsid w:val="005F0BD6"/>
    <w:rsid w:val="00610F93"/>
    <w:rsid w:val="00611168"/>
    <w:rsid w:val="00624352"/>
    <w:rsid w:val="00625F74"/>
    <w:rsid w:val="006319C1"/>
    <w:rsid w:val="00640CEB"/>
    <w:rsid w:val="00641349"/>
    <w:rsid w:val="00646237"/>
    <w:rsid w:val="00657296"/>
    <w:rsid w:val="00665C79"/>
    <w:rsid w:val="006A0F19"/>
    <w:rsid w:val="006A7CD4"/>
    <w:rsid w:val="00700766"/>
    <w:rsid w:val="00731C53"/>
    <w:rsid w:val="00747C3E"/>
    <w:rsid w:val="00752277"/>
    <w:rsid w:val="00754A3C"/>
    <w:rsid w:val="00756C2F"/>
    <w:rsid w:val="007606E8"/>
    <w:rsid w:val="00772976"/>
    <w:rsid w:val="00796FC6"/>
    <w:rsid w:val="007A7B32"/>
    <w:rsid w:val="007C12EE"/>
    <w:rsid w:val="007C1C24"/>
    <w:rsid w:val="007C5383"/>
    <w:rsid w:val="007F701F"/>
    <w:rsid w:val="00814CAC"/>
    <w:rsid w:val="00815F08"/>
    <w:rsid w:val="008342B1"/>
    <w:rsid w:val="008401F5"/>
    <w:rsid w:val="00864909"/>
    <w:rsid w:val="008660FB"/>
    <w:rsid w:val="00881A1F"/>
    <w:rsid w:val="00883FC4"/>
    <w:rsid w:val="008A7500"/>
    <w:rsid w:val="008B2E1D"/>
    <w:rsid w:val="008C20D0"/>
    <w:rsid w:val="008E6F29"/>
    <w:rsid w:val="008F19BC"/>
    <w:rsid w:val="00904020"/>
    <w:rsid w:val="00906C78"/>
    <w:rsid w:val="0091117B"/>
    <w:rsid w:val="00911A20"/>
    <w:rsid w:val="00915D72"/>
    <w:rsid w:val="00916FEB"/>
    <w:rsid w:val="009177EB"/>
    <w:rsid w:val="00921A04"/>
    <w:rsid w:val="0095647A"/>
    <w:rsid w:val="009702FA"/>
    <w:rsid w:val="00984E71"/>
    <w:rsid w:val="00991DAB"/>
    <w:rsid w:val="00992ABC"/>
    <w:rsid w:val="009968DE"/>
    <w:rsid w:val="009D21BC"/>
    <w:rsid w:val="009D37CE"/>
    <w:rsid w:val="009F5B93"/>
    <w:rsid w:val="00A13285"/>
    <w:rsid w:val="00A22D48"/>
    <w:rsid w:val="00A26CAA"/>
    <w:rsid w:val="00A47DEC"/>
    <w:rsid w:val="00A5531B"/>
    <w:rsid w:val="00A73233"/>
    <w:rsid w:val="00A74A3F"/>
    <w:rsid w:val="00AA73E3"/>
    <w:rsid w:val="00AB35D1"/>
    <w:rsid w:val="00AE0ADD"/>
    <w:rsid w:val="00AE12B3"/>
    <w:rsid w:val="00AF0397"/>
    <w:rsid w:val="00B00C41"/>
    <w:rsid w:val="00B013DD"/>
    <w:rsid w:val="00B02D41"/>
    <w:rsid w:val="00B0759A"/>
    <w:rsid w:val="00B16A76"/>
    <w:rsid w:val="00B203D0"/>
    <w:rsid w:val="00B23D88"/>
    <w:rsid w:val="00B55BC9"/>
    <w:rsid w:val="00B62282"/>
    <w:rsid w:val="00B73E96"/>
    <w:rsid w:val="00B8011C"/>
    <w:rsid w:val="00BA1CB8"/>
    <w:rsid w:val="00BA2F64"/>
    <w:rsid w:val="00BA5ED6"/>
    <w:rsid w:val="00BC22D7"/>
    <w:rsid w:val="00BD6713"/>
    <w:rsid w:val="00BF328A"/>
    <w:rsid w:val="00C015D3"/>
    <w:rsid w:val="00C01BE2"/>
    <w:rsid w:val="00C22B71"/>
    <w:rsid w:val="00C240EC"/>
    <w:rsid w:val="00C47D99"/>
    <w:rsid w:val="00C50FC1"/>
    <w:rsid w:val="00C52896"/>
    <w:rsid w:val="00C54A75"/>
    <w:rsid w:val="00C64B50"/>
    <w:rsid w:val="00C6505E"/>
    <w:rsid w:val="00C737C1"/>
    <w:rsid w:val="00C75E20"/>
    <w:rsid w:val="00C871D6"/>
    <w:rsid w:val="00C92D23"/>
    <w:rsid w:val="00C956CC"/>
    <w:rsid w:val="00CC2AFC"/>
    <w:rsid w:val="00CD0AE8"/>
    <w:rsid w:val="00D01864"/>
    <w:rsid w:val="00D237A1"/>
    <w:rsid w:val="00D40200"/>
    <w:rsid w:val="00D63C19"/>
    <w:rsid w:val="00D8396D"/>
    <w:rsid w:val="00DA50D4"/>
    <w:rsid w:val="00DC237D"/>
    <w:rsid w:val="00DD067B"/>
    <w:rsid w:val="00DD466E"/>
    <w:rsid w:val="00E15A78"/>
    <w:rsid w:val="00E22E70"/>
    <w:rsid w:val="00E30BC7"/>
    <w:rsid w:val="00E36E5A"/>
    <w:rsid w:val="00E46F09"/>
    <w:rsid w:val="00E74C6C"/>
    <w:rsid w:val="00E961B7"/>
    <w:rsid w:val="00EA3737"/>
    <w:rsid w:val="00EA7E69"/>
    <w:rsid w:val="00EB7644"/>
    <w:rsid w:val="00EC23D8"/>
    <w:rsid w:val="00EC6A82"/>
    <w:rsid w:val="00ED3B44"/>
    <w:rsid w:val="00EF4F6D"/>
    <w:rsid w:val="00F04ABD"/>
    <w:rsid w:val="00F05562"/>
    <w:rsid w:val="00F07826"/>
    <w:rsid w:val="00F11C6B"/>
    <w:rsid w:val="00F2012C"/>
    <w:rsid w:val="00F26B42"/>
    <w:rsid w:val="00F3704A"/>
    <w:rsid w:val="00F65397"/>
    <w:rsid w:val="00F72C83"/>
    <w:rsid w:val="00F85E01"/>
    <w:rsid w:val="00FA4358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18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53F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253F2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53F2"/>
    <w:rPr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3F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76E5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76E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76E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D76E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C12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7C12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18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53F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253F2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53F2"/>
    <w:rPr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3F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76E5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76E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76E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D76E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C12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7C12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3773-164A-4A5B-BEC5-B82C5B99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Vaitukaitytė</dc:creator>
  <cp:lastModifiedBy>Henrika Šileikė</cp:lastModifiedBy>
  <cp:revision>5</cp:revision>
  <cp:lastPrinted>2016-10-11T08:45:00Z</cp:lastPrinted>
  <dcterms:created xsi:type="dcterms:W3CDTF">2017-01-06T11:25:00Z</dcterms:created>
  <dcterms:modified xsi:type="dcterms:W3CDTF">2017-01-25T14:04:00Z</dcterms:modified>
</cp:coreProperties>
</file>