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88709058" r:id="rId9"/>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Default="00B93B07" w:rsidP="00B93B07">
      <w:pPr>
        <w:pStyle w:val="Default"/>
      </w:pPr>
    </w:p>
    <w:p w:rsidR="00B93B07" w:rsidRPr="00154786" w:rsidRDefault="00190C23" w:rsidP="00B93B07">
      <w:pPr>
        <w:pStyle w:val="Default"/>
        <w:jc w:val="center"/>
      </w:pP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r>
      <w:r w:rsidR="00FA7A60">
        <w:rPr>
          <w:u w:val="single"/>
        </w:rPr>
        <w:softHyphen/>
        <w:t>2015-03</w:t>
      </w:r>
      <w:r>
        <w:rPr>
          <w:u w:val="single"/>
        </w:rPr>
        <w:t>-__</w:t>
      </w:r>
      <w:proofErr w:type="gramStart"/>
      <w:r>
        <w:rPr>
          <w:u w:val="single"/>
        </w:rPr>
        <w:t>_</w:t>
      </w:r>
      <w:r w:rsidR="00154786" w:rsidRPr="00154786">
        <w:t xml:space="preserve"> </w:t>
      </w:r>
      <w:r w:rsidR="00B93B07" w:rsidRPr="00154786">
        <w:t xml:space="preserve"> Nr</w:t>
      </w:r>
      <w:proofErr w:type="gramEnd"/>
      <w:r w:rsidR="00B93B07" w:rsidRPr="00154786">
        <w:t>. 4S-______</w:t>
      </w:r>
    </w:p>
    <w:p w:rsidR="00992F8E" w:rsidRDefault="00992F8E" w:rsidP="00360DA5">
      <w:pPr>
        <w:pStyle w:val="Default"/>
        <w:ind w:left="709"/>
        <w:jc w:val="center"/>
      </w:pPr>
      <w:r>
        <w:t>Vilnius</w:t>
      </w:r>
    </w:p>
    <w:p w:rsidR="000327A3" w:rsidRDefault="000327A3" w:rsidP="00A77BDD">
      <w:pPr>
        <w:tabs>
          <w:tab w:val="left" w:pos="900"/>
        </w:tabs>
        <w:rPr>
          <w:bCs/>
          <w:sz w:val="24"/>
          <w:szCs w:val="24"/>
        </w:rPr>
      </w:pPr>
    </w:p>
    <w:p w:rsidR="00190C23" w:rsidRPr="00675762" w:rsidRDefault="00190C23" w:rsidP="00190C23">
      <w:pPr>
        <w:pStyle w:val="Pagrindinistekstas"/>
        <w:spacing w:line="360" w:lineRule="auto"/>
        <w:ind w:right="-1" w:firstLine="709"/>
        <w:jc w:val="both"/>
        <w:rPr>
          <w:sz w:val="24"/>
          <w:szCs w:val="24"/>
        </w:rPr>
      </w:pPr>
    </w:p>
    <w:p w:rsidR="003D0A97" w:rsidRDefault="00190C23" w:rsidP="003D0A97">
      <w:pPr>
        <w:pStyle w:val="Pagrindinistekstas"/>
        <w:ind w:right="-1" w:firstLine="709"/>
        <w:jc w:val="both"/>
        <w:rPr>
          <w:sz w:val="24"/>
          <w:szCs w:val="24"/>
        </w:rPr>
      </w:pPr>
      <w:r w:rsidRPr="00675762">
        <w:rPr>
          <w:sz w:val="24"/>
          <w:szCs w:val="24"/>
        </w:rPr>
        <w:t>Viešųjų pirkimų tarnyba (toliau – Tarnyba), vadovaudamasi Lietuvos Respublikos viešųjų pirkimų įstatymo</w:t>
      </w:r>
      <w:r>
        <w:rPr>
          <w:sz w:val="24"/>
          <w:szCs w:val="24"/>
        </w:rPr>
        <w:t xml:space="preserve"> </w:t>
      </w:r>
      <w:r w:rsidRPr="00675762">
        <w:rPr>
          <w:sz w:val="24"/>
          <w:szCs w:val="24"/>
        </w:rPr>
        <w:t>8</w:t>
      </w:r>
      <w:r w:rsidRPr="00675762">
        <w:rPr>
          <w:sz w:val="24"/>
          <w:szCs w:val="24"/>
          <w:vertAlign w:val="superscript"/>
        </w:rPr>
        <w:t>2</w:t>
      </w:r>
      <w:r>
        <w:rPr>
          <w:sz w:val="24"/>
          <w:szCs w:val="24"/>
        </w:rPr>
        <w:t xml:space="preserve"> straipsnio 1 dalies 2 punktu, </w:t>
      </w:r>
      <w:r w:rsidR="003D0A97">
        <w:rPr>
          <w:sz w:val="24"/>
          <w:szCs w:val="24"/>
        </w:rPr>
        <w:t>atliko</w:t>
      </w:r>
      <w:r w:rsidR="003D0A97" w:rsidRPr="003D0A97">
        <w:rPr>
          <w:sz w:val="24"/>
          <w:szCs w:val="24"/>
        </w:rPr>
        <w:t xml:space="preserve"> </w:t>
      </w:r>
      <w:r w:rsidR="00FA7A60">
        <w:rPr>
          <w:sz w:val="24"/>
          <w:szCs w:val="24"/>
        </w:rPr>
        <w:t>Polici</w:t>
      </w:r>
      <w:r w:rsidR="0046794E">
        <w:rPr>
          <w:sz w:val="24"/>
          <w:szCs w:val="24"/>
        </w:rPr>
        <w:t>jos departamento prie Lietuvos R</w:t>
      </w:r>
      <w:r w:rsidR="00FA7A60">
        <w:rPr>
          <w:sz w:val="24"/>
          <w:szCs w:val="24"/>
        </w:rPr>
        <w:t>espublikos vidaus reikalų ministerijos</w:t>
      </w:r>
      <w:r w:rsidR="003D0A97" w:rsidRPr="003D0A97">
        <w:rPr>
          <w:sz w:val="24"/>
          <w:szCs w:val="24"/>
        </w:rPr>
        <w:t xml:space="preserve"> (toliau – Perkančioji organizacija) vykdomo atviro konkurso „</w:t>
      </w:r>
      <w:r w:rsidR="00FA7A60">
        <w:rPr>
          <w:sz w:val="24"/>
          <w:szCs w:val="24"/>
        </w:rPr>
        <w:t>Nešiojamų kompiuterių su judriojo (mobilaus) ryšio duomenų perdavimo įranga ir automobilinių spausdintuvų pirkimas</w:t>
      </w:r>
      <w:r w:rsidR="003D0A97" w:rsidRPr="003D0A97">
        <w:rPr>
          <w:sz w:val="24"/>
          <w:szCs w:val="24"/>
        </w:rPr>
        <w:t>“ (skelbtas 201</w:t>
      </w:r>
      <w:r w:rsidR="00FA7A60">
        <w:rPr>
          <w:sz w:val="24"/>
          <w:szCs w:val="24"/>
        </w:rPr>
        <w:t>5</w:t>
      </w:r>
      <w:r w:rsidR="003D0A97" w:rsidRPr="003D0A97">
        <w:rPr>
          <w:sz w:val="24"/>
          <w:szCs w:val="24"/>
        </w:rPr>
        <w:t>-0</w:t>
      </w:r>
      <w:r w:rsidR="00FA7A60">
        <w:rPr>
          <w:sz w:val="24"/>
          <w:szCs w:val="24"/>
        </w:rPr>
        <w:t>1</w:t>
      </w:r>
      <w:r w:rsidR="003D0A97" w:rsidRPr="003D0A97">
        <w:rPr>
          <w:sz w:val="24"/>
          <w:szCs w:val="24"/>
        </w:rPr>
        <w:t>-</w:t>
      </w:r>
      <w:r w:rsidR="00FA7A60">
        <w:rPr>
          <w:sz w:val="24"/>
          <w:szCs w:val="24"/>
        </w:rPr>
        <w:t>23</w:t>
      </w:r>
      <w:r w:rsidR="003D0A97" w:rsidRPr="003D0A97">
        <w:rPr>
          <w:sz w:val="24"/>
          <w:szCs w:val="24"/>
        </w:rPr>
        <w:t xml:space="preserve"> Centrinėje viešųjų pirkimų sistemoje</w:t>
      </w:r>
      <w:r w:rsidR="003D0A97">
        <w:rPr>
          <w:sz w:val="24"/>
          <w:szCs w:val="24"/>
        </w:rPr>
        <w:t xml:space="preserve"> (toliau – CVP IS)</w:t>
      </w:r>
      <w:r w:rsidR="003D0A97" w:rsidRPr="003D0A97">
        <w:rPr>
          <w:sz w:val="24"/>
          <w:szCs w:val="24"/>
        </w:rPr>
        <w:t xml:space="preserve">, pirkimo Nr. </w:t>
      </w:r>
      <w:r w:rsidR="00FA7A60">
        <w:rPr>
          <w:sz w:val="24"/>
          <w:szCs w:val="24"/>
        </w:rPr>
        <w:t>159458</w:t>
      </w:r>
      <w:r w:rsidR="003D0A97" w:rsidRPr="003D0A97">
        <w:rPr>
          <w:sz w:val="24"/>
          <w:szCs w:val="24"/>
        </w:rPr>
        <w:t xml:space="preserve">) (toliau – Pirkimas) vertinimą.          </w:t>
      </w:r>
    </w:p>
    <w:p w:rsidR="00335231" w:rsidRDefault="003D0A97" w:rsidP="00335231">
      <w:pPr>
        <w:pStyle w:val="Pagrindinistekstas"/>
        <w:ind w:right="-1" w:firstLine="709"/>
        <w:jc w:val="both"/>
        <w:rPr>
          <w:sz w:val="24"/>
          <w:szCs w:val="24"/>
        </w:rPr>
      </w:pPr>
      <w:r w:rsidRPr="003D0A97">
        <w:rPr>
          <w:sz w:val="24"/>
          <w:szCs w:val="24"/>
        </w:rPr>
        <w:t xml:space="preserve">  </w:t>
      </w:r>
      <w:r w:rsidR="00190C23" w:rsidRPr="00BF298C">
        <w:rPr>
          <w:sz w:val="24"/>
          <w:szCs w:val="24"/>
        </w:rPr>
        <w:t xml:space="preserve">Perkančioji organizacija Pirkimą vykdo pagal Lietuvos Respublikos viešųjų pirkimų </w:t>
      </w:r>
      <w:r w:rsidR="00190C23">
        <w:rPr>
          <w:sz w:val="24"/>
          <w:szCs w:val="24"/>
        </w:rPr>
        <w:t>įstatymo</w:t>
      </w:r>
      <w:r w:rsidR="00190C23" w:rsidRPr="00BF298C">
        <w:rPr>
          <w:sz w:val="24"/>
          <w:szCs w:val="24"/>
        </w:rPr>
        <w:t xml:space="preserve"> </w:t>
      </w:r>
      <w:r w:rsidR="00190C23">
        <w:rPr>
          <w:sz w:val="24"/>
          <w:szCs w:val="24"/>
        </w:rPr>
        <w:t>(redakcija nuo 201</w:t>
      </w:r>
      <w:r w:rsidR="00FA7A60">
        <w:rPr>
          <w:sz w:val="24"/>
          <w:szCs w:val="24"/>
        </w:rPr>
        <w:t>5</w:t>
      </w:r>
      <w:r w:rsidR="00190C23">
        <w:rPr>
          <w:sz w:val="24"/>
          <w:szCs w:val="24"/>
        </w:rPr>
        <w:t>-01-01) (toliau –</w:t>
      </w:r>
      <w:r w:rsidR="0054166A">
        <w:rPr>
          <w:sz w:val="24"/>
          <w:szCs w:val="24"/>
        </w:rPr>
        <w:t xml:space="preserve"> </w:t>
      </w:r>
      <w:r w:rsidR="00190C23">
        <w:rPr>
          <w:sz w:val="24"/>
          <w:szCs w:val="24"/>
        </w:rPr>
        <w:t>Įstatymas)</w:t>
      </w:r>
      <w:r w:rsidR="00FE133B" w:rsidRPr="00FE133B">
        <w:t xml:space="preserve"> </w:t>
      </w:r>
      <w:r w:rsidR="00FE133B" w:rsidRPr="00FE133B">
        <w:rPr>
          <w:sz w:val="24"/>
          <w:szCs w:val="24"/>
        </w:rPr>
        <w:t>nuostatas</w:t>
      </w:r>
      <w:r w:rsidR="00190C23" w:rsidRPr="00BF298C">
        <w:rPr>
          <w:sz w:val="24"/>
          <w:szCs w:val="24"/>
        </w:rPr>
        <w:t xml:space="preserve"> ir Pirkimo sąlygas, patvirtintas </w:t>
      </w:r>
      <w:r w:rsidR="00FA7A60">
        <w:rPr>
          <w:sz w:val="24"/>
          <w:szCs w:val="24"/>
        </w:rPr>
        <w:t xml:space="preserve">Pirkimo komisijos 2015-01-06 </w:t>
      </w:r>
      <w:r w:rsidR="00905240">
        <w:rPr>
          <w:sz w:val="24"/>
          <w:szCs w:val="24"/>
        </w:rPr>
        <w:t xml:space="preserve">posėdžio </w:t>
      </w:r>
      <w:r w:rsidR="00FA7A60">
        <w:rPr>
          <w:sz w:val="24"/>
          <w:szCs w:val="24"/>
        </w:rPr>
        <w:t>protokolu Nr. 5-P1-1</w:t>
      </w:r>
      <w:r w:rsidR="00190C23" w:rsidRPr="00BF298C">
        <w:rPr>
          <w:sz w:val="24"/>
          <w:szCs w:val="24"/>
        </w:rPr>
        <w:t>, elektroninėmis priemonėmis CVP IS.</w:t>
      </w:r>
      <w:r w:rsidR="00190C23" w:rsidRPr="0011469F">
        <w:t xml:space="preserve"> </w:t>
      </w:r>
      <w:r w:rsidR="00190C23">
        <w:rPr>
          <w:sz w:val="24"/>
          <w:szCs w:val="24"/>
        </w:rPr>
        <w:t>Pirkimas vykdom</w:t>
      </w:r>
      <w:r w:rsidR="00FA7A60">
        <w:rPr>
          <w:sz w:val="24"/>
          <w:szCs w:val="24"/>
        </w:rPr>
        <w:t xml:space="preserve">as įgyvendinant projektus „Transporto priemonių, skirtų apylinkės inspektoriams įsigijimas“ </w:t>
      </w:r>
      <w:r w:rsidR="009729EF" w:rsidRPr="009729EF">
        <w:rPr>
          <w:sz w:val="24"/>
          <w:szCs w:val="24"/>
        </w:rPr>
        <w:t>Nr. ISF 13/3.5.1.8-2.4</w:t>
      </w:r>
      <w:r w:rsidR="009729EF">
        <w:rPr>
          <w:sz w:val="24"/>
          <w:szCs w:val="24"/>
        </w:rPr>
        <w:t xml:space="preserve"> </w:t>
      </w:r>
      <w:r w:rsidR="00FA7A60">
        <w:rPr>
          <w:sz w:val="24"/>
          <w:szCs w:val="24"/>
        </w:rPr>
        <w:t>ir „Tran</w:t>
      </w:r>
      <w:r w:rsidR="009729EF">
        <w:rPr>
          <w:sz w:val="24"/>
          <w:szCs w:val="24"/>
        </w:rPr>
        <w:t>s</w:t>
      </w:r>
      <w:r w:rsidR="00FA7A60">
        <w:rPr>
          <w:sz w:val="24"/>
          <w:szCs w:val="24"/>
        </w:rPr>
        <w:t xml:space="preserve">porto priemonių, skirtų teritorinės </w:t>
      </w:r>
      <w:r w:rsidR="009729EF">
        <w:rPr>
          <w:sz w:val="24"/>
          <w:szCs w:val="24"/>
        </w:rPr>
        <w:t>po</w:t>
      </w:r>
      <w:r w:rsidR="00FA7A60">
        <w:rPr>
          <w:sz w:val="24"/>
          <w:szCs w:val="24"/>
        </w:rPr>
        <w:t>licijos įstaigų mobiliosioms grupėms, įsigijimas“</w:t>
      </w:r>
      <w:r w:rsidR="007165F7">
        <w:rPr>
          <w:sz w:val="24"/>
          <w:szCs w:val="24"/>
        </w:rPr>
        <w:t xml:space="preserve"> Nr. ISF 13/3.5.1.6-2.3</w:t>
      </w:r>
      <w:r w:rsidR="009729EF">
        <w:rPr>
          <w:sz w:val="24"/>
          <w:szCs w:val="24"/>
        </w:rPr>
        <w:t xml:space="preserve">, </w:t>
      </w:r>
      <w:r w:rsidR="009729EF" w:rsidRPr="009729EF">
        <w:rPr>
          <w:sz w:val="24"/>
          <w:szCs w:val="24"/>
        </w:rPr>
        <w:t>finansuojamus Išorės sienų fondo dalies 2013 m. lėšomis</w:t>
      </w:r>
      <w:r w:rsidR="009729EF">
        <w:rPr>
          <w:sz w:val="24"/>
          <w:szCs w:val="24"/>
        </w:rPr>
        <w:t>.</w:t>
      </w:r>
    </w:p>
    <w:p w:rsidR="00905240" w:rsidRDefault="00905240" w:rsidP="00905240">
      <w:pPr>
        <w:pStyle w:val="Pagrindinistekstas1"/>
        <w:rPr>
          <w:sz w:val="24"/>
          <w:szCs w:val="24"/>
        </w:rPr>
      </w:pPr>
      <w:r>
        <w:rPr>
          <w:sz w:val="24"/>
          <w:szCs w:val="24"/>
        </w:rPr>
        <w:t xml:space="preserve">         </w:t>
      </w:r>
      <w:proofErr w:type="spellStart"/>
      <w:r w:rsidRPr="00C06B06">
        <w:rPr>
          <w:sz w:val="24"/>
          <w:szCs w:val="24"/>
        </w:rPr>
        <w:t>Tarnyba</w:t>
      </w:r>
      <w:proofErr w:type="spellEnd"/>
      <w:r w:rsidRPr="00C06B06">
        <w:rPr>
          <w:sz w:val="24"/>
          <w:szCs w:val="24"/>
        </w:rPr>
        <w:t xml:space="preserve">, </w:t>
      </w:r>
      <w:proofErr w:type="spellStart"/>
      <w:r w:rsidRPr="00C06B06">
        <w:rPr>
          <w:sz w:val="24"/>
          <w:szCs w:val="24"/>
        </w:rPr>
        <w:t>įvertinusi</w:t>
      </w:r>
      <w:proofErr w:type="spellEnd"/>
      <w:r w:rsidRPr="00C06B06">
        <w:rPr>
          <w:sz w:val="24"/>
          <w:szCs w:val="24"/>
        </w:rPr>
        <w:t xml:space="preserve"> </w:t>
      </w:r>
      <w:proofErr w:type="spellStart"/>
      <w:r w:rsidRPr="00C06B06">
        <w:rPr>
          <w:sz w:val="24"/>
          <w:szCs w:val="24"/>
        </w:rPr>
        <w:t>su</w:t>
      </w:r>
      <w:proofErr w:type="spellEnd"/>
      <w:r w:rsidRPr="00C06B06">
        <w:rPr>
          <w:sz w:val="24"/>
          <w:szCs w:val="24"/>
        </w:rPr>
        <w:t xml:space="preserve"> </w:t>
      </w:r>
      <w:proofErr w:type="spellStart"/>
      <w:r w:rsidRPr="00C06B06">
        <w:rPr>
          <w:sz w:val="24"/>
          <w:szCs w:val="24"/>
        </w:rPr>
        <w:t>Pirkimu</w:t>
      </w:r>
      <w:proofErr w:type="spellEnd"/>
      <w:r w:rsidRPr="00C06B06">
        <w:rPr>
          <w:sz w:val="24"/>
          <w:szCs w:val="24"/>
        </w:rPr>
        <w:t xml:space="preserve"> </w:t>
      </w:r>
      <w:proofErr w:type="spellStart"/>
      <w:r w:rsidRPr="00C06B06">
        <w:rPr>
          <w:sz w:val="24"/>
          <w:szCs w:val="24"/>
        </w:rPr>
        <w:t>susijusius</w:t>
      </w:r>
      <w:proofErr w:type="spellEnd"/>
      <w:r w:rsidRPr="00C06B06">
        <w:rPr>
          <w:sz w:val="24"/>
          <w:szCs w:val="24"/>
        </w:rPr>
        <w:t xml:space="preserve"> </w:t>
      </w:r>
      <w:proofErr w:type="spellStart"/>
      <w:r w:rsidRPr="00C06B06">
        <w:rPr>
          <w:sz w:val="24"/>
          <w:szCs w:val="24"/>
        </w:rPr>
        <w:t>dokumentus</w:t>
      </w:r>
      <w:proofErr w:type="spellEnd"/>
      <w:r w:rsidRPr="00C06B06">
        <w:rPr>
          <w:sz w:val="24"/>
          <w:szCs w:val="24"/>
        </w:rPr>
        <w:t xml:space="preserve"> </w:t>
      </w:r>
      <w:proofErr w:type="spellStart"/>
      <w:r w:rsidRPr="00C06B06">
        <w:rPr>
          <w:sz w:val="24"/>
          <w:szCs w:val="24"/>
        </w:rPr>
        <w:t>ir</w:t>
      </w:r>
      <w:proofErr w:type="spellEnd"/>
      <w:r w:rsidRPr="00C06B06">
        <w:rPr>
          <w:sz w:val="24"/>
          <w:szCs w:val="24"/>
        </w:rPr>
        <w:t xml:space="preserve"> CVP IS </w:t>
      </w:r>
      <w:proofErr w:type="spellStart"/>
      <w:r w:rsidRPr="00C06B06">
        <w:rPr>
          <w:sz w:val="24"/>
          <w:szCs w:val="24"/>
        </w:rPr>
        <w:t>pateiktą</w:t>
      </w:r>
      <w:proofErr w:type="spellEnd"/>
      <w:r w:rsidRPr="00C06B06">
        <w:rPr>
          <w:sz w:val="24"/>
          <w:szCs w:val="24"/>
        </w:rPr>
        <w:t xml:space="preserve"> </w:t>
      </w:r>
      <w:proofErr w:type="spellStart"/>
      <w:r w:rsidRPr="00C06B06">
        <w:rPr>
          <w:sz w:val="24"/>
          <w:szCs w:val="24"/>
        </w:rPr>
        <w:t>Pirkimo</w:t>
      </w:r>
      <w:proofErr w:type="spellEnd"/>
      <w:r w:rsidRPr="00C06B06">
        <w:rPr>
          <w:sz w:val="24"/>
          <w:szCs w:val="24"/>
        </w:rPr>
        <w:t xml:space="preserve"> </w:t>
      </w:r>
      <w:proofErr w:type="spellStart"/>
      <w:r w:rsidRPr="00C06B06">
        <w:rPr>
          <w:sz w:val="24"/>
          <w:szCs w:val="24"/>
        </w:rPr>
        <w:t>informaciją</w:t>
      </w:r>
      <w:proofErr w:type="spellEnd"/>
      <w:r w:rsidRPr="00C06B06">
        <w:rPr>
          <w:sz w:val="24"/>
          <w:szCs w:val="24"/>
        </w:rPr>
        <w:t xml:space="preserve">, </w:t>
      </w:r>
      <w:proofErr w:type="spellStart"/>
      <w:r w:rsidRPr="00C06B06">
        <w:rPr>
          <w:sz w:val="24"/>
          <w:szCs w:val="24"/>
        </w:rPr>
        <w:t>n</w:t>
      </w:r>
      <w:r>
        <w:rPr>
          <w:sz w:val="24"/>
          <w:szCs w:val="24"/>
        </w:rPr>
        <w:t>enustatė</w:t>
      </w:r>
      <w:proofErr w:type="spellEnd"/>
      <w:r>
        <w:rPr>
          <w:sz w:val="24"/>
          <w:szCs w:val="24"/>
        </w:rPr>
        <w:t xml:space="preserve"> </w:t>
      </w:r>
      <w:proofErr w:type="spellStart"/>
      <w:r>
        <w:rPr>
          <w:sz w:val="24"/>
          <w:szCs w:val="24"/>
        </w:rPr>
        <w:t>Į</w:t>
      </w:r>
      <w:r w:rsidRPr="00C06B06">
        <w:rPr>
          <w:sz w:val="24"/>
          <w:szCs w:val="24"/>
        </w:rPr>
        <w:t>statymo</w:t>
      </w:r>
      <w:proofErr w:type="spellEnd"/>
      <w:r w:rsidRPr="00C06B06">
        <w:rPr>
          <w:sz w:val="24"/>
          <w:szCs w:val="24"/>
        </w:rPr>
        <w:t xml:space="preserve"> </w:t>
      </w:r>
      <w:proofErr w:type="spellStart"/>
      <w:r w:rsidRPr="00C06B06">
        <w:rPr>
          <w:sz w:val="24"/>
          <w:szCs w:val="24"/>
        </w:rPr>
        <w:t>pažeidimų</w:t>
      </w:r>
      <w:proofErr w:type="spellEnd"/>
      <w:r w:rsidRPr="00C06B06">
        <w:rPr>
          <w:sz w:val="24"/>
          <w:szCs w:val="24"/>
        </w:rPr>
        <w:t xml:space="preserve"> </w:t>
      </w:r>
      <w:proofErr w:type="spellStart"/>
      <w:r w:rsidRPr="00C06B06">
        <w:rPr>
          <w:sz w:val="24"/>
          <w:szCs w:val="24"/>
        </w:rPr>
        <w:t>galinčių</w:t>
      </w:r>
      <w:proofErr w:type="spellEnd"/>
      <w:r w:rsidRPr="00C06B06">
        <w:rPr>
          <w:sz w:val="24"/>
          <w:szCs w:val="24"/>
        </w:rPr>
        <w:t xml:space="preserve"> </w:t>
      </w:r>
      <w:proofErr w:type="spellStart"/>
      <w:r w:rsidRPr="00C06B06">
        <w:rPr>
          <w:sz w:val="24"/>
          <w:szCs w:val="24"/>
        </w:rPr>
        <w:t>turėti</w:t>
      </w:r>
      <w:proofErr w:type="spellEnd"/>
      <w:r w:rsidRPr="00C06B06">
        <w:rPr>
          <w:sz w:val="24"/>
          <w:szCs w:val="24"/>
        </w:rPr>
        <w:t xml:space="preserve"> </w:t>
      </w:r>
      <w:proofErr w:type="spellStart"/>
      <w:r w:rsidRPr="00C06B06">
        <w:rPr>
          <w:sz w:val="24"/>
          <w:szCs w:val="24"/>
        </w:rPr>
        <w:t>įtakos</w:t>
      </w:r>
      <w:proofErr w:type="spellEnd"/>
      <w:r w:rsidRPr="00C06B06">
        <w:rPr>
          <w:sz w:val="24"/>
          <w:szCs w:val="24"/>
        </w:rPr>
        <w:t xml:space="preserve"> </w:t>
      </w:r>
      <w:proofErr w:type="spellStart"/>
      <w:r w:rsidRPr="00C06B06">
        <w:rPr>
          <w:sz w:val="24"/>
          <w:szCs w:val="24"/>
        </w:rPr>
        <w:t>Pirkimo</w:t>
      </w:r>
      <w:proofErr w:type="spellEnd"/>
      <w:r w:rsidRPr="00C06B06">
        <w:rPr>
          <w:sz w:val="24"/>
          <w:szCs w:val="24"/>
        </w:rPr>
        <w:t xml:space="preserve"> </w:t>
      </w:r>
      <w:proofErr w:type="spellStart"/>
      <w:r w:rsidRPr="00C06B06">
        <w:rPr>
          <w:sz w:val="24"/>
          <w:szCs w:val="24"/>
        </w:rPr>
        <w:t>rezultatams</w:t>
      </w:r>
      <w:proofErr w:type="spellEnd"/>
      <w:r>
        <w:rPr>
          <w:sz w:val="24"/>
          <w:szCs w:val="24"/>
        </w:rPr>
        <w:t xml:space="preserve">, </w:t>
      </w:r>
      <w:proofErr w:type="spellStart"/>
      <w:r>
        <w:rPr>
          <w:sz w:val="24"/>
          <w:szCs w:val="24"/>
        </w:rPr>
        <w:t>tačiau</w:t>
      </w:r>
      <w:proofErr w:type="spellEnd"/>
      <w:r>
        <w:rPr>
          <w:sz w:val="24"/>
          <w:szCs w:val="24"/>
        </w:rPr>
        <w:t xml:space="preserve"> </w:t>
      </w:r>
      <w:proofErr w:type="spellStart"/>
      <w:r w:rsidRPr="00C06B06">
        <w:rPr>
          <w:sz w:val="24"/>
          <w:szCs w:val="24"/>
        </w:rPr>
        <w:t>pastebi</w:t>
      </w:r>
      <w:proofErr w:type="spellEnd"/>
      <w:r w:rsidRPr="00C06B06">
        <w:rPr>
          <w:sz w:val="24"/>
          <w:szCs w:val="24"/>
        </w:rPr>
        <w:t xml:space="preserve">, </w:t>
      </w:r>
      <w:proofErr w:type="spellStart"/>
      <w:r w:rsidRPr="00C06B06">
        <w:rPr>
          <w:sz w:val="24"/>
          <w:szCs w:val="24"/>
        </w:rPr>
        <w:t>kad</w:t>
      </w:r>
      <w:proofErr w:type="spellEnd"/>
      <w:r>
        <w:rPr>
          <w:sz w:val="24"/>
          <w:szCs w:val="24"/>
        </w:rPr>
        <w:t>:</w:t>
      </w:r>
    </w:p>
    <w:p w:rsidR="003E72D4" w:rsidRDefault="009533A5" w:rsidP="00335231">
      <w:pPr>
        <w:ind w:firstLine="709"/>
        <w:jc w:val="both"/>
        <w:rPr>
          <w:sz w:val="24"/>
          <w:szCs w:val="24"/>
        </w:rPr>
      </w:pPr>
      <w:r w:rsidRPr="00282666">
        <w:rPr>
          <w:sz w:val="24"/>
          <w:szCs w:val="24"/>
        </w:rPr>
        <w:t xml:space="preserve">1. </w:t>
      </w:r>
      <w:r w:rsidR="00B51082">
        <w:rPr>
          <w:sz w:val="24"/>
          <w:szCs w:val="24"/>
        </w:rPr>
        <w:t xml:space="preserve">Pirkimo sąlygų 2.1 punktu apibrėžtas Pirkimo objektas ir nustatyta, kad Pirkimo objektas skirstomas į dalis. </w:t>
      </w:r>
      <w:r w:rsidR="003E72D4">
        <w:rPr>
          <w:sz w:val="24"/>
          <w:szCs w:val="24"/>
        </w:rPr>
        <w:t>Pirkimo komisijos 2014-11-18 posėdžio protokole (Nr. 5-P18-278) nurodyta, kad „&lt;..&gt; Prekėms įsigyti planuojama skirti iki 303 500,00 Lt su PVM &lt;...&gt;"</w:t>
      </w:r>
      <w:r w:rsidR="00FF66D9">
        <w:rPr>
          <w:sz w:val="24"/>
          <w:szCs w:val="24"/>
        </w:rPr>
        <w:t xml:space="preserve">. Pirkimo 2014-10-20 paraiškos Nr. 5-IL-1258 4 punkte nustatyta, kad maksimali planuojamos sudaryti sutarties vertė litais (su PVM) yra </w:t>
      </w:r>
      <w:r w:rsidR="00B51082">
        <w:rPr>
          <w:sz w:val="24"/>
          <w:szCs w:val="24"/>
        </w:rPr>
        <w:t>303 500 Lt, o 16 punkte nustatyta, kad „Perkamos įrangos kaina gali būti didesnė nei paraiškos 4 punkte nurodyta planuojama kaina, atsižvelgiant į tai, kad atsiradus poreikiui galima perskirstyti lėšas tarp projekto veiklų Tiekėjams pasiūlius didesnes kainas &lt;..&gt;“.</w:t>
      </w:r>
      <w:r w:rsidR="00883C1C">
        <w:rPr>
          <w:sz w:val="24"/>
          <w:szCs w:val="24"/>
        </w:rPr>
        <w:t xml:space="preserve"> Tarnyba atkreipia dėmesį, kad </w:t>
      </w:r>
      <w:r w:rsidR="00880F0D" w:rsidRPr="00AE7B9F">
        <w:rPr>
          <w:i/>
          <w:sz w:val="24"/>
          <w:szCs w:val="24"/>
        </w:rPr>
        <w:t xml:space="preserve">pasiūlymų vertinimo metu perkančioji organizacija gali keisti pirkimui skirtų lėšų dydį tik esant pagrįstoms aplinkybėms ir motyvuotam raštiškam </w:t>
      </w:r>
      <w:r w:rsidR="00880F0D" w:rsidRPr="002B1EF5">
        <w:rPr>
          <w:i/>
          <w:sz w:val="24"/>
          <w:szCs w:val="24"/>
        </w:rPr>
        <w:t>pagrindimui, kad tiekėjų pasiūlytos kainos yra perkančiajai organizacijai priimtinos</w:t>
      </w:r>
      <w:r w:rsidR="00880F0D">
        <w:rPr>
          <w:sz w:val="24"/>
          <w:szCs w:val="24"/>
        </w:rPr>
        <w:t xml:space="preserve"> (pvz. rinkos kainos pirkimo procedūrų metu padidėjo, infliacijos įtaka kainai, pasikeitę mokesčiai, viešojo intereso apsauga ar ypatingos reikšmės pirkimas). Šis pagrindimas turėtų būti pasirašytas už finansus atsakingo asmens ir perkančiosios organizacijos vadovo ar jo įgalioto asmens.</w:t>
      </w:r>
    </w:p>
    <w:p w:rsidR="00785446" w:rsidRDefault="009533A5" w:rsidP="009533A5">
      <w:pPr>
        <w:ind w:firstLine="709"/>
        <w:jc w:val="both"/>
        <w:rPr>
          <w:sz w:val="24"/>
          <w:szCs w:val="24"/>
        </w:rPr>
      </w:pPr>
      <w:r w:rsidRPr="009533A5">
        <w:rPr>
          <w:sz w:val="24"/>
          <w:szCs w:val="24"/>
        </w:rPr>
        <w:tab/>
        <w:t>2</w:t>
      </w:r>
      <w:r w:rsidR="00FF66D9">
        <w:rPr>
          <w:sz w:val="24"/>
          <w:szCs w:val="24"/>
        </w:rPr>
        <w:t xml:space="preserve">. </w:t>
      </w:r>
      <w:r w:rsidR="00785446">
        <w:rPr>
          <w:sz w:val="24"/>
          <w:szCs w:val="24"/>
        </w:rPr>
        <w:t>Pirkimo sąlygų 4 priedo „Prekių viešojo pirkimo-pardavimo sutarties projektas“ Bendrųjų sutarties sąlygų 4.1. punkte (toliau – Sutarti</w:t>
      </w:r>
      <w:r w:rsidR="00905240">
        <w:rPr>
          <w:sz w:val="24"/>
          <w:szCs w:val="24"/>
        </w:rPr>
        <w:t>e</w:t>
      </w:r>
      <w:r w:rsidR="00785446">
        <w:rPr>
          <w:sz w:val="24"/>
          <w:szCs w:val="24"/>
        </w:rPr>
        <w:t>s</w:t>
      </w:r>
      <w:r w:rsidR="00905240">
        <w:rPr>
          <w:sz w:val="24"/>
          <w:szCs w:val="24"/>
        </w:rPr>
        <w:t xml:space="preserve"> projektas</w:t>
      </w:r>
      <w:r w:rsidR="00785446">
        <w:rPr>
          <w:sz w:val="24"/>
          <w:szCs w:val="24"/>
        </w:rPr>
        <w:t xml:space="preserve">) </w:t>
      </w:r>
      <w:r w:rsidR="00FF66D9" w:rsidRPr="00FF66D9">
        <w:rPr>
          <w:sz w:val="24"/>
          <w:szCs w:val="24"/>
        </w:rPr>
        <w:t xml:space="preserve">nustatyta, kad </w:t>
      </w:r>
      <w:r w:rsidR="00785446">
        <w:rPr>
          <w:sz w:val="24"/>
          <w:szCs w:val="24"/>
        </w:rPr>
        <w:t>„</w:t>
      </w:r>
      <w:r w:rsidR="00785446" w:rsidRPr="00785446">
        <w:rPr>
          <w:sz w:val="24"/>
          <w:szCs w:val="24"/>
        </w:rPr>
        <w:t xml:space="preserve">Tiekėjas garantuoja, kad pagal Sutartį tiekiamos Prekės yra naujos, nenaudotos, naujausio modelio, su visais naujausiais dizaino ir medžiagų </w:t>
      </w:r>
      <w:proofErr w:type="spellStart"/>
      <w:r w:rsidR="00785446" w:rsidRPr="00785446">
        <w:rPr>
          <w:sz w:val="24"/>
          <w:szCs w:val="24"/>
        </w:rPr>
        <w:t>patobulinimais</w:t>
      </w:r>
      <w:proofErr w:type="spellEnd"/>
      <w:r w:rsidR="00785446" w:rsidRPr="00785446">
        <w:rPr>
          <w:sz w:val="24"/>
          <w:szCs w:val="24"/>
        </w:rPr>
        <w:t xml:space="preserve"> </w:t>
      </w:r>
      <w:r w:rsidR="00785446">
        <w:rPr>
          <w:sz w:val="24"/>
          <w:szCs w:val="24"/>
        </w:rPr>
        <w:t>&lt;..&gt;“. Pirkimo sąlygų 2.2 punkte nustatyta, kad „Perkamų prekių savybės nustatytos pateiktoje techninėje specifikacijoje</w:t>
      </w:r>
      <w:r w:rsidR="00AB070E">
        <w:rPr>
          <w:sz w:val="24"/>
          <w:szCs w:val="24"/>
        </w:rPr>
        <w:t xml:space="preserve"> &lt;..&gt;“, kur nėra keliama reikalavimų, jog perkamos p</w:t>
      </w:r>
      <w:r w:rsidR="00AB070E" w:rsidRPr="00AB070E">
        <w:rPr>
          <w:sz w:val="24"/>
          <w:szCs w:val="24"/>
        </w:rPr>
        <w:t xml:space="preserve">rekės </w:t>
      </w:r>
      <w:r w:rsidR="00AB070E">
        <w:rPr>
          <w:sz w:val="24"/>
          <w:szCs w:val="24"/>
        </w:rPr>
        <w:t>turėtų būti</w:t>
      </w:r>
      <w:r w:rsidR="00AB070E" w:rsidRPr="00AB070E">
        <w:rPr>
          <w:sz w:val="24"/>
          <w:szCs w:val="24"/>
        </w:rPr>
        <w:t xml:space="preserve"> naujausio modelio, su visais naujausiais dizaino ir medžiagų </w:t>
      </w:r>
      <w:proofErr w:type="spellStart"/>
      <w:r w:rsidR="00AB070E" w:rsidRPr="00AB070E">
        <w:rPr>
          <w:sz w:val="24"/>
          <w:szCs w:val="24"/>
        </w:rPr>
        <w:t>patobulinimais</w:t>
      </w:r>
      <w:proofErr w:type="spellEnd"/>
      <w:r w:rsidR="0046794E">
        <w:rPr>
          <w:sz w:val="24"/>
          <w:szCs w:val="24"/>
        </w:rPr>
        <w:t>, tuo</w:t>
      </w:r>
      <w:r w:rsidR="00AB070E">
        <w:rPr>
          <w:sz w:val="24"/>
          <w:szCs w:val="24"/>
        </w:rPr>
        <w:t xml:space="preserve"> Perkančioji organizacija neužtikrino </w:t>
      </w:r>
      <w:r w:rsidR="00AB070E" w:rsidRPr="00AB070E">
        <w:rPr>
          <w:sz w:val="24"/>
          <w:szCs w:val="24"/>
        </w:rPr>
        <w:t xml:space="preserve">Įstatymo </w:t>
      </w:r>
      <w:r w:rsidR="00AB070E">
        <w:rPr>
          <w:sz w:val="24"/>
          <w:szCs w:val="24"/>
        </w:rPr>
        <w:t>24 straipsnio 9 dalies nuostatų</w:t>
      </w:r>
      <w:r w:rsidR="00AB070E" w:rsidRPr="00AB070E">
        <w:rPr>
          <w:sz w:val="24"/>
          <w:szCs w:val="24"/>
        </w:rPr>
        <w:t>, kad „&lt;..&gt; Pirkimo dokumentai turi būti tikslūs, aiškūs, be dviprasmybių &lt;..&gt;“</w:t>
      </w:r>
      <w:r w:rsidR="00AB070E">
        <w:rPr>
          <w:sz w:val="24"/>
          <w:szCs w:val="24"/>
        </w:rPr>
        <w:t>, laikymosi</w:t>
      </w:r>
      <w:r w:rsidR="00AB070E" w:rsidRPr="00AB070E">
        <w:rPr>
          <w:sz w:val="24"/>
          <w:szCs w:val="24"/>
        </w:rPr>
        <w:t>.</w:t>
      </w:r>
    </w:p>
    <w:p w:rsidR="002D54EF" w:rsidRPr="0092257B" w:rsidRDefault="00785446" w:rsidP="002D54EF">
      <w:pPr>
        <w:tabs>
          <w:tab w:val="left" w:pos="900"/>
        </w:tabs>
        <w:jc w:val="both"/>
        <w:rPr>
          <w:sz w:val="24"/>
          <w:szCs w:val="24"/>
        </w:rPr>
      </w:pPr>
      <w:r>
        <w:rPr>
          <w:sz w:val="24"/>
          <w:szCs w:val="24"/>
        </w:rPr>
        <w:lastRenderedPageBreak/>
        <w:t xml:space="preserve">3. </w:t>
      </w:r>
      <w:r w:rsidR="000910AA">
        <w:rPr>
          <w:sz w:val="24"/>
          <w:szCs w:val="24"/>
        </w:rPr>
        <w:t xml:space="preserve">Sutarties </w:t>
      </w:r>
      <w:r w:rsidR="00BD7D21">
        <w:rPr>
          <w:sz w:val="24"/>
          <w:szCs w:val="24"/>
        </w:rPr>
        <w:t xml:space="preserve">projekto </w:t>
      </w:r>
      <w:r w:rsidR="000910AA">
        <w:rPr>
          <w:sz w:val="24"/>
          <w:szCs w:val="24"/>
        </w:rPr>
        <w:t xml:space="preserve">19.2 punkte nurodytos aplinkybės, </w:t>
      </w:r>
      <w:r w:rsidR="00FF66D9" w:rsidRPr="00FF66D9">
        <w:rPr>
          <w:sz w:val="24"/>
          <w:szCs w:val="24"/>
        </w:rPr>
        <w:t xml:space="preserve"> kurioms esant tiekėjas sutarties vykdymo metu galėtų </w:t>
      </w:r>
      <w:r w:rsidR="00BD7D21">
        <w:rPr>
          <w:sz w:val="24"/>
          <w:szCs w:val="24"/>
        </w:rPr>
        <w:t>keisti</w:t>
      </w:r>
      <w:r w:rsidR="00972081">
        <w:rPr>
          <w:sz w:val="24"/>
          <w:szCs w:val="24"/>
        </w:rPr>
        <w:t xml:space="preserve"> subt</w:t>
      </w:r>
      <w:r w:rsidR="000910AA">
        <w:rPr>
          <w:sz w:val="24"/>
          <w:szCs w:val="24"/>
        </w:rPr>
        <w:t>i</w:t>
      </w:r>
      <w:r w:rsidR="00972081">
        <w:rPr>
          <w:sz w:val="24"/>
          <w:szCs w:val="24"/>
        </w:rPr>
        <w:t>e</w:t>
      </w:r>
      <w:r w:rsidR="000910AA">
        <w:rPr>
          <w:sz w:val="24"/>
          <w:szCs w:val="24"/>
        </w:rPr>
        <w:t>kėjus, tačiau</w:t>
      </w:r>
      <w:r w:rsidR="00905240">
        <w:rPr>
          <w:sz w:val="24"/>
          <w:szCs w:val="24"/>
        </w:rPr>
        <w:t xml:space="preserve"> nenurodyta</w:t>
      </w:r>
      <w:r w:rsidR="00FF66D9" w:rsidRPr="00FF66D9">
        <w:rPr>
          <w:sz w:val="24"/>
          <w:szCs w:val="24"/>
        </w:rPr>
        <w:t xml:space="preserve">, kokie kvalifikaciniai reikalavimai keliami </w:t>
      </w:r>
      <w:r w:rsidR="002D54EF">
        <w:rPr>
          <w:sz w:val="24"/>
          <w:szCs w:val="24"/>
        </w:rPr>
        <w:t xml:space="preserve">keičiamiems </w:t>
      </w:r>
      <w:r w:rsidR="00972081">
        <w:rPr>
          <w:sz w:val="24"/>
          <w:szCs w:val="24"/>
        </w:rPr>
        <w:t>subt</w:t>
      </w:r>
      <w:r w:rsidR="00FF66D9" w:rsidRPr="00FF66D9">
        <w:rPr>
          <w:sz w:val="24"/>
          <w:szCs w:val="24"/>
        </w:rPr>
        <w:t>i</w:t>
      </w:r>
      <w:r w:rsidR="00972081">
        <w:rPr>
          <w:sz w:val="24"/>
          <w:szCs w:val="24"/>
        </w:rPr>
        <w:t>e</w:t>
      </w:r>
      <w:r w:rsidR="00FF66D9" w:rsidRPr="00FF66D9">
        <w:rPr>
          <w:sz w:val="24"/>
          <w:szCs w:val="24"/>
        </w:rPr>
        <w:t xml:space="preserve">kėjams. Perkančioji organizacija turi užtikrinti, </w:t>
      </w:r>
      <w:r w:rsidR="002D54EF">
        <w:rPr>
          <w:sz w:val="24"/>
          <w:szCs w:val="24"/>
        </w:rPr>
        <w:t>kad  jeigu Pirkimo sąlygose subt</w:t>
      </w:r>
      <w:r w:rsidR="00FF66D9" w:rsidRPr="00FF66D9">
        <w:rPr>
          <w:sz w:val="24"/>
          <w:szCs w:val="24"/>
        </w:rPr>
        <w:t>i</w:t>
      </w:r>
      <w:r w:rsidR="002D54EF">
        <w:rPr>
          <w:sz w:val="24"/>
          <w:szCs w:val="24"/>
        </w:rPr>
        <w:t>e</w:t>
      </w:r>
      <w:r w:rsidR="00FF66D9" w:rsidRPr="00FF66D9">
        <w:rPr>
          <w:sz w:val="24"/>
          <w:szCs w:val="24"/>
        </w:rPr>
        <w:t>kėjams buvo keliami kvalifikacijos reikalavimai (Pirkimo sąlygų 3.</w:t>
      </w:r>
      <w:r w:rsidR="000910AA">
        <w:rPr>
          <w:sz w:val="24"/>
          <w:szCs w:val="24"/>
        </w:rPr>
        <w:t>4</w:t>
      </w:r>
      <w:r w:rsidR="00FF66D9" w:rsidRPr="00FF66D9">
        <w:rPr>
          <w:sz w:val="24"/>
          <w:szCs w:val="24"/>
        </w:rPr>
        <w:t xml:space="preserve"> punktas), turi būti nustatoma, </w:t>
      </w:r>
      <w:r w:rsidR="002D54EF">
        <w:rPr>
          <w:sz w:val="24"/>
          <w:szCs w:val="24"/>
        </w:rPr>
        <w:t xml:space="preserve">kad keičiamas subtiekėjas turi būti ne mažesnės kvalifikacijos negu buvo reikalauta.   </w:t>
      </w:r>
    </w:p>
    <w:p w:rsidR="00FF66D9" w:rsidRDefault="0046794E" w:rsidP="009533A5">
      <w:pPr>
        <w:ind w:firstLine="709"/>
        <w:jc w:val="both"/>
        <w:rPr>
          <w:sz w:val="24"/>
          <w:szCs w:val="24"/>
        </w:rPr>
      </w:pPr>
      <w:r>
        <w:rPr>
          <w:sz w:val="24"/>
          <w:szCs w:val="24"/>
        </w:rPr>
        <w:t>Tokiu būdu</w:t>
      </w:r>
      <w:r w:rsidR="00FF66D9" w:rsidRPr="00FF66D9">
        <w:rPr>
          <w:sz w:val="24"/>
          <w:szCs w:val="24"/>
        </w:rPr>
        <w:t>, Perkančioji organizacija neuž</w:t>
      </w:r>
      <w:r w:rsidR="000910AA">
        <w:rPr>
          <w:sz w:val="24"/>
          <w:szCs w:val="24"/>
        </w:rPr>
        <w:t>tikrino Įstatymo 24 straipsnio 9</w:t>
      </w:r>
      <w:r w:rsidR="00FF66D9" w:rsidRPr="00FF66D9">
        <w:rPr>
          <w:sz w:val="24"/>
          <w:szCs w:val="24"/>
        </w:rPr>
        <w:t xml:space="preserve"> dalies nuostatų laikymosi.</w:t>
      </w:r>
    </w:p>
    <w:p w:rsidR="00905240" w:rsidRPr="00B70DC5" w:rsidRDefault="00905240" w:rsidP="00905240">
      <w:pPr>
        <w:tabs>
          <w:tab w:val="left" w:pos="600"/>
        </w:tabs>
        <w:jc w:val="both"/>
        <w:rPr>
          <w:b/>
          <w:sz w:val="24"/>
          <w:szCs w:val="24"/>
        </w:rPr>
      </w:pPr>
      <w:r w:rsidRPr="00B70DC5">
        <w:rPr>
          <w:spacing w:val="-1"/>
          <w:sz w:val="24"/>
          <w:szCs w:val="24"/>
        </w:rPr>
        <w:t xml:space="preserve"> </w:t>
      </w:r>
      <w:r w:rsidRPr="00B70DC5">
        <w:rPr>
          <w:sz w:val="24"/>
          <w:szCs w:val="24"/>
        </w:rPr>
        <w:t xml:space="preserve">            Tarnyba neprieštarauja, jog Perkančioji organizacija tęstų Pirkimo procedūras atsižvelgusi į nurodytas pastabas</w:t>
      </w:r>
      <w:r>
        <w:rPr>
          <w:sz w:val="24"/>
          <w:szCs w:val="24"/>
        </w:rPr>
        <w:t xml:space="preserve"> ir Įstatymo nustatyta tvarka patikslinusi Pirkimo dokumentus.</w:t>
      </w:r>
      <w:r w:rsidRPr="00B70DC5">
        <w:rPr>
          <w:sz w:val="24"/>
          <w:szCs w:val="24"/>
        </w:rPr>
        <w:t xml:space="preserve"> </w:t>
      </w:r>
    </w:p>
    <w:p w:rsidR="009533A5" w:rsidRPr="009533A5" w:rsidRDefault="009533A5" w:rsidP="009533A5">
      <w:pPr>
        <w:ind w:firstLine="709"/>
        <w:jc w:val="both"/>
        <w:rPr>
          <w:sz w:val="24"/>
          <w:szCs w:val="24"/>
        </w:rPr>
      </w:pPr>
    </w:p>
    <w:p w:rsidR="007D6DC2" w:rsidRDefault="007D6DC2" w:rsidP="008706C5">
      <w:pPr>
        <w:tabs>
          <w:tab w:val="left" w:pos="900"/>
        </w:tabs>
        <w:ind w:firstLine="709"/>
        <w:jc w:val="both"/>
        <w:rPr>
          <w:bCs/>
          <w:sz w:val="24"/>
          <w:szCs w:val="24"/>
        </w:rPr>
      </w:pPr>
    </w:p>
    <w:p w:rsidR="00360DA5" w:rsidRDefault="00154786" w:rsidP="00154786">
      <w:pPr>
        <w:tabs>
          <w:tab w:val="left" w:pos="0"/>
        </w:tabs>
        <w:jc w:val="both"/>
        <w:rPr>
          <w:bCs/>
          <w:sz w:val="24"/>
          <w:szCs w:val="24"/>
        </w:rPr>
      </w:pPr>
      <w:r>
        <w:rPr>
          <w:bCs/>
          <w:sz w:val="24"/>
          <w:szCs w:val="24"/>
        </w:rPr>
        <w:t>Kontrolės skyriaus vyriausioji specialistė</w:t>
      </w:r>
      <w:r w:rsidR="00360DA5">
        <w:rPr>
          <w:bCs/>
          <w:sz w:val="24"/>
          <w:szCs w:val="24"/>
        </w:rPr>
        <w:tab/>
      </w:r>
      <w:r>
        <w:rPr>
          <w:bCs/>
          <w:sz w:val="24"/>
          <w:szCs w:val="24"/>
        </w:rPr>
        <w:t xml:space="preserve">                                                </w:t>
      </w:r>
      <w:r w:rsidR="00CE74E2">
        <w:rPr>
          <w:bCs/>
          <w:sz w:val="24"/>
          <w:szCs w:val="24"/>
        </w:rPr>
        <w:t xml:space="preserve">      </w:t>
      </w:r>
      <w:r>
        <w:rPr>
          <w:bCs/>
          <w:sz w:val="24"/>
          <w:szCs w:val="24"/>
        </w:rPr>
        <w:t xml:space="preserve">   Giedrė Almonaitytė</w:t>
      </w:r>
    </w:p>
    <w:p w:rsidR="00360DA5" w:rsidRDefault="00360DA5" w:rsidP="008706C5">
      <w:pPr>
        <w:tabs>
          <w:tab w:val="left" w:pos="900"/>
        </w:tabs>
        <w:ind w:firstLine="709"/>
        <w:jc w:val="both"/>
        <w:rPr>
          <w:bCs/>
          <w:sz w:val="24"/>
          <w:szCs w:val="24"/>
        </w:rPr>
      </w:pPr>
    </w:p>
    <w:p w:rsidR="005F0C81" w:rsidRDefault="005F0C81" w:rsidP="008706C5">
      <w:pPr>
        <w:tabs>
          <w:tab w:val="left" w:pos="900"/>
        </w:tabs>
        <w:ind w:firstLine="709"/>
        <w:jc w:val="both"/>
        <w:rPr>
          <w:bCs/>
          <w:sz w:val="24"/>
          <w:szCs w:val="24"/>
        </w:rPr>
      </w:pPr>
    </w:p>
    <w:p w:rsidR="00E14A2F" w:rsidRDefault="00E14A2F" w:rsidP="008706C5">
      <w:pPr>
        <w:tabs>
          <w:tab w:val="left" w:pos="900"/>
        </w:tabs>
        <w:ind w:firstLine="709"/>
        <w:jc w:val="both"/>
        <w:rPr>
          <w:bCs/>
          <w:sz w:val="24"/>
          <w:szCs w:val="24"/>
        </w:rPr>
      </w:pPr>
    </w:p>
    <w:p w:rsidR="00E14A2F" w:rsidRDefault="00E14A2F"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C30604" w:rsidRDefault="00C30604" w:rsidP="008706C5">
      <w:pPr>
        <w:tabs>
          <w:tab w:val="left" w:pos="900"/>
        </w:tabs>
        <w:ind w:firstLine="709"/>
        <w:jc w:val="both"/>
        <w:rPr>
          <w:bCs/>
          <w:sz w:val="24"/>
          <w:szCs w:val="24"/>
        </w:rPr>
      </w:pPr>
    </w:p>
    <w:p w:rsidR="00C30604" w:rsidRDefault="00C30604"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46794E" w:rsidRDefault="0046794E" w:rsidP="008706C5">
      <w:pPr>
        <w:tabs>
          <w:tab w:val="left" w:pos="900"/>
        </w:tabs>
        <w:ind w:firstLine="709"/>
        <w:jc w:val="both"/>
        <w:rPr>
          <w:bCs/>
          <w:sz w:val="24"/>
          <w:szCs w:val="24"/>
        </w:rPr>
      </w:pPr>
    </w:p>
    <w:p w:rsidR="0046794E" w:rsidRDefault="0046794E"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bookmarkStart w:id="2" w:name="_GoBack"/>
      <w:bookmarkEnd w:id="2"/>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0910AA" w:rsidRDefault="000910AA" w:rsidP="008706C5">
      <w:pPr>
        <w:tabs>
          <w:tab w:val="left" w:pos="900"/>
        </w:tabs>
        <w:ind w:firstLine="709"/>
        <w:jc w:val="both"/>
        <w:rPr>
          <w:bCs/>
          <w:sz w:val="24"/>
          <w:szCs w:val="24"/>
        </w:rPr>
      </w:pPr>
    </w:p>
    <w:p w:rsidR="00D31DBA" w:rsidRDefault="007D6DC2" w:rsidP="009533A5">
      <w:pPr>
        <w:tabs>
          <w:tab w:val="left" w:pos="900"/>
        </w:tabs>
        <w:jc w:val="both"/>
        <w:rPr>
          <w:bCs/>
          <w:sz w:val="24"/>
          <w:szCs w:val="24"/>
        </w:rPr>
      </w:pPr>
      <w:r w:rsidRPr="007D6DC2">
        <w:rPr>
          <w:bCs/>
        </w:rPr>
        <w:t>Giedrė Almonaitytė, tel. (8 5) 219 7044, el. p. Giedre.Almonaityte@vpt.lt</w:t>
      </w:r>
    </w:p>
    <w:sectPr w:rsidR="00D31DBA" w:rsidSect="009F2EFD">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B1D" w:rsidRDefault="00F85B1D">
      <w:r>
        <w:separator/>
      </w:r>
    </w:p>
  </w:endnote>
  <w:endnote w:type="continuationSeparator" w:id="0">
    <w:p w:rsidR="00F85B1D" w:rsidRDefault="00F8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B1D" w:rsidRDefault="00F85B1D">
      <w:r>
        <w:separator/>
      </w:r>
    </w:p>
  </w:footnote>
  <w:footnote w:type="continuationSeparator" w:id="0">
    <w:p w:rsidR="00F85B1D" w:rsidRDefault="00F85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3129BB">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C46A04" w:rsidRDefault="003129BB">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46794E">
      <w:rPr>
        <w:rStyle w:val="Puslapionumeris"/>
        <w:noProof/>
        <w:sz w:val="24"/>
        <w:szCs w:val="24"/>
      </w:rPr>
      <w:t>2</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5420"/>
    <w:rsid w:val="00006F30"/>
    <w:rsid w:val="00007372"/>
    <w:rsid w:val="00021053"/>
    <w:rsid w:val="00023B43"/>
    <w:rsid w:val="000258F2"/>
    <w:rsid w:val="000327A3"/>
    <w:rsid w:val="00033CC7"/>
    <w:rsid w:val="00035EB7"/>
    <w:rsid w:val="00043B86"/>
    <w:rsid w:val="00044AFE"/>
    <w:rsid w:val="00046709"/>
    <w:rsid w:val="000506A7"/>
    <w:rsid w:val="0005237A"/>
    <w:rsid w:val="000676A3"/>
    <w:rsid w:val="0007758D"/>
    <w:rsid w:val="000910AA"/>
    <w:rsid w:val="00094314"/>
    <w:rsid w:val="00097A68"/>
    <w:rsid w:val="00097E4B"/>
    <w:rsid w:val="000D7FEC"/>
    <w:rsid w:val="000E3FC7"/>
    <w:rsid w:val="000E5D45"/>
    <w:rsid w:val="000F0F06"/>
    <w:rsid w:val="00103DFB"/>
    <w:rsid w:val="00117AAD"/>
    <w:rsid w:val="00141CFA"/>
    <w:rsid w:val="00154786"/>
    <w:rsid w:val="0017077F"/>
    <w:rsid w:val="00170B8A"/>
    <w:rsid w:val="0017282D"/>
    <w:rsid w:val="00176F48"/>
    <w:rsid w:val="0017741D"/>
    <w:rsid w:val="00187A54"/>
    <w:rsid w:val="00190C23"/>
    <w:rsid w:val="001947C6"/>
    <w:rsid w:val="00196A59"/>
    <w:rsid w:val="001A2A3C"/>
    <w:rsid w:val="001A70BA"/>
    <w:rsid w:val="001B63CF"/>
    <w:rsid w:val="001C5DD9"/>
    <w:rsid w:val="001C64A9"/>
    <w:rsid w:val="00215A9D"/>
    <w:rsid w:val="00223E47"/>
    <w:rsid w:val="00225780"/>
    <w:rsid w:val="0023626C"/>
    <w:rsid w:val="00242FB8"/>
    <w:rsid w:val="002556A3"/>
    <w:rsid w:val="00256CEF"/>
    <w:rsid w:val="002571B3"/>
    <w:rsid w:val="00282666"/>
    <w:rsid w:val="00287365"/>
    <w:rsid w:val="002878B6"/>
    <w:rsid w:val="00291BCD"/>
    <w:rsid w:val="00297410"/>
    <w:rsid w:val="002A06B0"/>
    <w:rsid w:val="002A1793"/>
    <w:rsid w:val="002B0D9C"/>
    <w:rsid w:val="002B1EF5"/>
    <w:rsid w:val="002B3C55"/>
    <w:rsid w:val="002B5FFD"/>
    <w:rsid w:val="002B6A22"/>
    <w:rsid w:val="002C4A68"/>
    <w:rsid w:val="002D1F71"/>
    <w:rsid w:val="002D3187"/>
    <w:rsid w:val="002D54EF"/>
    <w:rsid w:val="002E0178"/>
    <w:rsid w:val="002F639A"/>
    <w:rsid w:val="002F6A88"/>
    <w:rsid w:val="00302D63"/>
    <w:rsid w:val="003129BB"/>
    <w:rsid w:val="00313FC6"/>
    <w:rsid w:val="003214DA"/>
    <w:rsid w:val="00333C57"/>
    <w:rsid w:val="00335231"/>
    <w:rsid w:val="00351E8D"/>
    <w:rsid w:val="0035640A"/>
    <w:rsid w:val="00357A1F"/>
    <w:rsid w:val="00360DA5"/>
    <w:rsid w:val="00361D4F"/>
    <w:rsid w:val="00363575"/>
    <w:rsid w:val="00364784"/>
    <w:rsid w:val="00375CEC"/>
    <w:rsid w:val="00380718"/>
    <w:rsid w:val="00383973"/>
    <w:rsid w:val="00396B0F"/>
    <w:rsid w:val="003A20D6"/>
    <w:rsid w:val="003A3911"/>
    <w:rsid w:val="003B2550"/>
    <w:rsid w:val="003B3873"/>
    <w:rsid w:val="003D0A97"/>
    <w:rsid w:val="003D3D13"/>
    <w:rsid w:val="003E72D4"/>
    <w:rsid w:val="003F5351"/>
    <w:rsid w:val="00407574"/>
    <w:rsid w:val="004106DF"/>
    <w:rsid w:val="00427657"/>
    <w:rsid w:val="00427FA0"/>
    <w:rsid w:val="004354E4"/>
    <w:rsid w:val="004434D2"/>
    <w:rsid w:val="00454D65"/>
    <w:rsid w:val="00462A10"/>
    <w:rsid w:val="0046794E"/>
    <w:rsid w:val="0048148B"/>
    <w:rsid w:val="00495120"/>
    <w:rsid w:val="004A5287"/>
    <w:rsid w:val="004A78DE"/>
    <w:rsid w:val="004C2062"/>
    <w:rsid w:val="004D03A6"/>
    <w:rsid w:val="004D1BAD"/>
    <w:rsid w:val="004E2A97"/>
    <w:rsid w:val="004E4C23"/>
    <w:rsid w:val="00510C55"/>
    <w:rsid w:val="0054166A"/>
    <w:rsid w:val="00541693"/>
    <w:rsid w:val="00556B20"/>
    <w:rsid w:val="00557B1F"/>
    <w:rsid w:val="00572478"/>
    <w:rsid w:val="005833EA"/>
    <w:rsid w:val="00586324"/>
    <w:rsid w:val="00595747"/>
    <w:rsid w:val="005A4D4D"/>
    <w:rsid w:val="005A5864"/>
    <w:rsid w:val="005B6FCB"/>
    <w:rsid w:val="005C4F97"/>
    <w:rsid w:val="005D2E16"/>
    <w:rsid w:val="005E5B43"/>
    <w:rsid w:val="005F0C81"/>
    <w:rsid w:val="005F5F70"/>
    <w:rsid w:val="0060178E"/>
    <w:rsid w:val="00604645"/>
    <w:rsid w:val="00617673"/>
    <w:rsid w:val="00620083"/>
    <w:rsid w:val="00621FA2"/>
    <w:rsid w:val="00626943"/>
    <w:rsid w:val="006416BB"/>
    <w:rsid w:val="00653884"/>
    <w:rsid w:val="00654BAE"/>
    <w:rsid w:val="006621D7"/>
    <w:rsid w:val="00663222"/>
    <w:rsid w:val="00664877"/>
    <w:rsid w:val="00665232"/>
    <w:rsid w:val="00691084"/>
    <w:rsid w:val="00693D78"/>
    <w:rsid w:val="00693F43"/>
    <w:rsid w:val="006C2934"/>
    <w:rsid w:val="006D6F78"/>
    <w:rsid w:val="006E2FD3"/>
    <w:rsid w:val="006F649D"/>
    <w:rsid w:val="006F7045"/>
    <w:rsid w:val="00702DFF"/>
    <w:rsid w:val="007165F7"/>
    <w:rsid w:val="0072208D"/>
    <w:rsid w:val="00722118"/>
    <w:rsid w:val="007223D5"/>
    <w:rsid w:val="00727CA6"/>
    <w:rsid w:val="00730E34"/>
    <w:rsid w:val="00744E44"/>
    <w:rsid w:val="00785446"/>
    <w:rsid w:val="00785CF3"/>
    <w:rsid w:val="00791D47"/>
    <w:rsid w:val="00793677"/>
    <w:rsid w:val="007A3192"/>
    <w:rsid w:val="007A327D"/>
    <w:rsid w:val="007A7FEC"/>
    <w:rsid w:val="007D56B3"/>
    <w:rsid w:val="007D6DC2"/>
    <w:rsid w:val="007D76FE"/>
    <w:rsid w:val="007E23CC"/>
    <w:rsid w:val="007E2F7B"/>
    <w:rsid w:val="007E7065"/>
    <w:rsid w:val="007F3849"/>
    <w:rsid w:val="007F62F4"/>
    <w:rsid w:val="00832DBE"/>
    <w:rsid w:val="008465EF"/>
    <w:rsid w:val="00854F66"/>
    <w:rsid w:val="00860C99"/>
    <w:rsid w:val="00867790"/>
    <w:rsid w:val="008706C5"/>
    <w:rsid w:val="008770A7"/>
    <w:rsid w:val="00877384"/>
    <w:rsid w:val="00880F0D"/>
    <w:rsid w:val="00881FBE"/>
    <w:rsid w:val="00883C1C"/>
    <w:rsid w:val="008A5A7B"/>
    <w:rsid w:val="008B369B"/>
    <w:rsid w:val="008C08DC"/>
    <w:rsid w:val="008E462B"/>
    <w:rsid w:val="008F10BE"/>
    <w:rsid w:val="00900135"/>
    <w:rsid w:val="00905240"/>
    <w:rsid w:val="00907C82"/>
    <w:rsid w:val="009310AB"/>
    <w:rsid w:val="00932A29"/>
    <w:rsid w:val="00934544"/>
    <w:rsid w:val="00943DBD"/>
    <w:rsid w:val="009442DC"/>
    <w:rsid w:val="009533A5"/>
    <w:rsid w:val="00953DFC"/>
    <w:rsid w:val="009564E6"/>
    <w:rsid w:val="0095689C"/>
    <w:rsid w:val="009607FC"/>
    <w:rsid w:val="00972081"/>
    <w:rsid w:val="009729EF"/>
    <w:rsid w:val="00976413"/>
    <w:rsid w:val="009831BF"/>
    <w:rsid w:val="00984F07"/>
    <w:rsid w:val="0098570E"/>
    <w:rsid w:val="00987111"/>
    <w:rsid w:val="00992F8E"/>
    <w:rsid w:val="009A3D7B"/>
    <w:rsid w:val="009A7CC2"/>
    <w:rsid w:val="009B576B"/>
    <w:rsid w:val="009D1583"/>
    <w:rsid w:val="009E35C6"/>
    <w:rsid w:val="009F1576"/>
    <w:rsid w:val="009F2EFD"/>
    <w:rsid w:val="00A012DC"/>
    <w:rsid w:val="00A07134"/>
    <w:rsid w:val="00A26FAE"/>
    <w:rsid w:val="00A41F79"/>
    <w:rsid w:val="00A42850"/>
    <w:rsid w:val="00A630A8"/>
    <w:rsid w:val="00A77BDD"/>
    <w:rsid w:val="00AA1E51"/>
    <w:rsid w:val="00AA7EC0"/>
    <w:rsid w:val="00AB070E"/>
    <w:rsid w:val="00AB2C1E"/>
    <w:rsid w:val="00AC720E"/>
    <w:rsid w:val="00AD4FCC"/>
    <w:rsid w:val="00AD55BB"/>
    <w:rsid w:val="00AD6B9F"/>
    <w:rsid w:val="00AD7991"/>
    <w:rsid w:val="00AE1A79"/>
    <w:rsid w:val="00AE7B9F"/>
    <w:rsid w:val="00B039C0"/>
    <w:rsid w:val="00B052EA"/>
    <w:rsid w:val="00B1182C"/>
    <w:rsid w:val="00B13D09"/>
    <w:rsid w:val="00B23540"/>
    <w:rsid w:val="00B30BBC"/>
    <w:rsid w:val="00B36DDA"/>
    <w:rsid w:val="00B51082"/>
    <w:rsid w:val="00B53DC4"/>
    <w:rsid w:val="00B57B8F"/>
    <w:rsid w:val="00B64871"/>
    <w:rsid w:val="00B67F07"/>
    <w:rsid w:val="00B723F1"/>
    <w:rsid w:val="00B8394C"/>
    <w:rsid w:val="00B91F59"/>
    <w:rsid w:val="00B93B07"/>
    <w:rsid w:val="00BB0636"/>
    <w:rsid w:val="00BB3371"/>
    <w:rsid w:val="00BB6D51"/>
    <w:rsid w:val="00BC2A65"/>
    <w:rsid w:val="00BD52A3"/>
    <w:rsid w:val="00BD5BA1"/>
    <w:rsid w:val="00BD7D21"/>
    <w:rsid w:val="00BE5F43"/>
    <w:rsid w:val="00C0209D"/>
    <w:rsid w:val="00C042E6"/>
    <w:rsid w:val="00C11535"/>
    <w:rsid w:val="00C267ED"/>
    <w:rsid w:val="00C30604"/>
    <w:rsid w:val="00C30D1E"/>
    <w:rsid w:val="00C3102D"/>
    <w:rsid w:val="00C46A04"/>
    <w:rsid w:val="00C55C2C"/>
    <w:rsid w:val="00C575D6"/>
    <w:rsid w:val="00C71B4A"/>
    <w:rsid w:val="00C87A41"/>
    <w:rsid w:val="00C87AA3"/>
    <w:rsid w:val="00C90C72"/>
    <w:rsid w:val="00C9438A"/>
    <w:rsid w:val="00C96CAB"/>
    <w:rsid w:val="00CA7E5C"/>
    <w:rsid w:val="00CD0D68"/>
    <w:rsid w:val="00CD171C"/>
    <w:rsid w:val="00CE74E2"/>
    <w:rsid w:val="00D15841"/>
    <w:rsid w:val="00D215F6"/>
    <w:rsid w:val="00D26C7E"/>
    <w:rsid w:val="00D30739"/>
    <w:rsid w:val="00D31DBA"/>
    <w:rsid w:val="00D37AE0"/>
    <w:rsid w:val="00D50427"/>
    <w:rsid w:val="00D5057E"/>
    <w:rsid w:val="00D73CF3"/>
    <w:rsid w:val="00D743F3"/>
    <w:rsid w:val="00D74661"/>
    <w:rsid w:val="00D8505D"/>
    <w:rsid w:val="00D87661"/>
    <w:rsid w:val="00D906FE"/>
    <w:rsid w:val="00D917BE"/>
    <w:rsid w:val="00DB3D63"/>
    <w:rsid w:val="00DB5467"/>
    <w:rsid w:val="00DE7300"/>
    <w:rsid w:val="00E10488"/>
    <w:rsid w:val="00E14A2F"/>
    <w:rsid w:val="00E1788F"/>
    <w:rsid w:val="00E246EC"/>
    <w:rsid w:val="00E61C85"/>
    <w:rsid w:val="00E705E4"/>
    <w:rsid w:val="00E85CB4"/>
    <w:rsid w:val="00E91127"/>
    <w:rsid w:val="00EB1BD1"/>
    <w:rsid w:val="00EB401D"/>
    <w:rsid w:val="00EB65C8"/>
    <w:rsid w:val="00EC1185"/>
    <w:rsid w:val="00EC3B31"/>
    <w:rsid w:val="00F34035"/>
    <w:rsid w:val="00F606BC"/>
    <w:rsid w:val="00F760BB"/>
    <w:rsid w:val="00F85B1D"/>
    <w:rsid w:val="00F90553"/>
    <w:rsid w:val="00F90D16"/>
    <w:rsid w:val="00F94496"/>
    <w:rsid w:val="00F95A44"/>
    <w:rsid w:val="00FA76E1"/>
    <w:rsid w:val="00FA7A60"/>
    <w:rsid w:val="00FB5CE0"/>
    <w:rsid w:val="00FE133B"/>
    <w:rsid w:val="00FE68E0"/>
    <w:rsid w:val="00FF6392"/>
    <w:rsid w:val="00FF6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6F6A95-D34E-4C44-9DEB-A4293A70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customStyle="1" w:styleId="AntratsDiagrama">
    <w:name w:val="Antraštės Diagrama"/>
    <w:basedOn w:val="Numatytasispastraiposriftas"/>
    <w:link w:val="Antrats"/>
    <w:rsid w:val="00154786"/>
    <w:rPr>
      <w:lang w:eastAsia="en-US"/>
    </w:rPr>
  </w:style>
  <w:style w:type="paragraph" w:styleId="Pagrindinistekstas">
    <w:name w:val="Body Text"/>
    <w:basedOn w:val="prastasis"/>
    <w:link w:val="PagrindinistekstasDiagrama"/>
    <w:rsid w:val="00190C23"/>
    <w:pPr>
      <w:jc w:val="center"/>
    </w:pPr>
    <w:rPr>
      <w:sz w:val="22"/>
    </w:rPr>
  </w:style>
  <w:style w:type="character" w:customStyle="1" w:styleId="PagrindinistekstasDiagrama">
    <w:name w:val="Pagrindinis tekstas Diagrama"/>
    <w:basedOn w:val="Numatytasispastraiposriftas"/>
    <w:link w:val="Pagrindinistekstas"/>
    <w:rsid w:val="00190C23"/>
    <w:rPr>
      <w:sz w:val="22"/>
      <w:lang w:eastAsia="en-US"/>
    </w:rPr>
  </w:style>
  <w:style w:type="paragraph" w:customStyle="1" w:styleId="Pagrindinistekstas1">
    <w:name w:val="Pagrindinis tekstas1"/>
    <w:rsid w:val="00905240"/>
    <w:pPr>
      <w:ind w:firstLine="312"/>
      <w:jc w:val="both"/>
    </w:pPr>
    <w:rPr>
      <w:rFonts w:ascii="TimesLT" w:hAnsi="TimesLT"/>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2514">
      <w:bodyDiv w:val="1"/>
      <w:marLeft w:val="0"/>
      <w:marRight w:val="0"/>
      <w:marTop w:val="0"/>
      <w:marBottom w:val="0"/>
      <w:divBdr>
        <w:top w:val="none" w:sz="0" w:space="0" w:color="auto"/>
        <w:left w:val="none" w:sz="0" w:space="0" w:color="auto"/>
        <w:bottom w:val="none" w:sz="0" w:space="0" w:color="auto"/>
        <w:right w:val="none" w:sz="0" w:space="0" w:color="auto"/>
      </w:divBdr>
    </w:div>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16215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925D6-0D8D-41E5-B74F-AC818A06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0</TotalTime>
  <Pages>2</Pages>
  <Words>2851</Words>
  <Characters>1626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Giedrė Almonaitytė</cp:lastModifiedBy>
  <cp:revision>2</cp:revision>
  <cp:lastPrinted>2014-10-07T10:56:00Z</cp:lastPrinted>
  <dcterms:created xsi:type="dcterms:W3CDTF">2015-03-24T11:31:00Z</dcterms:created>
  <dcterms:modified xsi:type="dcterms:W3CDTF">2015-03-24T11:31:00Z</dcterms:modified>
</cp:coreProperties>
</file>