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746" w:rsidRPr="00730746" w:rsidRDefault="00730746" w:rsidP="00C10DE3">
      <w:pPr>
        <w:rPr>
          <w:color w:val="000000"/>
          <w:sz w:val="24"/>
          <w:szCs w:val="24"/>
        </w:rPr>
      </w:pPr>
      <w:r w:rsidRPr="00730746">
        <w:rPr>
          <w:sz w:val="24"/>
          <w:szCs w:val="24"/>
        </w:rPr>
        <w:t xml:space="preserve">                                                                                        </w:t>
      </w:r>
      <w:bookmarkStart w:id="0" w:name="_GoBack"/>
      <w:bookmarkEnd w:id="0"/>
    </w:p>
    <w:p w:rsidR="00730746" w:rsidRDefault="00730746" w:rsidP="00F33C72">
      <w:pPr>
        <w:jc w:val="center"/>
        <w:rPr>
          <w:rFonts w:ascii="CG Times" w:hAnsi="CG Times"/>
          <w:sz w:val="24"/>
          <w:szCs w:val="24"/>
        </w:rPr>
      </w:pPr>
    </w:p>
    <w:bookmarkStart w:id="1" w:name="_MON_1301915618"/>
    <w:bookmarkEnd w:id="1"/>
    <w:p w:rsidR="00F33C72" w:rsidRDefault="00F33C72" w:rsidP="00F33C72">
      <w:pPr>
        <w:jc w:val="center"/>
        <w:rPr>
          <w:rFonts w:ascii="CG Times" w:hAnsi="CG Times"/>
          <w:sz w:val="24"/>
          <w:szCs w:val="24"/>
        </w:rPr>
      </w:pPr>
      <w:r w:rsidRPr="00907C82">
        <w:rPr>
          <w:rFonts w:ascii="CG Times" w:hAnsi="CG Times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7.8pt" o:ole="" fillcolor="window">
            <v:imagedata r:id="rId7" o:title=""/>
          </v:shape>
          <o:OLEObject Type="Embed" ProgID="Word.Picture.8" ShapeID="_x0000_i1025" DrawAspect="Content" ObjectID="_1488629370" r:id="rId8"/>
        </w:object>
      </w:r>
    </w:p>
    <w:p w:rsidR="00F33C72" w:rsidRPr="00907C82" w:rsidRDefault="00F33C72" w:rsidP="00F33C72">
      <w:pPr>
        <w:jc w:val="center"/>
        <w:rPr>
          <w:sz w:val="24"/>
          <w:szCs w:val="24"/>
        </w:rPr>
      </w:pPr>
    </w:p>
    <w:p w:rsidR="00F33C72" w:rsidRPr="00907C82" w:rsidRDefault="00F33C72" w:rsidP="00F33C72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907C82">
        <w:rPr>
          <w:sz w:val="24"/>
          <w:szCs w:val="24"/>
        </w:rPr>
        <w:t>VIEŠŲJŲ PIRKIMŲ TARNYBA</w:t>
      </w:r>
    </w:p>
    <w:p w:rsidR="00F33C72" w:rsidRPr="00F33C72" w:rsidRDefault="00F33C72" w:rsidP="00F33C72">
      <w:pPr>
        <w:tabs>
          <w:tab w:val="left" w:pos="90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KONTROLĖS SKYRIUS</w:t>
      </w:r>
    </w:p>
    <w:p w:rsidR="00F33C72" w:rsidRDefault="00F33C72" w:rsidP="00F33C72">
      <w:pPr>
        <w:tabs>
          <w:tab w:val="left" w:pos="900"/>
        </w:tabs>
        <w:rPr>
          <w:bCs/>
          <w:sz w:val="24"/>
          <w:szCs w:val="24"/>
        </w:rPr>
      </w:pPr>
    </w:p>
    <w:p w:rsidR="00F33C72" w:rsidRPr="00F33C72" w:rsidRDefault="00F33C72" w:rsidP="00F33C72">
      <w:pPr>
        <w:tabs>
          <w:tab w:val="left" w:pos="900"/>
        </w:tabs>
        <w:jc w:val="center"/>
        <w:rPr>
          <w:b/>
          <w:bCs/>
          <w:sz w:val="24"/>
          <w:szCs w:val="24"/>
        </w:rPr>
      </w:pPr>
      <w:r w:rsidRPr="00F33C72">
        <w:rPr>
          <w:b/>
          <w:bCs/>
          <w:sz w:val="24"/>
          <w:szCs w:val="24"/>
        </w:rPr>
        <w:t>ENERGIJOS IŠTEKLIŲ PIRKIM</w:t>
      </w:r>
      <w:r w:rsidR="002B5E40">
        <w:rPr>
          <w:b/>
          <w:bCs/>
          <w:sz w:val="24"/>
          <w:szCs w:val="24"/>
        </w:rPr>
        <w:t>Ų</w:t>
      </w:r>
      <w:r w:rsidRPr="00F33C72">
        <w:rPr>
          <w:b/>
          <w:bCs/>
          <w:sz w:val="24"/>
          <w:szCs w:val="24"/>
        </w:rPr>
        <w:t xml:space="preserve"> VERTINIMO </w:t>
      </w:r>
    </w:p>
    <w:p w:rsidR="00F33C72" w:rsidRPr="00F33C72" w:rsidRDefault="00F33C72" w:rsidP="00F33C72">
      <w:pPr>
        <w:tabs>
          <w:tab w:val="left" w:pos="900"/>
        </w:tabs>
        <w:jc w:val="center"/>
        <w:rPr>
          <w:b/>
          <w:bCs/>
          <w:sz w:val="24"/>
          <w:szCs w:val="24"/>
        </w:rPr>
      </w:pPr>
      <w:r w:rsidRPr="00F33C72">
        <w:rPr>
          <w:b/>
          <w:bCs/>
          <w:sz w:val="24"/>
          <w:szCs w:val="24"/>
        </w:rPr>
        <w:t>IŠVADA</w:t>
      </w:r>
    </w:p>
    <w:p w:rsidR="00F33C72" w:rsidRDefault="00F33C72" w:rsidP="00F33C72">
      <w:pPr>
        <w:tabs>
          <w:tab w:val="left" w:pos="900"/>
        </w:tabs>
        <w:rPr>
          <w:bCs/>
          <w:sz w:val="24"/>
          <w:szCs w:val="24"/>
        </w:rPr>
      </w:pPr>
    </w:p>
    <w:p w:rsidR="00F33C72" w:rsidRDefault="00F33C72" w:rsidP="00F33C72">
      <w:pPr>
        <w:tabs>
          <w:tab w:val="left" w:pos="900"/>
        </w:tabs>
        <w:rPr>
          <w:bCs/>
          <w:sz w:val="24"/>
          <w:szCs w:val="24"/>
        </w:rPr>
      </w:pPr>
    </w:p>
    <w:p w:rsidR="00F33C72" w:rsidRDefault="0043650C" w:rsidP="00F33C72">
      <w:pPr>
        <w:tabs>
          <w:tab w:val="left" w:pos="900"/>
        </w:tabs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2015 m. kovo             </w:t>
      </w:r>
      <w:r w:rsidR="00F33C72">
        <w:rPr>
          <w:bCs/>
          <w:sz w:val="24"/>
          <w:szCs w:val="24"/>
        </w:rPr>
        <w:t>Nr.4S-_________</w:t>
      </w:r>
    </w:p>
    <w:p w:rsidR="00F33C72" w:rsidRDefault="00F33C72" w:rsidP="00F33C72">
      <w:pPr>
        <w:tabs>
          <w:tab w:val="left" w:pos="90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</w:t>
      </w:r>
    </w:p>
    <w:p w:rsidR="00F33C72" w:rsidRDefault="00F33C72" w:rsidP="00F33C72">
      <w:pPr>
        <w:tabs>
          <w:tab w:val="left" w:pos="900"/>
        </w:tabs>
        <w:rPr>
          <w:bCs/>
          <w:sz w:val="24"/>
          <w:szCs w:val="24"/>
        </w:rPr>
      </w:pPr>
    </w:p>
    <w:p w:rsidR="00F33C72" w:rsidRDefault="00F33C72" w:rsidP="00F33C72">
      <w:pPr>
        <w:tabs>
          <w:tab w:val="left" w:pos="900"/>
        </w:tabs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Vilnius</w:t>
      </w:r>
    </w:p>
    <w:p w:rsidR="00F33C72" w:rsidRDefault="00F33C72" w:rsidP="00F33C72">
      <w:pPr>
        <w:tabs>
          <w:tab w:val="left" w:pos="900"/>
        </w:tabs>
        <w:jc w:val="center"/>
        <w:rPr>
          <w:bCs/>
          <w:sz w:val="24"/>
          <w:szCs w:val="24"/>
        </w:rPr>
      </w:pPr>
    </w:p>
    <w:p w:rsidR="00F33C72" w:rsidRDefault="00F33C72" w:rsidP="00F33C72">
      <w:pPr>
        <w:tabs>
          <w:tab w:val="left" w:pos="900"/>
        </w:tabs>
        <w:jc w:val="center"/>
        <w:rPr>
          <w:bCs/>
          <w:sz w:val="24"/>
          <w:szCs w:val="24"/>
        </w:rPr>
      </w:pPr>
    </w:p>
    <w:p w:rsidR="00AE39A6" w:rsidRDefault="0043650C">
      <w:pPr>
        <w:ind w:firstLine="851"/>
        <w:jc w:val="both"/>
        <w:rPr>
          <w:sz w:val="24"/>
          <w:szCs w:val="24"/>
        </w:rPr>
      </w:pPr>
      <w:r w:rsidRPr="00264F8E">
        <w:rPr>
          <w:sz w:val="24"/>
          <w:szCs w:val="24"/>
        </w:rPr>
        <w:t>Viešųjų pirkimų tarnyba</w:t>
      </w:r>
      <w:r>
        <w:rPr>
          <w:sz w:val="24"/>
          <w:szCs w:val="24"/>
        </w:rPr>
        <w:t xml:space="preserve"> (toliau – Tarnyba)</w:t>
      </w:r>
      <w:r w:rsidRPr="00264F8E">
        <w:rPr>
          <w:sz w:val="24"/>
          <w:szCs w:val="24"/>
        </w:rPr>
        <w:t xml:space="preserve">, vadovaudamasi Lietuvos Respublikos </w:t>
      </w:r>
      <w:r>
        <w:rPr>
          <w:sz w:val="24"/>
          <w:szCs w:val="24"/>
        </w:rPr>
        <w:t>energijos išteklių rinkos įstatymo</w:t>
      </w:r>
      <w:r w:rsidRPr="00264F8E"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28</w:t>
      </w:r>
      <w:r w:rsidRPr="00264F8E">
        <w:rPr>
          <w:bCs/>
          <w:sz w:val="24"/>
          <w:szCs w:val="24"/>
        </w:rPr>
        <w:t xml:space="preserve"> straipsnio </w:t>
      </w:r>
      <w:r>
        <w:rPr>
          <w:bCs/>
          <w:sz w:val="24"/>
          <w:szCs w:val="24"/>
        </w:rPr>
        <w:t>2</w:t>
      </w:r>
      <w:r w:rsidRPr="00264F8E">
        <w:rPr>
          <w:bCs/>
          <w:sz w:val="24"/>
          <w:szCs w:val="24"/>
        </w:rPr>
        <w:t xml:space="preserve"> dali</w:t>
      </w:r>
      <w:r>
        <w:rPr>
          <w:bCs/>
          <w:sz w:val="24"/>
          <w:szCs w:val="24"/>
        </w:rPr>
        <w:t>mi</w:t>
      </w:r>
      <w:r w:rsidRPr="00264F8E">
        <w:rPr>
          <w:sz w:val="24"/>
          <w:szCs w:val="24"/>
        </w:rPr>
        <w:t xml:space="preserve">, </w:t>
      </w:r>
      <w:r w:rsidR="00A00913" w:rsidRPr="00264F8E">
        <w:rPr>
          <w:sz w:val="24"/>
          <w:szCs w:val="24"/>
        </w:rPr>
        <w:t xml:space="preserve">Lietuvos Respublikos viešųjų pirkimų įstatymo </w:t>
      </w:r>
      <w:r w:rsidR="006D12A5">
        <w:rPr>
          <w:sz w:val="24"/>
          <w:szCs w:val="24"/>
        </w:rPr>
        <w:t xml:space="preserve">(toliau – Įstatymas ) </w:t>
      </w:r>
      <w:r w:rsidR="00A00913" w:rsidRPr="00264F8E">
        <w:rPr>
          <w:bCs/>
          <w:sz w:val="24"/>
          <w:szCs w:val="24"/>
        </w:rPr>
        <w:t>10 straipsnio 3 dalies 6 punktu</w:t>
      </w:r>
      <w:r w:rsidR="00A00913">
        <w:rPr>
          <w:bCs/>
          <w:sz w:val="24"/>
          <w:szCs w:val="24"/>
        </w:rPr>
        <w:t xml:space="preserve"> ir </w:t>
      </w:r>
      <w:r w:rsidR="00A00913">
        <w:rPr>
          <w:sz w:val="24"/>
          <w:szCs w:val="24"/>
        </w:rPr>
        <w:t xml:space="preserve">Įmonių, veikiančių energetikos srityje, energijos ar kuro, kurių reikia elektros ir šilumos energijai gaminti, pirkimų </w:t>
      </w:r>
      <w:proofErr w:type="gramStart"/>
      <w:r w:rsidR="00A00913">
        <w:rPr>
          <w:sz w:val="24"/>
          <w:szCs w:val="24"/>
        </w:rPr>
        <w:t>taisyklių</w:t>
      </w:r>
      <w:proofErr w:type="gramEnd"/>
      <w:r w:rsidR="00A00913">
        <w:rPr>
          <w:sz w:val="24"/>
          <w:szCs w:val="24"/>
        </w:rPr>
        <w:t xml:space="preserve">, patvirtintų </w:t>
      </w:r>
      <w:r w:rsidR="00A00913" w:rsidRPr="00A00913">
        <w:rPr>
          <w:bCs/>
          <w:sz w:val="24"/>
          <w:szCs w:val="24"/>
        </w:rPr>
        <w:t>Lietuvos Respublikos Vyriausybės</w:t>
      </w:r>
      <w:r w:rsidR="00A00913">
        <w:rPr>
          <w:color w:val="1F497D"/>
          <w:sz w:val="24"/>
          <w:szCs w:val="24"/>
        </w:rPr>
        <w:t xml:space="preserve"> </w:t>
      </w:r>
      <w:r w:rsidR="00A00913">
        <w:rPr>
          <w:sz w:val="24"/>
          <w:szCs w:val="24"/>
        </w:rPr>
        <w:t xml:space="preserve">2003 m. kovo 3 d. nutarimu Nr. 277 „Dėl Įmonių, veikiančių energetikos srityje, energijos ar kuro, kurių reikia elektros ir šilumos energijai gaminti, pirkimų taisyklių patvirtinimo“ (toliau – Taisyklės) 144.1 punktu, </w:t>
      </w:r>
      <w:r w:rsidRPr="00264F8E">
        <w:rPr>
          <w:sz w:val="24"/>
          <w:szCs w:val="24"/>
        </w:rPr>
        <w:t>atliko UAB „</w:t>
      </w:r>
      <w:r>
        <w:rPr>
          <w:sz w:val="24"/>
          <w:szCs w:val="24"/>
        </w:rPr>
        <w:t xml:space="preserve">Anykščių šiluma“ (toliau – Įsigyjančioji </w:t>
      </w:r>
      <w:r w:rsidRPr="00264F8E">
        <w:rPr>
          <w:sz w:val="24"/>
          <w:szCs w:val="24"/>
        </w:rPr>
        <w:t xml:space="preserve">organizacija) </w:t>
      </w:r>
      <w:r>
        <w:rPr>
          <w:sz w:val="24"/>
          <w:szCs w:val="24"/>
        </w:rPr>
        <w:t xml:space="preserve">2014-11-10 </w:t>
      </w:r>
      <w:r w:rsidRPr="00264F8E">
        <w:rPr>
          <w:sz w:val="24"/>
          <w:szCs w:val="24"/>
        </w:rPr>
        <w:t>vykdyt</w:t>
      </w:r>
      <w:r>
        <w:rPr>
          <w:sz w:val="24"/>
          <w:szCs w:val="24"/>
        </w:rPr>
        <w:t>ų neskelbiamų derybų</w:t>
      </w:r>
      <w:r w:rsidRPr="00264F8E">
        <w:rPr>
          <w:sz w:val="24"/>
          <w:szCs w:val="24"/>
        </w:rPr>
        <w:t xml:space="preserve"> </w:t>
      </w:r>
      <w:r w:rsidRPr="00264F8E">
        <w:rPr>
          <w:color w:val="000000"/>
          <w:sz w:val="24"/>
          <w:szCs w:val="24"/>
        </w:rPr>
        <w:t>„</w:t>
      </w:r>
      <w:r>
        <w:rPr>
          <w:color w:val="000000"/>
          <w:sz w:val="24"/>
          <w:szCs w:val="24"/>
        </w:rPr>
        <w:t>Malkinės medienos pirkimas</w:t>
      </w:r>
      <w:r w:rsidRPr="00264F8E">
        <w:rPr>
          <w:color w:val="000000"/>
          <w:sz w:val="24"/>
          <w:szCs w:val="24"/>
        </w:rPr>
        <w:t xml:space="preserve">“ </w:t>
      </w:r>
      <w:r w:rsidRPr="00264F8E">
        <w:rPr>
          <w:sz w:val="24"/>
          <w:szCs w:val="24"/>
        </w:rPr>
        <w:t xml:space="preserve">(toliau – Pirkimas), </w:t>
      </w:r>
      <w:r>
        <w:rPr>
          <w:sz w:val="24"/>
          <w:szCs w:val="24"/>
        </w:rPr>
        <w:t xml:space="preserve">dokumentų ir </w:t>
      </w:r>
      <w:r>
        <w:rPr>
          <w:sz w:val="24"/>
        </w:rPr>
        <w:t>procedūrų vertinimą.</w:t>
      </w:r>
    </w:p>
    <w:p w:rsidR="00AE39A6" w:rsidRDefault="0043650C">
      <w:pPr>
        <w:spacing w:line="276" w:lineRule="auto"/>
        <w:ind w:firstLine="851"/>
        <w:jc w:val="both"/>
        <w:rPr>
          <w:sz w:val="24"/>
          <w:szCs w:val="24"/>
        </w:rPr>
      </w:pPr>
      <w:r w:rsidRPr="00264F8E">
        <w:rPr>
          <w:sz w:val="24"/>
          <w:szCs w:val="24"/>
        </w:rPr>
        <w:t>Pirkimui</w:t>
      </w:r>
      <w:r>
        <w:rPr>
          <w:sz w:val="24"/>
          <w:szCs w:val="24"/>
        </w:rPr>
        <w:t>, atsižvelgiant į jo pradžią,</w:t>
      </w:r>
      <w:r w:rsidRPr="00264F8E">
        <w:rPr>
          <w:sz w:val="24"/>
          <w:szCs w:val="24"/>
        </w:rPr>
        <w:t xml:space="preserve"> taikomos </w:t>
      </w:r>
      <w:proofErr w:type="gramStart"/>
      <w:r>
        <w:rPr>
          <w:sz w:val="24"/>
          <w:szCs w:val="24"/>
        </w:rPr>
        <w:t>Taisykl</w:t>
      </w:r>
      <w:r w:rsidR="009C7907">
        <w:rPr>
          <w:sz w:val="24"/>
          <w:szCs w:val="24"/>
        </w:rPr>
        <w:t>ių</w:t>
      </w:r>
      <w:proofErr w:type="gramEnd"/>
      <w:r w:rsidR="009C7907">
        <w:rPr>
          <w:sz w:val="24"/>
          <w:szCs w:val="24"/>
        </w:rPr>
        <w:t xml:space="preserve"> (aktuali redakcija nuo 2014-07-30)</w:t>
      </w:r>
      <w:r w:rsidRPr="0037593D">
        <w:rPr>
          <w:sz w:val="24"/>
          <w:szCs w:val="24"/>
        </w:rPr>
        <w:t xml:space="preserve"> </w:t>
      </w:r>
      <w:r w:rsidRPr="00264F8E">
        <w:rPr>
          <w:sz w:val="24"/>
          <w:szCs w:val="24"/>
        </w:rPr>
        <w:t>nuostatos.</w:t>
      </w:r>
    </w:p>
    <w:p w:rsidR="0043650C" w:rsidRDefault="0043650C" w:rsidP="0043650C">
      <w:pPr>
        <w:pStyle w:val="ListParagraph"/>
        <w:tabs>
          <w:tab w:val="left" w:pos="993"/>
        </w:tabs>
        <w:spacing w:line="276" w:lineRule="auto"/>
        <w:ind w:left="0" w:firstLine="851"/>
        <w:jc w:val="both"/>
        <w:rPr>
          <w:sz w:val="24"/>
          <w:szCs w:val="24"/>
        </w:rPr>
      </w:pPr>
      <w:r w:rsidRPr="00CB0A27">
        <w:rPr>
          <w:rStyle w:val="Strong"/>
          <w:sz w:val="24"/>
          <w:szCs w:val="24"/>
        </w:rPr>
        <w:t xml:space="preserve">Įvertinusi </w:t>
      </w:r>
      <w:r w:rsidRPr="00CB0A27">
        <w:rPr>
          <w:sz w:val="24"/>
          <w:szCs w:val="24"/>
        </w:rPr>
        <w:t xml:space="preserve">Įsigyjančiosios </w:t>
      </w:r>
      <w:r w:rsidRPr="00CB0A27">
        <w:rPr>
          <w:rStyle w:val="Strong"/>
          <w:sz w:val="24"/>
          <w:szCs w:val="24"/>
        </w:rPr>
        <w:t xml:space="preserve">organizacijos pateiktus su Pirkimu susijusius dokumentus, </w:t>
      </w:r>
      <w:r w:rsidRPr="00CB0A27">
        <w:rPr>
          <w:sz w:val="24"/>
          <w:szCs w:val="24"/>
        </w:rPr>
        <w:t>Tarnyba nustatė</w:t>
      </w:r>
      <w:r>
        <w:rPr>
          <w:sz w:val="24"/>
          <w:szCs w:val="24"/>
        </w:rPr>
        <w:t>, kad</w:t>
      </w:r>
      <w:r w:rsidRPr="00CB0A27">
        <w:rPr>
          <w:sz w:val="24"/>
          <w:szCs w:val="24"/>
        </w:rPr>
        <w:t>:</w:t>
      </w:r>
    </w:p>
    <w:p w:rsidR="0043650C" w:rsidRDefault="0043650C" w:rsidP="0043650C">
      <w:pPr>
        <w:pStyle w:val="ListParagraph"/>
        <w:numPr>
          <w:ilvl w:val="0"/>
          <w:numId w:val="1"/>
        </w:numPr>
        <w:tabs>
          <w:tab w:val="left" w:pos="1134"/>
        </w:tabs>
        <w:spacing w:line="276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Įsigyjančiosios organizacijos pasirinktas pirkimo būdas yra teisėtas.</w:t>
      </w:r>
    </w:p>
    <w:p w:rsidR="0043650C" w:rsidRDefault="0043650C" w:rsidP="0043650C">
      <w:pPr>
        <w:pStyle w:val="ListParagraph"/>
        <w:numPr>
          <w:ilvl w:val="0"/>
          <w:numId w:val="1"/>
        </w:numPr>
        <w:tabs>
          <w:tab w:val="left" w:pos="1134"/>
        </w:tabs>
        <w:spacing w:line="276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Įsigyjančioji organizacija </w:t>
      </w:r>
      <w:r w:rsidR="006D12A5">
        <w:rPr>
          <w:sz w:val="24"/>
          <w:szCs w:val="24"/>
        </w:rPr>
        <w:t xml:space="preserve">2014-11-10 </w:t>
      </w:r>
      <w:proofErr w:type="gramStart"/>
      <w:r>
        <w:rPr>
          <w:sz w:val="24"/>
          <w:szCs w:val="24"/>
        </w:rPr>
        <w:t>gavo</w:t>
      </w:r>
      <w:proofErr w:type="gramEnd"/>
      <w:r>
        <w:rPr>
          <w:sz w:val="24"/>
          <w:szCs w:val="24"/>
        </w:rPr>
        <w:t xml:space="preserve"> ūkininko P.Z. (toliau – Tiekėjas) pasiūlymą, kuriuo Tiekėjas siūlo 90 kietmetrių malkinės medienos (beržo) su pristatymu į reikiamą katilinę. Įsigyjančiosios organizacijos direktorius</w:t>
      </w:r>
      <w:r w:rsidR="001852B9">
        <w:rPr>
          <w:sz w:val="24"/>
          <w:szCs w:val="24"/>
        </w:rPr>
        <w:t xml:space="preserve"> 2014-11-10 perdavė pasiūlymą svarstyti Viešųjų pirkimų komisijai</w:t>
      </w:r>
      <w:r w:rsidR="00565540">
        <w:rPr>
          <w:sz w:val="24"/>
          <w:szCs w:val="24"/>
        </w:rPr>
        <w:t xml:space="preserve"> (toliau – Komisija), tačiau Komisijai </w:t>
      </w:r>
      <w:r w:rsidR="00F351EB">
        <w:rPr>
          <w:sz w:val="24"/>
          <w:szCs w:val="24"/>
        </w:rPr>
        <w:t xml:space="preserve">nebuvo </w:t>
      </w:r>
      <w:r w:rsidR="00565540">
        <w:rPr>
          <w:sz w:val="24"/>
          <w:szCs w:val="24"/>
        </w:rPr>
        <w:t>nustatyt</w:t>
      </w:r>
      <w:r w:rsidR="00F351EB">
        <w:rPr>
          <w:sz w:val="24"/>
          <w:szCs w:val="24"/>
        </w:rPr>
        <w:t>a</w:t>
      </w:r>
      <w:r w:rsidR="00565540">
        <w:rPr>
          <w:sz w:val="24"/>
          <w:szCs w:val="24"/>
        </w:rPr>
        <w:t xml:space="preserve"> užduotis</w:t>
      </w:r>
      <w:r w:rsidR="00C10DE3">
        <w:rPr>
          <w:sz w:val="24"/>
          <w:szCs w:val="24"/>
        </w:rPr>
        <w:t xml:space="preserve">, </w:t>
      </w:r>
      <w:r w:rsidR="00F351EB">
        <w:rPr>
          <w:sz w:val="24"/>
          <w:szCs w:val="24"/>
        </w:rPr>
        <w:t>kaip reikalauja</w:t>
      </w:r>
      <w:r w:rsidR="00C10DE3">
        <w:rPr>
          <w:sz w:val="24"/>
          <w:szCs w:val="24"/>
        </w:rPr>
        <w:t xml:space="preserve"> Taisyklių 18 punkto nuostat</w:t>
      </w:r>
      <w:r w:rsidR="00F351EB">
        <w:rPr>
          <w:sz w:val="24"/>
          <w:szCs w:val="24"/>
        </w:rPr>
        <w:t>o</w:t>
      </w:r>
      <w:r w:rsidR="00C10DE3">
        <w:rPr>
          <w:sz w:val="24"/>
          <w:szCs w:val="24"/>
        </w:rPr>
        <w:t xml:space="preserve">s, </w:t>
      </w:r>
      <w:r w:rsidR="00565540">
        <w:rPr>
          <w:sz w:val="24"/>
          <w:szCs w:val="24"/>
        </w:rPr>
        <w:t>t</w:t>
      </w:r>
      <w:r w:rsidR="00F351EB">
        <w:rPr>
          <w:sz w:val="24"/>
          <w:szCs w:val="24"/>
        </w:rPr>
        <w:t>uo Įsigyjančioji organizacija</w:t>
      </w:r>
      <w:r w:rsidR="00565540">
        <w:rPr>
          <w:sz w:val="24"/>
          <w:szCs w:val="24"/>
        </w:rPr>
        <w:t xml:space="preserve"> pažei</w:t>
      </w:r>
      <w:r w:rsidR="00F351EB">
        <w:rPr>
          <w:sz w:val="24"/>
          <w:szCs w:val="24"/>
        </w:rPr>
        <w:t>dė</w:t>
      </w:r>
      <w:r w:rsidR="00565540">
        <w:rPr>
          <w:sz w:val="24"/>
          <w:szCs w:val="24"/>
        </w:rPr>
        <w:t xml:space="preserve"> Taisyklių 14 punkt</w:t>
      </w:r>
      <w:r w:rsidR="00F351EB">
        <w:rPr>
          <w:sz w:val="24"/>
          <w:szCs w:val="24"/>
        </w:rPr>
        <w:t>ą</w:t>
      </w:r>
      <w:r w:rsidR="00565540">
        <w:rPr>
          <w:sz w:val="24"/>
          <w:szCs w:val="24"/>
        </w:rPr>
        <w:t>, kuriame nustatyta, kad Komisija vykdo tik organizacijos rašytines užduotis.</w:t>
      </w:r>
      <w:r w:rsidR="006D12A5">
        <w:rPr>
          <w:sz w:val="24"/>
          <w:szCs w:val="24"/>
        </w:rPr>
        <w:t xml:space="preserve"> Be to, </w:t>
      </w:r>
      <w:r w:rsidR="006D12A5" w:rsidRPr="00CB0A27">
        <w:rPr>
          <w:sz w:val="24"/>
          <w:szCs w:val="24"/>
        </w:rPr>
        <w:t xml:space="preserve">Tarnyba </w:t>
      </w:r>
      <w:r w:rsidR="00921D57">
        <w:rPr>
          <w:sz w:val="24"/>
          <w:szCs w:val="24"/>
        </w:rPr>
        <w:t>atkreipia dėmesį</w:t>
      </w:r>
      <w:r w:rsidR="006D12A5" w:rsidRPr="00CB0A27">
        <w:rPr>
          <w:sz w:val="24"/>
          <w:szCs w:val="24"/>
        </w:rPr>
        <w:t xml:space="preserve">, kad pirkimai atliekami </w:t>
      </w:r>
      <w:r w:rsidR="006D12A5">
        <w:rPr>
          <w:sz w:val="24"/>
          <w:szCs w:val="24"/>
        </w:rPr>
        <w:t xml:space="preserve">pagal Taisykles </w:t>
      </w:r>
      <w:r w:rsidR="006D12A5" w:rsidRPr="00CB0A27">
        <w:rPr>
          <w:sz w:val="24"/>
          <w:szCs w:val="24"/>
        </w:rPr>
        <w:t xml:space="preserve">nėra viešieji pirkimai, atitinkamai jie nereglamentuojami pagal Įstatymo nuostatas, o atliekami pagal Taisykles, todėl </w:t>
      </w:r>
      <w:r w:rsidR="006D12A5">
        <w:rPr>
          <w:sz w:val="24"/>
          <w:szCs w:val="24"/>
        </w:rPr>
        <w:t xml:space="preserve">jiems atlikti </w:t>
      </w:r>
      <w:r w:rsidR="006D12A5" w:rsidRPr="00CB0A27">
        <w:rPr>
          <w:sz w:val="24"/>
          <w:szCs w:val="24"/>
        </w:rPr>
        <w:t>turi būti sudaryta arba atskira komisija pagal Taisykl</w:t>
      </w:r>
      <w:r w:rsidR="00921D57">
        <w:rPr>
          <w:sz w:val="24"/>
          <w:szCs w:val="24"/>
        </w:rPr>
        <w:t>ių 11 punkte</w:t>
      </w:r>
      <w:r w:rsidR="006D12A5" w:rsidRPr="00CB0A27">
        <w:rPr>
          <w:sz w:val="24"/>
          <w:szCs w:val="24"/>
        </w:rPr>
        <w:t xml:space="preserve"> nustatytą tvarką, arba Viešųjų pirkimų komisijai turi būti suteikti įgaliojimai atlikti pirkimus, kurių vykdymo tvarką reglamentuoja Taisyklės.</w:t>
      </w:r>
    </w:p>
    <w:p w:rsidR="00565540" w:rsidRDefault="00565540" w:rsidP="0043650C">
      <w:pPr>
        <w:pStyle w:val="ListParagraph"/>
        <w:numPr>
          <w:ilvl w:val="0"/>
          <w:numId w:val="1"/>
        </w:numPr>
        <w:tabs>
          <w:tab w:val="left" w:pos="1134"/>
        </w:tabs>
        <w:spacing w:line="276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Komisija 2014-11-10 posėdyje nusprendė malkinę medieną pirkti neskelbiamų derybų būdu iš vieno tiekėjo, tačiau</w:t>
      </w:r>
      <w:r w:rsidR="00C81025">
        <w:rPr>
          <w:sz w:val="24"/>
          <w:szCs w:val="24"/>
        </w:rPr>
        <w:t xml:space="preserve"> nenustatė </w:t>
      </w:r>
      <w:r w:rsidR="00921D57">
        <w:rPr>
          <w:sz w:val="24"/>
          <w:szCs w:val="24"/>
        </w:rPr>
        <w:t xml:space="preserve">tiekėjui </w:t>
      </w:r>
      <w:r w:rsidR="00C81025">
        <w:rPr>
          <w:sz w:val="24"/>
          <w:szCs w:val="24"/>
        </w:rPr>
        <w:t>kvalifikacinių reikalavimų ir jų tikrinimo tvarkos (</w:t>
      </w:r>
      <w:proofErr w:type="gramStart"/>
      <w:r w:rsidR="00C81025">
        <w:rPr>
          <w:sz w:val="24"/>
          <w:szCs w:val="24"/>
        </w:rPr>
        <w:t>Taisyklių</w:t>
      </w:r>
      <w:proofErr w:type="gramEnd"/>
      <w:r w:rsidR="00C81025">
        <w:rPr>
          <w:sz w:val="24"/>
          <w:szCs w:val="24"/>
        </w:rPr>
        <w:t xml:space="preserve"> 19.2 punktas) bei neparengė ir nepatvirtino pirkimo dok</w:t>
      </w:r>
      <w:r w:rsidR="00CA3052">
        <w:rPr>
          <w:sz w:val="24"/>
          <w:szCs w:val="24"/>
        </w:rPr>
        <w:t xml:space="preserve">umentų (Taisyklių 19.3 punktas). </w:t>
      </w:r>
      <w:r w:rsidR="00CA3052">
        <w:rPr>
          <w:sz w:val="24"/>
          <w:szCs w:val="24"/>
        </w:rPr>
        <w:lastRenderedPageBreak/>
        <w:t>Neparengdama ir nepatvirtindama pirkimo dokumentų, Komisija neužtikrino Taisyklių 62 punkto įgyvendinimo.</w:t>
      </w:r>
    </w:p>
    <w:p w:rsidR="003F46BD" w:rsidRDefault="00CA3052" w:rsidP="003F46BD">
      <w:pPr>
        <w:pStyle w:val="ListParagraph"/>
        <w:numPr>
          <w:ilvl w:val="0"/>
          <w:numId w:val="1"/>
        </w:numPr>
        <w:tabs>
          <w:tab w:val="left" w:pos="1134"/>
        </w:tabs>
        <w:spacing w:line="276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Įsigyjančiosios organizacijos 2014-11-10 Kvietimas derėtis parengtas nesivadovaujant Taisyklių 37 punkto nuostatomis. Kvietime nenurodytas derybų objektas, nenurodyti pasiūlymo aspektai, dėl kurių bus deramasi</w:t>
      </w:r>
      <w:r w:rsidR="003F46BD">
        <w:rPr>
          <w:sz w:val="24"/>
          <w:szCs w:val="24"/>
        </w:rPr>
        <w:t>, derybų etapai ir jų vykdymo tvarka.</w:t>
      </w:r>
    </w:p>
    <w:p w:rsidR="00D056F0" w:rsidRDefault="00D056F0" w:rsidP="003F46BD">
      <w:pPr>
        <w:pStyle w:val="ListParagraph"/>
        <w:numPr>
          <w:ilvl w:val="0"/>
          <w:numId w:val="1"/>
        </w:numPr>
        <w:tabs>
          <w:tab w:val="left" w:pos="1134"/>
        </w:tabs>
        <w:spacing w:line="276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2014-11-14 posėdyje Komisija nutarė pirkti malkinę medieną iš Tiekėjo, tačiau raštu nepranešė iki kurio laiko Tiekėjas turi atvykti pasirašyti sutarties, taip pažeidė Taisyklių 119 punktą ir neužtikrino 120 punkto nuostatų įgyvendinimo.</w:t>
      </w:r>
    </w:p>
    <w:p w:rsidR="00E71689" w:rsidRDefault="00F14DCE" w:rsidP="003F46BD">
      <w:pPr>
        <w:pStyle w:val="ListParagraph"/>
        <w:numPr>
          <w:ilvl w:val="0"/>
          <w:numId w:val="1"/>
        </w:numPr>
        <w:tabs>
          <w:tab w:val="left" w:pos="1134"/>
        </w:tabs>
        <w:spacing w:line="276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Įsigyjančioji organizacija, sutartyje pakeisdama pasiūlymo turinį, t.y. nurodydama, kad įsigys ne tik beržo malkinę medieną, pažeidė </w:t>
      </w:r>
      <w:proofErr w:type="gramStart"/>
      <w:r>
        <w:rPr>
          <w:sz w:val="24"/>
          <w:szCs w:val="24"/>
        </w:rPr>
        <w:t>Taisyklių</w:t>
      </w:r>
      <w:proofErr w:type="gramEnd"/>
      <w:r>
        <w:rPr>
          <w:sz w:val="24"/>
          <w:szCs w:val="24"/>
        </w:rPr>
        <w:t xml:space="preserve"> 121 punkto nuostatas, nes Tiekėjas pasiūlyme siūlė įsigyti malkinę medieną (beržą), derybų metu Komisija nutarė „pirkti iš Tiekėjo malkinę medieną (beržas) &lt;...&gt;“ (2014-11-14 Komisijos pasitarimo protokolas), tačiau sutartyje nurodoma, kad perkama „malkinė mediena; mediena, išskyrus drebulę, ne storesnė kaip 400 mm“.</w:t>
      </w:r>
    </w:p>
    <w:p w:rsidR="00F81705" w:rsidRDefault="004816D2" w:rsidP="003F46BD">
      <w:pPr>
        <w:pStyle w:val="ListParagraph"/>
        <w:numPr>
          <w:ilvl w:val="0"/>
          <w:numId w:val="1"/>
        </w:numPr>
        <w:tabs>
          <w:tab w:val="left" w:pos="1134"/>
        </w:tabs>
        <w:spacing w:line="276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2014-11-21 pasirašytoje Kurui skirtos medienos pirkimo – pardavimo sutartyje nurodyta, kad perkama 90 ktm medienos, taip pažeistas </w:t>
      </w:r>
      <w:proofErr w:type="gramStart"/>
      <w:r>
        <w:rPr>
          <w:sz w:val="24"/>
          <w:szCs w:val="24"/>
        </w:rPr>
        <w:t>Taisyklių</w:t>
      </w:r>
      <w:proofErr w:type="gramEnd"/>
      <w:r>
        <w:rPr>
          <w:sz w:val="24"/>
          <w:szCs w:val="24"/>
        </w:rPr>
        <w:t xml:space="preserve"> 127 punktas, kuris įpareigoja įsigyjančiąsias organizacijas biokuro produktus įsigyti energetiniais matavimo vienetais (tne).</w:t>
      </w:r>
    </w:p>
    <w:p w:rsidR="00857B41" w:rsidRDefault="00857B41" w:rsidP="003F46BD">
      <w:pPr>
        <w:pStyle w:val="ListParagraph"/>
        <w:numPr>
          <w:ilvl w:val="0"/>
          <w:numId w:val="1"/>
        </w:numPr>
        <w:tabs>
          <w:tab w:val="left" w:pos="1134"/>
        </w:tabs>
        <w:spacing w:line="276" w:lineRule="auto"/>
        <w:ind w:left="0" w:firstLine="851"/>
        <w:jc w:val="both"/>
        <w:rPr>
          <w:sz w:val="24"/>
          <w:szCs w:val="24"/>
        </w:rPr>
      </w:pPr>
      <w:r w:rsidRPr="00CB0A27">
        <w:rPr>
          <w:sz w:val="24"/>
          <w:szCs w:val="24"/>
        </w:rPr>
        <w:t xml:space="preserve">Įsigyjančioji organizacija Pirkimą vykdė nesivadovaudama ir pažeisdama </w:t>
      </w:r>
      <w:proofErr w:type="gramStart"/>
      <w:r w:rsidRPr="00CB0A27">
        <w:rPr>
          <w:sz w:val="24"/>
          <w:szCs w:val="24"/>
        </w:rPr>
        <w:t>Taisyklių</w:t>
      </w:r>
      <w:proofErr w:type="gramEnd"/>
      <w:r>
        <w:rPr>
          <w:sz w:val="24"/>
          <w:szCs w:val="24"/>
        </w:rPr>
        <w:t xml:space="preserve"> </w:t>
      </w:r>
      <w:r w:rsidRPr="00850D5E">
        <w:rPr>
          <w:sz w:val="24"/>
          <w:szCs w:val="24"/>
        </w:rPr>
        <w:t xml:space="preserve">21.2 punkto nuostatas, nes Įsigyjančioji organizacija į biržos operatorių kreipėsi </w:t>
      </w:r>
      <w:r w:rsidR="000C6BC4">
        <w:rPr>
          <w:sz w:val="24"/>
          <w:szCs w:val="24"/>
        </w:rPr>
        <w:t>tik 2015-02-20</w:t>
      </w:r>
      <w:r>
        <w:rPr>
          <w:sz w:val="24"/>
          <w:szCs w:val="24"/>
        </w:rPr>
        <w:t xml:space="preserve">, nors </w:t>
      </w:r>
      <w:r w:rsidRPr="00850D5E">
        <w:rPr>
          <w:sz w:val="24"/>
          <w:szCs w:val="24"/>
        </w:rPr>
        <w:t>Taisyklių 21.2 punkt</w:t>
      </w:r>
      <w:r>
        <w:rPr>
          <w:sz w:val="24"/>
          <w:szCs w:val="24"/>
        </w:rPr>
        <w:t xml:space="preserve">e numatyta, kad </w:t>
      </w:r>
      <w:r w:rsidRPr="00850D5E">
        <w:rPr>
          <w:sz w:val="24"/>
          <w:szCs w:val="24"/>
        </w:rPr>
        <w:t xml:space="preserve">prieš sudarant sutartį su vienu iš Taisyklių 20.2-20.4 papunkčiuose nurodytu būdu įvykdyto energijos išteklių </w:t>
      </w:r>
      <w:r w:rsidRPr="00D14042">
        <w:rPr>
          <w:sz w:val="24"/>
          <w:szCs w:val="24"/>
          <w:u w:val="single"/>
        </w:rPr>
        <w:t>pirkimo laimėtoju</w:t>
      </w:r>
      <w:r w:rsidRPr="00850D5E">
        <w:rPr>
          <w:sz w:val="24"/>
          <w:szCs w:val="24"/>
        </w:rPr>
        <w:t>, Įsigyjančioji organizacija turi kreiptis į biržos operatorių ir gauti rašytinį jo patvirtinimą, kad biržoje neprekiaujama tos rūšies energijos ištekliais.</w:t>
      </w:r>
    </w:p>
    <w:p w:rsidR="008A6E4D" w:rsidRDefault="00D30CB8" w:rsidP="008A6E4D">
      <w:pPr>
        <w:pStyle w:val="ListParagraph"/>
        <w:tabs>
          <w:tab w:val="left" w:pos="1134"/>
        </w:tabs>
        <w:spacing w:line="276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Atsižvelgiant į tai, kad sutarties galiojimas yra pasibaigęs, </w:t>
      </w:r>
      <w:r w:rsidR="008A6E4D">
        <w:rPr>
          <w:sz w:val="24"/>
          <w:szCs w:val="24"/>
        </w:rPr>
        <w:t xml:space="preserve">Tarnyba pažymi, kad, vadovaujantis Taisyklių 146 punktu, Įsigyjančiosios organizacijos padaryti </w:t>
      </w:r>
      <w:r w:rsidR="00B82B4A">
        <w:rPr>
          <w:sz w:val="24"/>
          <w:szCs w:val="24"/>
        </w:rPr>
        <w:t xml:space="preserve">Taisyklių 119, 121 ir 127 punktų nuostatų pažeidimai yra </w:t>
      </w:r>
      <w:r w:rsidR="00C10DE3">
        <w:rPr>
          <w:sz w:val="24"/>
          <w:szCs w:val="24"/>
        </w:rPr>
        <w:t>laikomi esminiais Taisyklių pažeidimais ir gali būti laikomi reguliuojamos veiklos energetikos sektoriuje pažeidimais, už kuriuos energetikos įmonė atsako Lietuvos Respublikos energetikos įstatymo nustatyta tvarka ir sąlygomis.</w:t>
      </w:r>
    </w:p>
    <w:p w:rsidR="00F33C72" w:rsidRDefault="00F33C72" w:rsidP="00F33C72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F33C72" w:rsidRDefault="00F33C72" w:rsidP="00F33C72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F33C72" w:rsidRDefault="00F33C72" w:rsidP="00F33C72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F33C72" w:rsidRDefault="00F33C72" w:rsidP="00C10DE3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F33C72" w:rsidRDefault="00C10DE3" w:rsidP="00062208">
      <w:pPr>
        <w:tabs>
          <w:tab w:val="left" w:pos="90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Kontrolės skyriaus vyriausioji specialistė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Jurgita Valeikienė</w:t>
      </w:r>
    </w:p>
    <w:p w:rsidR="00F33C72" w:rsidRDefault="00F33C72" w:rsidP="00062208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F33C72" w:rsidRDefault="00F33C72" w:rsidP="00F33C72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F33C72" w:rsidRDefault="00F33C72" w:rsidP="00B27899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F33C72" w:rsidRDefault="00F33C72" w:rsidP="00B27899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062208" w:rsidRDefault="00062208" w:rsidP="00B27899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062208" w:rsidRDefault="00062208" w:rsidP="00B27899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062208" w:rsidRDefault="00062208" w:rsidP="00B27899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C10DE3" w:rsidRDefault="00C10DE3" w:rsidP="00B27899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C10DE3" w:rsidRDefault="00C10DE3" w:rsidP="00B27899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C10DE3" w:rsidRDefault="00C10DE3" w:rsidP="00B27899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C10DE3" w:rsidRDefault="00C10DE3" w:rsidP="00B27899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C10DE3" w:rsidRDefault="00C10DE3" w:rsidP="00B27899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F33C72" w:rsidRPr="00062208" w:rsidRDefault="00B27899" w:rsidP="00B27899">
      <w:pPr>
        <w:tabs>
          <w:tab w:val="left" w:pos="90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J. </w:t>
      </w:r>
      <w:proofErr w:type="spellStart"/>
      <w:r>
        <w:rPr>
          <w:bCs/>
          <w:sz w:val="24"/>
          <w:szCs w:val="24"/>
        </w:rPr>
        <w:t>Valeikienė</w:t>
      </w:r>
      <w:proofErr w:type="spellEnd"/>
      <w:r>
        <w:rPr>
          <w:bCs/>
          <w:sz w:val="24"/>
          <w:szCs w:val="24"/>
        </w:rPr>
        <w:t>, tel. (8 5) 203 4835, el. p. Jurgita.Valeikiene@vpt.lt</w:t>
      </w:r>
    </w:p>
    <w:sectPr w:rsidR="00F33C72" w:rsidRPr="00062208" w:rsidSect="008A6E4D">
      <w:footerReference w:type="default" r:id="rId9"/>
      <w:pgSz w:w="11906" w:h="16838"/>
      <w:pgMar w:top="1440" w:right="566" w:bottom="1440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416" w:rsidRDefault="00357416" w:rsidP="00F33C72">
      <w:r>
        <w:separator/>
      </w:r>
    </w:p>
  </w:endnote>
  <w:endnote w:type="continuationSeparator" w:id="0">
    <w:p w:rsidR="00357416" w:rsidRDefault="00357416" w:rsidP="00F33C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G Times">
    <w:panose1 w:val="02020603050405020304"/>
    <w:charset w:val="BA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</w:tblBorders>
      <w:tblLook w:val="04A0"/>
    </w:tblPr>
    <w:tblGrid>
      <w:gridCol w:w="3285"/>
      <w:gridCol w:w="3285"/>
      <w:gridCol w:w="3285"/>
    </w:tblGrid>
    <w:tr w:rsidR="00857B41" w:rsidRPr="008F10BE" w:rsidTr="00F33C72">
      <w:tc>
        <w:tcPr>
          <w:tcW w:w="3284" w:type="dxa"/>
        </w:tcPr>
        <w:p w:rsidR="00857B41" w:rsidRPr="008F10BE" w:rsidRDefault="00857B41" w:rsidP="00730746">
          <w:pPr>
            <w:pStyle w:val="Footer"/>
          </w:pPr>
          <w:r w:rsidRPr="008F10BE">
            <w:t>Biudžetinė įstaiga</w:t>
          </w:r>
        </w:p>
        <w:p w:rsidR="00857B41" w:rsidRPr="008F10BE" w:rsidRDefault="00857B41" w:rsidP="00730746">
          <w:pPr>
            <w:pStyle w:val="Footer"/>
          </w:pPr>
          <w:r w:rsidRPr="008F10BE">
            <w:t>Kareivių g. 1, 08221 Vilnius</w:t>
          </w:r>
        </w:p>
        <w:p w:rsidR="00857B41" w:rsidRPr="008F10BE" w:rsidRDefault="00857B41" w:rsidP="00730746">
          <w:pPr>
            <w:pStyle w:val="Footer"/>
          </w:pPr>
          <w:r w:rsidRPr="008F10BE">
            <w:t>http://www.vpt.lt</w:t>
          </w:r>
        </w:p>
      </w:tc>
      <w:tc>
        <w:tcPr>
          <w:tcW w:w="3285" w:type="dxa"/>
        </w:tcPr>
        <w:p w:rsidR="00857B41" w:rsidRPr="008F10BE" w:rsidRDefault="00857B41" w:rsidP="00730746">
          <w:pPr>
            <w:pStyle w:val="Footer"/>
          </w:pPr>
          <w:r w:rsidRPr="008F10BE">
            <w:t>Tel. (8 5) 219 7001</w:t>
          </w:r>
        </w:p>
        <w:p w:rsidR="00857B41" w:rsidRPr="008F10BE" w:rsidRDefault="00857B41" w:rsidP="00730746">
          <w:pPr>
            <w:pStyle w:val="Footer"/>
          </w:pPr>
          <w:r w:rsidRPr="008F10BE">
            <w:t>Faks. (8 5) 213 6213</w:t>
          </w:r>
        </w:p>
        <w:p w:rsidR="00857B41" w:rsidRPr="008F10BE" w:rsidRDefault="00857B41" w:rsidP="00730746">
          <w:pPr>
            <w:pStyle w:val="Footer"/>
          </w:pPr>
          <w:r w:rsidRPr="008F10BE">
            <w:t>El. p. info@vpt.lt</w:t>
          </w:r>
        </w:p>
      </w:tc>
      <w:tc>
        <w:tcPr>
          <w:tcW w:w="3285" w:type="dxa"/>
        </w:tcPr>
        <w:p w:rsidR="00857B41" w:rsidRPr="008F10BE" w:rsidRDefault="00857B41" w:rsidP="00730746">
          <w:pPr>
            <w:pStyle w:val="Footer"/>
          </w:pPr>
          <w:r w:rsidRPr="008F10BE">
            <w:t>Duomenys kaupiami ir saugomi</w:t>
          </w:r>
        </w:p>
        <w:p w:rsidR="00857B41" w:rsidRPr="008F10BE" w:rsidRDefault="00857B41" w:rsidP="00730746">
          <w:pPr>
            <w:pStyle w:val="Footer"/>
          </w:pPr>
          <w:r w:rsidRPr="008F10BE">
            <w:t>Juridinių asmenų registre</w:t>
          </w:r>
        </w:p>
        <w:p w:rsidR="00857B41" w:rsidRPr="008F10BE" w:rsidRDefault="00857B41" w:rsidP="00730746">
          <w:pPr>
            <w:pStyle w:val="Footer"/>
          </w:pPr>
          <w:r w:rsidRPr="008F10BE">
            <w:t>Kodas 188656261</w:t>
          </w:r>
        </w:p>
      </w:tc>
    </w:tr>
  </w:tbl>
  <w:p w:rsidR="00857B41" w:rsidRPr="008F10BE" w:rsidRDefault="00857B41" w:rsidP="00F33C72">
    <w:pPr>
      <w:pStyle w:val="Footer"/>
    </w:pPr>
  </w:p>
  <w:p w:rsidR="00857B41" w:rsidRDefault="00857B4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416" w:rsidRDefault="00357416" w:rsidP="00F33C72">
      <w:r>
        <w:separator/>
      </w:r>
    </w:p>
  </w:footnote>
  <w:footnote w:type="continuationSeparator" w:id="0">
    <w:p w:rsidR="00357416" w:rsidRDefault="00357416" w:rsidP="00F33C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A06217"/>
    <w:multiLevelType w:val="hybridMultilevel"/>
    <w:tmpl w:val="B5F037A4"/>
    <w:lvl w:ilvl="0" w:tplc="7AA2FF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proofState w:spelling="clean" w:grammar="clean"/>
  <w:defaultTabStop w:val="1296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3C72"/>
    <w:rsid w:val="0000135A"/>
    <w:rsid w:val="00022EDA"/>
    <w:rsid w:val="00062208"/>
    <w:rsid w:val="000C6BC4"/>
    <w:rsid w:val="00103C05"/>
    <w:rsid w:val="001852B9"/>
    <w:rsid w:val="0022474F"/>
    <w:rsid w:val="00225BAB"/>
    <w:rsid w:val="002B5E40"/>
    <w:rsid w:val="00357416"/>
    <w:rsid w:val="00390F12"/>
    <w:rsid w:val="003F46BD"/>
    <w:rsid w:val="0043650C"/>
    <w:rsid w:val="00451BC0"/>
    <w:rsid w:val="004816D2"/>
    <w:rsid w:val="00565540"/>
    <w:rsid w:val="006D12A5"/>
    <w:rsid w:val="006F5BE4"/>
    <w:rsid w:val="00730746"/>
    <w:rsid w:val="00780B28"/>
    <w:rsid w:val="007C0B8D"/>
    <w:rsid w:val="00857B41"/>
    <w:rsid w:val="008A6E4D"/>
    <w:rsid w:val="008C6EAB"/>
    <w:rsid w:val="008D4CAA"/>
    <w:rsid w:val="00921D57"/>
    <w:rsid w:val="009C7907"/>
    <w:rsid w:val="00A00913"/>
    <w:rsid w:val="00AE39A6"/>
    <w:rsid w:val="00B26EDA"/>
    <w:rsid w:val="00B27899"/>
    <w:rsid w:val="00B30A5D"/>
    <w:rsid w:val="00B5539A"/>
    <w:rsid w:val="00B82B4A"/>
    <w:rsid w:val="00BA32B2"/>
    <w:rsid w:val="00C04000"/>
    <w:rsid w:val="00C10DE3"/>
    <w:rsid w:val="00C547BA"/>
    <w:rsid w:val="00C6021C"/>
    <w:rsid w:val="00C81025"/>
    <w:rsid w:val="00CA3052"/>
    <w:rsid w:val="00CA4B6B"/>
    <w:rsid w:val="00D056F0"/>
    <w:rsid w:val="00D30CB8"/>
    <w:rsid w:val="00D50EBD"/>
    <w:rsid w:val="00E71689"/>
    <w:rsid w:val="00EF5298"/>
    <w:rsid w:val="00F14DCE"/>
    <w:rsid w:val="00F33C72"/>
    <w:rsid w:val="00F351EB"/>
    <w:rsid w:val="00F81705"/>
    <w:rsid w:val="00F834D7"/>
    <w:rsid w:val="00FB6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C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33C72"/>
    <w:pPr>
      <w:keepNext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3C72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F33C7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3C7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F33C7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3C7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E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ED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650C"/>
    <w:pPr>
      <w:ind w:left="720"/>
      <w:contextualSpacing/>
    </w:pPr>
  </w:style>
  <w:style w:type="character" w:styleId="Strong">
    <w:name w:val="Strong"/>
    <w:basedOn w:val="DefaultParagraphFont"/>
    <w:qFormat/>
    <w:rsid w:val="004365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2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3235</Words>
  <Characters>1844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JValeikiene</dc:creator>
  <cp:lastModifiedBy>JValeikiene</cp:lastModifiedBy>
  <cp:revision>4</cp:revision>
  <cp:lastPrinted>2015-03-02T06:36:00Z</cp:lastPrinted>
  <dcterms:created xsi:type="dcterms:W3CDTF">2015-03-18T06:47:00Z</dcterms:created>
  <dcterms:modified xsi:type="dcterms:W3CDTF">2015-03-23T13:23:00Z</dcterms:modified>
</cp:coreProperties>
</file>