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MON_1301915618"/>
    <w:bookmarkEnd w:id="0"/>
    <w:p w:rsidR="00907C82" w:rsidRDefault="00364784" w:rsidP="00907C82">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48.2pt" o:ole="" fillcolor="window">
            <v:imagedata r:id="rId8" o:title=""/>
          </v:shape>
          <o:OLEObject Type="Embed" ProgID="Word.Picture.8" ShapeID="_x0000_i1025" DrawAspect="Content" ObjectID="_1484550266" r:id="rId9"/>
        </w:object>
      </w:r>
    </w:p>
    <w:p w:rsidR="00CD0D68" w:rsidRPr="00907C82" w:rsidRDefault="00CD0D68" w:rsidP="00907C82">
      <w:pPr>
        <w:jc w:val="center"/>
        <w:rPr>
          <w:sz w:val="24"/>
          <w:szCs w:val="24"/>
        </w:rPr>
      </w:pPr>
    </w:p>
    <w:p w:rsidR="00351E8D" w:rsidRDefault="00351E8D" w:rsidP="009310AB">
      <w:pPr>
        <w:pStyle w:val="Heading1"/>
        <w:tabs>
          <w:tab w:val="left" w:pos="900"/>
        </w:tabs>
        <w:jc w:val="center"/>
        <w:rPr>
          <w:sz w:val="24"/>
          <w:szCs w:val="24"/>
        </w:rPr>
      </w:pPr>
      <w:r w:rsidRPr="00907C82">
        <w:rPr>
          <w:sz w:val="24"/>
          <w:szCs w:val="24"/>
        </w:rPr>
        <w:t>VIEŠŲJŲ PIRKIMŲ TARNYBA</w:t>
      </w:r>
    </w:p>
    <w:p w:rsidR="00427FA0" w:rsidRDefault="00427FA0" w:rsidP="00427FA0">
      <w:pPr>
        <w:pStyle w:val="Heading1"/>
        <w:tabs>
          <w:tab w:val="left" w:pos="900"/>
        </w:tabs>
        <w:jc w:val="center"/>
        <w:rPr>
          <w:sz w:val="24"/>
          <w:szCs w:val="24"/>
        </w:rPr>
      </w:pPr>
      <w:r w:rsidRPr="00427FA0">
        <w:rPr>
          <w:sz w:val="24"/>
          <w:szCs w:val="24"/>
        </w:rPr>
        <w:t>KONTROLĖS SKYRIUS</w:t>
      </w:r>
    </w:p>
    <w:p w:rsidR="00427FA0" w:rsidRDefault="00427FA0" w:rsidP="00427FA0"/>
    <w:p w:rsidR="00427FA0" w:rsidRDefault="00427FA0" w:rsidP="00427FA0">
      <w:pPr>
        <w:pStyle w:val="Heading1"/>
        <w:tabs>
          <w:tab w:val="left" w:pos="900"/>
        </w:tabs>
        <w:jc w:val="center"/>
        <w:rPr>
          <w:sz w:val="24"/>
          <w:szCs w:val="24"/>
        </w:rPr>
      </w:pPr>
      <w:r w:rsidRPr="00427FA0">
        <w:rPr>
          <w:sz w:val="24"/>
          <w:szCs w:val="24"/>
        </w:rPr>
        <w:t>VIEŠŲJŲ PIRKIMŲ VERTINIMO IŠVADA</w:t>
      </w:r>
    </w:p>
    <w:p w:rsidR="00B93B07" w:rsidRDefault="00B93B07" w:rsidP="00B93B07"/>
    <w:p w:rsidR="00B93B07" w:rsidRPr="009D5A6D" w:rsidRDefault="00B93B07" w:rsidP="00B93B07">
      <w:pPr>
        <w:pStyle w:val="Default"/>
        <w:rPr>
          <w:lang w:val="lt-LT"/>
        </w:rPr>
      </w:pPr>
    </w:p>
    <w:p w:rsidR="00B93B07" w:rsidRPr="007920ED" w:rsidRDefault="00890AE1" w:rsidP="00B93B07">
      <w:pPr>
        <w:pStyle w:val="Default"/>
        <w:jc w:val="center"/>
        <w:rPr>
          <w:lang w:val="lt-LT"/>
        </w:rPr>
      </w:pPr>
      <w:r>
        <w:rPr>
          <w:lang w:val="lt-LT"/>
        </w:rPr>
        <w:t>201</w:t>
      </w:r>
      <w:r w:rsidR="001C5426">
        <w:rPr>
          <w:lang w:val="lt-LT"/>
        </w:rPr>
        <w:t>5</w:t>
      </w:r>
      <w:r>
        <w:rPr>
          <w:lang w:val="lt-LT"/>
        </w:rPr>
        <w:t xml:space="preserve"> m. </w:t>
      </w:r>
      <w:r w:rsidR="00A72C2E">
        <w:rPr>
          <w:lang w:val="lt-LT"/>
        </w:rPr>
        <w:t>vasario</w:t>
      </w:r>
      <w:r>
        <w:rPr>
          <w:lang w:val="lt-LT"/>
        </w:rPr>
        <w:t xml:space="preserve">  </w:t>
      </w:r>
      <w:r w:rsidR="004951EB">
        <w:rPr>
          <w:lang w:val="lt-LT"/>
        </w:rPr>
        <w:t xml:space="preserve"> </w:t>
      </w:r>
      <w:r>
        <w:rPr>
          <w:lang w:val="lt-LT"/>
        </w:rPr>
        <w:t xml:space="preserve">  d.</w:t>
      </w:r>
      <w:r w:rsidR="00B93B07" w:rsidRPr="007920ED">
        <w:rPr>
          <w:lang w:val="lt-LT"/>
        </w:rPr>
        <w:t xml:space="preserve"> Nr. 4S-______</w:t>
      </w:r>
    </w:p>
    <w:p w:rsidR="00890AE1" w:rsidRDefault="00890AE1" w:rsidP="00360DA5">
      <w:pPr>
        <w:pStyle w:val="Default"/>
        <w:ind w:left="709"/>
        <w:jc w:val="center"/>
        <w:rPr>
          <w:lang w:val="lt-LT"/>
        </w:rPr>
      </w:pPr>
    </w:p>
    <w:p w:rsidR="00992F8E" w:rsidRPr="007920ED" w:rsidRDefault="00992F8E" w:rsidP="00890AE1">
      <w:pPr>
        <w:pStyle w:val="Default"/>
        <w:jc w:val="center"/>
        <w:rPr>
          <w:lang w:val="lt-LT"/>
        </w:rPr>
      </w:pPr>
      <w:r w:rsidRPr="007920ED">
        <w:rPr>
          <w:lang w:val="lt-LT"/>
        </w:rPr>
        <w:t>Vilnius</w:t>
      </w:r>
    </w:p>
    <w:p w:rsidR="004A2A87" w:rsidRDefault="004A2A87" w:rsidP="004A2A87">
      <w:pPr>
        <w:tabs>
          <w:tab w:val="left" w:pos="900"/>
        </w:tabs>
        <w:jc w:val="both"/>
        <w:rPr>
          <w:bCs/>
          <w:sz w:val="24"/>
          <w:szCs w:val="24"/>
        </w:rPr>
      </w:pPr>
    </w:p>
    <w:p w:rsidR="005D5E62" w:rsidRDefault="005D5E62" w:rsidP="004A2A87">
      <w:pPr>
        <w:tabs>
          <w:tab w:val="left" w:pos="900"/>
        </w:tabs>
        <w:jc w:val="both"/>
        <w:rPr>
          <w:bCs/>
          <w:sz w:val="24"/>
          <w:szCs w:val="24"/>
        </w:rPr>
      </w:pPr>
    </w:p>
    <w:p w:rsidR="00907B2A" w:rsidRDefault="00907B2A" w:rsidP="008979FC">
      <w:pPr>
        <w:spacing w:line="276" w:lineRule="auto"/>
        <w:ind w:firstLine="709"/>
        <w:jc w:val="both"/>
        <w:rPr>
          <w:sz w:val="24"/>
          <w:szCs w:val="24"/>
        </w:rPr>
      </w:pPr>
      <w:r w:rsidRPr="00264F8E">
        <w:rPr>
          <w:sz w:val="24"/>
          <w:szCs w:val="24"/>
        </w:rPr>
        <w:t>Viešųjų pirkimų tarnyba</w:t>
      </w:r>
      <w:r w:rsidR="000A6860">
        <w:rPr>
          <w:sz w:val="24"/>
          <w:szCs w:val="24"/>
        </w:rPr>
        <w:t xml:space="preserve"> (toliau – Tarnyba)</w:t>
      </w:r>
      <w:r w:rsidRPr="00264F8E">
        <w:rPr>
          <w:sz w:val="24"/>
          <w:szCs w:val="24"/>
        </w:rPr>
        <w:t xml:space="preserve">, vadovaudamasi Lietuvos Respublikos viešųjų pirkimų įstatymo (toliau – Įstatymas) </w:t>
      </w:r>
      <w:r w:rsidRPr="00264F8E">
        <w:rPr>
          <w:bCs/>
          <w:sz w:val="24"/>
          <w:szCs w:val="24"/>
        </w:rPr>
        <w:t>10 straipsnio 3 dalies 6 punktu „</w:t>
      </w:r>
      <w:r w:rsidRPr="00264F8E">
        <w:rPr>
          <w:sz w:val="24"/>
          <w:szCs w:val="24"/>
        </w:rPr>
        <w:t>Šio įstatymo reikalavimai taip pat netaikomi vandentvarkos, energetikos, transporto ar pašto paslaugų srityje veikiančių perkančiųjų organizacijų pirkimams atliekamiems energetikos srityje veikiančių perkančiųjų organizacijų ir skirtiems energijai ar kurui, reikalingam energijai gaminti, įsigyti. Lietuvos Respublikos Vyriausybė nustato šių pirkimų tvarką, kurios įgyvendinimą ir taikymo kontrolę užtikrina Vyriausybės įgaliota institucija“</w:t>
      </w:r>
      <w:r w:rsidRPr="00264F8E">
        <w:rPr>
          <w:bCs/>
          <w:sz w:val="24"/>
          <w:szCs w:val="24"/>
        </w:rPr>
        <w:t xml:space="preserve"> ir Lietuvos Respublikos Vyriausybės 2006</w:t>
      </w:r>
      <w:r w:rsidR="000A6860">
        <w:rPr>
          <w:bCs/>
          <w:sz w:val="24"/>
          <w:szCs w:val="24"/>
        </w:rPr>
        <w:t>-01-30</w:t>
      </w:r>
      <w:r w:rsidRPr="00264F8E">
        <w:rPr>
          <w:bCs/>
          <w:sz w:val="24"/>
          <w:szCs w:val="24"/>
        </w:rPr>
        <w:t xml:space="preserve"> nutarimo Nr. 92 „Dėl Lietuvos Respublikos viešųjų pirkimų įgyvendinimo“ 1.5 punktu</w:t>
      </w:r>
      <w:r w:rsidRPr="00264F8E">
        <w:rPr>
          <w:sz w:val="24"/>
          <w:szCs w:val="24"/>
        </w:rPr>
        <w:t>, atliko UAB „</w:t>
      </w:r>
      <w:r>
        <w:rPr>
          <w:sz w:val="24"/>
          <w:szCs w:val="24"/>
        </w:rPr>
        <w:t xml:space="preserve">Lazdijų šiluma“ (toliau – </w:t>
      </w:r>
      <w:r w:rsidR="00046F58">
        <w:rPr>
          <w:sz w:val="24"/>
          <w:szCs w:val="24"/>
        </w:rPr>
        <w:t xml:space="preserve">Įsigyjančioji </w:t>
      </w:r>
      <w:r w:rsidRPr="00264F8E">
        <w:rPr>
          <w:sz w:val="24"/>
          <w:szCs w:val="24"/>
        </w:rPr>
        <w:t xml:space="preserve">organizacija) </w:t>
      </w:r>
      <w:r w:rsidR="00C91254">
        <w:rPr>
          <w:sz w:val="24"/>
          <w:szCs w:val="24"/>
        </w:rPr>
        <w:t xml:space="preserve">2014-09-29 </w:t>
      </w:r>
      <w:r w:rsidRPr="00264F8E">
        <w:rPr>
          <w:sz w:val="24"/>
          <w:szCs w:val="24"/>
        </w:rPr>
        <w:t>vykdyt</w:t>
      </w:r>
      <w:r>
        <w:rPr>
          <w:sz w:val="24"/>
          <w:szCs w:val="24"/>
        </w:rPr>
        <w:t>ų neskelbiamų derybų</w:t>
      </w:r>
      <w:r w:rsidRPr="00264F8E">
        <w:rPr>
          <w:sz w:val="24"/>
          <w:szCs w:val="24"/>
        </w:rPr>
        <w:t xml:space="preserve"> </w:t>
      </w:r>
      <w:r w:rsidRPr="00264F8E">
        <w:rPr>
          <w:color w:val="000000"/>
          <w:sz w:val="24"/>
          <w:szCs w:val="24"/>
        </w:rPr>
        <w:t>„</w:t>
      </w:r>
      <w:r>
        <w:rPr>
          <w:color w:val="000000"/>
          <w:sz w:val="24"/>
          <w:szCs w:val="24"/>
        </w:rPr>
        <w:t>Medienos katilinių kurui pirkimas</w:t>
      </w:r>
      <w:r w:rsidRPr="00264F8E">
        <w:rPr>
          <w:color w:val="000000"/>
          <w:sz w:val="24"/>
          <w:szCs w:val="24"/>
        </w:rPr>
        <w:t xml:space="preserve">“ </w:t>
      </w:r>
      <w:r w:rsidRPr="00264F8E">
        <w:rPr>
          <w:sz w:val="24"/>
          <w:szCs w:val="24"/>
        </w:rPr>
        <w:t xml:space="preserve">(toliau – Pirkimas), </w:t>
      </w:r>
      <w:r>
        <w:rPr>
          <w:sz w:val="24"/>
          <w:szCs w:val="24"/>
        </w:rPr>
        <w:t xml:space="preserve">dokumentų ir </w:t>
      </w:r>
      <w:r>
        <w:rPr>
          <w:sz w:val="24"/>
        </w:rPr>
        <w:t>procedūrų vertinimą.</w:t>
      </w:r>
    </w:p>
    <w:p w:rsidR="00907B2A" w:rsidRPr="00264F8E" w:rsidRDefault="00907B2A" w:rsidP="008979FC">
      <w:pPr>
        <w:spacing w:line="276" w:lineRule="auto"/>
        <w:ind w:firstLine="709"/>
        <w:jc w:val="both"/>
        <w:rPr>
          <w:sz w:val="24"/>
          <w:szCs w:val="24"/>
        </w:rPr>
      </w:pPr>
      <w:r w:rsidRPr="00264F8E">
        <w:rPr>
          <w:sz w:val="24"/>
          <w:szCs w:val="24"/>
        </w:rPr>
        <w:t>Pirkimui</w:t>
      </w:r>
      <w:r>
        <w:rPr>
          <w:sz w:val="24"/>
          <w:szCs w:val="24"/>
        </w:rPr>
        <w:t>, atsižvelgiant į jo pradžią,</w:t>
      </w:r>
      <w:r w:rsidRPr="00264F8E">
        <w:rPr>
          <w:sz w:val="24"/>
          <w:szCs w:val="24"/>
        </w:rPr>
        <w:t xml:space="preserve"> taikomos Įmonių, veikiančių energetikos srityje, energijos ar kuro, kurių reikia elektros ir šilumos energijai gaminti, pirkimų </w:t>
      </w:r>
      <w:proofErr w:type="gramStart"/>
      <w:r w:rsidR="00C91254">
        <w:rPr>
          <w:sz w:val="24"/>
          <w:szCs w:val="24"/>
        </w:rPr>
        <w:t>taisyklių</w:t>
      </w:r>
      <w:proofErr w:type="gramEnd"/>
      <w:r w:rsidRPr="00264F8E">
        <w:rPr>
          <w:sz w:val="24"/>
          <w:szCs w:val="24"/>
        </w:rPr>
        <w:t>, patvirtint</w:t>
      </w:r>
      <w:r w:rsidR="00C91254">
        <w:rPr>
          <w:sz w:val="24"/>
          <w:szCs w:val="24"/>
        </w:rPr>
        <w:t>ų</w:t>
      </w:r>
      <w:r w:rsidRPr="00264F8E">
        <w:rPr>
          <w:sz w:val="24"/>
          <w:szCs w:val="24"/>
        </w:rPr>
        <w:t xml:space="preserve"> Lietuvos Respublikos Vyriausybės 20</w:t>
      </w:r>
      <w:r w:rsidR="00C91254">
        <w:rPr>
          <w:sz w:val="24"/>
          <w:szCs w:val="24"/>
        </w:rPr>
        <w:t>14</w:t>
      </w:r>
      <w:r w:rsidR="000A6860">
        <w:rPr>
          <w:sz w:val="24"/>
          <w:szCs w:val="24"/>
        </w:rPr>
        <w:t>-07-</w:t>
      </w:r>
      <w:r w:rsidR="00C91254">
        <w:rPr>
          <w:sz w:val="24"/>
          <w:szCs w:val="24"/>
        </w:rPr>
        <w:t>22</w:t>
      </w:r>
      <w:r w:rsidR="008979FC">
        <w:rPr>
          <w:sz w:val="24"/>
          <w:szCs w:val="24"/>
        </w:rPr>
        <w:t xml:space="preserve"> </w:t>
      </w:r>
      <w:r w:rsidRPr="00264F8E">
        <w:rPr>
          <w:sz w:val="24"/>
          <w:szCs w:val="24"/>
        </w:rPr>
        <w:t xml:space="preserve">nutarimu Nr. </w:t>
      </w:r>
      <w:r w:rsidR="00C91254">
        <w:rPr>
          <w:sz w:val="24"/>
          <w:szCs w:val="24"/>
        </w:rPr>
        <w:t>741</w:t>
      </w:r>
      <w:r>
        <w:rPr>
          <w:sz w:val="24"/>
          <w:szCs w:val="24"/>
        </w:rPr>
        <w:t xml:space="preserve"> (toliau – </w:t>
      </w:r>
      <w:proofErr w:type="gramStart"/>
      <w:r w:rsidR="00C91254">
        <w:rPr>
          <w:sz w:val="24"/>
          <w:szCs w:val="24"/>
        </w:rPr>
        <w:t>Taisyklės</w:t>
      </w:r>
      <w:proofErr w:type="gramEnd"/>
      <w:r w:rsidRPr="0037593D">
        <w:rPr>
          <w:sz w:val="24"/>
          <w:szCs w:val="24"/>
        </w:rPr>
        <w:t xml:space="preserve">) </w:t>
      </w:r>
      <w:r w:rsidRPr="00264F8E">
        <w:rPr>
          <w:sz w:val="24"/>
          <w:szCs w:val="24"/>
        </w:rPr>
        <w:t>nuostatos.</w:t>
      </w:r>
    </w:p>
    <w:p w:rsidR="008979FC" w:rsidRDefault="00907B2A" w:rsidP="008979FC">
      <w:pPr>
        <w:pStyle w:val="ListParagraph"/>
        <w:tabs>
          <w:tab w:val="left" w:pos="993"/>
        </w:tabs>
        <w:spacing w:line="276" w:lineRule="auto"/>
        <w:ind w:left="0" w:firstLine="851"/>
        <w:jc w:val="both"/>
        <w:rPr>
          <w:sz w:val="24"/>
          <w:szCs w:val="24"/>
        </w:rPr>
      </w:pPr>
      <w:r w:rsidRPr="00CB0A27">
        <w:rPr>
          <w:rStyle w:val="Strong"/>
          <w:b w:val="0"/>
          <w:sz w:val="24"/>
          <w:szCs w:val="24"/>
        </w:rPr>
        <w:t xml:space="preserve">Įvertinusi </w:t>
      </w:r>
      <w:r w:rsidR="00046F58" w:rsidRPr="00CB0A27">
        <w:rPr>
          <w:sz w:val="24"/>
          <w:szCs w:val="24"/>
        </w:rPr>
        <w:t>Įsigyjančio</w:t>
      </w:r>
      <w:r w:rsidR="00052C99" w:rsidRPr="00CB0A27">
        <w:rPr>
          <w:sz w:val="24"/>
          <w:szCs w:val="24"/>
        </w:rPr>
        <w:t>sios</w:t>
      </w:r>
      <w:r w:rsidR="00046F58" w:rsidRPr="00CB0A27">
        <w:rPr>
          <w:sz w:val="24"/>
          <w:szCs w:val="24"/>
        </w:rPr>
        <w:t xml:space="preserve"> </w:t>
      </w:r>
      <w:r w:rsidRPr="00CB0A27">
        <w:rPr>
          <w:rStyle w:val="Strong"/>
          <w:b w:val="0"/>
          <w:sz w:val="24"/>
          <w:szCs w:val="24"/>
        </w:rPr>
        <w:t xml:space="preserve">organizacijos pateiktus su Pirkimu susijusius dokumentus, </w:t>
      </w:r>
      <w:r w:rsidRPr="00CB0A27">
        <w:rPr>
          <w:sz w:val="24"/>
          <w:szCs w:val="24"/>
        </w:rPr>
        <w:t>Tarnyba nustatė</w:t>
      </w:r>
      <w:r w:rsidR="008979FC">
        <w:rPr>
          <w:sz w:val="24"/>
          <w:szCs w:val="24"/>
        </w:rPr>
        <w:t>, kad</w:t>
      </w:r>
      <w:r w:rsidRPr="00CB0A27">
        <w:rPr>
          <w:sz w:val="24"/>
          <w:szCs w:val="24"/>
        </w:rPr>
        <w:t>:</w:t>
      </w:r>
    </w:p>
    <w:p w:rsidR="00496109" w:rsidRDefault="00496109" w:rsidP="008979FC">
      <w:pPr>
        <w:pStyle w:val="ListParagraph"/>
        <w:numPr>
          <w:ilvl w:val="0"/>
          <w:numId w:val="15"/>
        </w:numPr>
        <w:tabs>
          <w:tab w:val="left" w:pos="993"/>
        </w:tabs>
        <w:spacing w:line="276" w:lineRule="auto"/>
        <w:ind w:left="0" w:firstLine="709"/>
        <w:jc w:val="both"/>
        <w:rPr>
          <w:sz w:val="24"/>
          <w:szCs w:val="24"/>
        </w:rPr>
      </w:pPr>
      <w:r w:rsidRPr="00CB0A27">
        <w:rPr>
          <w:sz w:val="24"/>
          <w:szCs w:val="24"/>
        </w:rPr>
        <w:t>Pirkimą atliko Įsigyjančiosios organizacijos direktoriaus 2011-04-06 įsakymu Nr. 030-DĮ sudaryta viešųjų pirkimų komisija (toliau – Komisija). Teikdama Tarnybai dokumentus, susijusius su Pirkimu (2014-12-05 raštas Nr. 504-S „Dėl dokumentų pateikimo“)</w:t>
      </w:r>
      <w:r w:rsidR="008979FC">
        <w:rPr>
          <w:sz w:val="24"/>
          <w:szCs w:val="24"/>
        </w:rPr>
        <w:t>,</w:t>
      </w:r>
      <w:r w:rsidRPr="00CB0A27">
        <w:rPr>
          <w:sz w:val="24"/>
          <w:szCs w:val="24"/>
        </w:rPr>
        <w:t xml:space="preserve"> Įsigyjančioji organizacija pateikė direktoriaus 2009-03-25 įsakymą Nr. 023, kuriuo pakeista Viešųjų pirkimų komisijos sudėtis (pakeista 2010-01-06 įsakymu Nr. 002, pakeista 2010-12-27 įsakymu Nr. 074, pakeista 2011-04-06 įsakymu Nr. 030-DĮ), viešųjų pirkimų komisijos darbo reglamentą, patvirtintą Įsigyjančiosios organizacijos direktoriaus 2011-04-06 įsakymu Nr. 030-DĮ. </w:t>
      </w:r>
    </w:p>
    <w:p w:rsidR="00496109" w:rsidRDefault="00496109" w:rsidP="008979FC">
      <w:pPr>
        <w:pStyle w:val="ListParagraph"/>
        <w:tabs>
          <w:tab w:val="left" w:pos="993"/>
        </w:tabs>
        <w:spacing w:line="276" w:lineRule="auto"/>
        <w:ind w:left="0" w:firstLine="709"/>
        <w:jc w:val="both"/>
        <w:rPr>
          <w:sz w:val="24"/>
          <w:szCs w:val="24"/>
        </w:rPr>
      </w:pPr>
      <w:r w:rsidRPr="00CB0A27">
        <w:rPr>
          <w:sz w:val="24"/>
          <w:szCs w:val="24"/>
        </w:rPr>
        <w:t xml:space="preserve">Tarnyba pažymi, kad pirkimai atliekami energetikos srityje nėra viešieji pirkimai, atitinkamai jie nereglamentuojami pagal Įstatymo nuostatas, o atliekami pagal </w:t>
      </w:r>
      <w:proofErr w:type="gramStart"/>
      <w:r w:rsidRPr="00CB0A27">
        <w:rPr>
          <w:sz w:val="24"/>
          <w:szCs w:val="24"/>
        </w:rPr>
        <w:t>Taisykles</w:t>
      </w:r>
      <w:proofErr w:type="gramEnd"/>
      <w:r w:rsidRPr="00CB0A27">
        <w:rPr>
          <w:sz w:val="24"/>
          <w:szCs w:val="24"/>
        </w:rPr>
        <w:t xml:space="preserve">, todėl </w:t>
      </w:r>
      <w:r w:rsidR="008979FC">
        <w:rPr>
          <w:sz w:val="24"/>
          <w:szCs w:val="24"/>
        </w:rPr>
        <w:t xml:space="preserve">jiems atlikti </w:t>
      </w:r>
      <w:r w:rsidRPr="00CB0A27">
        <w:rPr>
          <w:sz w:val="24"/>
          <w:szCs w:val="24"/>
        </w:rPr>
        <w:t>turi būti sudaryta arba atskira komisija pagal Taisyklėse nustatytą tvarką, arba Viešųjų pirkimų komisijai turi būti suteikti įgaliojimai atlikti pirkimus, kurių vykdymo tvarką reglamentuoja Taisyklės.</w:t>
      </w:r>
    </w:p>
    <w:p w:rsidR="00496109" w:rsidRDefault="00496109" w:rsidP="008979FC">
      <w:pPr>
        <w:pStyle w:val="ListParagraph"/>
        <w:tabs>
          <w:tab w:val="left" w:pos="993"/>
        </w:tabs>
        <w:spacing w:line="276" w:lineRule="auto"/>
        <w:ind w:left="0" w:firstLine="709"/>
        <w:jc w:val="both"/>
        <w:rPr>
          <w:sz w:val="24"/>
          <w:szCs w:val="24"/>
        </w:rPr>
      </w:pPr>
      <w:r w:rsidRPr="00CB0A27">
        <w:rPr>
          <w:sz w:val="24"/>
          <w:szCs w:val="24"/>
        </w:rPr>
        <w:t>Atsižvelgdama į išdėstytą, Tarnyb</w:t>
      </w:r>
      <w:r w:rsidR="00A747E8">
        <w:rPr>
          <w:sz w:val="24"/>
          <w:szCs w:val="24"/>
        </w:rPr>
        <w:t>a</w:t>
      </w:r>
      <w:r w:rsidRPr="00CB0A27">
        <w:rPr>
          <w:sz w:val="24"/>
          <w:szCs w:val="24"/>
        </w:rPr>
        <w:t xml:space="preserve"> konstatuoja,</w:t>
      </w:r>
      <w:r w:rsidR="00A747E8">
        <w:rPr>
          <w:sz w:val="24"/>
          <w:szCs w:val="24"/>
        </w:rPr>
        <w:t xml:space="preserve"> kad Įsigyjančioji organizacija</w:t>
      </w:r>
      <w:r w:rsidRPr="00CB0A27">
        <w:rPr>
          <w:sz w:val="24"/>
          <w:szCs w:val="24"/>
        </w:rPr>
        <w:t xml:space="preserve"> nesivadovavo </w:t>
      </w:r>
      <w:proofErr w:type="gramStart"/>
      <w:r w:rsidRPr="00CB0A27">
        <w:rPr>
          <w:sz w:val="24"/>
          <w:szCs w:val="24"/>
        </w:rPr>
        <w:t>Taisyklių</w:t>
      </w:r>
      <w:proofErr w:type="gramEnd"/>
      <w:r w:rsidRPr="00CB0A27">
        <w:rPr>
          <w:sz w:val="24"/>
          <w:szCs w:val="24"/>
        </w:rPr>
        <w:t xml:space="preserve"> II skyriaus „Pirkimų komisija“ nuostatomis ir pažeidė Taisyklių 11 punktą, </w:t>
      </w:r>
      <w:r w:rsidR="00A747E8">
        <w:rPr>
          <w:sz w:val="24"/>
          <w:szCs w:val="24"/>
        </w:rPr>
        <w:t>nes nesudarė pirkimų komisijos P</w:t>
      </w:r>
      <w:r w:rsidRPr="00CB0A27">
        <w:rPr>
          <w:sz w:val="24"/>
          <w:szCs w:val="24"/>
        </w:rPr>
        <w:t xml:space="preserve">irkimui organizuoti ir atlikti. </w:t>
      </w:r>
      <w:r w:rsidR="003F5FF4" w:rsidRPr="00CB0A27">
        <w:rPr>
          <w:sz w:val="24"/>
          <w:szCs w:val="24"/>
        </w:rPr>
        <w:t>Papildomai p</w:t>
      </w:r>
      <w:r w:rsidRPr="00CB0A27">
        <w:rPr>
          <w:sz w:val="24"/>
          <w:szCs w:val="24"/>
        </w:rPr>
        <w:t>ažymėtina, kad Įsigyjančioji organizacija</w:t>
      </w:r>
      <w:r w:rsidR="003F5FF4" w:rsidRPr="00CB0A27">
        <w:rPr>
          <w:sz w:val="24"/>
          <w:szCs w:val="24"/>
        </w:rPr>
        <w:t xml:space="preserve"> nepateikė Tarnybai dokumentų, įrodančių, kad Komisijai buvo suteikti įgaliojimai ar užduotys, atlikti Pirkimą.</w:t>
      </w:r>
    </w:p>
    <w:p w:rsidR="00B8022E" w:rsidRDefault="00907B2A" w:rsidP="008979FC">
      <w:pPr>
        <w:pStyle w:val="ListParagraph"/>
        <w:numPr>
          <w:ilvl w:val="0"/>
          <w:numId w:val="15"/>
        </w:numPr>
        <w:tabs>
          <w:tab w:val="left" w:pos="993"/>
        </w:tabs>
        <w:spacing w:line="276" w:lineRule="auto"/>
        <w:ind w:left="0" w:firstLine="709"/>
        <w:jc w:val="both"/>
        <w:rPr>
          <w:sz w:val="24"/>
          <w:szCs w:val="24"/>
        </w:rPr>
      </w:pPr>
      <w:r w:rsidRPr="00CB0A27">
        <w:rPr>
          <w:sz w:val="24"/>
          <w:szCs w:val="24"/>
        </w:rPr>
        <w:lastRenderedPageBreak/>
        <w:t>Komisija 2014</w:t>
      </w:r>
      <w:r w:rsidR="000A6860" w:rsidRPr="00CB0A27">
        <w:rPr>
          <w:sz w:val="24"/>
          <w:szCs w:val="24"/>
        </w:rPr>
        <w:t>-09-29</w:t>
      </w:r>
      <w:r w:rsidR="00F214E1" w:rsidRPr="00CB0A27">
        <w:rPr>
          <w:sz w:val="24"/>
          <w:szCs w:val="24"/>
        </w:rPr>
        <w:t xml:space="preserve"> posėdyje nutarė P</w:t>
      </w:r>
      <w:r w:rsidRPr="00CB0A27">
        <w:rPr>
          <w:sz w:val="24"/>
          <w:szCs w:val="24"/>
        </w:rPr>
        <w:t xml:space="preserve">irkimą vykdyti neskelbiamų derybų būdu (protokolas Nr. 24), tačiau protokole neužfiksavo </w:t>
      </w:r>
      <w:r w:rsidR="00E45ACE" w:rsidRPr="00CB0A27">
        <w:rPr>
          <w:sz w:val="24"/>
          <w:szCs w:val="24"/>
        </w:rPr>
        <w:t>Pirkimo būdo parinkimo</w:t>
      </w:r>
      <w:r w:rsidRPr="00CB0A27">
        <w:rPr>
          <w:sz w:val="24"/>
          <w:szCs w:val="24"/>
        </w:rPr>
        <w:t xml:space="preserve"> motyvų</w:t>
      </w:r>
      <w:r w:rsidR="00E45ACE" w:rsidRPr="00CB0A27">
        <w:rPr>
          <w:sz w:val="24"/>
          <w:szCs w:val="24"/>
        </w:rPr>
        <w:t xml:space="preserve">, </w:t>
      </w:r>
      <w:r w:rsidR="00986E81">
        <w:rPr>
          <w:sz w:val="24"/>
          <w:szCs w:val="24"/>
        </w:rPr>
        <w:t xml:space="preserve">nenurodė </w:t>
      </w:r>
      <w:proofErr w:type="gramStart"/>
      <w:r w:rsidR="00986E81">
        <w:rPr>
          <w:sz w:val="24"/>
          <w:szCs w:val="24"/>
        </w:rPr>
        <w:t>Taisyklių</w:t>
      </w:r>
      <w:proofErr w:type="gramEnd"/>
      <w:r w:rsidR="00986E81">
        <w:rPr>
          <w:sz w:val="24"/>
          <w:szCs w:val="24"/>
        </w:rPr>
        <w:t xml:space="preserve"> punkto, kurio pagrindu jis buvo parinktas. Protokole taip pat n</w:t>
      </w:r>
      <w:r w:rsidR="00E45ACE" w:rsidRPr="00CB0A27">
        <w:rPr>
          <w:sz w:val="24"/>
          <w:szCs w:val="24"/>
        </w:rPr>
        <w:t>eužfiksuoti Komisijos sprendimo motyvai į neskelbiamas derybas kviesti vienintelį tiekėją UAB „</w:t>
      </w:r>
      <w:proofErr w:type="spellStart"/>
      <w:r w:rsidR="00E45ACE" w:rsidRPr="00CB0A27">
        <w:rPr>
          <w:sz w:val="24"/>
          <w:szCs w:val="24"/>
        </w:rPr>
        <w:t>Timbex</w:t>
      </w:r>
      <w:proofErr w:type="spellEnd"/>
      <w:r w:rsidR="00E45ACE" w:rsidRPr="00CB0A27">
        <w:rPr>
          <w:sz w:val="24"/>
          <w:szCs w:val="24"/>
        </w:rPr>
        <w:t>“</w:t>
      </w:r>
      <w:r w:rsidRPr="00CB0A27">
        <w:rPr>
          <w:sz w:val="24"/>
          <w:szCs w:val="24"/>
        </w:rPr>
        <w:t xml:space="preserve">. </w:t>
      </w:r>
      <w:r w:rsidR="00C92246" w:rsidRPr="00CB0A27">
        <w:rPr>
          <w:sz w:val="24"/>
          <w:szCs w:val="24"/>
        </w:rPr>
        <w:t>Tuo pažeisto</w:t>
      </w:r>
      <w:r w:rsidR="00BF7C68" w:rsidRPr="00CB0A27">
        <w:rPr>
          <w:sz w:val="24"/>
          <w:szCs w:val="24"/>
        </w:rPr>
        <w:t xml:space="preserve">s </w:t>
      </w:r>
      <w:proofErr w:type="gramStart"/>
      <w:r w:rsidR="00BF7C68" w:rsidRPr="00CB0A27">
        <w:rPr>
          <w:sz w:val="24"/>
          <w:szCs w:val="24"/>
        </w:rPr>
        <w:t>T</w:t>
      </w:r>
      <w:r w:rsidR="00C92246" w:rsidRPr="00CB0A27">
        <w:rPr>
          <w:sz w:val="24"/>
          <w:szCs w:val="24"/>
        </w:rPr>
        <w:t>aisyklių</w:t>
      </w:r>
      <w:proofErr w:type="gramEnd"/>
      <w:r w:rsidR="00C92246" w:rsidRPr="00CB0A27">
        <w:rPr>
          <w:sz w:val="24"/>
          <w:szCs w:val="24"/>
        </w:rPr>
        <w:t xml:space="preserve"> 15 punkto nuostatos „&lt;...&gt;Protokole nurodomi Komisijos priimtų sprendimų motyvai, pateikiami paaiškinimai ir kiekvieno posėdyje dalyvavusio Komisijos nario atskiroji nuomonė“.</w:t>
      </w:r>
      <w:r w:rsidR="00B8022E" w:rsidRPr="00CB0A27">
        <w:rPr>
          <w:sz w:val="24"/>
          <w:szCs w:val="24"/>
        </w:rPr>
        <w:t xml:space="preserve"> </w:t>
      </w:r>
    </w:p>
    <w:p w:rsidR="00907B2A" w:rsidRDefault="00B8022E" w:rsidP="008979FC">
      <w:pPr>
        <w:pStyle w:val="ListParagraph"/>
        <w:tabs>
          <w:tab w:val="left" w:pos="993"/>
        </w:tabs>
        <w:spacing w:line="276" w:lineRule="auto"/>
        <w:ind w:left="0" w:firstLine="709"/>
        <w:jc w:val="both"/>
        <w:rPr>
          <w:sz w:val="24"/>
          <w:szCs w:val="24"/>
        </w:rPr>
      </w:pPr>
      <w:r w:rsidRPr="00CB0A27">
        <w:rPr>
          <w:sz w:val="24"/>
          <w:szCs w:val="24"/>
        </w:rPr>
        <w:t>Į</w:t>
      </w:r>
      <w:r w:rsidR="00046F58" w:rsidRPr="00CB0A27">
        <w:rPr>
          <w:sz w:val="24"/>
          <w:szCs w:val="24"/>
        </w:rPr>
        <w:t xml:space="preserve">sigyjančioji </w:t>
      </w:r>
      <w:r w:rsidR="00907B2A" w:rsidRPr="00CB0A27">
        <w:rPr>
          <w:sz w:val="24"/>
          <w:szCs w:val="24"/>
        </w:rPr>
        <w:t>organizacija 2015-01-06 raštu Nr. 03-</w:t>
      </w:r>
      <w:r w:rsidR="00D24BCC" w:rsidRPr="00CB0A27">
        <w:rPr>
          <w:sz w:val="24"/>
          <w:szCs w:val="24"/>
        </w:rPr>
        <w:t xml:space="preserve">S </w:t>
      </w:r>
      <w:r w:rsidR="00E45ACE" w:rsidRPr="00CB0A27">
        <w:rPr>
          <w:sz w:val="24"/>
          <w:szCs w:val="24"/>
        </w:rPr>
        <w:t xml:space="preserve">„Dėl medienos pirkimo konkurso“, </w:t>
      </w:r>
      <w:r w:rsidR="00986E81" w:rsidRPr="00CB0A27">
        <w:rPr>
          <w:sz w:val="24"/>
          <w:szCs w:val="24"/>
        </w:rPr>
        <w:t xml:space="preserve">Tarnybai </w:t>
      </w:r>
      <w:r w:rsidR="00986E81">
        <w:rPr>
          <w:sz w:val="24"/>
          <w:szCs w:val="24"/>
        </w:rPr>
        <w:t>pateikė</w:t>
      </w:r>
      <w:r w:rsidR="00D24BCC" w:rsidRPr="00CB0A27">
        <w:rPr>
          <w:sz w:val="24"/>
          <w:szCs w:val="24"/>
        </w:rPr>
        <w:t xml:space="preserve"> paaiškinim</w:t>
      </w:r>
      <w:r w:rsidR="00986E81">
        <w:rPr>
          <w:sz w:val="24"/>
          <w:szCs w:val="24"/>
        </w:rPr>
        <w:t>ą</w:t>
      </w:r>
      <w:r w:rsidR="00D24BCC" w:rsidRPr="00CB0A27">
        <w:rPr>
          <w:sz w:val="24"/>
          <w:szCs w:val="24"/>
        </w:rPr>
        <w:t xml:space="preserve"> </w:t>
      </w:r>
      <w:r w:rsidR="00907B2A" w:rsidRPr="00CB0A27">
        <w:rPr>
          <w:sz w:val="24"/>
          <w:szCs w:val="24"/>
        </w:rPr>
        <w:t>dėl Pirkimo būdo</w:t>
      </w:r>
      <w:r w:rsidR="00E45ACE" w:rsidRPr="00CB0A27">
        <w:rPr>
          <w:sz w:val="24"/>
          <w:szCs w:val="24"/>
        </w:rPr>
        <w:t xml:space="preserve"> parinkimo</w:t>
      </w:r>
      <w:r w:rsidR="00986E81">
        <w:rPr>
          <w:sz w:val="24"/>
          <w:szCs w:val="24"/>
        </w:rPr>
        <w:t xml:space="preserve">, kuriame </w:t>
      </w:r>
      <w:r w:rsidR="00907B2A" w:rsidRPr="00CB0A27">
        <w:rPr>
          <w:sz w:val="24"/>
          <w:szCs w:val="24"/>
        </w:rPr>
        <w:t>nurod</w:t>
      </w:r>
      <w:r w:rsidR="00E45ACE" w:rsidRPr="00CB0A27">
        <w:rPr>
          <w:sz w:val="24"/>
          <w:szCs w:val="24"/>
        </w:rPr>
        <w:t>ė</w:t>
      </w:r>
      <w:r w:rsidR="00907B2A" w:rsidRPr="00CB0A27">
        <w:rPr>
          <w:sz w:val="24"/>
          <w:szCs w:val="24"/>
        </w:rPr>
        <w:t>, kad norėdama pratęsti sutartį su tiekėju UAB „</w:t>
      </w:r>
      <w:proofErr w:type="spellStart"/>
      <w:r w:rsidR="00907B2A" w:rsidRPr="00CB0A27">
        <w:rPr>
          <w:sz w:val="24"/>
          <w:szCs w:val="24"/>
        </w:rPr>
        <w:t>Timbex</w:t>
      </w:r>
      <w:proofErr w:type="spellEnd"/>
      <w:r w:rsidR="00907B2A" w:rsidRPr="00CB0A27">
        <w:rPr>
          <w:sz w:val="24"/>
          <w:szCs w:val="24"/>
        </w:rPr>
        <w:t xml:space="preserve">“, iš kurio anksčiau </w:t>
      </w:r>
      <w:proofErr w:type="gramStart"/>
      <w:r w:rsidR="00907B2A" w:rsidRPr="00CB0A27">
        <w:rPr>
          <w:sz w:val="24"/>
          <w:szCs w:val="24"/>
        </w:rPr>
        <w:t>p</w:t>
      </w:r>
      <w:r w:rsidR="00986E81">
        <w:rPr>
          <w:sz w:val="24"/>
          <w:szCs w:val="24"/>
        </w:rPr>
        <w:t>i</w:t>
      </w:r>
      <w:r w:rsidR="00907B2A" w:rsidRPr="00CB0A27">
        <w:rPr>
          <w:sz w:val="24"/>
          <w:szCs w:val="24"/>
        </w:rPr>
        <w:t>rk</w:t>
      </w:r>
      <w:r w:rsidR="00986E81">
        <w:rPr>
          <w:sz w:val="24"/>
          <w:szCs w:val="24"/>
        </w:rPr>
        <w:t>o</w:t>
      </w:r>
      <w:proofErr w:type="gramEnd"/>
      <w:r w:rsidR="00986E81">
        <w:rPr>
          <w:sz w:val="24"/>
          <w:szCs w:val="24"/>
        </w:rPr>
        <w:t xml:space="preserve"> biokurą</w:t>
      </w:r>
      <w:r w:rsidR="00907B2A" w:rsidRPr="00CB0A27">
        <w:rPr>
          <w:sz w:val="24"/>
          <w:szCs w:val="24"/>
        </w:rPr>
        <w:t>, vadova</w:t>
      </w:r>
      <w:r w:rsidR="00986E81">
        <w:rPr>
          <w:sz w:val="24"/>
          <w:szCs w:val="24"/>
        </w:rPr>
        <w:t>vosi</w:t>
      </w:r>
      <w:r w:rsidR="00907B2A" w:rsidRPr="00CB0A27">
        <w:rPr>
          <w:sz w:val="24"/>
          <w:szCs w:val="24"/>
        </w:rPr>
        <w:t xml:space="preserve"> </w:t>
      </w:r>
      <w:r w:rsidR="00B40E0A" w:rsidRPr="00CB0A27">
        <w:rPr>
          <w:sz w:val="24"/>
          <w:szCs w:val="24"/>
        </w:rPr>
        <w:t>Taisyklių</w:t>
      </w:r>
      <w:r w:rsidR="00907B2A" w:rsidRPr="00CB0A27">
        <w:rPr>
          <w:sz w:val="24"/>
          <w:szCs w:val="24"/>
        </w:rPr>
        <w:t xml:space="preserve"> 43.4 punktu,</w:t>
      </w:r>
      <w:r w:rsidRPr="00CB0A27">
        <w:rPr>
          <w:sz w:val="24"/>
          <w:szCs w:val="24"/>
        </w:rPr>
        <w:t xml:space="preserve"> kad</w:t>
      </w:r>
      <w:r w:rsidR="00907B2A" w:rsidRPr="00CB0A27">
        <w:rPr>
          <w:sz w:val="24"/>
          <w:szCs w:val="24"/>
        </w:rPr>
        <w:t xml:space="preserve"> </w:t>
      </w:r>
      <w:r w:rsidRPr="00CB0A27">
        <w:rPr>
          <w:sz w:val="24"/>
          <w:szCs w:val="24"/>
        </w:rPr>
        <w:t xml:space="preserve">„pirkimas neskelbiamų derybų būdu galimas, jeigu įsigyjančioji organizacija pagal ankstesnę, sutartį, sudarytą po atviro konkurso ar skelbiamų derybų, iš kurio nors tiekėjo pirko energijos išteklius ir nustatė, kad iš jo tikslinga pirkti papildomai, nekeičiant energijos ištekliaus kainos ir kitų sąlygų, </w:t>
      </w:r>
      <w:r w:rsidRPr="00CB0A27">
        <w:rPr>
          <w:sz w:val="24"/>
          <w:szCs w:val="24"/>
          <w:u w:val="single"/>
        </w:rPr>
        <w:t>jei skelbiant pirkimą nurodyta galimybė pirkti</w:t>
      </w:r>
      <w:r w:rsidRPr="00CB0A27">
        <w:rPr>
          <w:sz w:val="24"/>
          <w:szCs w:val="24"/>
        </w:rPr>
        <w:t xml:space="preserve"> </w:t>
      </w:r>
      <w:r w:rsidRPr="00CB0A27">
        <w:rPr>
          <w:sz w:val="24"/>
          <w:szCs w:val="24"/>
          <w:u w:val="single"/>
        </w:rPr>
        <w:t>papildomai</w:t>
      </w:r>
      <w:r w:rsidRPr="00CB0A27">
        <w:rPr>
          <w:sz w:val="24"/>
          <w:szCs w:val="24"/>
        </w:rPr>
        <w:t xml:space="preserve"> pirkimo skelbime ir visų papildomų pirkimų vertė ne didesnė kaip 50 procentų </w:t>
      </w:r>
      <w:r w:rsidRPr="00CB0A27">
        <w:rPr>
          <w:sz w:val="24"/>
          <w:szCs w:val="24"/>
          <w:u w:val="single"/>
        </w:rPr>
        <w:t>pagrindinės</w:t>
      </w:r>
      <w:r w:rsidRPr="00CB0A27">
        <w:rPr>
          <w:sz w:val="24"/>
          <w:szCs w:val="24"/>
        </w:rPr>
        <w:t xml:space="preserve"> sutarties sumos; tokios sutarties trukmė </w:t>
      </w:r>
      <w:r w:rsidRPr="00CB0A27">
        <w:rPr>
          <w:sz w:val="24"/>
          <w:szCs w:val="24"/>
          <w:u w:val="single"/>
        </w:rPr>
        <w:t>negali būti ilgesnė</w:t>
      </w:r>
      <w:r w:rsidRPr="00CB0A27">
        <w:rPr>
          <w:sz w:val="24"/>
          <w:szCs w:val="24"/>
        </w:rPr>
        <w:t xml:space="preserve"> už pagrindinės </w:t>
      </w:r>
      <w:r w:rsidR="00986E81">
        <w:rPr>
          <w:sz w:val="24"/>
          <w:szCs w:val="24"/>
        </w:rPr>
        <w:t xml:space="preserve">sutarties trukmę &lt;...&gt;“ ir </w:t>
      </w:r>
      <w:r w:rsidR="00907B2A" w:rsidRPr="00CB0A27">
        <w:rPr>
          <w:sz w:val="24"/>
          <w:szCs w:val="24"/>
        </w:rPr>
        <w:t>vykdė neskelbiamas derybas.</w:t>
      </w:r>
    </w:p>
    <w:p w:rsidR="00B40E0A" w:rsidRDefault="00E70612" w:rsidP="008979FC">
      <w:pPr>
        <w:pStyle w:val="ListParagraph"/>
        <w:tabs>
          <w:tab w:val="left" w:pos="993"/>
        </w:tabs>
        <w:spacing w:line="276" w:lineRule="auto"/>
        <w:ind w:left="0" w:firstLine="709"/>
        <w:jc w:val="both"/>
        <w:rPr>
          <w:sz w:val="24"/>
          <w:szCs w:val="24"/>
        </w:rPr>
      </w:pPr>
      <w:r w:rsidRPr="00CB0A27">
        <w:rPr>
          <w:sz w:val="24"/>
          <w:szCs w:val="24"/>
        </w:rPr>
        <w:t xml:space="preserve">Tarnyba </w:t>
      </w:r>
      <w:r w:rsidR="00986E81">
        <w:rPr>
          <w:sz w:val="24"/>
          <w:szCs w:val="24"/>
        </w:rPr>
        <w:t>pažymi</w:t>
      </w:r>
      <w:r w:rsidRPr="00CB0A27">
        <w:rPr>
          <w:sz w:val="24"/>
          <w:szCs w:val="24"/>
        </w:rPr>
        <w:t xml:space="preserve">, kad vadovaujantis </w:t>
      </w:r>
      <w:proofErr w:type="gramStart"/>
      <w:r w:rsidRPr="00CB0A27">
        <w:rPr>
          <w:sz w:val="24"/>
          <w:szCs w:val="24"/>
        </w:rPr>
        <w:t>Taisyklių</w:t>
      </w:r>
      <w:proofErr w:type="gramEnd"/>
      <w:r w:rsidRPr="00CB0A27">
        <w:rPr>
          <w:sz w:val="24"/>
          <w:szCs w:val="24"/>
        </w:rPr>
        <w:t xml:space="preserve"> 43.4 punkt</w:t>
      </w:r>
      <w:r w:rsidR="00CB0A27" w:rsidRPr="00CB0A27">
        <w:rPr>
          <w:sz w:val="24"/>
          <w:szCs w:val="24"/>
        </w:rPr>
        <w:t xml:space="preserve">e nustatytomis sąlygomis, </w:t>
      </w:r>
      <w:r w:rsidRPr="00CB0A27">
        <w:rPr>
          <w:sz w:val="24"/>
          <w:szCs w:val="24"/>
        </w:rPr>
        <w:t>neskelbiamų derybų būdu galima pirkti iš to pat</w:t>
      </w:r>
      <w:r w:rsidR="00E342D1" w:rsidRPr="00CB0A27">
        <w:rPr>
          <w:sz w:val="24"/>
          <w:szCs w:val="24"/>
        </w:rPr>
        <w:t>i</w:t>
      </w:r>
      <w:r w:rsidRPr="00CB0A27">
        <w:rPr>
          <w:sz w:val="24"/>
          <w:szCs w:val="24"/>
        </w:rPr>
        <w:t>es tiekėjo tik tuomet, jeigu perkama papildomai, kol ne</w:t>
      </w:r>
      <w:r w:rsidR="0007035F" w:rsidRPr="00CB0A27">
        <w:rPr>
          <w:sz w:val="24"/>
          <w:szCs w:val="24"/>
        </w:rPr>
        <w:t>pa</w:t>
      </w:r>
      <w:r w:rsidRPr="00CB0A27">
        <w:rPr>
          <w:sz w:val="24"/>
          <w:szCs w:val="24"/>
        </w:rPr>
        <w:t>sibaigusi pagrindinė sutartis.</w:t>
      </w:r>
      <w:r w:rsidR="00E45ACE" w:rsidRPr="00CB0A27">
        <w:rPr>
          <w:sz w:val="24"/>
          <w:szCs w:val="24"/>
        </w:rPr>
        <w:t xml:space="preserve"> Pirkimo atveju, </w:t>
      </w:r>
      <w:r w:rsidR="00BF7C68" w:rsidRPr="00CB0A27">
        <w:rPr>
          <w:sz w:val="24"/>
          <w:szCs w:val="24"/>
        </w:rPr>
        <w:t>P</w:t>
      </w:r>
      <w:r w:rsidR="00B40E0A" w:rsidRPr="00CB0A27">
        <w:rPr>
          <w:sz w:val="24"/>
          <w:szCs w:val="24"/>
        </w:rPr>
        <w:t>agrindinė sutartis</w:t>
      </w:r>
      <w:r w:rsidRPr="00CB0A27">
        <w:rPr>
          <w:sz w:val="24"/>
          <w:szCs w:val="24"/>
        </w:rPr>
        <w:t xml:space="preserve"> (2013-10-21 sutartis Nr. 13-49PS)</w:t>
      </w:r>
      <w:r w:rsidR="00BF7C68" w:rsidRPr="00CB0A27">
        <w:rPr>
          <w:sz w:val="24"/>
          <w:szCs w:val="24"/>
        </w:rPr>
        <w:t xml:space="preserve"> sudaryta po </w:t>
      </w:r>
      <w:r w:rsidR="00B8022E" w:rsidRPr="00CB0A27">
        <w:rPr>
          <w:sz w:val="24"/>
          <w:szCs w:val="24"/>
        </w:rPr>
        <w:t xml:space="preserve">supaprastinto </w:t>
      </w:r>
      <w:r w:rsidR="00BF7C68" w:rsidRPr="00CB0A27">
        <w:rPr>
          <w:sz w:val="24"/>
          <w:szCs w:val="24"/>
        </w:rPr>
        <w:t>atviro konkurso</w:t>
      </w:r>
      <w:r w:rsidR="00B40E0A" w:rsidRPr="00CB0A27">
        <w:rPr>
          <w:sz w:val="24"/>
          <w:szCs w:val="24"/>
        </w:rPr>
        <w:t xml:space="preserve"> </w:t>
      </w:r>
      <w:r w:rsidRPr="00CB0A27">
        <w:rPr>
          <w:sz w:val="24"/>
          <w:szCs w:val="24"/>
        </w:rPr>
        <w:t xml:space="preserve">(CVP IS skelbtas 2013-09-24; Pirkimo Nr. 142985), </w:t>
      </w:r>
      <w:r w:rsidR="00B40E0A" w:rsidRPr="00CB0A27">
        <w:rPr>
          <w:sz w:val="24"/>
          <w:szCs w:val="24"/>
        </w:rPr>
        <w:t>galiojo iki 2014</w:t>
      </w:r>
      <w:r w:rsidRPr="00CB0A27">
        <w:rPr>
          <w:sz w:val="24"/>
          <w:szCs w:val="24"/>
        </w:rPr>
        <w:t>-10-21</w:t>
      </w:r>
      <w:r w:rsidR="00B40E0A" w:rsidRPr="00CB0A27">
        <w:rPr>
          <w:sz w:val="24"/>
          <w:szCs w:val="24"/>
        </w:rPr>
        <w:t>, todėl paskesni</w:t>
      </w:r>
      <w:r w:rsidR="00BF7C68" w:rsidRPr="00CB0A27">
        <w:rPr>
          <w:sz w:val="24"/>
          <w:szCs w:val="24"/>
        </w:rPr>
        <w:t>ų</w:t>
      </w:r>
      <w:r w:rsidR="00B40E0A" w:rsidRPr="00CB0A27">
        <w:rPr>
          <w:sz w:val="24"/>
          <w:szCs w:val="24"/>
        </w:rPr>
        <w:t xml:space="preserve"> papildom</w:t>
      </w:r>
      <w:r w:rsidR="00BF7C68" w:rsidRPr="00CB0A27">
        <w:rPr>
          <w:sz w:val="24"/>
          <w:szCs w:val="24"/>
        </w:rPr>
        <w:t>ų</w:t>
      </w:r>
      <w:r w:rsidR="00B40E0A" w:rsidRPr="00CB0A27">
        <w:rPr>
          <w:sz w:val="24"/>
          <w:szCs w:val="24"/>
        </w:rPr>
        <w:t xml:space="preserve"> pirkim</w:t>
      </w:r>
      <w:r w:rsidR="00BF7C68" w:rsidRPr="00CB0A27">
        <w:rPr>
          <w:sz w:val="24"/>
          <w:szCs w:val="24"/>
        </w:rPr>
        <w:t>ų</w:t>
      </w:r>
      <w:r w:rsidR="00B40E0A" w:rsidRPr="00CB0A27">
        <w:rPr>
          <w:sz w:val="24"/>
          <w:szCs w:val="24"/>
        </w:rPr>
        <w:t xml:space="preserve"> </w:t>
      </w:r>
      <w:r w:rsidR="00BF7C68" w:rsidRPr="00CB0A27">
        <w:rPr>
          <w:sz w:val="24"/>
          <w:szCs w:val="24"/>
        </w:rPr>
        <w:t>trukmė</w:t>
      </w:r>
      <w:r w:rsidR="006835D5" w:rsidRPr="00CB0A27">
        <w:rPr>
          <w:sz w:val="24"/>
          <w:szCs w:val="24"/>
        </w:rPr>
        <w:t xml:space="preserve">, pagal </w:t>
      </w:r>
      <w:proofErr w:type="gramStart"/>
      <w:r w:rsidR="006835D5" w:rsidRPr="00CB0A27">
        <w:rPr>
          <w:sz w:val="24"/>
          <w:szCs w:val="24"/>
        </w:rPr>
        <w:t>Taisyklių</w:t>
      </w:r>
      <w:proofErr w:type="gramEnd"/>
      <w:r w:rsidR="006835D5" w:rsidRPr="00CB0A27">
        <w:rPr>
          <w:sz w:val="24"/>
          <w:szCs w:val="24"/>
        </w:rPr>
        <w:t xml:space="preserve"> 43.4 punkto nuostatas,</w:t>
      </w:r>
      <w:r w:rsidR="00BF7C68" w:rsidRPr="00CB0A27">
        <w:rPr>
          <w:sz w:val="24"/>
          <w:szCs w:val="24"/>
        </w:rPr>
        <w:t xml:space="preserve"> negalėjo būti ilgesnė, nei </w:t>
      </w:r>
      <w:r w:rsidR="00E45ACE" w:rsidRPr="00CB0A27">
        <w:rPr>
          <w:sz w:val="24"/>
          <w:szCs w:val="24"/>
        </w:rPr>
        <w:t>Pagrindinėje</w:t>
      </w:r>
      <w:r w:rsidR="00BF7C68" w:rsidRPr="00CB0A27">
        <w:rPr>
          <w:sz w:val="24"/>
          <w:szCs w:val="24"/>
        </w:rPr>
        <w:t xml:space="preserve"> sutartyje nustatytas terminas.</w:t>
      </w:r>
      <w:r w:rsidR="00B8022E" w:rsidRPr="00CB0A27">
        <w:rPr>
          <w:sz w:val="24"/>
          <w:szCs w:val="24"/>
        </w:rPr>
        <w:t xml:space="preserve"> </w:t>
      </w:r>
      <w:r w:rsidR="00E45ACE" w:rsidRPr="00CB0A27">
        <w:rPr>
          <w:sz w:val="24"/>
          <w:szCs w:val="24"/>
        </w:rPr>
        <w:t xml:space="preserve">Taip pat </w:t>
      </w:r>
      <w:r w:rsidR="00B8022E" w:rsidRPr="00CB0A27">
        <w:rPr>
          <w:sz w:val="24"/>
          <w:szCs w:val="24"/>
        </w:rPr>
        <w:t xml:space="preserve">pažymėtina, kad vykdant ankstesnį biokuro pirkimą supaprastinto atviro konkurso būdu skelbime nebuvo numatyta galimybė pirkti papildomai, atitinkamai Įsigyjančioji organizacija negalėjo papildomai įsigyti kuro pagal sudarytą </w:t>
      </w:r>
      <w:r w:rsidR="00E45ACE" w:rsidRPr="00CB0A27">
        <w:rPr>
          <w:sz w:val="24"/>
          <w:szCs w:val="24"/>
        </w:rPr>
        <w:t xml:space="preserve">Pagrindinę </w:t>
      </w:r>
      <w:r w:rsidR="00B8022E" w:rsidRPr="00CB0A27">
        <w:rPr>
          <w:sz w:val="24"/>
          <w:szCs w:val="24"/>
        </w:rPr>
        <w:t>sutartį.</w:t>
      </w:r>
      <w:r w:rsidRPr="00CB0A27">
        <w:rPr>
          <w:sz w:val="24"/>
          <w:szCs w:val="24"/>
        </w:rPr>
        <w:t xml:space="preserve"> </w:t>
      </w:r>
    </w:p>
    <w:p w:rsidR="00560D2A" w:rsidRDefault="00CB0A27" w:rsidP="008979FC">
      <w:pPr>
        <w:pStyle w:val="ListParagraph"/>
        <w:tabs>
          <w:tab w:val="left" w:pos="993"/>
        </w:tabs>
        <w:spacing w:line="276" w:lineRule="auto"/>
        <w:ind w:left="0" w:firstLine="709"/>
        <w:jc w:val="both"/>
        <w:rPr>
          <w:sz w:val="24"/>
          <w:szCs w:val="24"/>
        </w:rPr>
      </w:pPr>
      <w:r w:rsidRPr="00CB0A27">
        <w:rPr>
          <w:sz w:val="24"/>
          <w:szCs w:val="24"/>
        </w:rPr>
        <w:t>Atsižvelgdama</w:t>
      </w:r>
      <w:r w:rsidR="00560D2A" w:rsidRPr="00CB0A27">
        <w:rPr>
          <w:sz w:val="24"/>
          <w:szCs w:val="24"/>
        </w:rPr>
        <w:t xml:space="preserve"> į </w:t>
      </w:r>
      <w:r w:rsidRPr="00CB0A27">
        <w:rPr>
          <w:sz w:val="24"/>
          <w:szCs w:val="24"/>
        </w:rPr>
        <w:t>išdėstytą</w:t>
      </w:r>
      <w:r w:rsidR="00560D2A" w:rsidRPr="00CB0A27">
        <w:rPr>
          <w:sz w:val="24"/>
          <w:szCs w:val="24"/>
        </w:rPr>
        <w:t xml:space="preserve">, Tarnyba konstatuoja, kad </w:t>
      </w:r>
      <w:r w:rsidRPr="00CB0A27">
        <w:rPr>
          <w:sz w:val="24"/>
          <w:szCs w:val="24"/>
        </w:rPr>
        <w:t>Pirkimo būdas yra nepagrįstas ir neteisėtas</w:t>
      </w:r>
      <w:r w:rsidR="000153D6">
        <w:rPr>
          <w:sz w:val="24"/>
          <w:szCs w:val="24"/>
        </w:rPr>
        <w:t xml:space="preserve">, </w:t>
      </w:r>
      <w:r w:rsidRPr="00CB0A27">
        <w:rPr>
          <w:sz w:val="24"/>
          <w:szCs w:val="24"/>
        </w:rPr>
        <w:t>pažeidžia Taisyklių 43.4 punkto nuostatas</w:t>
      </w:r>
      <w:r w:rsidR="000153D6">
        <w:rPr>
          <w:sz w:val="24"/>
          <w:szCs w:val="24"/>
        </w:rPr>
        <w:t xml:space="preserve">, </w:t>
      </w:r>
      <w:r w:rsidR="00560D2A" w:rsidRPr="00CB0A27">
        <w:rPr>
          <w:sz w:val="24"/>
          <w:szCs w:val="24"/>
        </w:rPr>
        <w:t xml:space="preserve">3 punkto, kad </w:t>
      </w:r>
      <w:r w:rsidR="00382F63">
        <w:rPr>
          <w:sz w:val="24"/>
          <w:szCs w:val="24"/>
        </w:rPr>
        <w:t>„</w:t>
      </w:r>
      <w:r w:rsidR="00560D2A" w:rsidRPr="00CB0A27">
        <w:rPr>
          <w:sz w:val="24"/>
          <w:szCs w:val="24"/>
        </w:rPr>
        <w:t>Įsigyjančioji organizacija užtikrina, kad atliekant energijos išteklių pirkimo procedūras ir nustatant laimėtoją būtų lai</w:t>
      </w:r>
      <w:r w:rsidR="000153D6">
        <w:rPr>
          <w:sz w:val="24"/>
          <w:szCs w:val="24"/>
        </w:rPr>
        <w:t xml:space="preserve">komasi tiekėjų lygiateisiškumo </w:t>
      </w:r>
      <w:r w:rsidR="00560D2A" w:rsidRPr="00CB0A27">
        <w:rPr>
          <w:sz w:val="24"/>
          <w:szCs w:val="24"/>
        </w:rPr>
        <w:t xml:space="preserve">&lt;...&gt;, skaidrumo </w:t>
      </w:r>
      <w:r w:rsidR="000153D6">
        <w:rPr>
          <w:sz w:val="24"/>
          <w:szCs w:val="24"/>
        </w:rPr>
        <w:t>&lt;...&gt;</w:t>
      </w:r>
      <w:r w:rsidR="00382F63">
        <w:rPr>
          <w:sz w:val="24"/>
          <w:szCs w:val="24"/>
        </w:rPr>
        <w:t xml:space="preserve"> principų“</w:t>
      </w:r>
      <w:r w:rsidR="00560D2A" w:rsidRPr="00CB0A27">
        <w:rPr>
          <w:sz w:val="24"/>
          <w:szCs w:val="24"/>
        </w:rPr>
        <w:t xml:space="preserve"> nuostatas ir galimai neužtikrina Taisyklių</w:t>
      </w:r>
      <w:proofErr w:type="gramStart"/>
      <w:r w:rsidR="00382F63">
        <w:rPr>
          <w:sz w:val="24"/>
          <w:szCs w:val="24"/>
        </w:rPr>
        <w:t xml:space="preserve">           </w:t>
      </w:r>
      <w:r w:rsidR="00560D2A" w:rsidRPr="00CB0A27">
        <w:rPr>
          <w:sz w:val="24"/>
          <w:szCs w:val="24"/>
        </w:rPr>
        <w:t xml:space="preserve"> </w:t>
      </w:r>
      <w:proofErr w:type="gramEnd"/>
      <w:r w:rsidR="00560D2A" w:rsidRPr="00CB0A27">
        <w:rPr>
          <w:sz w:val="24"/>
          <w:szCs w:val="24"/>
        </w:rPr>
        <w:t xml:space="preserve">4 punkte nustatyto tikslo siekimo - sudaryti pirkimo sutartį, leidžiančią įsigyti įsigyjančiajai organizacijai reikiamą kiekį reikiamos rūšies energijos išteklių, racionaliai naudojant tam skirtas lėšas ir </w:t>
      </w:r>
      <w:r w:rsidR="000153D6">
        <w:rPr>
          <w:sz w:val="24"/>
          <w:szCs w:val="24"/>
        </w:rPr>
        <w:t xml:space="preserve">tai </w:t>
      </w:r>
      <w:r w:rsidR="00560D2A" w:rsidRPr="000153D6">
        <w:rPr>
          <w:sz w:val="24"/>
          <w:szCs w:val="24"/>
        </w:rPr>
        <w:t>galėjo turėti įtakos Pirkimo rezultatams.</w:t>
      </w:r>
    </w:p>
    <w:p w:rsidR="00833EAC" w:rsidRPr="00CB0A27" w:rsidRDefault="00833EAC" w:rsidP="008979FC">
      <w:pPr>
        <w:pStyle w:val="ListParagraph"/>
        <w:numPr>
          <w:ilvl w:val="0"/>
          <w:numId w:val="15"/>
        </w:numPr>
        <w:tabs>
          <w:tab w:val="left" w:pos="993"/>
        </w:tabs>
        <w:spacing w:line="276" w:lineRule="auto"/>
        <w:ind w:left="0" w:firstLine="709"/>
        <w:jc w:val="both"/>
        <w:rPr>
          <w:sz w:val="24"/>
          <w:szCs w:val="24"/>
        </w:rPr>
      </w:pPr>
      <w:r w:rsidRPr="00CB0A27">
        <w:rPr>
          <w:sz w:val="24"/>
          <w:szCs w:val="24"/>
        </w:rPr>
        <w:t>Įsigyjančioji organizacija Pirkimą vykdė nesivadovaudama ir pažeisdama Taisyklių:</w:t>
      </w:r>
    </w:p>
    <w:p w:rsidR="00850D5E" w:rsidRDefault="002059F0" w:rsidP="008979FC">
      <w:pPr>
        <w:pStyle w:val="ListParagraph"/>
        <w:numPr>
          <w:ilvl w:val="0"/>
          <w:numId w:val="13"/>
        </w:numPr>
        <w:tabs>
          <w:tab w:val="left" w:pos="993"/>
        </w:tabs>
        <w:spacing w:line="276" w:lineRule="auto"/>
        <w:ind w:left="0" w:firstLine="709"/>
        <w:jc w:val="both"/>
        <w:rPr>
          <w:sz w:val="24"/>
          <w:szCs w:val="24"/>
        </w:rPr>
      </w:pPr>
      <w:r w:rsidRPr="00CB0A27">
        <w:rPr>
          <w:sz w:val="24"/>
          <w:szCs w:val="24"/>
        </w:rPr>
        <w:t xml:space="preserve">19.2 punkto nuostatas, </w:t>
      </w:r>
      <w:r w:rsidR="00382F63">
        <w:rPr>
          <w:sz w:val="24"/>
          <w:szCs w:val="24"/>
        </w:rPr>
        <w:t xml:space="preserve">kad </w:t>
      </w:r>
      <w:r w:rsidR="00850D5E">
        <w:rPr>
          <w:sz w:val="24"/>
          <w:szCs w:val="24"/>
        </w:rPr>
        <w:t xml:space="preserve">„Komisija </w:t>
      </w:r>
      <w:r w:rsidR="00850D5E" w:rsidRPr="00850D5E">
        <w:rPr>
          <w:color w:val="000000"/>
          <w:sz w:val="24"/>
          <w:szCs w:val="24"/>
        </w:rPr>
        <w:t>nustato tiekėjų kvalifikacinius reikalavimus ir jų tikrinimo</w:t>
      </w:r>
      <w:r w:rsidR="00850D5E">
        <w:rPr>
          <w:color w:val="000000"/>
          <w:sz w:val="21"/>
          <w:szCs w:val="21"/>
        </w:rPr>
        <w:t xml:space="preserve"> </w:t>
      </w:r>
      <w:r w:rsidR="00850D5E" w:rsidRPr="00850D5E">
        <w:rPr>
          <w:color w:val="000000"/>
          <w:sz w:val="24"/>
          <w:szCs w:val="24"/>
        </w:rPr>
        <w:t>tvarką</w:t>
      </w:r>
      <w:r w:rsidR="00850D5E">
        <w:rPr>
          <w:color w:val="000000"/>
          <w:sz w:val="24"/>
          <w:szCs w:val="24"/>
        </w:rPr>
        <w:t xml:space="preserve">“, </w:t>
      </w:r>
      <w:r w:rsidRPr="00CB0A27">
        <w:rPr>
          <w:sz w:val="24"/>
          <w:szCs w:val="24"/>
        </w:rPr>
        <w:t xml:space="preserve">nes nenustatė kvalifikacinių reikalavimų tiekėjams </w:t>
      </w:r>
      <w:r w:rsidR="00A747E8">
        <w:rPr>
          <w:sz w:val="24"/>
          <w:szCs w:val="24"/>
        </w:rPr>
        <w:t>ir</w:t>
      </w:r>
      <w:r w:rsidRPr="00CB0A27">
        <w:rPr>
          <w:sz w:val="24"/>
          <w:szCs w:val="24"/>
        </w:rPr>
        <w:t xml:space="preserve"> jų tikrinimo tvar</w:t>
      </w:r>
      <w:r w:rsidR="00D14042">
        <w:rPr>
          <w:sz w:val="24"/>
          <w:szCs w:val="24"/>
        </w:rPr>
        <w:t>kos;</w:t>
      </w:r>
    </w:p>
    <w:p w:rsidR="002059F0" w:rsidRDefault="002059F0" w:rsidP="008979FC">
      <w:pPr>
        <w:pStyle w:val="ListParagraph"/>
        <w:numPr>
          <w:ilvl w:val="0"/>
          <w:numId w:val="13"/>
        </w:numPr>
        <w:tabs>
          <w:tab w:val="left" w:pos="993"/>
        </w:tabs>
        <w:spacing w:line="276" w:lineRule="auto"/>
        <w:ind w:left="0" w:firstLine="709"/>
        <w:jc w:val="both"/>
        <w:rPr>
          <w:sz w:val="24"/>
          <w:szCs w:val="24"/>
        </w:rPr>
      </w:pPr>
      <w:r w:rsidRPr="00CB0A27">
        <w:rPr>
          <w:sz w:val="24"/>
          <w:szCs w:val="24"/>
        </w:rPr>
        <w:t xml:space="preserve">19.3 punkto nuostatas, </w:t>
      </w:r>
      <w:r w:rsidR="00850D5E">
        <w:rPr>
          <w:sz w:val="24"/>
          <w:szCs w:val="24"/>
        </w:rPr>
        <w:t xml:space="preserve">kad Komisija </w:t>
      </w:r>
      <w:r w:rsidR="00850D5E" w:rsidRPr="00850D5E">
        <w:rPr>
          <w:color w:val="000000"/>
          <w:sz w:val="24"/>
          <w:szCs w:val="24"/>
        </w:rPr>
        <w:t>parengia ir tvirtina pirkimo dokumentus,</w:t>
      </w:r>
      <w:r w:rsidR="00850D5E">
        <w:rPr>
          <w:color w:val="000000"/>
          <w:sz w:val="21"/>
          <w:szCs w:val="21"/>
        </w:rPr>
        <w:t xml:space="preserve"> </w:t>
      </w:r>
      <w:r w:rsidRPr="00CB0A27">
        <w:rPr>
          <w:sz w:val="24"/>
          <w:szCs w:val="24"/>
        </w:rPr>
        <w:t>nes neparengė ir</w:t>
      </w:r>
      <w:r w:rsidR="00833EAC" w:rsidRPr="00CB0A27">
        <w:rPr>
          <w:sz w:val="24"/>
          <w:szCs w:val="24"/>
        </w:rPr>
        <w:t xml:space="preserve"> nepatvirtino pirkimo dokumentų;</w:t>
      </w:r>
    </w:p>
    <w:p w:rsidR="002C57EB" w:rsidRPr="00850D5E" w:rsidRDefault="002C57EB" w:rsidP="008979FC">
      <w:pPr>
        <w:pStyle w:val="ListParagraph"/>
        <w:numPr>
          <w:ilvl w:val="0"/>
          <w:numId w:val="13"/>
        </w:numPr>
        <w:tabs>
          <w:tab w:val="left" w:pos="993"/>
        </w:tabs>
        <w:spacing w:line="276" w:lineRule="auto"/>
        <w:ind w:left="0" w:firstLine="709"/>
        <w:jc w:val="both"/>
        <w:rPr>
          <w:sz w:val="24"/>
          <w:szCs w:val="24"/>
        </w:rPr>
      </w:pPr>
      <w:r w:rsidRPr="00850D5E">
        <w:rPr>
          <w:sz w:val="24"/>
          <w:szCs w:val="24"/>
        </w:rPr>
        <w:t xml:space="preserve">21.2 punkto nuostatas, nes Įsigyjančioji organizacija į biržos operatorių kreipėsi anksčiau, nei numatyta Taisyklėse, t. y. pagal Taisyklių 21.2 punktą, prieš sudarant sutartį su vienu iš Taisyklių 20.2-20.4 papunkčiuose nurodytu būdu įvykdyto energijos išteklių </w:t>
      </w:r>
      <w:r w:rsidRPr="00D14042">
        <w:rPr>
          <w:sz w:val="24"/>
          <w:szCs w:val="24"/>
          <w:u w:val="single"/>
        </w:rPr>
        <w:t>pirkimo laimėtoju</w:t>
      </w:r>
      <w:r w:rsidRPr="00850D5E">
        <w:rPr>
          <w:sz w:val="24"/>
          <w:szCs w:val="24"/>
        </w:rPr>
        <w:t>, Įsigyjančioji organizacija turi kreiptis į biržos operatorių ir gauti rašytinį jo patvirtinimą, kad biržoje neprekiaujama tos rūšies energijos ištekliais. Tarnyba pažymi, kad energijos išteklių biržos raštas Įsigyjančiojoje organizacijoje registruotas 2014-09-15, sprendimas vykdyti neskelbiamas derybas priimtas 2014-09-29, sutartis su tiekėju UAB „</w:t>
      </w:r>
      <w:proofErr w:type="spellStart"/>
      <w:r w:rsidRPr="00850D5E">
        <w:rPr>
          <w:sz w:val="24"/>
          <w:szCs w:val="24"/>
        </w:rPr>
        <w:t>Ti</w:t>
      </w:r>
      <w:r w:rsidR="00A747E8" w:rsidRPr="00850D5E">
        <w:rPr>
          <w:sz w:val="24"/>
          <w:szCs w:val="24"/>
        </w:rPr>
        <w:t>m</w:t>
      </w:r>
      <w:r w:rsidRPr="00850D5E">
        <w:rPr>
          <w:sz w:val="24"/>
          <w:szCs w:val="24"/>
        </w:rPr>
        <w:t>bex</w:t>
      </w:r>
      <w:proofErr w:type="spellEnd"/>
      <w:r w:rsidRPr="00850D5E">
        <w:rPr>
          <w:sz w:val="24"/>
          <w:szCs w:val="24"/>
        </w:rPr>
        <w:t>“ sudaryta 2014-10-14;</w:t>
      </w:r>
    </w:p>
    <w:p w:rsidR="002059F0" w:rsidRPr="00850D5E" w:rsidRDefault="002059F0" w:rsidP="008979FC">
      <w:pPr>
        <w:pStyle w:val="ListParagraph"/>
        <w:numPr>
          <w:ilvl w:val="0"/>
          <w:numId w:val="13"/>
        </w:numPr>
        <w:tabs>
          <w:tab w:val="left" w:pos="993"/>
        </w:tabs>
        <w:spacing w:line="276" w:lineRule="auto"/>
        <w:ind w:left="0" w:firstLine="709"/>
        <w:jc w:val="both"/>
        <w:rPr>
          <w:sz w:val="24"/>
          <w:szCs w:val="24"/>
        </w:rPr>
      </w:pPr>
      <w:r w:rsidRPr="00850D5E">
        <w:rPr>
          <w:sz w:val="24"/>
          <w:szCs w:val="24"/>
        </w:rPr>
        <w:lastRenderedPageBreak/>
        <w:t xml:space="preserve">37 punkto nuostatas, </w:t>
      </w:r>
      <w:r w:rsidR="00850D5E" w:rsidRPr="00850D5E">
        <w:rPr>
          <w:sz w:val="24"/>
          <w:szCs w:val="24"/>
        </w:rPr>
        <w:t>kad „</w:t>
      </w:r>
      <w:r w:rsidR="00850D5E" w:rsidRPr="00850D5E">
        <w:rPr>
          <w:color w:val="000000"/>
          <w:sz w:val="24"/>
          <w:szCs w:val="24"/>
        </w:rPr>
        <w:t xml:space="preserve">Rašytiniame kvietime derėtis, kuris išsiunčiamas tiekėjams, turi būti pateikta &lt;...&gt;“, </w:t>
      </w:r>
      <w:r w:rsidRPr="00850D5E">
        <w:rPr>
          <w:sz w:val="24"/>
          <w:szCs w:val="24"/>
        </w:rPr>
        <w:t>nes Kvietime į derybas, išsiųstame 2014-09-29 tiekėjui, nenurodytas derybų objektas, nenurodyti pasiūlymo aspektai, dėl kurių bus deramasi, der</w:t>
      </w:r>
      <w:r w:rsidR="00833EAC" w:rsidRPr="00850D5E">
        <w:rPr>
          <w:sz w:val="24"/>
          <w:szCs w:val="24"/>
        </w:rPr>
        <w:t>ybų etapai ir jų vykdymo tvarka;</w:t>
      </w:r>
    </w:p>
    <w:p w:rsidR="002059F0" w:rsidRPr="00382F63" w:rsidRDefault="002059F0" w:rsidP="008979FC">
      <w:pPr>
        <w:pStyle w:val="ListParagraph"/>
        <w:numPr>
          <w:ilvl w:val="0"/>
          <w:numId w:val="13"/>
        </w:numPr>
        <w:tabs>
          <w:tab w:val="left" w:pos="993"/>
        </w:tabs>
        <w:spacing w:line="276" w:lineRule="auto"/>
        <w:ind w:left="0" w:firstLine="709"/>
        <w:jc w:val="both"/>
        <w:rPr>
          <w:sz w:val="24"/>
          <w:szCs w:val="24"/>
        </w:rPr>
      </w:pPr>
      <w:r w:rsidRPr="00382F63">
        <w:rPr>
          <w:sz w:val="24"/>
          <w:szCs w:val="24"/>
        </w:rPr>
        <w:t xml:space="preserve">46 punkto nuostatas, </w:t>
      </w:r>
      <w:r w:rsidR="00382F63" w:rsidRPr="00382F63">
        <w:rPr>
          <w:sz w:val="24"/>
          <w:szCs w:val="24"/>
        </w:rPr>
        <w:t xml:space="preserve">kad </w:t>
      </w:r>
      <w:r w:rsidR="00850D5E" w:rsidRPr="00850D5E">
        <w:rPr>
          <w:sz w:val="24"/>
          <w:szCs w:val="24"/>
        </w:rPr>
        <w:t>„</w:t>
      </w:r>
      <w:r w:rsidR="00382F63" w:rsidRPr="00850D5E">
        <w:rPr>
          <w:color w:val="000000"/>
          <w:sz w:val="24"/>
          <w:szCs w:val="24"/>
        </w:rPr>
        <w:t xml:space="preserve">Neskelbiamų derybų atveju pirkimo dokumentai siunčiami ar įteikiami tiesiogiai pasirinktiems tiekėjams </w:t>
      </w:r>
      <w:r w:rsidR="00850D5E">
        <w:rPr>
          <w:color w:val="000000"/>
          <w:sz w:val="24"/>
          <w:szCs w:val="24"/>
        </w:rPr>
        <w:t>&lt;...&gt;“</w:t>
      </w:r>
      <w:r w:rsidR="00382F63" w:rsidRPr="00382F63">
        <w:rPr>
          <w:color w:val="000000"/>
          <w:sz w:val="24"/>
          <w:szCs w:val="24"/>
        </w:rPr>
        <w:t xml:space="preserve">, </w:t>
      </w:r>
      <w:r w:rsidRPr="00382F63">
        <w:rPr>
          <w:sz w:val="24"/>
          <w:szCs w:val="24"/>
        </w:rPr>
        <w:t xml:space="preserve">nes neišsiuntė pirkimo dokumentų </w:t>
      </w:r>
      <w:r w:rsidR="00833EAC" w:rsidRPr="00382F63">
        <w:rPr>
          <w:sz w:val="24"/>
          <w:szCs w:val="24"/>
        </w:rPr>
        <w:t>tiekėjui, kviečiamam į derybas;</w:t>
      </w:r>
    </w:p>
    <w:p w:rsidR="00326390" w:rsidRPr="00850D5E" w:rsidRDefault="00833EAC" w:rsidP="008979FC">
      <w:pPr>
        <w:pStyle w:val="ListParagraph"/>
        <w:numPr>
          <w:ilvl w:val="0"/>
          <w:numId w:val="13"/>
        </w:numPr>
        <w:tabs>
          <w:tab w:val="left" w:pos="993"/>
        </w:tabs>
        <w:spacing w:line="276" w:lineRule="auto"/>
        <w:ind w:left="0" w:firstLine="709"/>
        <w:jc w:val="both"/>
        <w:rPr>
          <w:sz w:val="24"/>
          <w:szCs w:val="24"/>
        </w:rPr>
      </w:pPr>
      <w:r w:rsidRPr="00850D5E">
        <w:rPr>
          <w:sz w:val="24"/>
          <w:szCs w:val="24"/>
        </w:rPr>
        <w:t xml:space="preserve">121 punkto nuostatas, </w:t>
      </w:r>
      <w:r w:rsidR="00850D5E" w:rsidRPr="00850D5E">
        <w:rPr>
          <w:sz w:val="24"/>
          <w:szCs w:val="24"/>
        </w:rPr>
        <w:t xml:space="preserve">kad </w:t>
      </w:r>
      <w:r w:rsidR="00850D5E" w:rsidRPr="00850D5E">
        <w:rPr>
          <w:rStyle w:val="apple-converted-space"/>
          <w:color w:val="000000"/>
          <w:sz w:val="24"/>
          <w:szCs w:val="24"/>
        </w:rPr>
        <w:t>„</w:t>
      </w:r>
      <w:r w:rsidR="00850D5E" w:rsidRPr="00850D5E">
        <w:rPr>
          <w:color w:val="000000"/>
          <w:sz w:val="24"/>
          <w:szCs w:val="24"/>
        </w:rPr>
        <w:t xml:space="preserve">Sudarant pirkimo sutartį, negali būti keičiama laimėjusio tiekėjo pasiūlymo kaina ar keičiamas jos nustatymo būdas, pasiūlymo turinys, sutarties įvykdymo užtikrinimo reikalavimai ir kitos pirkimo sutarties sąlygos, </w:t>
      </w:r>
      <w:r w:rsidRPr="00850D5E">
        <w:rPr>
          <w:sz w:val="24"/>
          <w:szCs w:val="24"/>
        </w:rPr>
        <w:t xml:space="preserve">nes </w:t>
      </w:r>
      <w:r w:rsidR="00326390" w:rsidRPr="00850D5E">
        <w:rPr>
          <w:sz w:val="24"/>
          <w:szCs w:val="24"/>
        </w:rPr>
        <w:t xml:space="preserve">nei tiekėjo pasiūlyme, nei derybų su tiekėju </w:t>
      </w:r>
      <w:r w:rsidR="002059F0" w:rsidRPr="00850D5E">
        <w:rPr>
          <w:sz w:val="24"/>
          <w:szCs w:val="24"/>
        </w:rPr>
        <w:t>protokole (2014-10-14 protokolas Nr. 29) neužfiksuotas perkamos medienos kiekis</w:t>
      </w:r>
      <w:r w:rsidR="00850D5E">
        <w:rPr>
          <w:sz w:val="24"/>
          <w:szCs w:val="24"/>
        </w:rPr>
        <w:t>, kuris nurodytas sudarytoje sutartyje</w:t>
      </w:r>
      <w:r w:rsidRPr="00850D5E">
        <w:rPr>
          <w:sz w:val="24"/>
          <w:szCs w:val="24"/>
        </w:rPr>
        <w:t>;</w:t>
      </w:r>
    </w:p>
    <w:p w:rsidR="003C6D0C" w:rsidRPr="00CB0A27" w:rsidRDefault="003C6D0C" w:rsidP="008979FC">
      <w:pPr>
        <w:pStyle w:val="ListParagraph"/>
        <w:numPr>
          <w:ilvl w:val="0"/>
          <w:numId w:val="13"/>
        </w:numPr>
        <w:tabs>
          <w:tab w:val="left" w:pos="993"/>
        </w:tabs>
        <w:spacing w:line="276" w:lineRule="auto"/>
        <w:ind w:left="0" w:firstLine="709"/>
        <w:jc w:val="both"/>
        <w:rPr>
          <w:sz w:val="24"/>
          <w:szCs w:val="24"/>
        </w:rPr>
      </w:pPr>
      <w:r w:rsidRPr="00CB0A27">
        <w:rPr>
          <w:sz w:val="24"/>
          <w:szCs w:val="24"/>
        </w:rPr>
        <w:t>127 punkto nuostatas, kuriame nustatyta, kad „Perkami biokuro produktai privalo būti įsigyjami energetiniais matavimo vienetais (</w:t>
      </w:r>
      <w:proofErr w:type="spellStart"/>
      <w:r w:rsidRPr="00CB0A27">
        <w:rPr>
          <w:sz w:val="24"/>
          <w:szCs w:val="24"/>
        </w:rPr>
        <w:t>tne</w:t>
      </w:r>
      <w:proofErr w:type="spellEnd"/>
      <w:r w:rsidRPr="00CB0A27">
        <w:rPr>
          <w:sz w:val="24"/>
          <w:szCs w:val="24"/>
        </w:rPr>
        <w:t xml:space="preserve">)“, </w:t>
      </w:r>
      <w:r w:rsidR="008979FC">
        <w:rPr>
          <w:sz w:val="24"/>
          <w:szCs w:val="24"/>
        </w:rPr>
        <w:t>tačiau</w:t>
      </w:r>
      <w:r w:rsidRPr="00CB0A27">
        <w:rPr>
          <w:sz w:val="24"/>
          <w:szCs w:val="24"/>
        </w:rPr>
        <w:t xml:space="preserve"> sutartyje nurodyta, jog įsigyjama 4000 tonų medienos.</w:t>
      </w:r>
    </w:p>
    <w:p w:rsidR="00861608" w:rsidRDefault="008F22EE" w:rsidP="008979FC">
      <w:pPr>
        <w:pStyle w:val="ListParagraph"/>
        <w:numPr>
          <w:ilvl w:val="0"/>
          <w:numId w:val="15"/>
        </w:numPr>
        <w:tabs>
          <w:tab w:val="left" w:pos="993"/>
          <w:tab w:val="left" w:pos="1276"/>
        </w:tabs>
        <w:spacing w:line="276" w:lineRule="auto"/>
        <w:ind w:left="0" w:firstLine="709"/>
        <w:jc w:val="both"/>
        <w:rPr>
          <w:sz w:val="24"/>
          <w:szCs w:val="24"/>
        </w:rPr>
      </w:pPr>
      <w:r w:rsidRPr="008979FC">
        <w:rPr>
          <w:sz w:val="24"/>
          <w:szCs w:val="24"/>
        </w:rPr>
        <w:t xml:space="preserve">Įsigyjančioji organizacija </w:t>
      </w:r>
      <w:r w:rsidR="00A13F69" w:rsidRPr="008979FC">
        <w:rPr>
          <w:sz w:val="24"/>
          <w:szCs w:val="24"/>
        </w:rPr>
        <w:t>po</w:t>
      </w:r>
      <w:r w:rsidRPr="008979FC">
        <w:rPr>
          <w:sz w:val="24"/>
          <w:szCs w:val="24"/>
        </w:rPr>
        <w:t xml:space="preserve"> derybų 2014-10-14 pasirašė su tiekėju UAB „</w:t>
      </w:r>
      <w:proofErr w:type="spellStart"/>
      <w:r w:rsidRPr="008979FC">
        <w:rPr>
          <w:sz w:val="24"/>
          <w:szCs w:val="24"/>
        </w:rPr>
        <w:t>Timbex</w:t>
      </w:r>
      <w:proofErr w:type="spellEnd"/>
      <w:r w:rsidRPr="008979FC">
        <w:rPr>
          <w:sz w:val="24"/>
          <w:szCs w:val="24"/>
        </w:rPr>
        <w:t>“ papildomą susitarimą prie sutarties Nr. 14-03 PS/14-55PS. Sudaryto papildomo susitarimo 1.1 punkte nustatyta, kad „perkamo kuro kiekis gali keistis priklausomai nuo poreikio“.</w:t>
      </w:r>
      <w:r w:rsidRPr="008979FC">
        <w:rPr>
          <w:bCs/>
          <w:sz w:val="24"/>
          <w:szCs w:val="24"/>
        </w:rPr>
        <w:t xml:space="preserve"> Tai neužtikrina Taisyklių 3 punkte įtvirtinto skaidrumo</w:t>
      </w:r>
      <w:r w:rsidRPr="008979FC">
        <w:rPr>
          <w:bCs/>
          <w:i/>
          <w:sz w:val="24"/>
          <w:szCs w:val="24"/>
        </w:rPr>
        <w:t xml:space="preserve"> </w:t>
      </w:r>
      <w:r w:rsidRPr="008979FC">
        <w:rPr>
          <w:bCs/>
          <w:sz w:val="24"/>
          <w:szCs w:val="24"/>
        </w:rPr>
        <w:t>principo laikymosi, atsižvelgiant į tai, kad minėtomis nuostatomis sudaromos prielaidos piktnaudžiavimui. Tarnyba pažymi, kad Pirkimo sąlygose, vadovaujantis Taisyklių 62.6 punktu, turėjo būti nurodytas maksimalus įsigyj</w:t>
      </w:r>
      <w:r w:rsidR="00F57648" w:rsidRPr="008979FC">
        <w:rPr>
          <w:bCs/>
          <w:sz w:val="24"/>
          <w:szCs w:val="24"/>
        </w:rPr>
        <w:t>amas energijos išteklių kiekis.</w:t>
      </w:r>
      <w:r w:rsidR="00A13F69" w:rsidRPr="008979FC">
        <w:rPr>
          <w:bCs/>
          <w:sz w:val="24"/>
          <w:szCs w:val="24"/>
        </w:rPr>
        <w:t xml:space="preserve"> Taip pat </w:t>
      </w:r>
      <w:r w:rsidR="00626685" w:rsidRPr="008979FC">
        <w:rPr>
          <w:sz w:val="24"/>
          <w:szCs w:val="24"/>
        </w:rPr>
        <w:t xml:space="preserve">Tarnyba atkreipia dėmesį, kad </w:t>
      </w:r>
      <w:r w:rsidR="00046F58" w:rsidRPr="008979FC">
        <w:rPr>
          <w:sz w:val="24"/>
          <w:szCs w:val="24"/>
        </w:rPr>
        <w:t>Įsigyjančioji</w:t>
      </w:r>
      <w:r w:rsidR="00626685" w:rsidRPr="008979FC">
        <w:rPr>
          <w:sz w:val="24"/>
          <w:szCs w:val="24"/>
        </w:rPr>
        <w:t xml:space="preserve"> organizacija vykdė naujo pirkimo </w:t>
      </w:r>
      <w:r w:rsidR="00A13F69" w:rsidRPr="008979FC">
        <w:rPr>
          <w:sz w:val="24"/>
          <w:szCs w:val="24"/>
        </w:rPr>
        <w:t xml:space="preserve">–neskelbiamų derybų </w:t>
      </w:r>
      <w:r w:rsidR="00626685" w:rsidRPr="008979FC">
        <w:rPr>
          <w:sz w:val="24"/>
          <w:szCs w:val="24"/>
        </w:rPr>
        <w:t xml:space="preserve">procedūras, todėl turėjo </w:t>
      </w:r>
      <w:r w:rsidR="00A13F69" w:rsidRPr="008979FC">
        <w:rPr>
          <w:sz w:val="24"/>
          <w:szCs w:val="24"/>
        </w:rPr>
        <w:t>sudaryti</w:t>
      </w:r>
      <w:r w:rsidR="00626685" w:rsidRPr="008979FC">
        <w:rPr>
          <w:sz w:val="24"/>
          <w:szCs w:val="24"/>
        </w:rPr>
        <w:t xml:space="preserve"> naują sutartį su tiekėju.</w:t>
      </w:r>
      <w:r w:rsidR="004B1F2C" w:rsidRPr="008979FC">
        <w:rPr>
          <w:sz w:val="24"/>
          <w:szCs w:val="24"/>
        </w:rPr>
        <w:t xml:space="preserve"> </w:t>
      </w:r>
    </w:p>
    <w:p w:rsidR="00D94A6F" w:rsidRPr="008979FC" w:rsidRDefault="00F521BC" w:rsidP="008979FC">
      <w:pPr>
        <w:pStyle w:val="ListParagraph"/>
        <w:tabs>
          <w:tab w:val="left" w:pos="993"/>
          <w:tab w:val="left" w:pos="1276"/>
        </w:tabs>
        <w:spacing w:line="276" w:lineRule="auto"/>
        <w:ind w:left="0" w:firstLine="709"/>
        <w:jc w:val="both"/>
        <w:rPr>
          <w:sz w:val="24"/>
          <w:szCs w:val="24"/>
        </w:rPr>
      </w:pPr>
      <w:r w:rsidRPr="008979FC">
        <w:rPr>
          <w:sz w:val="24"/>
          <w:szCs w:val="24"/>
        </w:rPr>
        <w:t>At</w:t>
      </w:r>
      <w:r w:rsidR="003561B9" w:rsidRPr="008979FC">
        <w:rPr>
          <w:sz w:val="24"/>
          <w:szCs w:val="24"/>
        </w:rPr>
        <w:t xml:space="preserve">sižvelgiant į nurodytus </w:t>
      </w:r>
      <w:r w:rsidR="00D14042">
        <w:rPr>
          <w:sz w:val="24"/>
          <w:szCs w:val="24"/>
        </w:rPr>
        <w:t xml:space="preserve">Taisyklių </w:t>
      </w:r>
      <w:r w:rsidRPr="008979FC">
        <w:rPr>
          <w:sz w:val="24"/>
          <w:szCs w:val="24"/>
        </w:rPr>
        <w:t>pažeidimus ir v</w:t>
      </w:r>
      <w:r w:rsidR="00716F7F" w:rsidRPr="008979FC">
        <w:rPr>
          <w:sz w:val="24"/>
          <w:szCs w:val="24"/>
        </w:rPr>
        <w:t>adovaujantis Lietuvos Respublikos civilinio kodekso 1.80</w:t>
      </w:r>
      <w:r w:rsidRPr="008979FC">
        <w:rPr>
          <w:sz w:val="24"/>
          <w:szCs w:val="24"/>
        </w:rPr>
        <w:t xml:space="preserve"> straipsnio 1 dalies nuostata</w:t>
      </w:r>
      <w:r w:rsidR="00716F7F" w:rsidRPr="008979FC">
        <w:rPr>
          <w:sz w:val="24"/>
          <w:szCs w:val="24"/>
        </w:rPr>
        <w:t>,</w:t>
      </w:r>
      <w:r w:rsidRPr="008979FC">
        <w:rPr>
          <w:sz w:val="24"/>
          <w:szCs w:val="24"/>
        </w:rPr>
        <w:t xml:space="preserve"> kad</w:t>
      </w:r>
      <w:r w:rsidR="00716F7F" w:rsidRPr="008979FC">
        <w:rPr>
          <w:sz w:val="24"/>
          <w:szCs w:val="24"/>
        </w:rPr>
        <w:t xml:space="preserve"> imperatyvioms įstatymo nuostatoms prieštaraujantis sandoris yr</w:t>
      </w:r>
      <w:r w:rsidRPr="008979FC">
        <w:rPr>
          <w:sz w:val="24"/>
          <w:szCs w:val="24"/>
        </w:rPr>
        <w:t xml:space="preserve">a niekinis ir negalioja, </w:t>
      </w:r>
      <w:r w:rsidR="00716F7F" w:rsidRPr="008979FC">
        <w:rPr>
          <w:sz w:val="24"/>
          <w:szCs w:val="24"/>
        </w:rPr>
        <w:t xml:space="preserve">Tarnybos nuomone, </w:t>
      </w:r>
      <w:r w:rsidR="00046F58" w:rsidRPr="008979FC">
        <w:rPr>
          <w:sz w:val="24"/>
          <w:szCs w:val="24"/>
        </w:rPr>
        <w:t xml:space="preserve">Įsigyjančioji </w:t>
      </w:r>
      <w:r w:rsidR="00D94A6F" w:rsidRPr="008979FC">
        <w:rPr>
          <w:sz w:val="24"/>
          <w:szCs w:val="24"/>
        </w:rPr>
        <w:t>organizacija Pi</w:t>
      </w:r>
      <w:r w:rsidR="001C45F3" w:rsidRPr="008979FC">
        <w:rPr>
          <w:sz w:val="24"/>
          <w:szCs w:val="24"/>
        </w:rPr>
        <w:t>rkimo sutart</w:t>
      </w:r>
      <w:r w:rsidR="00262D5F" w:rsidRPr="008979FC">
        <w:rPr>
          <w:sz w:val="24"/>
          <w:szCs w:val="24"/>
        </w:rPr>
        <w:t>į</w:t>
      </w:r>
      <w:r w:rsidR="001C45F3" w:rsidRPr="008979FC">
        <w:rPr>
          <w:sz w:val="24"/>
          <w:szCs w:val="24"/>
        </w:rPr>
        <w:t xml:space="preserve"> turėtų nutraukti, ir, esant poreikiui, organizuoti naują pirkimą.</w:t>
      </w:r>
    </w:p>
    <w:p w:rsidR="003E5C7C" w:rsidRDefault="00D94A6F" w:rsidP="008979FC">
      <w:pPr>
        <w:tabs>
          <w:tab w:val="left" w:pos="993"/>
        </w:tabs>
        <w:spacing w:line="276" w:lineRule="auto"/>
        <w:ind w:firstLine="709"/>
        <w:jc w:val="both"/>
        <w:rPr>
          <w:sz w:val="24"/>
          <w:szCs w:val="24"/>
        </w:rPr>
      </w:pPr>
      <w:r>
        <w:rPr>
          <w:sz w:val="24"/>
          <w:szCs w:val="24"/>
        </w:rPr>
        <w:t xml:space="preserve">Prašome nedelsiant, bet ne vėliau kaip </w:t>
      </w:r>
      <w:r w:rsidR="009A6C6E">
        <w:rPr>
          <w:sz w:val="24"/>
          <w:szCs w:val="24"/>
        </w:rPr>
        <w:t>per 10 darbo dienų nuo šios išvados gavimo, raštu informuoti Tarnybą apie priimtus sprendimus dėl Pirkimo sutar</w:t>
      </w:r>
      <w:r w:rsidR="00262D5F">
        <w:rPr>
          <w:sz w:val="24"/>
          <w:szCs w:val="24"/>
        </w:rPr>
        <w:t>ties</w:t>
      </w:r>
      <w:r w:rsidR="009A6C6E">
        <w:rPr>
          <w:sz w:val="24"/>
          <w:szCs w:val="24"/>
        </w:rPr>
        <w:t xml:space="preserve"> nutraukimo.</w:t>
      </w:r>
      <w:r>
        <w:rPr>
          <w:sz w:val="24"/>
          <w:szCs w:val="24"/>
        </w:rPr>
        <w:t xml:space="preserve"> </w:t>
      </w:r>
      <w:r w:rsidR="00716F7F">
        <w:rPr>
          <w:sz w:val="24"/>
          <w:szCs w:val="24"/>
        </w:rPr>
        <w:t xml:space="preserve"> </w:t>
      </w:r>
      <w:r w:rsidR="00FF3919">
        <w:rPr>
          <w:sz w:val="24"/>
          <w:szCs w:val="24"/>
        </w:rPr>
        <w:t xml:space="preserve"> </w:t>
      </w:r>
      <w:r w:rsidR="003E5C7C">
        <w:rPr>
          <w:sz w:val="24"/>
          <w:szCs w:val="24"/>
        </w:rPr>
        <w:t xml:space="preserve"> </w:t>
      </w:r>
    </w:p>
    <w:p w:rsidR="006E0DF2" w:rsidRDefault="006E0DF2" w:rsidP="00571FED">
      <w:pPr>
        <w:tabs>
          <w:tab w:val="left" w:pos="900"/>
        </w:tabs>
        <w:jc w:val="both"/>
        <w:rPr>
          <w:sz w:val="24"/>
          <w:szCs w:val="24"/>
        </w:rPr>
      </w:pPr>
    </w:p>
    <w:p w:rsidR="006E0DF2" w:rsidRDefault="006E0DF2" w:rsidP="00571FED">
      <w:pPr>
        <w:tabs>
          <w:tab w:val="left" w:pos="900"/>
        </w:tabs>
        <w:jc w:val="both"/>
        <w:rPr>
          <w:sz w:val="24"/>
          <w:szCs w:val="24"/>
        </w:rPr>
      </w:pPr>
    </w:p>
    <w:p w:rsidR="006E0DF2" w:rsidRPr="006E0DF2" w:rsidRDefault="006E0DF2" w:rsidP="00571FED">
      <w:pPr>
        <w:tabs>
          <w:tab w:val="left" w:pos="900"/>
        </w:tabs>
        <w:jc w:val="both"/>
        <w:rPr>
          <w:bCs/>
          <w:sz w:val="24"/>
          <w:szCs w:val="24"/>
        </w:rPr>
      </w:pPr>
    </w:p>
    <w:p w:rsidR="00622855" w:rsidRDefault="00622855" w:rsidP="00622855">
      <w:pPr>
        <w:tabs>
          <w:tab w:val="left" w:pos="0"/>
        </w:tabs>
        <w:jc w:val="both"/>
        <w:rPr>
          <w:bCs/>
          <w:sz w:val="24"/>
          <w:szCs w:val="24"/>
        </w:rPr>
      </w:pPr>
      <w:r>
        <w:rPr>
          <w:bCs/>
          <w:sz w:val="24"/>
          <w:szCs w:val="24"/>
        </w:rPr>
        <w:t>Kontrolės skyriaus vyriausi</w:t>
      </w:r>
      <w:r w:rsidR="00262D5F">
        <w:rPr>
          <w:bCs/>
          <w:sz w:val="24"/>
          <w:szCs w:val="24"/>
        </w:rPr>
        <w:t>oji</w:t>
      </w:r>
      <w:r>
        <w:rPr>
          <w:bCs/>
          <w:sz w:val="24"/>
          <w:szCs w:val="24"/>
        </w:rPr>
        <w:t xml:space="preserve"> specialist</w:t>
      </w:r>
      <w:r w:rsidR="00262D5F">
        <w:rPr>
          <w:bCs/>
          <w:sz w:val="24"/>
          <w:szCs w:val="24"/>
        </w:rPr>
        <w:t>ė</w:t>
      </w:r>
      <w:r>
        <w:rPr>
          <w:bCs/>
          <w:sz w:val="24"/>
          <w:szCs w:val="24"/>
        </w:rPr>
        <w:tab/>
        <w:t xml:space="preserve"> </w:t>
      </w:r>
      <w:r w:rsidR="00262D5F">
        <w:rPr>
          <w:bCs/>
          <w:sz w:val="24"/>
          <w:szCs w:val="24"/>
        </w:rPr>
        <w:t xml:space="preserve"> </w:t>
      </w:r>
      <w:r>
        <w:rPr>
          <w:bCs/>
          <w:sz w:val="24"/>
          <w:szCs w:val="24"/>
        </w:rPr>
        <w:t xml:space="preserve">                                      </w:t>
      </w:r>
      <w:r w:rsidR="00255FE6">
        <w:rPr>
          <w:bCs/>
          <w:sz w:val="24"/>
          <w:szCs w:val="24"/>
        </w:rPr>
        <w:t xml:space="preserve">      </w:t>
      </w:r>
      <w:r w:rsidR="009F249B">
        <w:rPr>
          <w:bCs/>
          <w:sz w:val="24"/>
          <w:szCs w:val="24"/>
        </w:rPr>
        <w:t xml:space="preserve">    </w:t>
      </w:r>
      <w:r w:rsidR="00262D5F">
        <w:rPr>
          <w:bCs/>
          <w:sz w:val="24"/>
          <w:szCs w:val="24"/>
        </w:rPr>
        <w:t>Virginija Gadliauskienė</w:t>
      </w:r>
    </w:p>
    <w:p w:rsidR="00622855" w:rsidRDefault="00622855" w:rsidP="00622855">
      <w:pPr>
        <w:jc w:val="both"/>
        <w:rPr>
          <w:bCs/>
          <w:sz w:val="24"/>
          <w:szCs w:val="24"/>
        </w:rPr>
      </w:pPr>
    </w:p>
    <w:p w:rsidR="00622855" w:rsidRDefault="00622855" w:rsidP="00622855">
      <w:pPr>
        <w:jc w:val="both"/>
        <w:rPr>
          <w:bCs/>
          <w:sz w:val="24"/>
          <w:szCs w:val="24"/>
        </w:rPr>
      </w:pPr>
    </w:p>
    <w:p w:rsidR="00622855" w:rsidRDefault="00622855" w:rsidP="00622855">
      <w:pPr>
        <w:jc w:val="both"/>
        <w:rPr>
          <w:bCs/>
          <w:sz w:val="24"/>
          <w:szCs w:val="24"/>
        </w:rPr>
      </w:pPr>
    </w:p>
    <w:p w:rsidR="00622855" w:rsidRDefault="00622855" w:rsidP="00622855">
      <w:pPr>
        <w:jc w:val="both"/>
        <w:rPr>
          <w:bCs/>
        </w:rPr>
      </w:pPr>
    </w:p>
    <w:p w:rsidR="00492D75" w:rsidRPr="00492D75" w:rsidRDefault="00492D75" w:rsidP="00622855">
      <w:pPr>
        <w:jc w:val="both"/>
        <w:rPr>
          <w:bCs/>
        </w:rPr>
      </w:pPr>
    </w:p>
    <w:p w:rsidR="00571FED" w:rsidRDefault="00571FED" w:rsidP="00622855">
      <w:pPr>
        <w:jc w:val="both"/>
        <w:rPr>
          <w:bCs/>
          <w:sz w:val="24"/>
          <w:szCs w:val="24"/>
        </w:rPr>
      </w:pPr>
    </w:p>
    <w:p w:rsidR="00A13F69" w:rsidRDefault="00A13F69" w:rsidP="00622855">
      <w:pPr>
        <w:jc w:val="both"/>
        <w:rPr>
          <w:bCs/>
          <w:sz w:val="24"/>
          <w:szCs w:val="24"/>
        </w:rPr>
      </w:pPr>
    </w:p>
    <w:p w:rsidR="00A13F69" w:rsidRDefault="00A13F69" w:rsidP="00622855">
      <w:pPr>
        <w:jc w:val="both"/>
        <w:rPr>
          <w:bCs/>
          <w:sz w:val="24"/>
          <w:szCs w:val="24"/>
        </w:rPr>
      </w:pPr>
    </w:p>
    <w:p w:rsidR="00A13F69" w:rsidRDefault="00A13F69" w:rsidP="00622855">
      <w:pPr>
        <w:jc w:val="both"/>
        <w:rPr>
          <w:bCs/>
          <w:sz w:val="24"/>
          <w:szCs w:val="24"/>
        </w:rPr>
      </w:pPr>
    </w:p>
    <w:p w:rsidR="00A13F69" w:rsidRDefault="00A13F69" w:rsidP="00622855">
      <w:pPr>
        <w:jc w:val="both"/>
        <w:rPr>
          <w:bCs/>
          <w:sz w:val="24"/>
          <w:szCs w:val="24"/>
        </w:rPr>
      </w:pPr>
    </w:p>
    <w:p w:rsidR="00A13F69" w:rsidRDefault="00A13F69" w:rsidP="00622855">
      <w:pPr>
        <w:jc w:val="both"/>
        <w:rPr>
          <w:bCs/>
          <w:sz w:val="24"/>
          <w:szCs w:val="24"/>
        </w:rPr>
      </w:pPr>
    </w:p>
    <w:p w:rsidR="00A13F69" w:rsidRDefault="00A13F69" w:rsidP="00622855">
      <w:pPr>
        <w:jc w:val="both"/>
        <w:rPr>
          <w:bCs/>
          <w:sz w:val="24"/>
          <w:szCs w:val="24"/>
        </w:rPr>
      </w:pPr>
    </w:p>
    <w:p w:rsidR="00A13F69" w:rsidRDefault="00A13F69" w:rsidP="00622855">
      <w:pPr>
        <w:jc w:val="both"/>
        <w:rPr>
          <w:bCs/>
          <w:sz w:val="24"/>
          <w:szCs w:val="24"/>
        </w:rPr>
      </w:pPr>
    </w:p>
    <w:p w:rsidR="00A13F69" w:rsidRDefault="00A13F69" w:rsidP="00622855">
      <w:pPr>
        <w:jc w:val="both"/>
        <w:rPr>
          <w:bCs/>
          <w:sz w:val="24"/>
          <w:szCs w:val="24"/>
        </w:rPr>
      </w:pPr>
    </w:p>
    <w:p w:rsidR="00ED42F8" w:rsidRPr="00ED42F8" w:rsidRDefault="00ED42F8" w:rsidP="00ED42F8">
      <w:pPr>
        <w:tabs>
          <w:tab w:val="left" w:pos="851"/>
        </w:tabs>
        <w:rPr>
          <w:sz w:val="24"/>
          <w:szCs w:val="24"/>
        </w:rPr>
      </w:pPr>
      <w:r w:rsidRPr="00ED42F8">
        <w:rPr>
          <w:sz w:val="24"/>
          <w:szCs w:val="24"/>
        </w:rPr>
        <w:t xml:space="preserve">V.Gadliauskienė, tel. (8 5) 219 7026, el. p. </w:t>
      </w:r>
      <w:proofErr w:type="spellStart"/>
      <w:r w:rsidRPr="00ED42F8">
        <w:rPr>
          <w:sz w:val="24"/>
          <w:szCs w:val="24"/>
        </w:rPr>
        <w:t>Virginija.Gadliauskienė@vpt.lt</w:t>
      </w:r>
      <w:proofErr w:type="spellEnd"/>
    </w:p>
    <w:sectPr w:rsidR="00ED42F8" w:rsidRPr="00ED42F8" w:rsidSect="009F2EFD">
      <w:headerReference w:type="even" r:id="rId10"/>
      <w:headerReference w:type="default" r:id="rId11"/>
      <w:footerReference w:type="default" r:id="rId12"/>
      <w:footerReference w:type="first" r:id="rId13"/>
      <w:pgSz w:w="11907" w:h="16840" w:code="9"/>
      <w:pgMar w:top="1134" w:right="567" w:bottom="1134" w:left="1701" w:header="567" w:footer="454"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1F8" w:rsidRDefault="007121F8">
      <w:r>
        <w:separator/>
      </w:r>
    </w:p>
  </w:endnote>
  <w:endnote w:type="continuationSeparator" w:id="0">
    <w:p w:rsidR="007121F8" w:rsidRDefault="007121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E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panose1 w:val="02020603050405020304"/>
    <w:charset w:val="BA"/>
    <w:family w:val="roman"/>
    <w:pitch w:val="variable"/>
    <w:sig w:usb0="00000007" w:usb1="00000000" w:usb2="00000000" w:usb3="00000000" w:csb0="00000093"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F8" w:rsidRDefault="007121F8">
    <w:pPr>
      <w:pStyle w:val="Footer"/>
    </w:pPr>
  </w:p>
  <w:p w:rsidR="007121F8" w:rsidRDefault="007121F8">
    <w:pPr>
      <w:pStyle w:val="Footer"/>
    </w:pPr>
  </w:p>
  <w:p w:rsidR="007121F8" w:rsidRDefault="007121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tblBorders>
      <w:tblLook w:val="04A0"/>
    </w:tblPr>
    <w:tblGrid>
      <w:gridCol w:w="3285"/>
      <w:gridCol w:w="3285"/>
      <w:gridCol w:w="3285"/>
    </w:tblGrid>
    <w:tr w:rsidR="007121F8" w:rsidRPr="008F10BE" w:rsidTr="0048148B">
      <w:tc>
        <w:tcPr>
          <w:tcW w:w="3225" w:type="dxa"/>
        </w:tcPr>
        <w:p w:rsidR="007121F8" w:rsidRPr="008F10BE" w:rsidRDefault="007121F8" w:rsidP="00225780">
          <w:pPr>
            <w:pStyle w:val="Footer"/>
          </w:pPr>
          <w:r w:rsidRPr="008F10BE">
            <w:t>Biudžetinė įstaiga</w:t>
          </w:r>
        </w:p>
        <w:p w:rsidR="007121F8" w:rsidRPr="008F10BE" w:rsidRDefault="007121F8" w:rsidP="00225780">
          <w:pPr>
            <w:pStyle w:val="Footer"/>
          </w:pPr>
          <w:r w:rsidRPr="008F10BE">
            <w:t>Kareivių g. 1, 08221 Vilnius</w:t>
          </w:r>
        </w:p>
        <w:p w:rsidR="007121F8" w:rsidRPr="008F10BE" w:rsidRDefault="007121F8" w:rsidP="00225780">
          <w:pPr>
            <w:pStyle w:val="Footer"/>
          </w:pPr>
          <w:r w:rsidRPr="008F10BE">
            <w:t>http://www.vpt.lt</w:t>
          </w:r>
        </w:p>
      </w:tc>
      <w:tc>
        <w:tcPr>
          <w:tcW w:w="3225" w:type="dxa"/>
        </w:tcPr>
        <w:p w:rsidR="007121F8" w:rsidRPr="008F10BE" w:rsidRDefault="007121F8" w:rsidP="008A5A7B">
          <w:pPr>
            <w:pStyle w:val="Footer"/>
          </w:pPr>
          <w:r w:rsidRPr="008F10BE">
            <w:t>Tel. (8 5) 219 7001</w:t>
          </w:r>
        </w:p>
        <w:p w:rsidR="007121F8" w:rsidRPr="008F10BE" w:rsidRDefault="007121F8" w:rsidP="008A5A7B">
          <w:pPr>
            <w:pStyle w:val="Footer"/>
          </w:pPr>
          <w:r w:rsidRPr="008F10BE">
            <w:t>Faks. (8 5) 213 6213</w:t>
          </w:r>
        </w:p>
        <w:p w:rsidR="007121F8" w:rsidRPr="008F10BE" w:rsidRDefault="007121F8" w:rsidP="008A5A7B">
          <w:pPr>
            <w:pStyle w:val="Footer"/>
          </w:pPr>
          <w:r w:rsidRPr="008F10BE">
            <w:t>El. p. info@vpt.lt</w:t>
          </w:r>
        </w:p>
      </w:tc>
      <w:tc>
        <w:tcPr>
          <w:tcW w:w="3225" w:type="dxa"/>
        </w:tcPr>
        <w:p w:rsidR="007121F8" w:rsidRPr="008F10BE" w:rsidRDefault="007121F8" w:rsidP="008A5A7B">
          <w:pPr>
            <w:pStyle w:val="Footer"/>
          </w:pPr>
          <w:r w:rsidRPr="008F10BE">
            <w:t>Duomenys kaupiami ir saugomi</w:t>
          </w:r>
        </w:p>
        <w:p w:rsidR="007121F8" w:rsidRPr="008F10BE" w:rsidRDefault="007121F8" w:rsidP="00225780">
          <w:pPr>
            <w:pStyle w:val="Footer"/>
          </w:pPr>
          <w:r w:rsidRPr="008F10BE">
            <w:t>Juridinių asmenų registre</w:t>
          </w:r>
        </w:p>
        <w:p w:rsidR="007121F8" w:rsidRPr="008F10BE" w:rsidRDefault="007121F8" w:rsidP="00225780">
          <w:pPr>
            <w:pStyle w:val="Footer"/>
          </w:pPr>
          <w:r w:rsidRPr="008F10BE">
            <w:t>Kodas 188656261</w:t>
          </w:r>
        </w:p>
      </w:tc>
    </w:tr>
  </w:tbl>
  <w:p w:rsidR="007121F8" w:rsidRPr="008F10BE" w:rsidRDefault="007121F8" w:rsidP="0022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1F8" w:rsidRDefault="007121F8">
      <w:r>
        <w:separator/>
      </w:r>
    </w:p>
  </w:footnote>
  <w:footnote w:type="continuationSeparator" w:id="0">
    <w:p w:rsidR="007121F8" w:rsidRDefault="007121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F8" w:rsidRDefault="00655C2C">
    <w:pPr>
      <w:pStyle w:val="Header"/>
      <w:framePr w:wrap="around" w:vAnchor="text" w:hAnchor="margin" w:xAlign="center" w:y="1"/>
      <w:rPr>
        <w:rStyle w:val="PageNumber"/>
      </w:rPr>
    </w:pPr>
    <w:r>
      <w:rPr>
        <w:rStyle w:val="PageNumber"/>
      </w:rPr>
      <w:fldChar w:fldCharType="begin"/>
    </w:r>
    <w:r w:rsidR="007121F8">
      <w:rPr>
        <w:rStyle w:val="PageNumber"/>
      </w:rPr>
      <w:instrText xml:space="preserve">PAGE  </w:instrText>
    </w:r>
    <w:r>
      <w:rPr>
        <w:rStyle w:val="PageNumber"/>
      </w:rPr>
      <w:fldChar w:fldCharType="end"/>
    </w:r>
  </w:p>
  <w:p w:rsidR="007121F8" w:rsidRDefault="007121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1F8" w:rsidRPr="00C46A04" w:rsidRDefault="00655C2C">
    <w:pPr>
      <w:pStyle w:val="Header"/>
      <w:framePr w:wrap="around" w:vAnchor="text" w:hAnchor="margin" w:xAlign="center" w:y="1"/>
      <w:rPr>
        <w:rStyle w:val="PageNumber"/>
        <w:sz w:val="24"/>
        <w:szCs w:val="24"/>
      </w:rPr>
    </w:pPr>
    <w:r w:rsidRPr="00C46A04">
      <w:rPr>
        <w:rStyle w:val="PageNumber"/>
        <w:sz w:val="24"/>
        <w:szCs w:val="24"/>
      </w:rPr>
      <w:fldChar w:fldCharType="begin"/>
    </w:r>
    <w:r w:rsidR="007121F8" w:rsidRPr="00C46A04">
      <w:rPr>
        <w:rStyle w:val="PageNumber"/>
        <w:sz w:val="24"/>
        <w:szCs w:val="24"/>
      </w:rPr>
      <w:instrText xml:space="preserve">PAGE  </w:instrText>
    </w:r>
    <w:r w:rsidRPr="00C46A04">
      <w:rPr>
        <w:rStyle w:val="PageNumber"/>
        <w:sz w:val="24"/>
        <w:szCs w:val="24"/>
      </w:rPr>
      <w:fldChar w:fldCharType="separate"/>
    </w:r>
    <w:r w:rsidR="00A72C2E">
      <w:rPr>
        <w:rStyle w:val="PageNumber"/>
        <w:noProof/>
        <w:sz w:val="24"/>
        <w:szCs w:val="24"/>
      </w:rPr>
      <w:t>2</w:t>
    </w:r>
    <w:r w:rsidRPr="00C46A04">
      <w:rPr>
        <w:rStyle w:val="PageNumber"/>
        <w:sz w:val="24"/>
        <w:szCs w:val="24"/>
      </w:rPr>
      <w:fldChar w:fldCharType="end"/>
    </w:r>
  </w:p>
  <w:p w:rsidR="007121F8" w:rsidRDefault="007121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D0FF5"/>
    <w:multiLevelType w:val="hybridMultilevel"/>
    <w:tmpl w:val="DAF235A6"/>
    <w:lvl w:ilvl="0" w:tplc="611CCF7C">
      <w:start w:val="1"/>
      <w:numFmt w:val="bullet"/>
      <w:lvlText w:val=""/>
      <w:lvlJc w:val="left"/>
      <w:pPr>
        <w:ind w:left="2509" w:hanging="360"/>
      </w:pPr>
      <w:rPr>
        <w:rFonts w:ascii="Symbol" w:hAnsi="Symbol" w:hint="default"/>
      </w:rPr>
    </w:lvl>
    <w:lvl w:ilvl="1" w:tplc="04270003" w:tentative="1">
      <w:start w:val="1"/>
      <w:numFmt w:val="bullet"/>
      <w:lvlText w:val="o"/>
      <w:lvlJc w:val="left"/>
      <w:pPr>
        <w:ind w:left="3229" w:hanging="360"/>
      </w:pPr>
      <w:rPr>
        <w:rFonts w:ascii="Courier New" w:hAnsi="Courier New" w:cs="Courier New" w:hint="default"/>
      </w:rPr>
    </w:lvl>
    <w:lvl w:ilvl="2" w:tplc="04270005" w:tentative="1">
      <w:start w:val="1"/>
      <w:numFmt w:val="bullet"/>
      <w:lvlText w:val=""/>
      <w:lvlJc w:val="left"/>
      <w:pPr>
        <w:ind w:left="3949" w:hanging="360"/>
      </w:pPr>
      <w:rPr>
        <w:rFonts w:ascii="Wingdings" w:hAnsi="Wingdings" w:hint="default"/>
      </w:rPr>
    </w:lvl>
    <w:lvl w:ilvl="3" w:tplc="04270001" w:tentative="1">
      <w:start w:val="1"/>
      <w:numFmt w:val="bullet"/>
      <w:lvlText w:val=""/>
      <w:lvlJc w:val="left"/>
      <w:pPr>
        <w:ind w:left="4669" w:hanging="360"/>
      </w:pPr>
      <w:rPr>
        <w:rFonts w:ascii="Symbol" w:hAnsi="Symbol" w:hint="default"/>
      </w:rPr>
    </w:lvl>
    <w:lvl w:ilvl="4" w:tplc="04270003" w:tentative="1">
      <w:start w:val="1"/>
      <w:numFmt w:val="bullet"/>
      <w:lvlText w:val="o"/>
      <w:lvlJc w:val="left"/>
      <w:pPr>
        <w:ind w:left="5389" w:hanging="360"/>
      </w:pPr>
      <w:rPr>
        <w:rFonts w:ascii="Courier New" w:hAnsi="Courier New" w:cs="Courier New" w:hint="default"/>
      </w:rPr>
    </w:lvl>
    <w:lvl w:ilvl="5" w:tplc="04270005" w:tentative="1">
      <w:start w:val="1"/>
      <w:numFmt w:val="bullet"/>
      <w:lvlText w:val=""/>
      <w:lvlJc w:val="left"/>
      <w:pPr>
        <w:ind w:left="6109" w:hanging="360"/>
      </w:pPr>
      <w:rPr>
        <w:rFonts w:ascii="Wingdings" w:hAnsi="Wingdings" w:hint="default"/>
      </w:rPr>
    </w:lvl>
    <w:lvl w:ilvl="6" w:tplc="04270001" w:tentative="1">
      <w:start w:val="1"/>
      <w:numFmt w:val="bullet"/>
      <w:lvlText w:val=""/>
      <w:lvlJc w:val="left"/>
      <w:pPr>
        <w:ind w:left="6829" w:hanging="360"/>
      </w:pPr>
      <w:rPr>
        <w:rFonts w:ascii="Symbol" w:hAnsi="Symbol" w:hint="default"/>
      </w:rPr>
    </w:lvl>
    <w:lvl w:ilvl="7" w:tplc="04270003" w:tentative="1">
      <w:start w:val="1"/>
      <w:numFmt w:val="bullet"/>
      <w:lvlText w:val="o"/>
      <w:lvlJc w:val="left"/>
      <w:pPr>
        <w:ind w:left="7549" w:hanging="360"/>
      </w:pPr>
      <w:rPr>
        <w:rFonts w:ascii="Courier New" w:hAnsi="Courier New" w:cs="Courier New" w:hint="default"/>
      </w:rPr>
    </w:lvl>
    <w:lvl w:ilvl="8" w:tplc="04270005" w:tentative="1">
      <w:start w:val="1"/>
      <w:numFmt w:val="bullet"/>
      <w:lvlText w:val=""/>
      <w:lvlJc w:val="left"/>
      <w:pPr>
        <w:ind w:left="8269" w:hanging="360"/>
      </w:pPr>
      <w:rPr>
        <w:rFonts w:ascii="Wingdings" w:hAnsi="Wingdings" w:hint="default"/>
      </w:rPr>
    </w:lvl>
  </w:abstractNum>
  <w:abstractNum w:abstractNumId="1">
    <w:nsid w:val="06ED6CCB"/>
    <w:multiLevelType w:val="hybridMultilevel"/>
    <w:tmpl w:val="0C56A8A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57515E"/>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0D15CED"/>
    <w:multiLevelType w:val="hybridMultilevel"/>
    <w:tmpl w:val="ACE43E6A"/>
    <w:lvl w:ilvl="0" w:tplc="B80087C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18145A84"/>
    <w:multiLevelType w:val="hybridMultilevel"/>
    <w:tmpl w:val="6E88BA2A"/>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5">
    <w:nsid w:val="1C5530A5"/>
    <w:multiLevelType w:val="hybridMultilevel"/>
    <w:tmpl w:val="4A96F45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1DAD3DD2"/>
    <w:multiLevelType w:val="hybridMultilevel"/>
    <w:tmpl w:val="BB5C519C"/>
    <w:lvl w:ilvl="0" w:tplc="64BA90A8">
      <w:start w:val="1"/>
      <w:numFmt w:val="decimal"/>
      <w:lvlText w:val="%1."/>
      <w:lvlJc w:val="left"/>
      <w:pPr>
        <w:tabs>
          <w:tab w:val="num" w:pos="786"/>
        </w:tabs>
        <w:ind w:left="786" w:hanging="360"/>
      </w:pPr>
      <w:rPr>
        <w:rFonts w:cs="Times New Roman"/>
      </w:rPr>
    </w:lvl>
    <w:lvl w:ilvl="1" w:tplc="0A20CF02">
      <w:start w:val="1"/>
      <w:numFmt w:val="decimal"/>
      <w:lvlText w:val="%2."/>
      <w:lvlJc w:val="left"/>
      <w:pPr>
        <w:tabs>
          <w:tab w:val="num" w:pos="1440"/>
        </w:tabs>
        <w:ind w:left="1440" w:hanging="360"/>
      </w:pPr>
      <w:rPr>
        <w:rFonts w:cs="Times New Roman"/>
      </w:rPr>
    </w:lvl>
    <w:lvl w:ilvl="2" w:tplc="23A25A98">
      <w:start w:val="1"/>
      <w:numFmt w:val="decimal"/>
      <w:lvlText w:val="%3."/>
      <w:lvlJc w:val="left"/>
      <w:pPr>
        <w:tabs>
          <w:tab w:val="num" w:pos="2160"/>
        </w:tabs>
        <w:ind w:left="2160" w:hanging="360"/>
      </w:pPr>
      <w:rPr>
        <w:rFonts w:cs="Times New Roman"/>
      </w:rPr>
    </w:lvl>
    <w:lvl w:ilvl="3" w:tplc="CC6CE5DA">
      <w:start w:val="1"/>
      <w:numFmt w:val="decimal"/>
      <w:lvlText w:val="%4."/>
      <w:lvlJc w:val="left"/>
      <w:pPr>
        <w:tabs>
          <w:tab w:val="num" w:pos="2880"/>
        </w:tabs>
        <w:ind w:left="2880" w:hanging="360"/>
      </w:pPr>
      <w:rPr>
        <w:rFonts w:cs="Times New Roman"/>
      </w:rPr>
    </w:lvl>
    <w:lvl w:ilvl="4" w:tplc="73A85B60">
      <w:start w:val="1"/>
      <w:numFmt w:val="decimal"/>
      <w:lvlText w:val="%5."/>
      <w:lvlJc w:val="left"/>
      <w:pPr>
        <w:tabs>
          <w:tab w:val="num" w:pos="3600"/>
        </w:tabs>
        <w:ind w:left="3600" w:hanging="360"/>
      </w:pPr>
      <w:rPr>
        <w:rFonts w:cs="Times New Roman"/>
      </w:rPr>
    </w:lvl>
    <w:lvl w:ilvl="5" w:tplc="005626E6">
      <w:start w:val="1"/>
      <w:numFmt w:val="decimal"/>
      <w:lvlText w:val="%6."/>
      <w:lvlJc w:val="left"/>
      <w:pPr>
        <w:tabs>
          <w:tab w:val="num" w:pos="4320"/>
        </w:tabs>
        <w:ind w:left="4320" w:hanging="360"/>
      </w:pPr>
      <w:rPr>
        <w:rFonts w:cs="Times New Roman"/>
      </w:rPr>
    </w:lvl>
    <w:lvl w:ilvl="6" w:tplc="9C52A0F6">
      <w:start w:val="1"/>
      <w:numFmt w:val="decimal"/>
      <w:lvlText w:val="%7."/>
      <w:lvlJc w:val="left"/>
      <w:pPr>
        <w:tabs>
          <w:tab w:val="num" w:pos="5040"/>
        </w:tabs>
        <w:ind w:left="5040" w:hanging="360"/>
      </w:pPr>
      <w:rPr>
        <w:rFonts w:cs="Times New Roman"/>
      </w:rPr>
    </w:lvl>
    <w:lvl w:ilvl="7" w:tplc="A860FEE8">
      <w:start w:val="1"/>
      <w:numFmt w:val="decimal"/>
      <w:lvlText w:val="%8."/>
      <w:lvlJc w:val="left"/>
      <w:pPr>
        <w:tabs>
          <w:tab w:val="num" w:pos="5760"/>
        </w:tabs>
        <w:ind w:left="5760" w:hanging="360"/>
      </w:pPr>
      <w:rPr>
        <w:rFonts w:cs="Times New Roman"/>
      </w:rPr>
    </w:lvl>
    <w:lvl w:ilvl="8" w:tplc="9CE45ACE">
      <w:start w:val="1"/>
      <w:numFmt w:val="decimal"/>
      <w:lvlText w:val="%9."/>
      <w:lvlJc w:val="left"/>
      <w:pPr>
        <w:tabs>
          <w:tab w:val="num" w:pos="6480"/>
        </w:tabs>
        <w:ind w:left="6480" w:hanging="360"/>
      </w:pPr>
      <w:rPr>
        <w:rFonts w:cs="Times New Roman"/>
      </w:rPr>
    </w:lvl>
  </w:abstractNum>
  <w:abstractNum w:abstractNumId="7">
    <w:nsid w:val="1F18086A"/>
    <w:multiLevelType w:val="hybridMultilevel"/>
    <w:tmpl w:val="F1468F06"/>
    <w:lvl w:ilvl="0" w:tplc="F3D27C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28212597"/>
    <w:multiLevelType w:val="hybridMultilevel"/>
    <w:tmpl w:val="4BB600A4"/>
    <w:lvl w:ilvl="0" w:tplc="68A26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4F9E379B"/>
    <w:multiLevelType w:val="hybridMultilevel"/>
    <w:tmpl w:val="DD280626"/>
    <w:lvl w:ilvl="0" w:tplc="A8184A8A">
      <w:start w:val="6"/>
      <w:numFmt w:val="bullet"/>
      <w:lvlText w:val="-"/>
      <w:lvlJc w:val="left"/>
      <w:pPr>
        <w:ind w:left="1564" w:hanging="855"/>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0">
    <w:nsid w:val="6C9718D6"/>
    <w:multiLevelType w:val="multilevel"/>
    <w:tmpl w:val="83E0BA7A"/>
    <w:lvl w:ilvl="0">
      <w:start w:val="1"/>
      <w:numFmt w:val="decimal"/>
      <w:lvlText w:val="%1."/>
      <w:lvlJc w:val="left"/>
      <w:pPr>
        <w:ind w:left="1429"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nsid w:val="6DEA69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4E67F14"/>
    <w:multiLevelType w:val="hybridMultilevel"/>
    <w:tmpl w:val="D38AF296"/>
    <w:lvl w:ilvl="0" w:tplc="611CCF7C">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3">
    <w:nsid w:val="78F176D3"/>
    <w:multiLevelType w:val="hybridMultilevel"/>
    <w:tmpl w:val="845660D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nsid w:val="7F070F66"/>
    <w:multiLevelType w:val="hybridMultilevel"/>
    <w:tmpl w:val="D4623C02"/>
    <w:lvl w:ilvl="0" w:tplc="F566D7CA">
      <w:start w:val="1"/>
      <w:numFmt w:val="bullet"/>
      <w:lvlText w:val=""/>
      <w:lvlJc w:val="left"/>
      <w:pPr>
        <w:ind w:left="1429"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0"/>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1"/>
  </w:num>
  <w:num w:numId="9">
    <w:abstractNumId w:val="8"/>
  </w:num>
  <w:num w:numId="10">
    <w:abstractNumId w:val="1"/>
  </w:num>
  <w:num w:numId="11">
    <w:abstractNumId w:val="2"/>
  </w:num>
  <w:num w:numId="12">
    <w:abstractNumId w:val="10"/>
  </w:num>
  <w:num w:numId="13">
    <w:abstractNumId w:val="14"/>
  </w:num>
  <w:num w:numId="14">
    <w:abstractNumId w:val="9"/>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mirrorMargins/>
  <w:proofState w:spelling="clean" w:grammar="clean"/>
  <w:attachedTemplate r:id="rId1"/>
  <w:stylePaneFormatFilter w:val="3F01"/>
  <w:defaultTabStop w:val="720"/>
  <w:hyphenationZone w:val="396"/>
  <w:characterSpacingControl w:val="doNotCompress"/>
  <w:hdrShapeDefaults>
    <o:shapedefaults v:ext="edit" spidmax="139265"/>
  </w:hdrShapeDefaults>
  <w:footnotePr>
    <w:footnote w:id="-1"/>
    <w:footnote w:id="0"/>
  </w:footnotePr>
  <w:endnotePr>
    <w:endnote w:id="-1"/>
    <w:endnote w:id="0"/>
  </w:endnotePr>
  <w:compat/>
  <w:rsids>
    <w:rsidRoot w:val="0017077F"/>
    <w:rsid w:val="00003F46"/>
    <w:rsid w:val="00004F88"/>
    <w:rsid w:val="00005420"/>
    <w:rsid w:val="00006F30"/>
    <w:rsid w:val="00007372"/>
    <w:rsid w:val="000078D3"/>
    <w:rsid w:val="000111C9"/>
    <w:rsid w:val="000153D6"/>
    <w:rsid w:val="00021053"/>
    <w:rsid w:val="000239EE"/>
    <w:rsid w:val="00023B43"/>
    <w:rsid w:val="000305E7"/>
    <w:rsid w:val="000327A3"/>
    <w:rsid w:val="00033CC7"/>
    <w:rsid w:val="00035EB7"/>
    <w:rsid w:val="00040069"/>
    <w:rsid w:val="0004007C"/>
    <w:rsid w:val="00044AFE"/>
    <w:rsid w:val="00046709"/>
    <w:rsid w:val="00046F58"/>
    <w:rsid w:val="000506A7"/>
    <w:rsid w:val="00050AB4"/>
    <w:rsid w:val="00052C99"/>
    <w:rsid w:val="000676A3"/>
    <w:rsid w:val="0007035F"/>
    <w:rsid w:val="00070B1B"/>
    <w:rsid w:val="00075AAF"/>
    <w:rsid w:val="00094314"/>
    <w:rsid w:val="00097782"/>
    <w:rsid w:val="00097A68"/>
    <w:rsid w:val="000A2522"/>
    <w:rsid w:val="000A4AFC"/>
    <w:rsid w:val="000A6860"/>
    <w:rsid w:val="000B7480"/>
    <w:rsid w:val="000C7675"/>
    <w:rsid w:val="000D040C"/>
    <w:rsid w:val="000D78EE"/>
    <w:rsid w:val="000E0E0C"/>
    <w:rsid w:val="000E3FC7"/>
    <w:rsid w:val="000E5D45"/>
    <w:rsid w:val="000E6199"/>
    <w:rsid w:val="000F6C7A"/>
    <w:rsid w:val="0010196C"/>
    <w:rsid w:val="00103114"/>
    <w:rsid w:val="00103DFB"/>
    <w:rsid w:val="00105601"/>
    <w:rsid w:val="0011625B"/>
    <w:rsid w:val="00117AAD"/>
    <w:rsid w:val="00125945"/>
    <w:rsid w:val="00135430"/>
    <w:rsid w:val="001417BE"/>
    <w:rsid w:val="00141C54"/>
    <w:rsid w:val="0017077F"/>
    <w:rsid w:val="00174213"/>
    <w:rsid w:val="00187A54"/>
    <w:rsid w:val="001904F8"/>
    <w:rsid w:val="001947C6"/>
    <w:rsid w:val="001A2A3C"/>
    <w:rsid w:val="001B248C"/>
    <w:rsid w:val="001B63CF"/>
    <w:rsid w:val="001C45F3"/>
    <w:rsid w:val="001C539B"/>
    <w:rsid w:val="001C5426"/>
    <w:rsid w:val="001C5DD9"/>
    <w:rsid w:val="001C64A9"/>
    <w:rsid w:val="001D6415"/>
    <w:rsid w:val="001D6C90"/>
    <w:rsid w:val="001E4330"/>
    <w:rsid w:val="001F2D30"/>
    <w:rsid w:val="002059F0"/>
    <w:rsid w:val="0020719E"/>
    <w:rsid w:val="0021022D"/>
    <w:rsid w:val="002115B1"/>
    <w:rsid w:val="00216F25"/>
    <w:rsid w:val="00223E47"/>
    <w:rsid w:val="00225780"/>
    <w:rsid w:val="00234DE0"/>
    <w:rsid w:val="00241460"/>
    <w:rsid w:val="00243489"/>
    <w:rsid w:val="002556A3"/>
    <w:rsid w:val="00255FE6"/>
    <w:rsid w:val="00256CEF"/>
    <w:rsid w:val="002571B3"/>
    <w:rsid w:val="00262D5F"/>
    <w:rsid w:val="0027737D"/>
    <w:rsid w:val="002833F6"/>
    <w:rsid w:val="00287365"/>
    <w:rsid w:val="002878B6"/>
    <w:rsid w:val="002917CA"/>
    <w:rsid w:val="0029199F"/>
    <w:rsid w:val="00291B7D"/>
    <w:rsid w:val="0029722D"/>
    <w:rsid w:val="00297410"/>
    <w:rsid w:val="002A06B0"/>
    <w:rsid w:val="002A54CE"/>
    <w:rsid w:val="002B0D9C"/>
    <w:rsid w:val="002B5FFD"/>
    <w:rsid w:val="002B6A22"/>
    <w:rsid w:val="002C2E09"/>
    <w:rsid w:val="002C4A68"/>
    <w:rsid w:val="002C57EB"/>
    <w:rsid w:val="002D1D4C"/>
    <w:rsid w:val="002D1F71"/>
    <w:rsid w:val="002D26F3"/>
    <w:rsid w:val="002E21EE"/>
    <w:rsid w:val="002E4CBB"/>
    <w:rsid w:val="002E78FF"/>
    <w:rsid w:val="002F394B"/>
    <w:rsid w:val="002F4C06"/>
    <w:rsid w:val="002F6A88"/>
    <w:rsid w:val="003008C8"/>
    <w:rsid w:val="00307C8D"/>
    <w:rsid w:val="003105D4"/>
    <w:rsid w:val="00313FC6"/>
    <w:rsid w:val="003147D7"/>
    <w:rsid w:val="00326390"/>
    <w:rsid w:val="00327C12"/>
    <w:rsid w:val="00333183"/>
    <w:rsid w:val="00333C57"/>
    <w:rsid w:val="003353DD"/>
    <w:rsid w:val="00337A49"/>
    <w:rsid w:val="003418D7"/>
    <w:rsid w:val="00351E8D"/>
    <w:rsid w:val="003561B9"/>
    <w:rsid w:val="0035640A"/>
    <w:rsid w:val="00357A1F"/>
    <w:rsid w:val="00360DA5"/>
    <w:rsid w:val="00363575"/>
    <w:rsid w:val="00364784"/>
    <w:rsid w:val="00367380"/>
    <w:rsid w:val="00375CEC"/>
    <w:rsid w:val="00380718"/>
    <w:rsid w:val="00382F63"/>
    <w:rsid w:val="00383973"/>
    <w:rsid w:val="00385DC7"/>
    <w:rsid w:val="003938AB"/>
    <w:rsid w:val="00396B0F"/>
    <w:rsid w:val="003A13B9"/>
    <w:rsid w:val="003A17B2"/>
    <w:rsid w:val="003A20D6"/>
    <w:rsid w:val="003B0B55"/>
    <w:rsid w:val="003B2550"/>
    <w:rsid w:val="003B3873"/>
    <w:rsid w:val="003C1844"/>
    <w:rsid w:val="003C6D0C"/>
    <w:rsid w:val="003D346C"/>
    <w:rsid w:val="003D3D13"/>
    <w:rsid w:val="003D71DD"/>
    <w:rsid w:val="003E5C7C"/>
    <w:rsid w:val="003F0969"/>
    <w:rsid w:val="003F139D"/>
    <w:rsid w:val="003F22AE"/>
    <w:rsid w:val="003F5351"/>
    <w:rsid w:val="003F5FF4"/>
    <w:rsid w:val="0040364E"/>
    <w:rsid w:val="00404CCB"/>
    <w:rsid w:val="00407574"/>
    <w:rsid w:val="00415E2C"/>
    <w:rsid w:val="0042188E"/>
    <w:rsid w:val="004226DD"/>
    <w:rsid w:val="00427657"/>
    <w:rsid w:val="00427FA0"/>
    <w:rsid w:val="00436F2F"/>
    <w:rsid w:val="004371D1"/>
    <w:rsid w:val="004434D2"/>
    <w:rsid w:val="00453332"/>
    <w:rsid w:val="00454D65"/>
    <w:rsid w:val="004618BA"/>
    <w:rsid w:val="00462A10"/>
    <w:rsid w:val="00473366"/>
    <w:rsid w:val="0048148B"/>
    <w:rsid w:val="00490B80"/>
    <w:rsid w:val="004914F1"/>
    <w:rsid w:val="00492D75"/>
    <w:rsid w:val="004951EB"/>
    <w:rsid w:val="00496109"/>
    <w:rsid w:val="004963F3"/>
    <w:rsid w:val="004A2A87"/>
    <w:rsid w:val="004A3835"/>
    <w:rsid w:val="004A78DE"/>
    <w:rsid w:val="004B1F2C"/>
    <w:rsid w:val="004B4FEA"/>
    <w:rsid w:val="004C1D38"/>
    <w:rsid w:val="004D03A6"/>
    <w:rsid w:val="004D1BAD"/>
    <w:rsid w:val="004D6865"/>
    <w:rsid w:val="004E4C23"/>
    <w:rsid w:val="00500DE1"/>
    <w:rsid w:val="00505431"/>
    <w:rsid w:val="00510C55"/>
    <w:rsid w:val="00511CA9"/>
    <w:rsid w:val="005125B4"/>
    <w:rsid w:val="00517222"/>
    <w:rsid w:val="00527FA7"/>
    <w:rsid w:val="005403C5"/>
    <w:rsid w:val="00546869"/>
    <w:rsid w:val="00547030"/>
    <w:rsid w:val="005476CF"/>
    <w:rsid w:val="00556B20"/>
    <w:rsid w:val="00557B1F"/>
    <w:rsid w:val="00560D2A"/>
    <w:rsid w:val="00571FED"/>
    <w:rsid w:val="0057383F"/>
    <w:rsid w:val="00580664"/>
    <w:rsid w:val="005833EA"/>
    <w:rsid w:val="005834D2"/>
    <w:rsid w:val="00597552"/>
    <w:rsid w:val="005A4D4D"/>
    <w:rsid w:val="005A5864"/>
    <w:rsid w:val="005B52FD"/>
    <w:rsid w:val="005B56DC"/>
    <w:rsid w:val="005B6FCB"/>
    <w:rsid w:val="005D0D8E"/>
    <w:rsid w:val="005D4161"/>
    <w:rsid w:val="005D5E62"/>
    <w:rsid w:val="005E5B43"/>
    <w:rsid w:val="005F46E2"/>
    <w:rsid w:val="005F48FC"/>
    <w:rsid w:val="005F5F70"/>
    <w:rsid w:val="00604645"/>
    <w:rsid w:val="00617673"/>
    <w:rsid w:val="006213C8"/>
    <w:rsid w:val="00621EDE"/>
    <w:rsid w:val="00622855"/>
    <w:rsid w:val="00626685"/>
    <w:rsid w:val="00626943"/>
    <w:rsid w:val="006416BB"/>
    <w:rsid w:val="00644217"/>
    <w:rsid w:val="00644A95"/>
    <w:rsid w:val="00653884"/>
    <w:rsid w:val="00654BAE"/>
    <w:rsid w:val="00655C2C"/>
    <w:rsid w:val="00660E7D"/>
    <w:rsid w:val="006621D7"/>
    <w:rsid w:val="00663222"/>
    <w:rsid w:val="00664877"/>
    <w:rsid w:val="00665232"/>
    <w:rsid w:val="006666E9"/>
    <w:rsid w:val="006705EB"/>
    <w:rsid w:val="00677168"/>
    <w:rsid w:val="006835D5"/>
    <w:rsid w:val="00691084"/>
    <w:rsid w:val="00692FD5"/>
    <w:rsid w:val="00693D78"/>
    <w:rsid w:val="00693F43"/>
    <w:rsid w:val="006A0F11"/>
    <w:rsid w:val="006A1440"/>
    <w:rsid w:val="006A5971"/>
    <w:rsid w:val="006C5D13"/>
    <w:rsid w:val="006D6F78"/>
    <w:rsid w:val="006E0DF2"/>
    <w:rsid w:val="006E2FD3"/>
    <w:rsid w:val="006E6C4F"/>
    <w:rsid w:val="006F086F"/>
    <w:rsid w:val="006F6505"/>
    <w:rsid w:val="006F69C6"/>
    <w:rsid w:val="006F7045"/>
    <w:rsid w:val="00702DFF"/>
    <w:rsid w:val="00702FCC"/>
    <w:rsid w:val="007121F8"/>
    <w:rsid w:val="007144F3"/>
    <w:rsid w:val="00716F7F"/>
    <w:rsid w:val="007223D5"/>
    <w:rsid w:val="00727CA6"/>
    <w:rsid w:val="007319C6"/>
    <w:rsid w:val="00731D61"/>
    <w:rsid w:val="0074004F"/>
    <w:rsid w:val="00740DFF"/>
    <w:rsid w:val="0074496B"/>
    <w:rsid w:val="00744E44"/>
    <w:rsid w:val="0074643E"/>
    <w:rsid w:val="00747AB4"/>
    <w:rsid w:val="007565ED"/>
    <w:rsid w:val="00756DC4"/>
    <w:rsid w:val="00764CEE"/>
    <w:rsid w:val="00766115"/>
    <w:rsid w:val="0077184D"/>
    <w:rsid w:val="00791D47"/>
    <w:rsid w:val="007920ED"/>
    <w:rsid w:val="00792759"/>
    <w:rsid w:val="00793677"/>
    <w:rsid w:val="007A3192"/>
    <w:rsid w:val="007A327D"/>
    <w:rsid w:val="007A7FEC"/>
    <w:rsid w:val="007D1D0A"/>
    <w:rsid w:val="007D6865"/>
    <w:rsid w:val="007D76FE"/>
    <w:rsid w:val="007E46D1"/>
    <w:rsid w:val="007E5932"/>
    <w:rsid w:val="007F029E"/>
    <w:rsid w:val="007F3849"/>
    <w:rsid w:val="007F62F4"/>
    <w:rsid w:val="00800AB9"/>
    <w:rsid w:val="00810F2F"/>
    <w:rsid w:val="00820F7D"/>
    <w:rsid w:val="0082588A"/>
    <w:rsid w:val="00831AA3"/>
    <w:rsid w:val="00832DBE"/>
    <w:rsid w:val="00833EAC"/>
    <w:rsid w:val="0083435F"/>
    <w:rsid w:val="00835199"/>
    <w:rsid w:val="008408F8"/>
    <w:rsid w:val="00843DB3"/>
    <w:rsid w:val="008465EF"/>
    <w:rsid w:val="00850D5E"/>
    <w:rsid w:val="008522F0"/>
    <w:rsid w:val="00854F66"/>
    <w:rsid w:val="00860C99"/>
    <w:rsid w:val="00860FC6"/>
    <w:rsid w:val="00861608"/>
    <w:rsid w:val="00861D1D"/>
    <w:rsid w:val="008706C5"/>
    <w:rsid w:val="008719AC"/>
    <w:rsid w:val="00875A93"/>
    <w:rsid w:val="00877384"/>
    <w:rsid w:val="008906E1"/>
    <w:rsid w:val="00890AE1"/>
    <w:rsid w:val="008943D6"/>
    <w:rsid w:val="0089444E"/>
    <w:rsid w:val="0089601A"/>
    <w:rsid w:val="008979FC"/>
    <w:rsid w:val="008A55BB"/>
    <w:rsid w:val="008A5A7B"/>
    <w:rsid w:val="008A5C4C"/>
    <w:rsid w:val="008A73F8"/>
    <w:rsid w:val="008B369B"/>
    <w:rsid w:val="008C08DC"/>
    <w:rsid w:val="008C178D"/>
    <w:rsid w:val="008C7F2B"/>
    <w:rsid w:val="008D7EB3"/>
    <w:rsid w:val="008E4287"/>
    <w:rsid w:val="008E462B"/>
    <w:rsid w:val="008E5202"/>
    <w:rsid w:val="008F10BE"/>
    <w:rsid w:val="008F22EE"/>
    <w:rsid w:val="008F365D"/>
    <w:rsid w:val="00900135"/>
    <w:rsid w:val="00903CF2"/>
    <w:rsid w:val="0090641C"/>
    <w:rsid w:val="00907B2A"/>
    <w:rsid w:val="00907C82"/>
    <w:rsid w:val="00912D50"/>
    <w:rsid w:val="009221CA"/>
    <w:rsid w:val="009310AB"/>
    <w:rsid w:val="00932A29"/>
    <w:rsid w:val="00934544"/>
    <w:rsid w:val="00943B5C"/>
    <w:rsid w:val="00943DBD"/>
    <w:rsid w:val="00947131"/>
    <w:rsid w:val="009500E6"/>
    <w:rsid w:val="00953DFC"/>
    <w:rsid w:val="009564E6"/>
    <w:rsid w:val="0095689C"/>
    <w:rsid w:val="009607FC"/>
    <w:rsid w:val="009718D5"/>
    <w:rsid w:val="009831BF"/>
    <w:rsid w:val="0098570E"/>
    <w:rsid w:val="00986E81"/>
    <w:rsid w:val="00987111"/>
    <w:rsid w:val="009913B4"/>
    <w:rsid w:val="00991A7E"/>
    <w:rsid w:val="00992098"/>
    <w:rsid w:val="00992943"/>
    <w:rsid w:val="00992F8E"/>
    <w:rsid w:val="009A6C6E"/>
    <w:rsid w:val="009A7CC2"/>
    <w:rsid w:val="009B2508"/>
    <w:rsid w:val="009D5A6D"/>
    <w:rsid w:val="009E35C6"/>
    <w:rsid w:val="009E6949"/>
    <w:rsid w:val="009F0603"/>
    <w:rsid w:val="009F1576"/>
    <w:rsid w:val="009F23E8"/>
    <w:rsid w:val="009F249B"/>
    <w:rsid w:val="009F2EFD"/>
    <w:rsid w:val="009F4961"/>
    <w:rsid w:val="00A012DC"/>
    <w:rsid w:val="00A07134"/>
    <w:rsid w:val="00A104B2"/>
    <w:rsid w:val="00A13F69"/>
    <w:rsid w:val="00A2153A"/>
    <w:rsid w:val="00A26FAE"/>
    <w:rsid w:val="00A278B2"/>
    <w:rsid w:val="00A41F79"/>
    <w:rsid w:val="00A46073"/>
    <w:rsid w:val="00A47D97"/>
    <w:rsid w:val="00A5148E"/>
    <w:rsid w:val="00A62AD1"/>
    <w:rsid w:val="00A630A8"/>
    <w:rsid w:val="00A65CFD"/>
    <w:rsid w:val="00A7262A"/>
    <w:rsid w:val="00A72C2E"/>
    <w:rsid w:val="00A747E8"/>
    <w:rsid w:val="00A75B60"/>
    <w:rsid w:val="00A76ECB"/>
    <w:rsid w:val="00A77BDD"/>
    <w:rsid w:val="00A861B1"/>
    <w:rsid w:val="00A906DE"/>
    <w:rsid w:val="00A97E2A"/>
    <w:rsid w:val="00AA1E51"/>
    <w:rsid w:val="00AA20D4"/>
    <w:rsid w:val="00AA7146"/>
    <w:rsid w:val="00AA7196"/>
    <w:rsid w:val="00AC720E"/>
    <w:rsid w:val="00AD4FCC"/>
    <w:rsid w:val="00AD6B9F"/>
    <w:rsid w:val="00AD7991"/>
    <w:rsid w:val="00AE1A79"/>
    <w:rsid w:val="00AE63A3"/>
    <w:rsid w:val="00B039C0"/>
    <w:rsid w:val="00B052EA"/>
    <w:rsid w:val="00B07ECC"/>
    <w:rsid w:val="00B1182C"/>
    <w:rsid w:val="00B13D09"/>
    <w:rsid w:val="00B23540"/>
    <w:rsid w:val="00B30BBC"/>
    <w:rsid w:val="00B32A76"/>
    <w:rsid w:val="00B35EFC"/>
    <w:rsid w:val="00B36DDA"/>
    <w:rsid w:val="00B40E0A"/>
    <w:rsid w:val="00B53DC4"/>
    <w:rsid w:val="00B5540B"/>
    <w:rsid w:val="00B57B8F"/>
    <w:rsid w:val="00B64871"/>
    <w:rsid w:val="00B65A2C"/>
    <w:rsid w:val="00B67F07"/>
    <w:rsid w:val="00B7130D"/>
    <w:rsid w:val="00B77159"/>
    <w:rsid w:val="00B77709"/>
    <w:rsid w:val="00B8022E"/>
    <w:rsid w:val="00B84AB3"/>
    <w:rsid w:val="00B9137A"/>
    <w:rsid w:val="00B91F59"/>
    <w:rsid w:val="00B93B07"/>
    <w:rsid w:val="00B97BC8"/>
    <w:rsid w:val="00BB0636"/>
    <w:rsid w:val="00BB3371"/>
    <w:rsid w:val="00BB6D51"/>
    <w:rsid w:val="00BC2A65"/>
    <w:rsid w:val="00BD2B0C"/>
    <w:rsid w:val="00BD5BA1"/>
    <w:rsid w:val="00BE34F1"/>
    <w:rsid w:val="00BE5F43"/>
    <w:rsid w:val="00BF2C45"/>
    <w:rsid w:val="00BF7C68"/>
    <w:rsid w:val="00C0209D"/>
    <w:rsid w:val="00C042E6"/>
    <w:rsid w:val="00C10C19"/>
    <w:rsid w:val="00C11535"/>
    <w:rsid w:val="00C11F6B"/>
    <w:rsid w:val="00C1387A"/>
    <w:rsid w:val="00C267ED"/>
    <w:rsid w:val="00C30D1E"/>
    <w:rsid w:val="00C3102D"/>
    <w:rsid w:val="00C31770"/>
    <w:rsid w:val="00C436CF"/>
    <w:rsid w:val="00C46A04"/>
    <w:rsid w:val="00C52CF3"/>
    <w:rsid w:val="00C5593F"/>
    <w:rsid w:val="00C605AE"/>
    <w:rsid w:val="00C71B4A"/>
    <w:rsid w:val="00C7468C"/>
    <w:rsid w:val="00C7596E"/>
    <w:rsid w:val="00C81141"/>
    <w:rsid w:val="00C8359E"/>
    <w:rsid w:val="00C83F00"/>
    <w:rsid w:val="00C87A41"/>
    <w:rsid w:val="00C90C72"/>
    <w:rsid w:val="00C91254"/>
    <w:rsid w:val="00C92246"/>
    <w:rsid w:val="00C9438A"/>
    <w:rsid w:val="00C96CAB"/>
    <w:rsid w:val="00CA1352"/>
    <w:rsid w:val="00CA73D3"/>
    <w:rsid w:val="00CB0A27"/>
    <w:rsid w:val="00CB37BB"/>
    <w:rsid w:val="00CB6033"/>
    <w:rsid w:val="00CB7BB8"/>
    <w:rsid w:val="00CC1023"/>
    <w:rsid w:val="00CD0D68"/>
    <w:rsid w:val="00CE4317"/>
    <w:rsid w:val="00CE4C22"/>
    <w:rsid w:val="00CF037E"/>
    <w:rsid w:val="00CF077D"/>
    <w:rsid w:val="00CF2486"/>
    <w:rsid w:val="00D033CC"/>
    <w:rsid w:val="00D1083F"/>
    <w:rsid w:val="00D113F1"/>
    <w:rsid w:val="00D14042"/>
    <w:rsid w:val="00D215F6"/>
    <w:rsid w:val="00D24BCC"/>
    <w:rsid w:val="00D26C7E"/>
    <w:rsid w:val="00D30739"/>
    <w:rsid w:val="00D32756"/>
    <w:rsid w:val="00D34DC9"/>
    <w:rsid w:val="00D37AE0"/>
    <w:rsid w:val="00D44886"/>
    <w:rsid w:val="00D5057E"/>
    <w:rsid w:val="00D509ED"/>
    <w:rsid w:val="00D57B54"/>
    <w:rsid w:val="00D62C64"/>
    <w:rsid w:val="00D71733"/>
    <w:rsid w:val="00D73CF3"/>
    <w:rsid w:val="00D743F3"/>
    <w:rsid w:val="00D74661"/>
    <w:rsid w:val="00D803A9"/>
    <w:rsid w:val="00D87661"/>
    <w:rsid w:val="00D906FE"/>
    <w:rsid w:val="00D917BE"/>
    <w:rsid w:val="00D92847"/>
    <w:rsid w:val="00D94A6F"/>
    <w:rsid w:val="00DA6B75"/>
    <w:rsid w:val="00DB1AA7"/>
    <w:rsid w:val="00DB3123"/>
    <w:rsid w:val="00DB3D63"/>
    <w:rsid w:val="00DB4CA0"/>
    <w:rsid w:val="00DC5CD3"/>
    <w:rsid w:val="00DE7300"/>
    <w:rsid w:val="00DF0C3C"/>
    <w:rsid w:val="00E00888"/>
    <w:rsid w:val="00E061C7"/>
    <w:rsid w:val="00E10488"/>
    <w:rsid w:val="00E16062"/>
    <w:rsid w:val="00E1788F"/>
    <w:rsid w:val="00E20421"/>
    <w:rsid w:val="00E21BB4"/>
    <w:rsid w:val="00E21F16"/>
    <w:rsid w:val="00E246EC"/>
    <w:rsid w:val="00E32C1A"/>
    <w:rsid w:val="00E342D1"/>
    <w:rsid w:val="00E379C2"/>
    <w:rsid w:val="00E37E5D"/>
    <w:rsid w:val="00E43F45"/>
    <w:rsid w:val="00E43FBF"/>
    <w:rsid w:val="00E459CC"/>
    <w:rsid w:val="00E45ACE"/>
    <w:rsid w:val="00E4682A"/>
    <w:rsid w:val="00E65987"/>
    <w:rsid w:val="00E67559"/>
    <w:rsid w:val="00E70612"/>
    <w:rsid w:val="00E76736"/>
    <w:rsid w:val="00E82A20"/>
    <w:rsid w:val="00EC1185"/>
    <w:rsid w:val="00EC3B31"/>
    <w:rsid w:val="00EC772D"/>
    <w:rsid w:val="00ED1FCC"/>
    <w:rsid w:val="00ED42F8"/>
    <w:rsid w:val="00ED7892"/>
    <w:rsid w:val="00EE077A"/>
    <w:rsid w:val="00EE5C94"/>
    <w:rsid w:val="00EE773B"/>
    <w:rsid w:val="00EF5CC8"/>
    <w:rsid w:val="00F000BD"/>
    <w:rsid w:val="00F0326B"/>
    <w:rsid w:val="00F04FE2"/>
    <w:rsid w:val="00F122B7"/>
    <w:rsid w:val="00F214E1"/>
    <w:rsid w:val="00F2726B"/>
    <w:rsid w:val="00F34035"/>
    <w:rsid w:val="00F344BC"/>
    <w:rsid w:val="00F36DB1"/>
    <w:rsid w:val="00F45581"/>
    <w:rsid w:val="00F46CB9"/>
    <w:rsid w:val="00F46ECA"/>
    <w:rsid w:val="00F521BC"/>
    <w:rsid w:val="00F52432"/>
    <w:rsid w:val="00F56C4B"/>
    <w:rsid w:val="00F57648"/>
    <w:rsid w:val="00F57D76"/>
    <w:rsid w:val="00F606BC"/>
    <w:rsid w:val="00F658C6"/>
    <w:rsid w:val="00F86C77"/>
    <w:rsid w:val="00F87FB4"/>
    <w:rsid w:val="00F90553"/>
    <w:rsid w:val="00F90D16"/>
    <w:rsid w:val="00F94496"/>
    <w:rsid w:val="00F953A4"/>
    <w:rsid w:val="00F95A44"/>
    <w:rsid w:val="00FA4347"/>
    <w:rsid w:val="00FA76E1"/>
    <w:rsid w:val="00FB10DF"/>
    <w:rsid w:val="00FB2833"/>
    <w:rsid w:val="00FC1B94"/>
    <w:rsid w:val="00FC69DA"/>
    <w:rsid w:val="00FC7A46"/>
    <w:rsid w:val="00FD1D06"/>
    <w:rsid w:val="00FF3919"/>
    <w:rsid w:val="00FF6392"/>
    <w:rsid w:val="00FF70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1E8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1E8D"/>
    <w:pPr>
      <w:tabs>
        <w:tab w:val="center" w:pos="4320"/>
        <w:tab w:val="right" w:pos="8640"/>
      </w:tabs>
    </w:pPr>
  </w:style>
  <w:style w:type="paragraph" w:styleId="Footer">
    <w:name w:val="footer"/>
    <w:basedOn w:val="Normal"/>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basedOn w:val="Normal"/>
    <w:uiPriority w:val="34"/>
    <w:qFormat/>
    <w:rsid w:val="00B039C0"/>
    <w:pPr>
      <w:ind w:left="720"/>
      <w:contextualSpacing/>
    </w:pPr>
  </w:style>
  <w:style w:type="paragraph" w:customStyle="1" w:styleId="Default">
    <w:name w:val="Default"/>
    <w:rsid w:val="00B93B07"/>
    <w:pPr>
      <w:autoSpaceDE w:val="0"/>
      <w:autoSpaceDN w:val="0"/>
      <w:adjustRightInd w:val="0"/>
    </w:pPr>
    <w:rPr>
      <w:color w:val="000000"/>
      <w:sz w:val="24"/>
      <w:szCs w:val="24"/>
      <w:lang w:val="en-US"/>
    </w:rPr>
  </w:style>
  <w:style w:type="paragraph" w:customStyle="1" w:styleId="Normal12pt">
    <w:name w:val="Normal + 12 pt"/>
    <w:basedOn w:val="Normal"/>
    <w:link w:val="Normal12ptChar"/>
    <w:rsid w:val="00644217"/>
    <w:pPr>
      <w:tabs>
        <w:tab w:val="left" w:pos="737"/>
      </w:tabs>
      <w:ind w:right="-283"/>
      <w:jc w:val="both"/>
    </w:pPr>
    <w:rPr>
      <w:sz w:val="24"/>
      <w:szCs w:val="24"/>
    </w:rPr>
  </w:style>
  <w:style w:type="character" w:customStyle="1" w:styleId="Normal12ptChar">
    <w:name w:val="Normal + 12 pt Char"/>
    <w:basedOn w:val="DefaultParagraphFont"/>
    <w:link w:val="Normal12pt"/>
    <w:rsid w:val="00644217"/>
    <w:rPr>
      <w:sz w:val="24"/>
      <w:szCs w:val="24"/>
      <w:lang w:eastAsia="en-US"/>
    </w:rPr>
  </w:style>
  <w:style w:type="character" w:styleId="Strong">
    <w:name w:val="Strong"/>
    <w:basedOn w:val="DefaultParagraphFont"/>
    <w:qFormat/>
    <w:rsid w:val="00517222"/>
    <w:rPr>
      <w:b/>
      <w:bCs/>
    </w:rPr>
  </w:style>
  <w:style w:type="character" w:customStyle="1" w:styleId="apple-converted-space">
    <w:name w:val="apple-converted-space"/>
    <w:basedOn w:val="DefaultParagraphFont"/>
    <w:rsid w:val="00850D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351E8D"/>
    <w:rPr>
      <w:lang w:eastAsia="en-US"/>
    </w:rPr>
  </w:style>
  <w:style w:type="paragraph" w:styleId="Antrat1">
    <w:name w:val="heading 1"/>
    <w:basedOn w:val="prastasis"/>
    <w:next w:val="prastasis"/>
    <w:qFormat/>
    <w:rsid w:val="00351E8D"/>
    <w:pPr>
      <w:keepNext/>
      <w:outlineLvl w:val="0"/>
    </w:pPr>
    <w:rPr>
      <w:b/>
      <w:bCs/>
      <w:sz w:val="32"/>
      <w:szCs w:val="32"/>
    </w:rPr>
  </w:style>
  <w:style w:type="paragraph" w:styleId="Antrat2">
    <w:name w:val="heading 2"/>
    <w:basedOn w:val="prastasis"/>
    <w:next w:val="prastasis"/>
    <w:qFormat/>
    <w:rsid w:val="00351E8D"/>
    <w:pPr>
      <w:keepNext/>
      <w:jc w:val="center"/>
      <w:outlineLvl w:val="1"/>
    </w:pPr>
    <w:rPr>
      <w:b/>
      <w:bCs/>
      <w:sz w:val="32"/>
      <w:szCs w:val="32"/>
    </w:rPr>
  </w:style>
  <w:style w:type="paragraph" w:styleId="Antrat3">
    <w:name w:val="heading 3"/>
    <w:basedOn w:val="prastasis"/>
    <w:next w:val="prastasis"/>
    <w:qFormat/>
    <w:rsid w:val="00351E8D"/>
    <w:pPr>
      <w:keepNext/>
      <w:jc w:val="right"/>
      <w:outlineLvl w:val="2"/>
    </w:pPr>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51E8D"/>
    <w:pPr>
      <w:tabs>
        <w:tab w:val="center" w:pos="4320"/>
        <w:tab w:val="right" w:pos="8640"/>
      </w:tabs>
    </w:pPr>
  </w:style>
  <w:style w:type="paragraph" w:styleId="Porat">
    <w:name w:val="footer"/>
    <w:basedOn w:val="prastasis"/>
    <w:rsid w:val="00351E8D"/>
    <w:pPr>
      <w:tabs>
        <w:tab w:val="center" w:pos="4320"/>
        <w:tab w:val="right" w:pos="8640"/>
      </w:tabs>
    </w:pPr>
  </w:style>
  <w:style w:type="character" w:styleId="Puslapionumeris">
    <w:name w:val="page number"/>
    <w:basedOn w:val="Numatytasispastraiposriftas"/>
    <w:rsid w:val="00351E8D"/>
  </w:style>
  <w:style w:type="paragraph" w:customStyle="1" w:styleId="DiagramaCharChar1Diagrama">
    <w:name w:val="Diagrama Char Char1 Diagrama"/>
    <w:basedOn w:val="prastasis"/>
    <w:rsid w:val="00351E8D"/>
    <w:pPr>
      <w:spacing w:after="160" w:line="240" w:lineRule="exact"/>
    </w:pPr>
    <w:rPr>
      <w:rFonts w:ascii="Tahoma" w:hAnsi="Tahoma"/>
      <w:lang w:val="en-US"/>
    </w:rPr>
  </w:style>
  <w:style w:type="character" w:styleId="Hipersaitas">
    <w:name w:val="Hyperlink"/>
    <w:basedOn w:val="Numatytasispastraiposriftas"/>
    <w:rsid w:val="00F90553"/>
    <w:rPr>
      <w:color w:val="0000FF"/>
      <w:u w:val="single"/>
    </w:rPr>
  </w:style>
  <w:style w:type="table" w:styleId="Lentelstinklelis">
    <w:name w:val="Table Grid"/>
    <w:basedOn w:val="prastojilente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prastasis"/>
    <w:rsid w:val="00F90553"/>
    <w:pPr>
      <w:spacing w:after="160" w:line="240" w:lineRule="exact"/>
    </w:pPr>
    <w:rPr>
      <w:rFonts w:ascii="Tahoma" w:hAnsi="Tahoma"/>
      <w:lang w:val="en-US"/>
    </w:rPr>
  </w:style>
  <w:style w:type="paragraph" w:styleId="Debesliotekstas">
    <w:name w:val="Balloon Text"/>
    <w:basedOn w:val="prastasis"/>
    <w:semiHidden/>
    <w:rsid w:val="009F1576"/>
    <w:rPr>
      <w:rFonts w:ascii="Tahoma" w:hAnsi="Tahoma" w:cs="Tahoma"/>
      <w:sz w:val="16"/>
      <w:szCs w:val="16"/>
    </w:rPr>
  </w:style>
  <w:style w:type="paragraph" w:styleId="Sraopastraipa">
    <w:name w:val="List Paragraph"/>
    <w:basedOn w:val="prastasis"/>
    <w:uiPriority w:val="34"/>
    <w:qFormat/>
    <w:rsid w:val="00B039C0"/>
    <w:pPr>
      <w:ind w:left="720"/>
      <w:contextualSpacing/>
    </w:pPr>
  </w:style>
</w:styles>
</file>

<file path=word/webSettings.xml><?xml version="1.0" encoding="utf-8"?>
<w:webSettings xmlns:r="http://schemas.openxmlformats.org/officeDocument/2006/relationships" xmlns:w="http://schemas.openxmlformats.org/wordprocessingml/2006/main">
  <w:divs>
    <w:div w:id="64497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E9293-AF5E-4418-AA56-5A0243D6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Template>
  <TotalTime>663</TotalTime>
  <Pages>3</Pages>
  <Words>1118</Words>
  <Characters>8262</Characters>
  <Application>Microsoft Office Word</Application>
  <DocSecurity>0</DocSecurity>
  <Lines>68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9362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Virginija Gadliauskienė</cp:lastModifiedBy>
  <cp:revision>34</cp:revision>
  <cp:lastPrinted>2015-02-04T08:17:00Z</cp:lastPrinted>
  <dcterms:created xsi:type="dcterms:W3CDTF">2015-01-26T11:16:00Z</dcterms:created>
  <dcterms:modified xsi:type="dcterms:W3CDTF">2015-02-04T08:18:00Z</dcterms:modified>
</cp:coreProperties>
</file>