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145903" w:rsidRDefault="00145903" w:rsidP="00145903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6514688" r:id="rId9"/>
        </w:object>
      </w:r>
      <w:r w:rsidRPr="0017077F">
        <w:rPr>
          <w:rFonts w:ascii="CG Times" w:hAnsi="CG Times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903" w:rsidRPr="00907C82" w:rsidRDefault="00145903" w:rsidP="00145903">
      <w:pPr>
        <w:jc w:val="center"/>
        <w:rPr>
          <w:sz w:val="24"/>
          <w:szCs w:val="24"/>
        </w:rPr>
      </w:pPr>
    </w:p>
    <w:p w:rsidR="00145903" w:rsidRPr="00907C82" w:rsidRDefault="00145903" w:rsidP="00145903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145903" w:rsidRPr="00907C82" w:rsidRDefault="00145903" w:rsidP="00145903">
      <w:pPr>
        <w:tabs>
          <w:tab w:val="left" w:pos="900"/>
        </w:tabs>
        <w:rPr>
          <w:bCs/>
          <w:sz w:val="24"/>
          <w:szCs w:val="24"/>
        </w:rPr>
      </w:pPr>
    </w:p>
    <w:p w:rsidR="00145903" w:rsidRDefault="00145903" w:rsidP="00145903">
      <w:pPr>
        <w:tabs>
          <w:tab w:val="left" w:pos="900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/>
      </w:tblPr>
      <w:tblGrid>
        <w:gridCol w:w="392"/>
        <w:gridCol w:w="1417"/>
        <w:gridCol w:w="567"/>
        <w:gridCol w:w="2297"/>
      </w:tblGrid>
      <w:tr w:rsidR="00145903" w:rsidRPr="00907C82" w:rsidTr="00773330">
        <w:trPr>
          <w:cantSplit/>
          <w:trHeight w:val="80"/>
        </w:trPr>
        <w:tc>
          <w:tcPr>
            <w:tcW w:w="392" w:type="dxa"/>
          </w:tcPr>
          <w:p w:rsidR="00145903" w:rsidRPr="00907C82" w:rsidRDefault="00145903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5903" w:rsidRPr="00907C82" w:rsidRDefault="00145903" w:rsidP="005720C0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Pr="00907C82">
              <w:rPr>
                <w:sz w:val="24"/>
                <w:szCs w:val="24"/>
              </w:rPr>
              <w:t>-</w:t>
            </w:r>
            <w:r w:rsidR="005720C0">
              <w:rPr>
                <w:sz w:val="24"/>
                <w:szCs w:val="24"/>
              </w:rPr>
              <w:t>1</w:t>
            </w:r>
            <w:r w:rsidR="005720C0">
              <w:rPr>
                <w:sz w:val="24"/>
                <w:szCs w:val="24"/>
              </w:rPr>
              <w:t>1</w:t>
            </w:r>
            <w:r w:rsidR="00AF4B7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5903" w:rsidRPr="00907C82" w:rsidRDefault="00145903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2297" w:type="dxa"/>
          </w:tcPr>
          <w:p w:rsidR="00145903" w:rsidRPr="00907C82" w:rsidRDefault="00145903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4S-</w:t>
            </w:r>
          </w:p>
        </w:tc>
      </w:tr>
      <w:tr w:rsidR="00145903" w:rsidRPr="00907C82" w:rsidTr="00773330">
        <w:trPr>
          <w:cantSplit/>
          <w:trHeight w:val="80"/>
        </w:trPr>
        <w:tc>
          <w:tcPr>
            <w:tcW w:w="392" w:type="dxa"/>
          </w:tcPr>
          <w:p w:rsidR="00145903" w:rsidRPr="00907C82" w:rsidRDefault="00145903" w:rsidP="009B1415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417" w:type="dxa"/>
          </w:tcPr>
          <w:p w:rsidR="00145903" w:rsidRPr="00907C82" w:rsidRDefault="00773330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2014-10-01</w:t>
            </w:r>
          </w:p>
        </w:tc>
        <w:tc>
          <w:tcPr>
            <w:tcW w:w="567" w:type="dxa"/>
          </w:tcPr>
          <w:p w:rsidR="00145903" w:rsidRPr="00907C82" w:rsidRDefault="00145903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297" w:type="dxa"/>
          </w:tcPr>
          <w:p w:rsidR="00145903" w:rsidRPr="00907C82" w:rsidRDefault="00773330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14/10/10/01</w:t>
            </w:r>
          </w:p>
        </w:tc>
      </w:tr>
    </w:tbl>
    <w:p w:rsidR="00AF4B78" w:rsidRDefault="00AF4B78" w:rsidP="00AF4B78">
      <w:pPr>
        <w:tabs>
          <w:tab w:val="left" w:pos="900"/>
        </w:tabs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VšĮ</w:t>
      </w:r>
      <w:proofErr w:type="spellEnd"/>
      <w:r>
        <w:rPr>
          <w:bCs/>
          <w:sz w:val="24"/>
          <w:szCs w:val="24"/>
        </w:rPr>
        <w:t xml:space="preserve"> „SPO-RYŽTAS“</w:t>
      </w:r>
    </w:p>
    <w:p w:rsidR="00AF4B78" w:rsidRDefault="00AF4B78" w:rsidP="00AF4B78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Kęstučio g. 45</w:t>
      </w:r>
    </w:p>
    <w:p w:rsidR="00AF4B78" w:rsidRDefault="00AF4B78" w:rsidP="00AF4B78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44307 Kaunas</w:t>
      </w:r>
    </w:p>
    <w:p w:rsidR="00B16470" w:rsidRDefault="00B16470" w:rsidP="00AF4B78">
      <w:pPr>
        <w:tabs>
          <w:tab w:val="left" w:pos="900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/>
      </w:tblPr>
      <w:tblGrid>
        <w:gridCol w:w="425"/>
        <w:gridCol w:w="1418"/>
        <w:gridCol w:w="567"/>
        <w:gridCol w:w="2254"/>
      </w:tblGrid>
      <w:tr w:rsidR="0081272E" w:rsidRPr="00907C82" w:rsidTr="00773330">
        <w:trPr>
          <w:cantSplit/>
          <w:trHeight w:val="80"/>
        </w:trPr>
        <w:tc>
          <w:tcPr>
            <w:tcW w:w="425" w:type="dxa"/>
          </w:tcPr>
          <w:p w:rsidR="00B16470" w:rsidRPr="00907C82" w:rsidRDefault="00B16470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0" w:rsidRPr="00907C82" w:rsidRDefault="00B16470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16470" w:rsidRPr="00907C82" w:rsidRDefault="00B16470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B16470" w:rsidRPr="00907C82" w:rsidRDefault="00B16470" w:rsidP="006804E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81272E" w:rsidRPr="00907C82" w:rsidTr="00773330">
        <w:trPr>
          <w:cantSplit/>
          <w:trHeight w:val="80"/>
        </w:trPr>
        <w:tc>
          <w:tcPr>
            <w:tcW w:w="425" w:type="dxa"/>
          </w:tcPr>
          <w:p w:rsidR="00B16470" w:rsidRPr="00907C82" w:rsidRDefault="00B16470" w:rsidP="00B41BE7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418" w:type="dxa"/>
          </w:tcPr>
          <w:p w:rsidR="00B16470" w:rsidRPr="00907C82" w:rsidRDefault="006804E8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2014-09-09</w:t>
            </w:r>
          </w:p>
        </w:tc>
        <w:tc>
          <w:tcPr>
            <w:tcW w:w="567" w:type="dxa"/>
          </w:tcPr>
          <w:p w:rsidR="00B16470" w:rsidRPr="00907C82" w:rsidRDefault="00B16470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254" w:type="dxa"/>
          </w:tcPr>
          <w:p w:rsidR="00B16470" w:rsidRPr="00907C82" w:rsidRDefault="006804E8" w:rsidP="00B41BE7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ESFS07-2014-04917</w:t>
            </w:r>
          </w:p>
        </w:tc>
      </w:tr>
    </w:tbl>
    <w:p w:rsidR="00AF4B78" w:rsidRDefault="00B836A4" w:rsidP="00AF4B78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Kopija</w:t>
      </w:r>
    </w:p>
    <w:p w:rsidR="00B836A4" w:rsidRDefault="00B836A4" w:rsidP="00B836A4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Europos socialinio fondo agentūrai</w:t>
      </w:r>
    </w:p>
    <w:p w:rsidR="00AF4B78" w:rsidRDefault="00AF4B78" w:rsidP="00AF4B78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Gynėjų g. 16</w:t>
      </w:r>
    </w:p>
    <w:p w:rsidR="00AF4B78" w:rsidRDefault="00AF4B78" w:rsidP="00AF4B78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01109 Vilnius</w:t>
      </w:r>
    </w:p>
    <w:p w:rsidR="00145903" w:rsidRDefault="00145903" w:rsidP="00145903">
      <w:pPr>
        <w:tabs>
          <w:tab w:val="left" w:pos="900"/>
        </w:tabs>
        <w:rPr>
          <w:bCs/>
          <w:sz w:val="24"/>
          <w:szCs w:val="24"/>
        </w:rPr>
      </w:pPr>
    </w:p>
    <w:p w:rsidR="00145903" w:rsidRDefault="00145903" w:rsidP="00145903">
      <w:pPr>
        <w:tabs>
          <w:tab w:val="left" w:pos="900"/>
        </w:tabs>
        <w:rPr>
          <w:bCs/>
          <w:sz w:val="24"/>
          <w:szCs w:val="24"/>
        </w:rPr>
      </w:pPr>
    </w:p>
    <w:p w:rsidR="00145903" w:rsidRDefault="00145903" w:rsidP="00145903">
      <w:pPr>
        <w:shd w:val="clear" w:color="auto" w:fill="FFFFFF"/>
        <w:tabs>
          <w:tab w:val="left" w:pos="900"/>
        </w:tabs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 xml:space="preserve">DĖL ATLIKUS </w:t>
      </w:r>
      <w:r w:rsidR="001C33DB">
        <w:rPr>
          <w:b/>
          <w:color w:val="000000"/>
          <w:sz w:val="24"/>
          <w:szCs w:val="24"/>
          <w:lang w:eastAsia="lt-LT"/>
        </w:rPr>
        <w:t xml:space="preserve">MAŽOS VERTĖS </w:t>
      </w:r>
      <w:r>
        <w:rPr>
          <w:b/>
          <w:color w:val="000000"/>
          <w:sz w:val="24"/>
          <w:szCs w:val="24"/>
          <w:lang w:eastAsia="lt-LT"/>
        </w:rPr>
        <w:t>VIEŠ</w:t>
      </w:r>
      <w:r w:rsidR="00EA2AC3">
        <w:rPr>
          <w:b/>
          <w:color w:val="000000"/>
          <w:sz w:val="24"/>
          <w:szCs w:val="24"/>
          <w:lang w:eastAsia="lt-LT"/>
        </w:rPr>
        <w:t>ĄJĮ</w:t>
      </w:r>
      <w:r>
        <w:rPr>
          <w:b/>
          <w:color w:val="000000"/>
          <w:sz w:val="24"/>
          <w:szCs w:val="24"/>
          <w:lang w:eastAsia="lt-LT"/>
        </w:rPr>
        <w:t xml:space="preserve"> PIRKIM</w:t>
      </w:r>
      <w:r w:rsidR="00EA2AC3">
        <w:rPr>
          <w:b/>
          <w:color w:val="000000"/>
          <w:sz w:val="24"/>
          <w:szCs w:val="24"/>
          <w:lang w:eastAsia="lt-LT"/>
        </w:rPr>
        <w:t>Ą</w:t>
      </w:r>
      <w:r>
        <w:rPr>
          <w:b/>
          <w:color w:val="000000"/>
          <w:sz w:val="24"/>
          <w:szCs w:val="24"/>
          <w:lang w:eastAsia="lt-LT"/>
        </w:rPr>
        <w:t xml:space="preserve"> „</w:t>
      </w:r>
      <w:r w:rsidR="003568F3">
        <w:rPr>
          <w:b/>
          <w:color w:val="000000"/>
          <w:sz w:val="24"/>
          <w:szCs w:val="24"/>
          <w:lang w:eastAsia="lt-LT"/>
        </w:rPr>
        <w:t>MAISTO PRODUKTŲ</w:t>
      </w:r>
      <w:r>
        <w:rPr>
          <w:b/>
          <w:color w:val="000000"/>
          <w:sz w:val="24"/>
          <w:szCs w:val="24"/>
          <w:lang w:eastAsia="lt-LT"/>
        </w:rPr>
        <w:t xml:space="preserve"> PIRKIMAS</w:t>
      </w:r>
      <w:r w:rsidR="003568F3">
        <w:rPr>
          <w:b/>
          <w:color w:val="000000"/>
          <w:sz w:val="24"/>
          <w:szCs w:val="24"/>
          <w:lang w:eastAsia="lt-LT"/>
        </w:rPr>
        <w:t>“</w:t>
      </w:r>
      <w:r w:rsidR="001C33DB">
        <w:rPr>
          <w:b/>
          <w:color w:val="000000"/>
          <w:sz w:val="24"/>
          <w:szCs w:val="24"/>
          <w:lang w:eastAsia="lt-LT"/>
        </w:rPr>
        <w:t xml:space="preserve"> APKLAUSOS BŪDU</w:t>
      </w:r>
      <w:r w:rsidR="00B517E7">
        <w:rPr>
          <w:b/>
          <w:color w:val="000000"/>
          <w:sz w:val="24"/>
          <w:szCs w:val="24"/>
          <w:lang w:eastAsia="lt-LT"/>
        </w:rPr>
        <w:t xml:space="preserve"> (ŽODŽIU)</w:t>
      </w:r>
      <w:r>
        <w:rPr>
          <w:b/>
          <w:color w:val="000000"/>
          <w:sz w:val="24"/>
          <w:szCs w:val="24"/>
          <w:lang w:eastAsia="lt-LT"/>
        </w:rPr>
        <w:t>,</w:t>
      </w:r>
      <w:r w:rsidR="00EA2AC3">
        <w:rPr>
          <w:b/>
          <w:color w:val="000000"/>
          <w:sz w:val="24"/>
          <w:szCs w:val="24"/>
          <w:lang w:eastAsia="lt-LT"/>
        </w:rPr>
        <w:t xml:space="preserve"> 2012 M. BALANDŽIO 2 D. SUDARYTOS MAISTO PRODUKTŲ PIRKIMO–PARDAVIMO SUTARTIES NR. 12-04-02/01</w:t>
      </w:r>
      <w:r w:rsidR="009B68EA">
        <w:rPr>
          <w:b/>
          <w:color w:val="000000"/>
          <w:sz w:val="24"/>
          <w:szCs w:val="24"/>
          <w:lang w:eastAsia="lt-LT"/>
        </w:rPr>
        <w:t xml:space="preserve">, IR ATLIKUS </w:t>
      </w:r>
      <w:r w:rsidR="00B517E7">
        <w:rPr>
          <w:b/>
          <w:color w:val="000000"/>
          <w:sz w:val="24"/>
          <w:szCs w:val="24"/>
          <w:lang w:eastAsia="lt-LT"/>
        </w:rPr>
        <w:t xml:space="preserve">MAŽOS VERTĖS </w:t>
      </w:r>
      <w:r w:rsidR="009B68EA">
        <w:rPr>
          <w:b/>
          <w:color w:val="000000"/>
          <w:sz w:val="24"/>
          <w:szCs w:val="24"/>
          <w:lang w:eastAsia="lt-LT"/>
        </w:rPr>
        <w:t>VIEŠĄJĮ PIRKIMĄ</w:t>
      </w:r>
      <w:r>
        <w:rPr>
          <w:b/>
          <w:color w:val="000000"/>
          <w:sz w:val="24"/>
          <w:szCs w:val="24"/>
          <w:lang w:eastAsia="lt-LT"/>
        </w:rPr>
        <w:t xml:space="preserve"> „</w:t>
      </w:r>
      <w:r w:rsidR="00FD7B14">
        <w:rPr>
          <w:b/>
          <w:color w:val="000000"/>
          <w:sz w:val="24"/>
          <w:szCs w:val="24"/>
          <w:lang w:eastAsia="lt-LT"/>
        </w:rPr>
        <w:t>MAISTO PRODUKTŲ PIRKIMAS</w:t>
      </w:r>
      <w:r>
        <w:rPr>
          <w:b/>
          <w:color w:val="000000"/>
          <w:sz w:val="24"/>
          <w:szCs w:val="24"/>
          <w:lang w:eastAsia="lt-LT"/>
        </w:rPr>
        <w:t>“</w:t>
      </w:r>
      <w:r w:rsidR="001C33DB">
        <w:rPr>
          <w:b/>
          <w:color w:val="000000"/>
          <w:sz w:val="24"/>
          <w:szCs w:val="24"/>
          <w:lang w:eastAsia="lt-LT"/>
        </w:rPr>
        <w:t xml:space="preserve"> </w:t>
      </w:r>
      <w:r w:rsidR="00B517E7">
        <w:rPr>
          <w:b/>
          <w:color w:val="000000"/>
          <w:sz w:val="24"/>
          <w:szCs w:val="24"/>
          <w:lang w:eastAsia="lt-LT"/>
        </w:rPr>
        <w:t>APKLAUSOS BŪDU (RAŠTU)</w:t>
      </w:r>
      <w:r>
        <w:rPr>
          <w:b/>
          <w:color w:val="000000"/>
          <w:sz w:val="24"/>
          <w:szCs w:val="24"/>
          <w:lang w:eastAsia="lt-LT"/>
        </w:rPr>
        <w:t xml:space="preserve"> </w:t>
      </w:r>
      <w:r w:rsidR="003B6055">
        <w:rPr>
          <w:b/>
          <w:color w:val="000000"/>
          <w:sz w:val="24"/>
          <w:szCs w:val="24"/>
          <w:lang w:eastAsia="lt-LT"/>
        </w:rPr>
        <w:t>NESUDARIUS</w:t>
      </w:r>
      <w:r>
        <w:rPr>
          <w:b/>
          <w:color w:val="000000"/>
          <w:sz w:val="24"/>
          <w:szCs w:val="24"/>
          <w:lang w:eastAsia="lt-LT"/>
        </w:rPr>
        <w:t xml:space="preserve"> VIEŠOJO PIRKIMO–PARDAVIMO SUTAR</w:t>
      </w:r>
      <w:r w:rsidR="003B6055">
        <w:rPr>
          <w:b/>
          <w:color w:val="000000"/>
          <w:sz w:val="24"/>
          <w:szCs w:val="24"/>
          <w:lang w:eastAsia="lt-LT"/>
        </w:rPr>
        <w:t>TIES</w:t>
      </w:r>
      <w:r>
        <w:rPr>
          <w:b/>
          <w:color w:val="000000"/>
          <w:sz w:val="24"/>
          <w:szCs w:val="24"/>
          <w:lang w:eastAsia="lt-LT"/>
        </w:rPr>
        <w:t xml:space="preserve"> ATITIKTIES LIETUVOS RESPUBLIKOS VIEŠŲJŲ PIRKIMŲ ĮSTATYMUI IR SU JO ĮGYVENDINIMU SUSIJUSIEMS TEISĖS AKTAMS VERTINIMO</w:t>
      </w:r>
    </w:p>
    <w:p w:rsidR="00145903" w:rsidRDefault="00145903" w:rsidP="00145903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BE1073" w:rsidRPr="00691905" w:rsidRDefault="00BE1073" w:rsidP="00145903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145903" w:rsidRPr="00691905" w:rsidRDefault="00145903" w:rsidP="00145903">
      <w:pPr>
        <w:tabs>
          <w:tab w:val="left" w:pos="900"/>
        </w:tabs>
        <w:jc w:val="both"/>
        <w:rPr>
          <w:sz w:val="24"/>
          <w:szCs w:val="24"/>
        </w:rPr>
      </w:pPr>
      <w:r w:rsidRPr="00691905">
        <w:rPr>
          <w:bCs/>
          <w:sz w:val="24"/>
          <w:szCs w:val="24"/>
        </w:rPr>
        <w:tab/>
        <w:t xml:space="preserve">Viešųjų pirkimų tarnyba (toliau – Tarnyba), </w:t>
      </w:r>
      <w:r w:rsidRPr="00691905">
        <w:rPr>
          <w:sz w:val="24"/>
          <w:szCs w:val="24"/>
        </w:rPr>
        <w:t xml:space="preserve">atsižvelgdama į </w:t>
      </w:r>
      <w:r w:rsidR="00C005EB" w:rsidRPr="00691905">
        <w:rPr>
          <w:sz w:val="24"/>
          <w:szCs w:val="24"/>
        </w:rPr>
        <w:t>Europos socialinio fondo agentūros</w:t>
      </w:r>
      <w:r w:rsidR="0000268D" w:rsidRPr="00691905">
        <w:rPr>
          <w:sz w:val="24"/>
          <w:szCs w:val="24"/>
        </w:rPr>
        <w:t xml:space="preserve"> (toliau – ESFA)</w:t>
      </w:r>
      <w:r w:rsidR="00C005EB" w:rsidRPr="00691905">
        <w:rPr>
          <w:sz w:val="24"/>
          <w:szCs w:val="24"/>
        </w:rPr>
        <w:t xml:space="preserve"> </w:t>
      </w:r>
      <w:r w:rsidRPr="00691905">
        <w:rPr>
          <w:sz w:val="24"/>
          <w:szCs w:val="24"/>
        </w:rPr>
        <w:t xml:space="preserve">2014 m. </w:t>
      </w:r>
      <w:r w:rsidR="00C005EB" w:rsidRPr="00691905">
        <w:rPr>
          <w:sz w:val="24"/>
          <w:szCs w:val="24"/>
        </w:rPr>
        <w:t>rugsėjo 9</w:t>
      </w:r>
      <w:r w:rsidRPr="00691905">
        <w:rPr>
          <w:sz w:val="24"/>
          <w:szCs w:val="24"/>
        </w:rPr>
        <w:t xml:space="preserve"> d. rašte Nr. </w:t>
      </w:r>
      <w:r w:rsidR="00C005EB" w:rsidRPr="00691905">
        <w:rPr>
          <w:sz w:val="24"/>
          <w:szCs w:val="24"/>
        </w:rPr>
        <w:t>ESFS07-2014-04917</w:t>
      </w:r>
      <w:r w:rsidRPr="00691905">
        <w:rPr>
          <w:sz w:val="24"/>
          <w:szCs w:val="24"/>
        </w:rPr>
        <w:t xml:space="preserve"> „Dėl </w:t>
      </w:r>
      <w:r w:rsidR="00C005EB" w:rsidRPr="00691905">
        <w:rPr>
          <w:sz w:val="24"/>
          <w:szCs w:val="24"/>
        </w:rPr>
        <w:t>išvados pateikimo</w:t>
      </w:r>
      <w:r w:rsidRPr="00691905">
        <w:rPr>
          <w:sz w:val="24"/>
          <w:szCs w:val="24"/>
        </w:rPr>
        <w:t>“ nurodyt</w:t>
      </w:r>
      <w:r w:rsidR="00A65BE1" w:rsidRPr="00691905">
        <w:rPr>
          <w:sz w:val="24"/>
          <w:szCs w:val="24"/>
        </w:rPr>
        <w:t>ą prašymą pateikti išvadą</w:t>
      </w:r>
      <w:r w:rsidRPr="00691905">
        <w:rPr>
          <w:sz w:val="24"/>
          <w:szCs w:val="24"/>
        </w:rPr>
        <w:t xml:space="preserve">, </w:t>
      </w:r>
      <w:r w:rsidRPr="00691905">
        <w:rPr>
          <w:bCs/>
          <w:sz w:val="24"/>
          <w:szCs w:val="24"/>
        </w:rPr>
        <w:t>vadovaudamasi Lietuvos Respublikos viešųjų pirkimų įstatymo</w:t>
      </w:r>
      <w:r w:rsidR="00455565" w:rsidRPr="00691905">
        <w:rPr>
          <w:bCs/>
          <w:sz w:val="24"/>
          <w:szCs w:val="24"/>
        </w:rPr>
        <w:t xml:space="preserve"> (toliau – Įstatymas)</w:t>
      </w:r>
      <w:r w:rsidRPr="00691905">
        <w:rPr>
          <w:bCs/>
          <w:sz w:val="24"/>
          <w:szCs w:val="24"/>
        </w:rPr>
        <w:t xml:space="preserve"> 8</w:t>
      </w:r>
      <w:r w:rsidRPr="00691905">
        <w:rPr>
          <w:bCs/>
          <w:sz w:val="24"/>
          <w:szCs w:val="24"/>
          <w:vertAlign w:val="superscript"/>
        </w:rPr>
        <w:t>2</w:t>
      </w:r>
      <w:r w:rsidRPr="00691905">
        <w:rPr>
          <w:bCs/>
          <w:sz w:val="24"/>
          <w:szCs w:val="24"/>
        </w:rPr>
        <w:t xml:space="preserve"> straipsnio 1 dalies 2 punktu, atliko </w:t>
      </w:r>
      <w:r w:rsidR="00C733EE" w:rsidRPr="00691905">
        <w:rPr>
          <w:bCs/>
          <w:sz w:val="24"/>
          <w:szCs w:val="24"/>
        </w:rPr>
        <w:t>V</w:t>
      </w:r>
      <w:r w:rsidR="00F56CD6" w:rsidRPr="00691905">
        <w:rPr>
          <w:bCs/>
          <w:sz w:val="24"/>
          <w:szCs w:val="24"/>
        </w:rPr>
        <w:t>iešosios įstaigos „SPO-Ryžtas“</w:t>
      </w:r>
      <w:r w:rsidRPr="00691905">
        <w:rPr>
          <w:bCs/>
          <w:sz w:val="24"/>
          <w:szCs w:val="24"/>
        </w:rPr>
        <w:t xml:space="preserve"> (kodas</w:t>
      </w:r>
      <w:r w:rsidRPr="00691905">
        <w:rPr>
          <w:rStyle w:val="Heading1Char"/>
          <w:rFonts w:eastAsiaTheme="minorHAnsi"/>
          <w:b w:val="0"/>
          <w:sz w:val="24"/>
          <w:szCs w:val="24"/>
        </w:rPr>
        <w:t xml:space="preserve"> </w:t>
      </w:r>
      <w:r w:rsidR="00F56CD6" w:rsidRPr="00691905">
        <w:rPr>
          <w:rStyle w:val="Heading1Char"/>
          <w:rFonts w:eastAsiaTheme="minorHAnsi"/>
          <w:b w:val="0"/>
          <w:sz w:val="24"/>
          <w:szCs w:val="24"/>
        </w:rPr>
        <w:t>302463982</w:t>
      </w:r>
      <w:r w:rsidRPr="00691905">
        <w:rPr>
          <w:bCs/>
          <w:sz w:val="24"/>
          <w:szCs w:val="24"/>
        </w:rPr>
        <w:t>, K</w:t>
      </w:r>
      <w:r w:rsidR="00F56CD6" w:rsidRPr="00691905">
        <w:rPr>
          <w:bCs/>
          <w:sz w:val="24"/>
          <w:szCs w:val="24"/>
        </w:rPr>
        <w:t>ęstučio</w:t>
      </w:r>
      <w:r w:rsidRPr="00691905">
        <w:rPr>
          <w:bCs/>
          <w:sz w:val="24"/>
          <w:szCs w:val="24"/>
        </w:rPr>
        <w:t xml:space="preserve"> g. </w:t>
      </w:r>
      <w:r w:rsidR="00F56CD6" w:rsidRPr="00691905">
        <w:rPr>
          <w:bCs/>
          <w:sz w:val="24"/>
          <w:szCs w:val="24"/>
        </w:rPr>
        <w:t>45</w:t>
      </w:r>
      <w:r w:rsidRPr="00691905">
        <w:rPr>
          <w:bCs/>
          <w:sz w:val="24"/>
          <w:szCs w:val="24"/>
        </w:rPr>
        <w:t xml:space="preserve">, </w:t>
      </w:r>
      <w:r w:rsidR="00134BDD" w:rsidRPr="00691905">
        <w:rPr>
          <w:bCs/>
          <w:sz w:val="24"/>
          <w:szCs w:val="24"/>
        </w:rPr>
        <w:t>44307</w:t>
      </w:r>
      <w:r w:rsidRPr="00691905">
        <w:rPr>
          <w:sz w:val="24"/>
          <w:szCs w:val="24"/>
        </w:rPr>
        <w:t xml:space="preserve"> Kaunas</w:t>
      </w:r>
      <w:r w:rsidRPr="00691905">
        <w:rPr>
          <w:bCs/>
          <w:sz w:val="24"/>
          <w:szCs w:val="24"/>
        </w:rPr>
        <w:t>),</w:t>
      </w:r>
      <w:r w:rsidRPr="00691905">
        <w:rPr>
          <w:sz w:val="24"/>
          <w:szCs w:val="24"/>
        </w:rPr>
        <w:t xml:space="preserve"> įvykdžius </w:t>
      </w:r>
      <w:r w:rsidR="00134BDD" w:rsidRPr="00691905">
        <w:rPr>
          <w:sz w:val="24"/>
          <w:szCs w:val="24"/>
        </w:rPr>
        <w:t xml:space="preserve">mažos vertės </w:t>
      </w:r>
      <w:r w:rsidRPr="00691905">
        <w:rPr>
          <w:sz w:val="24"/>
          <w:szCs w:val="24"/>
        </w:rPr>
        <w:t>vieš</w:t>
      </w:r>
      <w:r w:rsidR="00134BDD" w:rsidRPr="00691905">
        <w:rPr>
          <w:sz w:val="24"/>
          <w:szCs w:val="24"/>
        </w:rPr>
        <w:t>ąjį</w:t>
      </w:r>
      <w:r w:rsidRPr="00691905">
        <w:rPr>
          <w:sz w:val="24"/>
          <w:szCs w:val="24"/>
        </w:rPr>
        <w:t xml:space="preserve"> pirkim</w:t>
      </w:r>
      <w:r w:rsidR="00134BDD" w:rsidRPr="00691905">
        <w:rPr>
          <w:sz w:val="24"/>
          <w:szCs w:val="24"/>
        </w:rPr>
        <w:t>ą</w:t>
      </w:r>
      <w:r w:rsidRPr="00691905">
        <w:rPr>
          <w:sz w:val="24"/>
          <w:szCs w:val="24"/>
        </w:rPr>
        <w:t xml:space="preserve"> </w:t>
      </w:r>
      <w:r w:rsidRPr="00691905">
        <w:rPr>
          <w:bCs/>
          <w:sz w:val="24"/>
          <w:szCs w:val="24"/>
        </w:rPr>
        <w:t>„</w:t>
      </w:r>
      <w:r w:rsidR="001516ED" w:rsidRPr="00691905">
        <w:rPr>
          <w:bCs/>
          <w:sz w:val="24"/>
          <w:szCs w:val="24"/>
        </w:rPr>
        <w:t xml:space="preserve">Maisto produktų </w:t>
      </w:r>
      <w:r w:rsidRPr="00691905">
        <w:rPr>
          <w:bCs/>
          <w:sz w:val="24"/>
          <w:szCs w:val="24"/>
        </w:rPr>
        <w:t xml:space="preserve">pirkimas“ </w:t>
      </w:r>
      <w:r w:rsidR="00134BDD" w:rsidRPr="00691905">
        <w:rPr>
          <w:bCs/>
          <w:sz w:val="24"/>
          <w:szCs w:val="24"/>
        </w:rPr>
        <w:t>apklausos būdu (žodžiu)</w:t>
      </w:r>
      <w:r w:rsidR="00867CA2" w:rsidRPr="00691905">
        <w:rPr>
          <w:bCs/>
          <w:sz w:val="24"/>
          <w:szCs w:val="24"/>
        </w:rPr>
        <w:t xml:space="preserve"> (toliau – Pirkimas Nr. 1)</w:t>
      </w:r>
      <w:r w:rsidR="00134BDD" w:rsidRPr="00691905">
        <w:rPr>
          <w:bCs/>
          <w:sz w:val="24"/>
          <w:szCs w:val="24"/>
        </w:rPr>
        <w:t xml:space="preserve"> </w:t>
      </w:r>
      <w:r w:rsidRPr="00691905">
        <w:rPr>
          <w:sz w:val="24"/>
          <w:szCs w:val="24"/>
        </w:rPr>
        <w:t xml:space="preserve">ir </w:t>
      </w:r>
      <w:r w:rsidR="001516ED" w:rsidRPr="00691905">
        <w:rPr>
          <w:sz w:val="24"/>
          <w:szCs w:val="24"/>
        </w:rPr>
        <w:t>mažos vertės viešąjį pirkimą „Maisto produktų pirkimas“ apklausos būdu (raštu)</w:t>
      </w:r>
      <w:r w:rsidR="00867CA2" w:rsidRPr="00691905">
        <w:rPr>
          <w:sz w:val="24"/>
          <w:szCs w:val="24"/>
        </w:rPr>
        <w:t xml:space="preserve"> (toliau – Pirkimas Nr. 2)</w:t>
      </w:r>
      <w:r w:rsidRPr="00691905">
        <w:rPr>
          <w:sz w:val="24"/>
          <w:szCs w:val="24"/>
        </w:rPr>
        <w:t xml:space="preserve">, tarp </w:t>
      </w:r>
      <w:r w:rsidR="00C733EE" w:rsidRPr="00691905">
        <w:rPr>
          <w:sz w:val="24"/>
          <w:szCs w:val="24"/>
        </w:rPr>
        <w:t>V</w:t>
      </w:r>
      <w:r w:rsidR="001516ED" w:rsidRPr="00691905">
        <w:rPr>
          <w:sz w:val="24"/>
          <w:szCs w:val="24"/>
        </w:rPr>
        <w:t xml:space="preserve">iešosios įstaigos „SPO-Ryžtas“ </w:t>
      </w:r>
      <w:r w:rsidRPr="00691905">
        <w:rPr>
          <w:bCs/>
          <w:sz w:val="24"/>
          <w:szCs w:val="24"/>
        </w:rPr>
        <w:t>(toliau – perkančioji organizacija) ir</w:t>
      </w:r>
      <w:r w:rsidR="00444A59" w:rsidRPr="00691905">
        <w:rPr>
          <w:bCs/>
          <w:sz w:val="24"/>
          <w:szCs w:val="24"/>
        </w:rPr>
        <w:t xml:space="preserve"> Kauno socialinių paslaugų ir statybos verslo darbuotojų profesinio rengimo centro (kodas 190972373</w:t>
      </w:r>
      <w:r w:rsidRPr="00691905">
        <w:rPr>
          <w:bCs/>
          <w:sz w:val="24"/>
          <w:szCs w:val="24"/>
        </w:rPr>
        <w:t xml:space="preserve">, </w:t>
      </w:r>
      <w:r w:rsidR="007E564D" w:rsidRPr="00691905">
        <w:rPr>
          <w:bCs/>
          <w:sz w:val="24"/>
          <w:szCs w:val="24"/>
        </w:rPr>
        <w:t>Kalantos g. 80</w:t>
      </w:r>
      <w:r w:rsidRPr="00691905">
        <w:rPr>
          <w:bCs/>
          <w:sz w:val="24"/>
          <w:szCs w:val="24"/>
        </w:rPr>
        <w:t xml:space="preserve">, </w:t>
      </w:r>
      <w:r w:rsidR="007E564D" w:rsidRPr="00691905">
        <w:rPr>
          <w:bCs/>
          <w:sz w:val="24"/>
          <w:szCs w:val="24"/>
        </w:rPr>
        <w:t>52364</w:t>
      </w:r>
      <w:r w:rsidRPr="00691905">
        <w:rPr>
          <w:bCs/>
          <w:sz w:val="24"/>
          <w:szCs w:val="24"/>
        </w:rPr>
        <w:t xml:space="preserve"> Kaunas) (toliau –</w:t>
      </w:r>
      <w:r w:rsidR="00DB61C9" w:rsidRPr="00691905">
        <w:rPr>
          <w:bCs/>
          <w:sz w:val="24"/>
          <w:szCs w:val="24"/>
        </w:rPr>
        <w:t xml:space="preserve"> tiekėjas</w:t>
      </w:r>
      <w:r w:rsidRPr="00691905">
        <w:rPr>
          <w:bCs/>
          <w:sz w:val="24"/>
          <w:szCs w:val="24"/>
        </w:rPr>
        <w:t xml:space="preserve">) 2012 m. </w:t>
      </w:r>
      <w:r w:rsidR="00C733EE" w:rsidRPr="00691905">
        <w:rPr>
          <w:bCs/>
          <w:sz w:val="24"/>
          <w:szCs w:val="24"/>
        </w:rPr>
        <w:t>balandžio 2</w:t>
      </w:r>
      <w:r w:rsidRPr="00691905">
        <w:rPr>
          <w:bCs/>
          <w:sz w:val="24"/>
          <w:szCs w:val="24"/>
        </w:rPr>
        <w:t xml:space="preserve"> d. sudarytos </w:t>
      </w:r>
      <w:r w:rsidR="00C733EE" w:rsidRPr="00691905">
        <w:rPr>
          <w:bCs/>
          <w:sz w:val="24"/>
          <w:szCs w:val="24"/>
        </w:rPr>
        <w:t>maisto produktų pirkimo–pardavimo</w:t>
      </w:r>
      <w:r w:rsidRPr="00691905">
        <w:rPr>
          <w:bCs/>
          <w:sz w:val="24"/>
          <w:szCs w:val="24"/>
        </w:rPr>
        <w:t xml:space="preserve"> sutarties Nr. </w:t>
      </w:r>
      <w:r w:rsidR="00140136" w:rsidRPr="00691905">
        <w:rPr>
          <w:bCs/>
          <w:sz w:val="24"/>
          <w:szCs w:val="24"/>
        </w:rPr>
        <w:t>12-04-02/01</w:t>
      </w:r>
      <w:r w:rsidRPr="00691905">
        <w:rPr>
          <w:bCs/>
          <w:sz w:val="24"/>
          <w:szCs w:val="24"/>
        </w:rPr>
        <w:t xml:space="preserve"> (toliau – Sutartis</w:t>
      </w:r>
      <w:r w:rsidR="00D4359D" w:rsidRPr="00691905">
        <w:rPr>
          <w:bCs/>
          <w:sz w:val="24"/>
          <w:szCs w:val="24"/>
        </w:rPr>
        <w:t xml:space="preserve"> Nr. 1</w:t>
      </w:r>
      <w:r w:rsidRPr="00691905">
        <w:rPr>
          <w:bCs/>
          <w:sz w:val="24"/>
          <w:szCs w:val="24"/>
        </w:rPr>
        <w:t>)</w:t>
      </w:r>
      <w:r w:rsidRPr="00691905">
        <w:rPr>
          <w:sz w:val="24"/>
          <w:szCs w:val="24"/>
        </w:rPr>
        <w:t xml:space="preserve"> vykdymo atitikties Lietuvos Respublikos viešųjų pirkimų įstatymui ir (ar) su jo įgyvendinimu susijusiems teisės aktams neplaninį vertinimą (toliau – </w:t>
      </w:r>
      <w:r w:rsidRPr="00691905">
        <w:rPr>
          <w:bCs/>
          <w:sz w:val="24"/>
          <w:szCs w:val="24"/>
        </w:rPr>
        <w:t>vertinimas</w:t>
      </w:r>
      <w:r w:rsidRPr="00691905">
        <w:rPr>
          <w:sz w:val="24"/>
          <w:szCs w:val="24"/>
        </w:rPr>
        <w:t>).</w:t>
      </w:r>
    </w:p>
    <w:p w:rsidR="00145903" w:rsidRPr="00691905" w:rsidRDefault="00037068" w:rsidP="00145903">
      <w:pPr>
        <w:tabs>
          <w:tab w:val="left" w:pos="900"/>
        </w:tabs>
        <w:jc w:val="both"/>
        <w:rPr>
          <w:sz w:val="24"/>
          <w:szCs w:val="24"/>
        </w:rPr>
      </w:pPr>
      <w:r w:rsidRPr="00691905">
        <w:rPr>
          <w:sz w:val="24"/>
          <w:szCs w:val="24"/>
        </w:rPr>
        <w:tab/>
      </w:r>
      <w:r w:rsidR="00140136" w:rsidRPr="00691905">
        <w:rPr>
          <w:sz w:val="24"/>
          <w:szCs w:val="24"/>
        </w:rPr>
        <w:t>E</w:t>
      </w:r>
      <w:r w:rsidR="008E7B2F" w:rsidRPr="00691905">
        <w:rPr>
          <w:sz w:val="24"/>
          <w:szCs w:val="24"/>
        </w:rPr>
        <w:t>SFA</w:t>
      </w:r>
      <w:r w:rsidR="00140136" w:rsidRPr="00691905">
        <w:rPr>
          <w:sz w:val="24"/>
          <w:szCs w:val="24"/>
        </w:rPr>
        <w:t xml:space="preserve"> </w:t>
      </w:r>
      <w:r w:rsidR="00145903" w:rsidRPr="00691905">
        <w:rPr>
          <w:sz w:val="24"/>
          <w:szCs w:val="24"/>
        </w:rPr>
        <w:t xml:space="preserve">paprašė </w:t>
      </w:r>
      <w:r w:rsidR="004332A5" w:rsidRPr="00691905">
        <w:rPr>
          <w:sz w:val="24"/>
          <w:szCs w:val="24"/>
        </w:rPr>
        <w:t xml:space="preserve">pateikti </w:t>
      </w:r>
      <w:r w:rsidR="00145903" w:rsidRPr="00691905">
        <w:rPr>
          <w:sz w:val="24"/>
          <w:szCs w:val="24"/>
        </w:rPr>
        <w:t>vertinimo išvad</w:t>
      </w:r>
      <w:r w:rsidR="004332A5" w:rsidRPr="00691905">
        <w:rPr>
          <w:sz w:val="24"/>
          <w:szCs w:val="24"/>
        </w:rPr>
        <w:t>ą</w:t>
      </w:r>
      <w:r w:rsidR="00145903" w:rsidRPr="00691905">
        <w:rPr>
          <w:sz w:val="24"/>
          <w:szCs w:val="24"/>
        </w:rPr>
        <w:t>:</w:t>
      </w:r>
    </w:p>
    <w:p w:rsidR="00867CA2" w:rsidRPr="00691905" w:rsidRDefault="00D5121E" w:rsidP="002D49AA">
      <w:pPr>
        <w:pStyle w:val="ListParagraph"/>
        <w:numPr>
          <w:ilvl w:val="0"/>
          <w:numId w:val="3"/>
        </w:numPr>
        <w:tabs>
          <w:tab w:val="left" w:pos="900"/>
        </w:tabs>
        <w:ind w:left="0" w:firstLine="851"/>
        <w:jc w:val="both"/>
        <w:rPr>
          <w:bCs/>
          <w:sz w:val="24"/>
          <w:szCs w:val="24"/>
        </w:rPr>
      </w:pPr>
      <w:r w:rsidRPr="00691905">
        <w:rPr>
          <w:sz w:val="24"/>
          <w:szCs w:val="24"/>
        </w:rPr>
        <w:t>a</w:t>
      </w:r>
      <w:r w:rsidR="004332A5" w:rsidRPr="00691905">
        <w:rPr>
          <w:sz w:val="24"/>
          <w:szCs w:val="24"/>
        </w:rPr>
        <w:t xml:space="preserve">r </w:t>
      </w:r>
      <w:r w:rsidRPr="00691905">
        <w:rPr>
          <w:sz w:val="24"/>
          <w:szCs w:val="24"/>
        </w:rPr>
        <w:t>p</w:t>
      </w:r>
      <w:r w:rsidR="004332A5" w:rsidRPr="00691905">
        <w:rPr>
          <w:sz w:val="24"/>
          <w:szCs w:val="24"/>
        </w:rPr>
        <w:t>erkančioji organizacija, vykdydama</w:t>
      </w:r>
      <w:r w:rsidR="00867CA2" w:rsidRPr="00691905">
        <w:rPr>
          <w:sz w:val="24"/>
          <w:szCs w:val="24"/>
        </w:rPr>
        <w:t xml:space="preserve"> pirkimus ir viešai nepaskelbusi savo supaprastintų viešųjų pirkimų taisyklių Centrinėje viešųjų pirkimų informacinėje sistemoje, nepažeidė</w:t>
      </w:r>
      <w:r w:rsidR="00FD6BD7" w:rsidRPr="00691905">
        <w:rPr>
          <w:sz w:val="24"/>
          <w:szCs w:val="24"/>
        </w:rPr>
        <w:t xml:space="preserve"> </w:t>
      </w:r>
      <w:r w:rsidRPr="00691905">
        <w:rPr>
          <w:sz w:val="24"/>
          <w:szCs w:val="24"/>
        </w:rPr>
        <w:t xml:space="preserve">Įstatymo </w:t>
      </w:r>
      <w:r w:rsidR="00FD6BD7" w:rsidRPr="00691905">
        <w:rPr>
          <w:sz w:val="24"/>
          <w:szCs w:val="24"/>
        </w:rPr>
        <w:t>85 str</w:t>
      </w:r>
      <w:r w:rsidRPr="00691905">
        <w:rPr>
          <w:sz w:val="24"/>
          <w:szCs w:val="24"/>
        </w:rPr>
        <w:t>aipsnio 2 dalies</w:t>
      </w:r>
      <w:r w:rsidR="00FD6BD7" w:rsidRPr="00691905">
        <w:rPr>
          <w:sz w:val="24"/>
          <w:szCs w:val="24"/>
        </w:rPr>
        <w:t xml:space="preserve"> nuostatų bei </w:t>
      </w:r>
      <w:r w:rsidRPr="00691905">
        <w:rPr>
          <w:sz w:val="24"/>
          <w:szCs w:val="24"/>
        </w:rPr>
        <w:t>Įstatymo</w:t>
      </w:r>
      <w:r w:rsidR="00FD6BD7" w:rsidRPr="00691905">
        <w:rPr>
          <w:sz w:val="24"/>
          <w:szCs w:val="24"/>
        </w:rPr>
        <w:t xml:space="preserve"> 3 str</w:t>
      </w:r>
      <w:r w:rsidR="00555DF5" w:rsidRPr="00691905">
        <w:rPr>
          <w:sz w:val="24"/>
          <w:szCs w:val="24"/>
        </w:rPr>
        <w:t>aipsnio 1 dalyje</w:t>
      </w:r>
      <w:r w:rsidR="00FD6BD7" w:rsidRPr="00691905">
        <w:rPr>
          <w:sz w:val="24"/>
          <w:szCs w:val="24"/>
        </w:rPr>
        <w:t xml:space="preserve"> įtvirtinto</w:t>
      </w:r>
      <w:r w:rsidR="001F7FB9" w:rsidRPr="00691905">
        <w:rPr>
          <w:sz w:val="24"/>
          <w:szCs w:val="24"/>
        </w:rPr>
        <w:t xml:space="preserve"> skaidrumo principo.</w:t>
      </w:r>
    </w:p>
    <w:p w:rsidR="001F7FB9" w:rsidRPr="00691905" w:rsidRDefault="00555DF5" w:rsidP="002D49AA">
      <w:pPr>
        <w:pStyle w:val="ListParagraph"/>
        <w:numPr>
          <w:ilvl w:val="0"/>
          <w:numId w:val="3"/>
        </w:numPr>
        <w:tabs>
          <w:tab w:val="left" w:pos="900"/>
        </w:tabs>
        <w:ind w:left="0" w:firstLine="851"/>
        <w:jc w:val="both"/>
        <w:rPr>
          <w:bCs/>
          <w:sz w:val="24"/>
          <w:szCs w:val="24"/>
        </w:rPr>
      </w:pPr>
      <w:r w:rsidRPr="00691905">
        <w:rPr>
          <w:sz w:val="24"/>
          <w:szCs w:val="24"/>
        </w:rPr>
        <w:t>a</w:t>
      </w:r>
      <w:r w:rsidR="001F7FB9" w:rsidRPr="00691905">
        <w:rPr>
          <w:sz w:val="24"/>
          <w:szCs w:val="24"/>
        </w:rPr>
        <w:t>r sudarant Sutarties</w:t>
      </w:r>
      <w:r w:rsidRPr="00691905">
        <w:rPr>
          <w:sz w:val="24"/>
          <w:szCs w:val="24"/>
        </w:rPr>
        <w:t xml:space="preserve"> Nr. 1</w:t>
      </w:r>
      <w:r w:rsidR="001F7FB9" w:rsidRPr="00691905">
        <w:rPr>
          <w:sz w:val="24"/>
          <w:szCs w:val="24"/>
        </w:rPr>
        <w:t xml:space="preserve"> priedus, ir jais pratęsiant Sutarties</w:t>
      </w:r>
      <w:r w:rsidRPr="00691905">
        <w:rPr>
          <w:sz w:val="24"/>
          <w:szCs w:val="24"/>
        </w:rPr>
        <w:t xml:space="preserve"> Nr. 1</w:t>
      </w:r>
      <w:r w:rsidR="001F7FB9" w:rsidRPr="00691905">
        <w:rPr>
          <w:sz w:val="24"/>
          <w:szCs w:val="24"/>
        </w:rPr>
        <w:t xml:space="preserve"> galiojimo laiką, vykdomam Pirkimui Nr. 2 nesudarius naujos pirkimo sutarties, buvo užtikrintas </w:t>
      </w:r>
      <w:r w:rsidRPr="00691905">
        <w:rPr>
          <w:sz w:val="24"/>
          <w:szCs w:val="24"/>
        </w:rPr>
        <w:t xml:space="preserve">Įstatymo </w:t>
      </w:r>
      <w:r w:rsidR="00B716E4">
        <w:rPr>
          <w:sz w:val="24"/>
          <w:szCs w:val="24"/>
        </w:rPr>
        <w:br/>
      </w:r>
      <w:r w:rsidR="001F7FB9" w:rsidRPr="00691905">
        <w:rPr>
          <w:sz w:val="24"/>
          <w:szCs w:val="24"/>
        </w:rPr>
        <w:t>18 str</w:t>
      </w:r>
      <w:r w:rsidRPr="00691905">
        <w:rPr>
          <w:sz w:val="24"/>
          <w:szCs w:val="24"/>
        </w:rPr>
        <w:t>aipsnio</w:t>
      </w:r>
      <w:r w:rsidR="001F7FB9" w:rsidRPr="00691905">
        <w:rPr>
          <w:sz w:val="24"/>
          <w:szCs w:val="24"/>
        </w:rPr>
        <w:t xml:space="preserve"> 8 d</w:t>
      </w:r>
      <w:r w:rsidRPr="00691905">
        <w:rPr>
          <w:sz w:val="24"/>
          <w:szCs w:val="24"/>
        </w:rPr>
        <w:t>alies nuostatų ir Įstatymo</w:t>
      </w:r>
      <w:r w:rsidR="001F7FB9" w:rsidRPr="00691905">
        <w:rPr>
          <w:sz w:val="24"/>
          <w:szCs w:val="24"/>
        </w:rPr>
        <w:t xml:space="preserve"> 3 str</w:t>
      </w:r>
      <w:r w:rsidR="0054754F" w:rsidRPr="00691905">
        <w:rPr>
          <w:sz w:val="24"/>
          <w:szCs w:val="24"/>
        </w:rPr>
        <w:t>aipsnio 1 dalyje</w:t>
      </w:r>
      <w:r w:rsidR="001F7FB9" w:rsidRPr="00691905">
        <w:rPr>
          <w:sz w:val="24"/>
          <w:szCs w:val="24"/>
        </w:rPr>
        <w:t xml:space="preserve"> įtvirtinto lygiateisiškumo principo laikymasis ir ar nurodyti neatitikimai</w:t>
      </w:r>
      <w:r w:rsidR="002D49AA" w:rsidRPr="00691905">
        <w:rPr>
          <w:sz w:val="24"/>
          <w:szCs w:val="24"/>
        </w:rPr>
        <w:t xml:space="preserve"> turėjo įtakos pirkimo rezultatams.</w:t>
      </w:r>
    </w:p>
    <w:p w:rsidR="002D49AA" w:rsidRPr="00867CA2" w:rsidRDefault="0054754F" w:rsidP="002D49AA">
      <w:pPr>
        <w:pStyle w:val="ListParagraph"/>
        <w:numPr>
          <w:ilvl w:val="0"/>
          <w:numId w:val="3"/>
        </w:numPr>
        <w:tabs>
          <w:tab w:val="left" w:pos="900"/>
        </w:tabs>
        <w:ind w:left="0"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="002D49AA">
        <w:rPr>
          <w:sz w:val="24"/>
          <w:szCs w:val="24"/>
        </w:rPr>
        <w:t xml:space="preserve">r </w:t>
      </w:r>
      <w:r>
        <w:rPr>
          <w:sz w:val="24"/>
          <w:szCs w:val="24"/>
        </w:rPr>
        <w:t>p</w:t>
      </w:r>
      <w:r w:rsidR="002D49AA">
        <w:rPr>
          <w:sz w:val="24"/>
          <w:szCs w:val="24"/>
        </w:rPr>
        <w:t>erkančiajai organizacijai pirkimo sąlygose nenurodžius konkretaus sutarties galiojimo termino, galima la</w:t>
      </w:r>
      <w:r>
        <w:rPr>
          <w:sz w:val="24"/>
          <w:szCs w:val="24"/>
        </w:rPr>
        <w:t>ikyti, jog sutartis galioja 3 metus.</w:t>
      </w:r>
    </w:p>
    <w:p w:rsidR="00145903" w:rsidRPr="00EF5F8F" w:rsidRDefault="00145903" w:rsidP="002D49AA">
      <w:pPr>
        <w:pStyle w:val="ListParagraph"/>
        <w:tabs>
          <w:tab w:val="left" w:pos="900"/>
        </w:tabs>
        <w:ind w:left="0" w:firstLine="851"/>
        <w:jc w:val="both"/>
        <w:rPr>
          <w:bCs/>
          <w:sz w:val="24"/>
          <w:szCs w:val="24"/>
        </w:rPr>
      </w:pPr>
      <w:r w:rsidRPr="009266E2">
        <w:rPr>
          <w:sz w:val="24"/>
          <w:szCs w:val="24"/>
        </w:rPr>
        <w:lastRenderedPageBreak/>
        <w:t xml:space="preserve">Įvertinus </w:t>
      </w:r>
      <w:r w:rsidR="0000268D">
        <w:rPr>
          <w:sz w:val="24"/>
          <w:szCs w:val="24"/>
        </w:rPr>
        <w:t xml:space="preserve">ESFA ir </w:t>
      </w:r>
      <w:r w:rsidRPr="009266E2">
        <w:rPr>
          <w:sz w:val="24"/>
          <w:szCs w:val="24"/>
        </w:rPr>
        <w:t xml:space="preserve">perkančiosios organizacijos pateiktus dokumentus </w:t>
      </w:r>
      <w:r w:rsidR="0000268D">
        <w:rPr>
          <w:sz w:val="24"/>
          <w:szCs w:val="24"/>
        </w:rPr>
        <w:t>bei</w:t>
      </w:r>
      <w:r w:rsidRPr="009266E2">
        <w:rPr>
          <w:sz w:val="24"/>
          <w:szCs w:val="24"/>
        </w:rPr>
        <w:t xml:space="preserve"> </w:t>
      </w:r>
      <w:r w:rsidRPr="009266E2">
        <w:rPr>
          <w:bCs/>
          <w:sz w:val="24"/>
          <w:szCs w:val="24"/>
        </w:rPr>
        <w:t>Centrinėje viešųjų pirkimų informacinėje sistemoje</w:t>
      </w:r>
      <w:r w:rsidR="0054754F">
        <w:rPr>
          <w:bCs/>
          <w:sz w:val="24"/>
          <w:szCs w:val="24"/>
        </w:rPr>
        <w:t xml:space="preserve"> (toliau – CVP IS)</w:t>
      </w:r>
      <w:r w:rsidRPr="009266E2">
        <w:rPr>
          <w:bCs/>
          <w:sz w:val="24"/>
          <w:szCs w:val="24"/>
        </w:rPr>
        <w:t xml:space="preserve"> esančią </w:t>
      </w:r>
      <w:r w:rsidR="005D2F85">
        <w:rPr>
          <w:bCs/>
          <w:sz w:val="24"/>
          <w:szCs w:val="24"/>
        </w:rPr>
        <w:t>pirkimų</w:t>
      </w:r>
      <w:r w:rsidR="00EF1778">
        <w:rPr>
          <w:bCs/>
          <w:sz w:val="24"/>
          <w:szCs w:val="24"/>
        </w:rPr>
        <w:t xml:space="preserve"> informaciją</w:t>
      </w:r>
      <w:r w:rsidR="0004654A">
        <w:rPr>
          <w:bCs/>
          <w:sz w:val="24"/>
          <w:szCs w:val="24"/>
        </w:rPr>
        <w:t>, Tarnyba nustatė, kad</w:t>
      </w:r>
      <w:r w:rsidRPr="009266E2">
        <w:rPr>
          <w:bCs/>
          <w:sz w:val="24"/>
          <w:szCs w:val="24"/>
        </w:rPr>
        <w:t>:</w:t>
      </w:r>
    </w:p>
    <w:p w:rsidR="007D1AFF" w:rsidRDefault="00012693" w:rsidP="008275B6">
      <w:pPr>
        <w:pStyle w:val="ListParagraph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perkančioji organizacija</w:t>
      </w:r>
      <w:r w:rsidR="00F3347F">
        <w:rPr>
          <w:bCs/>
          <w:sz w:val="24"/>
          <w:szCs w:val="24"/>
        </w:rPr>
        <w:t xml:space="preserve"> vykd</w:t>
      </w:r>
      <w:r w:rsidR="00171245">
        <w:rPr>
          <w:bCs/>
          <w:sz w:val="24"/>
          <w:szCs w:val="24"/>
        </w:rPr>
        <w:t>ė</w:t>
      </w:r>
      <w:r w:rsidR="00F3347F">
        <w:rPr>
          <w:bCs/>
          <w:sz w:val="24"/>
          <w:szCs w:val="24"/>
        </w:rPr>
        <w:t xml:space="preserve"> </w:t>
      </w:r>
      <w:r w:rsidR="00431E81" w:rsidRPr="00691905">
        <w:rPr>
          <w:bCs/>
          <w:sz w:val="24"/>
          <w:szCs w:val="24"/>
        </w:rPr>
        <w:t>Pirkim</w:t>
      </w:r>
      <w:r w:rsidR="00171245">
        <w:rPr>
          <w:bCs/>
          <w:sz w:val="24"/>
          <w:szCs w:val="24"/>
        </w:rPr>
        <w:t>o</w:t>
      </w:r>
      <w:r w:rsidR="00431E81" w:rsidRPr="00691905">
        <w:rPr>
          <w:bCs/>
          <w:sz w:val="24"/>
          <w:szCs w:val="24"/>
        </w:rPr>
        <w:t xml:space="preserve"> Nr. 1</w:t>
      </w:r>
      <w:r w:rsidR="00171245">
        <w:rPr>
          <w:bCs/>
          <w:sz w:val="24"/>
          <w:szCs w:val="24"/>
        </w:rPr>
        <w:t xml:space="preserve"> procedūras</w:t>
      </w:r>
      <w:r w:rsidR="00F3347F">
        <w:rPr>
          <w:bCs/>
          <w:sz w:val="24"/>
          <w:szCs w:val="24"/>
        </w:rPr>
        <w:t xml:space="preserve"> (2012 m. kovo 30 d. mažos vertės pirkimų tiekėjų apklausos pažyma)</w:t>
      </w:r>
      <w:r w:rsidR="00431E81" w:rsidRPr="00691905">
        <w:rPr>
          <w:bCs/>
          <w:sz w:val="24"/>
          <w:szCs w:val="24"/>
        </w:rPr>
        <w:t xml:space="preserve"> pagal perkančiosios organizacijos direktoriaus </w:t>
      </w:r>
      <w:r w:rsidR="00431E81" w:rsidRPr="00691905">
        <w:rPr>
          <w:bCs/>
          <w:sz w:val="24"/>
          <w:szCs w:val="24"/>
          <w:u w:val="single"/>
        </w:rPr>
        <w:t>2012 m. kovo 29 d. įsakymu Nr. 12/03/29-03 patvirtintas, tačiau C</w:t>
      </w:r>
      <w:r w:rsidR="007369A4" w:rsidRPr="00691905">
        <w:rPr>
          <w:bCs/>
          <w:sz w:val="24"/>
          <w:szCs w:val="24"/>
          <w:u w:val="single"/>
        </w:rPr>
        <w:t>VP IS</w:t>
      </w:r>
      <w:r w:rsidR="00431E81" w:rsidRPr="00691905">
        <w:rPr>
          <w:bCs/>
          <w:sz w:val="24"/>
          <w:szCs w:val="24"/>
          <w:u w:val="single"/>
        </w:rPr>
        <w:t xml:space="preserve"> nepaskelbtas Viešosios įstaigos „SPO–Ryžtas“ supaprastintų viešųjų pirkimų taisykles</w:t>
      </w:r>
      <w:r w:rsidR="000F72CE" w:rsidRPr="00691905">
        <w:rPr>
          <w:bCs/>
          <w:sz w:val="24"/>
          <w:szCs w:val="24"/>
        </w:rPr>
        <w:t xml:space="preserve"> (toliau – Supaprastintų pirkimų taisyklės 1)</w:t>
      </w:r>
      <w:r w:rsidR="00431E81" w:rsidRPr="00691905">
        <w:rPr>
          <w:bCs/>
          <w:sz w:val="24"/>
          <w:szCs w:val="24"/>
        </w:rPr>
        <w:t>.</w:t>
      </w:r>
      <w:r w:rsidR="00C1074A" w:rsidRPr="00691905">
        <w:rPr>
          <w:bCs/>
          <w:sz w:val="24"/>
          <w:szCs w:val="24"/>
        </w:rPr>
        <w:t xml:space="preserve"> Tiekėjai su šiomis taisyklėmis</w:t>
      </w:r>
      <w:r w:rsidR="000D3B77" w:rsidRPr="00691905">
        <w:rPr>
          <w:bCs/>
          <w:sz w:val="24"/>
          <w:szCs w:val="24"/>
        </w:rPr>
        <w:t xml:space="preserve"> buvo</w:t>
      </w:r>
      <w:r w:rsidR="00C1074A" w:rsidRPr="00691905">
        <w:rPr>
          <w:bCs/>
          <w:sz w:val="24"/>
          <w:szCs w:val="24"/>
        </w:rPr>
        <w:t xml:space="preserve"> supažindinti pateikiant jiems Supaprastintų pirkimų taisyklių 1 kopijas.</w:t>
      </w:r>
      <w:r w:rsidR="00431E81" w:rsidRPr="00691905">
        <w:rPr>
          <w:bCs/>
          <w:sz w:val="24"/>
          <w:szCs w:val="24"/>
        </w:rPr>
        <w:t xml:space="preserve"> </w:t>
      </w:r>
      <w:r w:rsidR="000D3B77" w:rsidRPr="00691905">
        <w:rPr>
          <w:bCs/>
          <w:sz w:val="24"/>
          <w:szCs w:val="24"/>
        </w:rPr>
        <w:t>Perkančioji organizacija 2014 m. spalio 1 d. raštu „Dėl 2014-09-23 rašto Nr. 4S-3132“</w:t>
      </w:r>
      <w:r w:rsidR="008965B3" w:rsidRPr="00691905">
        <w:rPr>
          <w:bCs/>
          <w:sz w:val="24"/>
          <w:szCs w:val="24"/>
        </w:rPr>
        <w:t xml:space="preserve"> (toliau – raštas)</w:t>
      </w:r>
      <w:r w:rsidR="000D3B77" w:rsidRPr="00691905">
        <w:rPr>
          <w:bCs/>
          <w:sz w:val="24"/>
          <w:szCs w:val="24"/>
        </w:rPr>
        <w:t xml:space="preserve"> pateikė tiekėjų (</w:t>
      </w:r>
      <w:r w:rsidR="00D21E83" w:rsidRPr="00691905">
        <w:rPr>
          <w:bCs/>
          <w:sz w:val="24"/>
          <w:szCs w:val="24"/>
        </w:rPr>
        <w:t>Kauno maisto pramonės ir prekybos mokymo centras; Kauno socialinių paslaugų ir statybos verslo darbuotojų profesinio rengimo centras</w:t>
      </w:r>
      <w:r w:rsidR="000D3B77" w:rsidRPr="00691905">
        <w:rPr>
          <w:bCs/>
          <w:sz w:val="24"/>
          <w:szCs w:val="24"/>
        </w:rPr>
        <w:t>) patvirtinimus (susipažinimo žyma ant pirmojo Supaprastintų pirkimų taisyklių</w:t>
      </w:r>
      <w:r w:rsidR="00D21E83" w:rsidRPr="00691905">
        <w:rPr>
          <w:bCs/>
          <w:sz w:val="24"/>
          <w:szCs w:val="24"/>
        </w:rPr>
        <w:t xml:space="preserve"> 1</w:t>
      </w:r>
      <w:r w:rsidR="000D3B77" w:rsidRPr="00691905">
        <w:rPr>
          <w:bCs/>
          <w:sz w:val="24"/>
          <w:szCs w:val="24"/>
        </w:rPr>
        <w:t xml:space="preserve"> puslapio), kad jie yra susipažinę su Supaprastintų pirkimų taisyklėmis 1</w:t>
      </w:r>
      <w:r w:rsidR="00EA4EAF" w:rsidRPr="00691905">
        <w:rPr>
          <w:bCs/>
          <w:sz w:val="24"/>
          <w:szCs w:val="24"/>
        </w:rPr>
        <w:t>, taip pat</w:t>
      </w:r>
      <w:r w:rsidR="000D3B77" w:rsidRPr="00691905">
        <w:rPr>
          <w:bCs/>
          <w:sz w:val="24"/>
          <w:szCs w:val="24"/>
        </w:rPr>
        <w:t xml:space="preserve"> </w:t>
      </w:r>
      <w:r w:rsidR="00313A66" w:rsidRPr="00691905">
        <w:rPr>
          <w:bCs/>
          <w:sz w:val="24"/>
          <w:szCs w:val="24"/>
        </w:rPr>
        <w:t xml:space="preserve">rašto </w:t>
      </w:r>
      <w:r w:rsidR="000D3B77" w:rsidRPr="00691905">
        <w:rPr>
          <w:bCs/>
          <w:sz w:val="24"/>
          <w:szCs w:val="24"/>
        </w:rPr>
        <w:t>7 punkte nurodė, kad negali pateikti trečiojo tiekėjo (UAB „</w:t>
      </w:r>
      <w:proofErr w:type="spellStart"/>
      <w:r w:rsidR="000D3B77" w:rsidRPr="00691905">
        <w:rPr>
          <w:bCs/>
          <w:sz w:val="24"/>
          <w:szCs w:val="24"/>
        </w:rPr>
        <w:t>Resita</w:t>
      </w:r>
      <w:proofErr w:type="spellEnd"/>
      <w:r w:rsidR="000D3B77" w:rsidRPr="00691905">
        <w:rPr>
          <w:bCs/>
          <w:sz w:val="24"/>
          <w:szCs w:val="24"/>
        </w:rPr>
        <w:t>“) patvirtinimo, kad pastarasis yra susipažinęs su Supaprastintų pirkimų taisyklėmis 1, nes jis yra likviduotas.</w:t>
      </w:r>
      <w:r w:rsidR="006B5580" w:rsidRPr="00691905">
        <w:rPr>
          <w:bCs/>
          <w:sz w:val="24"/>
          <w:szCs w:val="24"/>
        </w:rPr>
        <w:t xml:space="preserve"> </w:t>
      </w:r>
      <w:r w:rsidR="00455565" w:rsidRPr="00691905">
        <w:rPr>
          <w:bCs/>
          <w:sz w:val="24"/>
          <w:szCs w:val="24"/>
        </w:rPr>
        <w:t>Įstatymo 85 straipsnio 2 dalyje nustatyta, kad „</w:t>
      </w:r>
      <w:r w:rsidR="00602B36" w:rsidRPr="00691905">
        <w:rPr>
          <w:bCs/>
          <w:i/>
          <w:sz w:val="24"/>
          <w:szCs w:val="24"/>
        </w:rPr>
        <w:t>P</w:t>
      </w:r>
      <w:r w:rsidR="00455565" w:rsidRPr="00691905">
        <w:rPr>
          <w:bCs/>
          <w:i/>
          <w:sz w:val="24"/>
          <w:szCs w:val="24"/>
        </w:rPr>
        <w:t>erkančioji organizacija, išskyrus šio straipsnio 5 ir 6 dalyse nurodytus atvejus, supaprastintus pirkimus atlieka pagal pasitvirtintas taisykles, kurias ne vėliau kaip per 3 darbo dienas nuo jų patvirtinimo paskelbia šio įstatymo 86 straips</w:t>
      </w:r>
      <w:r w:rsidR="00083CDC" w:rsidRPr="00691905">
        <w:rPr>
          <w:bCs/>
          <w:i/>
          <w:sz w:val="24"/>
          <w:szCs w:val="24"/>
        </w:rPr>
        <w:t>nyje nustatyta tvarka Centrinėje</w:t>
      </w:r>
      <w:r w:rsidR="00455565" w:rsidRPr="00691905">
        <w:rPr>
          <w:bCs/>
          <w:i/>
          <w:sz w:val="24"/>
          <w:szCs w:val="24"/>
        </w:rPr>
        <w:t xml:space="preserve"> viešųjų pirkimų informacinėje sistemoje</w:t>
      </w:r>
      <w:r w:rsidR="00083CDC" w:rsidRPr="00691905">
        <w:rPr>
          <w:bCs/>
          <w:i/>
          <w:sz w:val="24"/>
          <w:szCs w:val="24"/>
        </w:rPr>
        <w:t xml:space="preserve"> ir savo tinklalapyje, jeigu toks yra, taip pat sudaro kitas gali</w:t>
      </w:r>
      <w:r w:rsidR="00602B36" w:rsidRPr="00691905">
        <w:rPr>
          <w:bCs/>
          <w:i/>
          <w:sz w:val="24"/>
          <w:szCs w:val="24"/>
        </w:rPr>
        <w:t xml:space="preserve">mybes tiekėjams susipažinti su </w:t>
      </w:r>
      <w:r w:rsidR="00083CDC" w:rsidRPr="00691905">
        <w:rPr>
          <w:bCs/>
          <w:i/>
          <w:sz w:val="24"/>
          <w:szCs w:val="24"/>
        </w:rPr>
        <w:t>šiomis taisyklėmis</w:t>
      </w:r>
      <w:r w:rsidR="00083CDC" w:rsidRPr="00691905">
        <w:rPr>
          <w:bCs/>
          <w:sz w:val="24"/>
          <w:szCs w:val="24"/>
        </w:rPr>
        <w:t>“.</w:t>
      </w:r>
      <w:r w:rsidR="00382549" w:rsidRPr="00691905">
        <w:rPr>
          <w:bCs/>
          <w:sz w:val="24"/>
          <w:szCs w:val="24"/>
        </w:rPr>
        <w:t xml:space="preserve"> </w:t>
      </w:r>
      <w:r w:rsidR="00EA4EAF" w:rsidRPr="00691905">
        <w:rPr>
          <w:bCs/>
          <w:sz w:val="24"/>
          <w:szCs w:val="24"/>
        </w:rPr>
        <w:t>Apibe</w:t>
      </w:r>
      <w:r w:rsidR="00EF1778" w:rsidRPr="00691905">
        <w:rPr>
          <w:bCs/>
          <w:sz w:val="24"/>
          <w:szCs w:val="24"/>
        </w:rPr>
        <w:t>n</w:t>
      </w:r>
      <w:r w:rsidR="00EA4EAF" w:rsidRPr="00691905">
        <w:rPr>
          <w:bCs/>
          <w:sz w:val="24"/>
          <w:szCs w:val="24"/>
        </w:rPr>
        <w:t xml:space="preserve">drinus tai, kas išdėstyta, </w:t>
      </w:r>
      <w:r w:rsidR="00313A66" w:rsidRPr="00691905">
        <w:rPr>
          <w:bCs/>
          <w:sz w:val="24"/>
          <w:szCs w:val="24"/>
        </w:rPr>
        <w:t>Tarnyba daro išvadą</w:t>
      </w:r>
      <w:r w:rsidR="00EA4EAF" w:rsidRPr="00691905">
        <w:rPr>
          <w:bCs/>
          <w:sz w:val="24"/>
          <w:szCs w:val="24"/>
        </w:rPr>
        <w:t>, kad perkančioji organizacija</w:t>
      </w:r>
      <w:r w:rsidR="00191B5C">
        <w:rPr>
          <w:bCs/>
          <w:sz w:val="24"/>
          <w:szCs w:val="24"/>
        </w:rPr>
        <w:t>,</w:t>
      </w:r>
      <w:r w:rsidR="007F3595">
        <w:rPr>
          <w:bCs/>
          <w:sz w:val="24"/>
          <w:szCs w:val="24"/>
        </w:rPr>
        <w:t xml:space="preserve"> nepaskelbusi Supaprastintų </w:t>
      </w:r>
      <w:proofErr w:type="gramStart"/>
      <w:r w:rsidR="007F3595">
        <w:rPr>
          <w:bCs/>
          <w:sz w:val="24"/>
          <w:szCs w:val="24"/>
        </w:rPr>
        <w:t>taisyklių</w:t>
      </w:r>
      <w:proofErr w:type="gramEnd"/>
      <w:r w:rsidR="007F3595">
        <w:rPr>
          <w:bCs/>
          <w:sz w:val="24"/>
          <w:szCs w:val="24"/>
        </w:rPr>
        <w:t xml:space="preserve"> 1</w:t>
      </w:r>
      <w:r w:rsidR="007F3595" w:rsidRPr="007F3595">
        <w:rPr>
          <w:bCs/>
          <w:i/>
          <w:sz w:val="24"/>
          <w:szCs w:val="24"/>
        </w:rPr>
        <w:t xml:space="preserve"> </w:t>
      </w:r>
      <w:r w:rsidR="007F3595" w:rsidRPr="00691905">
        <w:rPr>
          <w:bCs/>
          <w:i/>
          <w:sz w:val="24"/>
          <w:szCs w:val="24"/>
        </w:rPr>
        <w:t xml:space="preserve">ne vėliau kaip per 3 darbo dienas nuo jų patvirtinimo </w:t>
      </w:r>
      <w:r w:rsidR="007F3595">
        <w:rPr>
          <w:bCs/>
          <w:i/>
          <w:sz w:val="24"/>
          <w:szCs w:val="24"/>
        </w:rPr>
        <w:t>Į</w:t>
      </w:r>
      <w:r w:rsidR="007F3595" w:rsidRPr="00691905">
        <w:rPr>
          <w:bCs/>
          <w:i/>
          <w:sz w:val="24"/>
          <w:szCs w:val="24"/>
        </w:rPr>
        <w:t>statymo 86 straipsnyje nustatyta tvarka</w:t>
      </w:r>
      <w:r w:rsidR="00191B5C">
        <w:rPr>
          <w:bCs/>
          <w:i/>
          <w:sz w:val="24"/>
          <w:szCs w:val="24"/>
        </w:rPr>
        <w:t>,</w:t>
      </w:r>
      <w:r w:rsidR="007F3595" w:rsidRPr="00691905">
        <w:rPr>
          <w:bCs/>
          <w:i/>
          <w:sz w:val="24"/>
          <w:szCs w:val="24"/>
        </w:rPr>
        <w:t xml:space="preserve"> </w:t>
      </w:r>
      <w:r w:rsidR="00E9025E">
        <w:rPr>
          <w:bCs/>
          <w:sz w:val="24"/>
          <w:szCs w:val="24"/>
        </w:rPr>
        <w:t>pažeidė</w:t>
      </w:r>
      <w:r w:rsidR="00B00906" w:rsidRPr="00691905">
        <w:rPr>
          <w:bCs/>
          <w:sz w:val="24"/>
          <w:szCs w:val="24"/>
        </w:rPr>
        <w:t xml:space="preserve"> Įstatymo </w:t>
      </w:r>
      <w:r w:rsidR="00ED26E1" w:rsidRPr="00691905">
        <w:rPr>
          <w:bCs/>
          <w:sz w:val="24"/>
          <w:szCs w:val="24"/>
        </w:rPr>
        <w:t>85 straipsnio 2 dalies nuostat</w:t>
      </w:r>
      <w:r w:rsidR="00E9025E">
        <w:rPr>
          <w:bCs/>
          <w:sz w:val="24"/>
          <w:szCs w:val="24"/>
        </w:rPr>
        <w:t>as</w:t>
      </w:r>
      <w:r w:rsidR="00ED26E1" w:rsidRPr="00691905">
        <w:rPr>
          <w:bCs/>
          <w:sz w:val="24"/>
          <w:szCs w:val="24"/>
        </w:rPr>
        <w:t>.</w:t>
      </w:r>
    </w:p>
    <w:p w:rsidR="00CF1ADF" w:rsidRDefault="007D1AFF">
      <w:pPr>
        <w:tabs>
          <w:tab w:val="left" w:pos="0"/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F5809" w:rsidRPr="00AF5809">
        <w:rPr>
          <w:bCs/>
          <w:sz w:val="24"/>
          <w:szCs w:val="24"/>
        </w:rPr>
        <w:t xml:space="preserve">Tarnybos nuomone, Įstatymo 3 straipsnio 1 dalyje įtvirtintas skaidrumo principas nebuvo pažeistas, nes Supaprastintų pirkimų </w:t>
      </w:r>
      <w:proofErr w:type="gramStart"/>
      <w:r w:rsidR="00AF5809" w:rsidRPr="00AF5809">
        <w:rPr>
          <w:bCs/>
          <w:sz w:val="24"/>
          <w:szCs w:val="24"/>
        </w:rPr>
        <w:t>taisyklių</w:t>
      </w:r>
      <w:proofErr w:type="gramEnd"/>
      <w:r w:rsidR="00AF5809" w:rsidRPr="00AF5809">
        <w:rPr>
          <w:bCs/>
          <w:sz w:val="24"/>
          <w:szCs w:val="24"/>
        </w:rPr>
        <w:t xml:space="preserve"> 1 paskelbimas/nepaskelbimas CVP IS neturėjo įtakos tiekėjų apsisprendimui dalyvauti Pirkime Nr. 1.</w:t>
      </w:r>
    </w:p>
    <w:p w:rsidR="00EE0886" w:rsidRPr="00691905" w:rsidRDefault="00E14B3D" w:rsidP="00EE0886">
      <w:pPr>
        <w:pStyle w:val="ListParagraph"/>
        <w:tabs>
          <w:tab w:val="left" w:pos="0"/>
        </w:tabs>
        <w:ind w:left="0"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Nustatyta, kad p</w:t>
      </w:r>
      <w:r w:rsidR="00E309E1">
        <w:rPr>
          <w:sz w:val="24"/>
          <w:szCs w:val="24"/>
        </w:rPr>
        <w:t xml:space="preserve">erkančioji organizacija vykdė </w:t>
      </w:r>
      <w:r w:rsidR="00E232DF" w:rsidRPr="00B00906">
        <w:rPr>
          <w:sz w:val="24"/>
          <w:szCs w:val="24"/>
        </w:rPr>
        <w:t>Pirkim</w:t>
      </w:r>
      <w:r w:rsidR="00E309E1">
        <w:rPr>
          <w:sz w:val="24"/>
          <w:szCs w:val="24"/>
        </w:rPr>
        <w:t>o</w:t>
      </w:r>
      <w:r w:rsidR="00E232DF" w:rsidRPr="00B00906">
        <w:rPr>
          <w:sz w:val="24"/>
          <w:szCs w:val="24"/>
        </w:rPr>
        <w:t xml:space="preserve"> Nr. 2</w:t>
      </w:r>
      <w:r w:rsidR="00E309E1">
        <w:rPr>
          <w:sz w:val="24"/>
          <w:szCs w:val="24"/>
        </w:rPr>
        <w:t xml:space="preserve"> procedūras (</w:t>
      </w:r>
      <w:r w:rsidR="003E65B8">
        <w:rPr>
          <w:sz w:val="24"/>
          <w:szCs w:val="24"/>
        </w:rPr>
        <w:t>2012 m. birželio 20 d. mažos vertės tiekėjų apklausos pažyma)</w:t>
      </w:r>
      <w:r w:rsidR="00E232DF" w:rsidRPr="00B00906">
        <w:rPr>
          <w:bCs/>
          <w:sz w:val="24"/>
          <w:szCs w:val="24"/>
        </w:rPr>
        <w:t xml:space="preserve"> pagal perkančiosios organizacijos direktoriaus </w:t>
      </w:r>
      <w:r w:rsidR="00E232DF" w:rsidRPr="00C828F6">
        <w:rPr>
          <w:bCs/>
          <w:sz w:val="24"/>
          <w:szCs w:val="24"/>
          <w:u w:val="single"/>
        </w:rPr>
        <w:t xml:space="preserve">2012 m. </w:t>
      </w:r>
      <w:r w:rsidR="000321BD" w:rsidRPr="00C828F6">
        <w:rPr>
          <w:bCs/>
          <w:sz w:val="24"/>
          <w:szCs w:val="24"/>
          <w:u w:val="single"/>
        </w:rPr>
        <w:t>balandžio 23</w:t>
      </w:r>
      <w:r w:rsidR="00E232DF" w:rsidRPr="00C828F6">
        <w:rPr>
          <w:bCs/>
          <w:sz w:val="24"/>
          <w:szCs w:val="24"/>
          <w:u w:val="single"/>
        </w:rPr>
        <w:t xml:space="preserve"> d. įsakymu Nr. 12/0</w:t>
      </w:r>
      <w:r w:rsidR="000321BD" w:rsidRPr="00C828F6">
        <w:rPr>
          <w:bCs/>
          <w:sz w:val="24"/>
          <w:szCs w:val="24"/>
          <w:u w:val="single"/>
        </w:rPr>
        <w:t>4/23</w:t>
      </w:r>
      <w:r w:rsidR="00E232DF" w:rsidRPr="00C828F6">
        <w:rPr>
          <w:bCs/>
          <w:sz w:val="24"/>
          <w:szCs w:val="24"/>
          <w:u w:val="single"/>
        </w:rPr>
        <w:t>-0</w:t>
      </w:r>
      <w:r w:rsidR="000321BD" w:rsidRPr="00C828F6">
        <w:rPr>
          <w:bCs/>
          <w:sz w:val="24"/>
          <w:szCs w:val="24"/>
          <w:u w:val="single"/>
        </w:rPr>
        <w:t>1</w:t>
      </w:r>
      <w:r w:rsidR="00E232DF" w:rsidRPr="00C828F6">
        <w:rPr>
          <w:bCs/>
          <w:sz w:val="24"/>
          <w:szCs w:val="24"/>
          <w:u w:val="single"/>
        </w:rPr>
        <w:t xml:space="preserve"> patvirtintas</w:t>
      </w:r>
      <w:r w:rsidR="00E9025E">
        <w:rPr>
          <w:bCs/>
          <w:sz w:val="24"/>
          <w:szCs w:val="24"/>
          <w:u w:val="single"/>
        </w:rPr>
        <w:t xml:space="preserve"> ir</w:t>
      </w:r>
      <w:r w:rsidR="00E9025E" w:rsidRPr="00C828F6">
        <w:rPr>
          <w:bCs/>
          <w:sz w:val="24"/>
          <w:szCs w:val="24"/>
          <w:u w:val="single"/>
        </w:rPr>
        <w:t xml:space="preserve"> </w:t>
      </w:r>
      <w:r w:rsidR="00E9025E">
        <w:rPr>
          <w:bCs/>
          <w:sz w:val="24"/>
          <w:szCs w:val="24"/>
          <w:u w:val="single"/>
        </w:rPr>
        <w:t xml:space="preserve">tik </w:t>
      </w:r>
      <w:r w:rsidR="00B876ED" w:rsidRPr="00C828F6">
        <w:rPr>
          <w:bCs/>
          <w:sz w:val="24"/>
          <w:szCs w:val="24"/>
          <w:u w:val="single"/>
        </w:rPr>
        <w:t>2012 m. birželio 8 d.</w:t>
      </w:r>
      <w:r w:rsidR="00E232DF" w:rsidRPr="00C828F6">
        <w:rPr>
          <w:bCs/>
          <w:sz w:val="24"/>
          <w:szCs w:val="24"/>
          <w:u w:val="single"/>
        </w:rPr>
        <w:t xml:space="preserve"> CVP IS </w:t>
      </w:r>
      <w:r w:rsidR="00E232DF" w:rsidRPr="00C828F6">
        <w:rPr>
          <w:bCs/>
          <w:sz w:val="24"/>
          <w:szCs w:val="24"/>
        </w:rPr>
        <w:t xml:space="preserve">paskelbtas Viešosios įstaigos „SPO–Ryžtas“ supaprastintų viešųjų pirkimų </w:t>
      </w:r>
      <w:proofErr w:type="gramStart"/>
      <w:r w:rsidR="00E232DF" w:rsidRPr="00C828F6">
        <w:rPr>
          <w:bCs/>
          <w:sz w:val="24"/>
          <w:szCs w:val="24"/>
        </w:rPr>
        <w:t>taisykles</w:t>
      </w:r>
      <w:proofErr w:type="gramEnd"/>
      <w:r w:rsidR="00E232DF" w:rsidRPr="00B00906">
        <w:rPr>
          <w:bCs/>
          <w:sz w:val="24"/>
          <w:szCs w:val="24"/>
        </w:rPr>
        <w:t xml:space="preserve"> (toliau – </w:t>
      </w:r>
      <w:r w:rsidR="00E232DF" w:rsidRPr="00691905">
        <w:rPr>
          <w:bCs/>
          <w:sz w:val="24"/>
          <w:szCs w:val="24"/>
        </w:rPr>
        <w:t>S</w:t>
      </w:r>
      <w:r w:rsidR="00B876ED" w:rsidRPr="00691905">
        <w:rPr>
          <w:bCs/>
          <w:sz w:val="24"/>
          <w:szCs w:val="24"/>
        </w:rPr>
        <w:t>upaprastintų pirkimų taisyklės 2</w:t>
      </w:r>
      <w:r w:rsidR="00E232DF" w:rsidRPr="00691905">
        <w:rPr>
          <w:bCs/>
          <w:sz w:val="24"/>
          <w:szCs w:val="24"/>
        </w:rPr>
        <w:t>).</w:t>
      </w:r>
      <w:r w:rsidR="00A978FF" w:rsidRPr="00691905">
        <w:rPr>
          <w:bCs/>
          <w:sz w:val="24"/>
          <w:szCs w:val="24"/>
        </w:rPr>
        <w:t xml:space="preserve"> Apibendrinus tai, kas išdėstyta, darytina išvada, kad perkančioji organizacija</w:t>
      </w:r>
      <w:r w:rsidR="000736BA" w:rsidRPr="00691905">
        <w:rPr>
          <w:bCs/>
          <w:sz w:val="24"/>
          <w:szCs w:val="24"/>
        </w:rPr>
        <w:t>,</w:t>
      </w:r>
      <w:r w:rsidR="00A258CB" w:rsidRPr="00691905">
        <w:rPr>
          <w:bCs/>
          <w:sz w:val="24"/>
          <w:szCs w:val="24"/>
        </w:rPr>
        <w:t xml:space="preserve"> nepaskelbusi Supaprastintų pirkimų taisyklių 2 </w:t>
      </w:r>
      <w:r w:rsidR="00E61A45" w:rsidRPr="00691905">
        <w:rPr>
          <w:bCs/>
          <w:i/>
          <w:sz w:val="24"/>
          <w:szCs w:val="24"/>
        </w:rPr>
        <w:t xml:space="preserve">ne vėliau kaip per 3 darbo dienas nuo jų patvirtinimo </w:t>
      </w:r>
      <w:r w:rsidR="00E61A45">
        <w:rPr>
          <w:bCs/>
          <w:i/>
          <w:sz w:val="24"/>
          <w:szCs w:val="24"/>
        </w:rPr>
        <w:t>Į</w:t>
      </w:r>
      <w:r w:rsidR="00E61A45" w:rsidRPr="00691905">
        <w:rPr>
          <w:bCs/>
          <w:i/>
          <w:sz w:val="24"/>
          <w:szCs w:val="24"/>
        </w:rPr>
        <w:t>statymo 86 straipsnyje nustatyta tvarka</w:t>
      </w:r>
      <w:r w:rsidR="00E61A45">
        <w:rPr>
          <w:bCs/>
          <w:i/>
          <w:sz w:val="24"/>
          <w:szCs w:val="24"/>
        </w:rPr>
        <w:t>,</w:t>
      </w:r>
      <w:r w:rsidR="00EE0886">
        <w:rPr>
          <w:bCs/>
          <w:sz w:val="24"/>
          <w:szCs w:val="24"/>
        </w:rPr>
        <w:t xml:space="preserve"> pažeidė </w:t>
      </w:r>
      <w:r w:rsidR="00EE0886" w:rsidRPr="00691905">
        <w:rPr>
          <w:bCs/>
          <w:sz w:val="24"/>
          <w:szCs w:val="24"/>
        </w:rPr>
        <w:t>Įstatymo 85 straipsnio 2 dalies nuostat</w:t>
      </w:r>
      <w:r w:rsidR="00EE0886">
        <w:rPr>
          <w:bCs/>
          <w:sz w:val="24"/>
          <w:szCs w:val="24"/>
        </w:rPr>
        <w:t>as</w:t>
      </w:r>
      <w:r w:rsidR="00EE0886" w:rsidRPr="00691905">
        <w:rPr>
          <w:bCs/>
          <w:sz w:val="24"/>
          <w:szCs w:val="24"/>
        </w:rPr>
        <w:t>.</w:t>
      </w:r>
      <w:r w:rsidR="00EE0886">
        <w:rPr>
          <w:bCs/>
          <w:sz w:val="24"/>
          <w:szCs w:val="24"/>
        </w:rPr>
        <w:t xml:space="preserve"> Tarnybos nuomone, Įstatymo 3 straipsnio 1 dalyje įtvirtintas skaidrumo principas nebuvo pažeistas, nes Supaprastintų pir</w:t>
      </w:r>
      <w:r w:rsidR="0083234E">
        <w:rPr>
          <w:bCs/>
          <w:sz w:val="24"/>
          <w:szCs w:val="24"/>
        </w:rPr>
        <w:t>kimų taisyklių 2</w:t>
      </w:r>
      <w:r w:rsidR="00EE0886">
        <w:rPr>
          <w:bCs/>
          <w:sz w:val="24"/>
          <w:szCs w:val="24"/>
        </w:rPr>
        <w:t xml:space="preserve"> paskelbimas/nepaskelbimas CVP IS neturėjo įtakos tiekėjų apsisprendimui dalyvauti </w:t>
      </w:r>
      <w:r w:rsidR="0083234E">
        <w:rPr>
          <w:bCs/>
          <w:sz w:val="24"/>
          <w:szCs w:val="24"/>
        </w:rPr>
        <w:t>Pirkime Nr. 2</w:t>
      </w:r>
      <w:r w:rsidR="00EE0886">
        <w:rPr>
          <w:bCs/>
          <w:sz w:val="24"/>
          <w:szCs w:val="24"/>
        </w:rPr>
        <w:t>.</w:t>
      </w:r>
    </w:p>
    <w:p w:rsidR="001A1F4A" w:rsidRPr="00766A96" w:rsidRDefault="00E80181" w:rsidP="000E5FDF">
      <w:pPr>
        <w:pStyle w:val="ListParagraph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bCs/>
          <w:sz w:val="24"/>
          <w:szCs w:val="24"/>
        </w:rPr>
      </w:pPr>
      <w:r w:rsidRPr="000E5FDF">
        <w:rPr>
          <w:bCs/>
          <w:sz w:val="24"/>
          <w:szCs w:val="24"/>
        </w:rPr>
        <w:t xml:space="preserve">perkančioji organizacija, </w:t>
      </w:r>
      <w:r w:rsidR="00B66EF4" w:rsidRPr="000E5FDF">
        <w:rPr>
          <w:bCs/>
          <w:sz w:val="24"/>
          <w:szCs w:val="24"/>
        </w:rPr>
        <w:t xml:space="preserve">2012 m. </w:t>
      </w:r>
      <w:r w:rsidR="00DC3714" w:rsidRPr="000E5FDF">
        <w:rPr>
          <w:bCs/>
          <w:sz w:val="24"/>
          <w:szCs w:val="24"/>
        </w:rPr>
        <w:t xml:space="preserve">kovo 30 d. </w:t>
      </w:r>
      <w:r w:rsidRPr="000E5FDF">
        <w:rPr>
          <w:bCs/>
          <w:sz w:val="24"/>
          <w:szCs w:val="24"/>
        </w:rPr>
        <w:t>įvykdžiusi Pirkimą Nr. 1, 2012 m. balandžio 2 d. su tiekėj</w:t>
      </w:r>
      <w:r w:rsidR="00520381" w:rsidRPr="000E5FDF">
        <w:rPr>
          <w:bCs/>
          <w:sz w:val="24"/>
          <w:szCs w:val="24"/>
        </w:rPr>
        <w:t>u</w:t>
      </w:r>
      <w:r w:rsidRPr="000E5FDF">
        <w:rPr>
          <w:bCs/>
          <w:sz w:val="24"/>
          <w:szCs w:val="24"/>
        </w:rPr>
        <w:t xml:space="preserve"> sudarė </w:t>
      </w:r>
      <w:r w:rsidR="00801961" w:rsidRPr="000E5FDF">
        <w:rPr>
          <w:bCs/>
          <w:sz w:val="24"/>
          <w:szCs w:val="24"/>
        </w:rPr>
        <w:t>Sutartį</w:t>
      </w:r>
      <w:r w:rsidR="00E23D8E" w:rsidRPr="000E5FDF">
        <w:rPr>
          <w:bCs/>
          <w:sz w:val="24"/>
          <w:szCs w:val="24"/>
        </w:rPr>
        <w:t xml:space="preserve"> Nr. 1</w:t>
      </w:r>
      <w:r w:rsidR="00801961" w:rsidRPr="000E5FDF">
        <w:rPr>
          <w:bCs/>
          <w:sz w:val="24"/>
          <w:szCs w:val="24"/>
        </w:rPr>
        <w:t xml:space="preserve">. </w:t>
      </w:r>
      <w:r w:rsidR="00420343" w:rsidRPr="000E5FDF">
        <w:rPr>
          <w:bCs/>
          <w:sz w:val="24"/>
          <w:szCs w:val="24"/>
        </w:rPr>
        <w:t xml:space="preserve">Pažymėtina, jog </w:t>
      </w:r>
      <w:r w:rsidR="00801961" w:rsidRPr="000E5FDF">
        <w:rPr>
          <w:bCs/>
          <w:sz w:val="24"/>
          <w:szCs w:val="24"/>
        </w:rPr>
        <w:t xml:space="preserve">2012 m. kovo 30 d. mažos vertės pirkimų tiekėjų apklausos pažymoje </w:t>
      </w:r>
      <w:r w:rsidR="00801961" w:rsidRPr="00D973F8">
        <w:rPr>
          <w:bCs/>
          <w:sz w:val="24"/>
          <w:szCs w:val="24"/>
        </w:rPr>
        <w:t>nurodyta „</w:t>
      </w:r>
      <w:r w:rsidR="00801961" w:rsidRPr="00D973F8">
        <w:rPr>
          <w:bCs/>
          <w:i/>
          <w:sz w:val="24"/>
          <w:szCs w:val="24"/>
          <w:u w:val="single"/>
        </w:rPr>
        <w:t>Sutarties galiojimas</w:t>
      </w:r>
      <w:r w:rsidR="00420343" w:rsidRPr="00D973F8">
        <w:rPr>
          <w:bCs/>
          <w:i/>
          <w:sz w:val="24"/>
          <w:szCs w:val="24"/>
          <w:u w:val="single"/>
        </w:rPr>
        <w:t xml:space="preserve"> iki 2012 06 30</w:t>
      </w:r>
      <w:r w:rsidR="00801961" w:rsidRPr="00D973F8">
        <w:rPr>
          <w:bCs/>
          <w:i/>
          <w:sz w:val="24"/>
          <w:szCs w:val="24"/>
          <w:u w:val="single"/>
        </w:rPr>
        <w:t xml:space="preserve"> su galimybe pratęsti sutartį iki 2013 12 31</w:t>
      </w:r>
      <w:r w:rsidR="00801961" w:rsidRPr="00D973F8">
        <w:rPr>
          <w:bCs/>
          <w:sz w:val="24"/>
          <w:szCs w:val="24"/>
        </w:rPr>
        <w:t>“</w:t>
      </w:r>
      <w:r w:rsidR="002B0BAB" w:rsidRPr="00D973F8">
        <w:rPr>
          <w:bCs/>
          <w:sz w:val="24"/>
          <w:szCs w:val="24"/>
        </w:rPr>
        <w:t>.</w:t>
      </w:r>
      <w:r w:rsidR="00420343" w:rsidRPr="00D973F8">
        <w:rPr>
          <w:bCs/>
          <w:sz w:val="24"/>
          <w:szCs w:val="24"/>
        </w:rPr>
        <w:t xml:space="preserve"> Sutarties</w:t>
      </w:r>
      <w:r w:rsidR="00E23D8E" w:rsidRPr="00D973F8">
        <w:rPr>
          <w:bCs/>
          <w:sz w:val="24"/>
          <w:szCs w:val="24"/>
        </w:rPr>
        <w:t xml:space="preserve"> Nr. 1</w:t>
      </w:r>
      <w:r w:rsidR="00532C39" w:rsidRPr="00D973F8">
        <w:rPr>
          <w:bCs/>
          <w:sz w:val="24"/>
          <w:szCs w:val="24"/>
        </w:rPr>
        <w:t>, kurią</w:t>
      </w:r>
      <w:r w:rsidR="00532C39">
        <w:rPr>
          <w:bCs/>
          <w:sz w:val="24"/>
          <w:szCs w:val="24"/>
        </w:rPr>
        <w:t xml:space="preserve"> Tarnybai pateikė ESFA </w:t>
      </w:r>
      <w:r w:rsidR="00532C39" w:rsidRPr="00691905">
        <w:rPr>
          <w:sz w:val="24"/>
          <w:szCs w:val="24"/>
        </w:rPr>
        <w:t>2014 m. rugsėjo 9</w:t>
      </w:r>
      <w:r w:rsidR="00532C39">
        <w:rPr>
          <w:sz w:val="24"/>
          <w:szCs w:val="24"/>
        </w:rPr>
        <w:t xml:space="preserve"> d. raštu</w:t>
      </w:r>
      <w:r w:rsidR="00532C39" w:rsidRPr="00691905">
        <w:rPr>
          <w:sz w:val="24"/>
          <w:szCs w:val="24"/>
        </w:rPr>
        <w:t xml:space="preserve"> Nr. ESFS07-2014-04917 „Dėl išvados pateikimo“</w:t>
      </w:r>
      <w:r w:rsidR="00532C39">
        <w:rPr>
          <w:sz w:val="24"/>
          <w:szCs w:val="24"/>
        </w:rPr>
        <w:t>,</w:t>
      </w:r>
      <w:r w:rsidR="00420343" w:rsidRPr="000E5FDF">
        <w:rPr>
          <w:bCs/>
          <w:sz w:val="24"/>
          <w:szCs w:val="24"/>
        </w:rPr>
        <w:t xml:space="preserve"> </w:t>
      </w:r>
      <w:r w:rsidR="008764B1" w:rsidRPr="000E5FDF">
        <w:rPr>
          <w:bCs/>
          <w:sz w:val="24"/>
          <w:szCs w:val="24"/>
        </w:rPr>
        <w:t>2.1 punkte nustatyta, jog „</w:t>
      </w:r>
      <w:r w:rsidR="008764B1" w:rsidRPr="000E5FDF">
        <w:rPr>
          <w:bCs/>
          <w:i/>
          <w:sz w:val="24"/>
          <w:szCs w:val="24"/>
          <w:u w:val="single"/>
        </w:rPr>
        <w:t>Bendra Sutarties kaina 9900 Lt</w:t>
      </w:r>
      <w:r w:rsidR="008764B1" w:rsidRPr="000E5FDF">
        <w:rPr>
          <w:bCs/>
          <w:i/>
          <w:sz w:val="24"/>
          <w:szCs w:val="24"/>
        </w:rPr>
        <w:t xml:space="preserve"> (devyni tūkstančiai devyni šimtai litų). Į Sutartyje nustatytą kainą įskaitomi visi mokesčiai ir visos su prekių sandėliavimu, transportavimu, pakavimu ir pan. susijusios išlaidos</w:t>
      </w:r>
      <w:r w:rsidR="008764B1" w:rsidRPr="000E5FDF">
        <w:rPr>
          <w:bCs/>
          <w:sz w:val="24"/>
          <w:szCs w:val="24"/>
        </w:rPr>
        <w:t>“</w:t>
      </w:r>
      <w:r w:rsidR="00B01165" w:rsidRPr="000E5FDF">
        <w:rPr>
          <w:bCs/>
          <w:sz w:val="24"/>
          <w:szCs w:val="24"/>
        </w:rPr>
        <w:t>,</w:t>
      </w:r>
      <w:r w:rsidR="002B0BAB" w:rsidRPr="000E5FDF">
        <w:rPr>
          <w:bCs/>
          <w:sz w:val="24"/>
          <w:szCs w:val="24"/>
        </w:rPr>
        <w:t xml:space="preserve"> </w:t>
      </w:r>
      <w:r w:rsidR="00B01165" w:rsidRPr="000E5FDF">
        <w:rPr>
          <w:bCs/>
          <w:sz w:val="24"/>
          <w:szCs w:val="24"/>
        </w:rPr>
        <w:t xml:space="preserve">o </w:t>
      </w:r>
      <w:r w:rsidR="002B0BAB" w:rsidRPr="000E5FDF">
        <w:rPr>
          <w:bCs/>
          <w:sz w:val="24"/>
          <w:szCs w:val="24"/>
        </w:rPr>
        <w:t>Sutarties</w:t>
      </w:r>
      <w:r w:rsidR="00EC2FA9" w:rsidRPr="000E5FDF">
        <w:rPr>
          <w:bCs/>
          <w:sz w:val="24"/>
          <w:szCs w:val="24"/>
        </w:rPr>
        <w:t xml:space="preserve"> N</w:t>
      </w:r>
      <w:r w:rsidR="00E23D8E" w:rsidRPr="000E5FDF">
        <w:rPr>
          <w:bCs/>
          <w:sz w:val="24"/>
          <w:szCs w:val="24"/>
        </w:rPr>
        <w:t>r. 1</w:t>
      </w:r>
      <w:r w:rsidR="002B0BAB" w:rsidRPr="000E5FDF">
        <w:rPr>
          <w:bCs/>
          <w:sz w:val="24"/>
          <w:szCs w:val="24"/>
        </w:rPr>
        <w:t xml:space="preserve"> </w:t>
      </w:r>
      <w:r w:rsidR="00B629C0" w:rsidRPr="000E5FDF">
        <w:rPr>
          <w:bCs/>
          <w:sz w:val="24"/>
          <w:szCs w:val="24"/>
        </w:rPr>
        <w:t xml:space="preserve">7.1 punkte </w:t>
      </w:r>
      <w:r w:rsidR="00A256F4" w:rsidRPr="000E5FDF">
        <w:rPr>
          <w:bCs/>
          <w:sz w:val="24"/>
          <w:szCs w:val="24"/>
        </w:rPr>
        <w:t>–</w:t>
      </w:r>
      <w:r w:rsidR="00B629C0" w:rsidRPr="000E5FDF">
        <w:rPr>
          <w:bCs/>
          <w:sz w:val="24"/>
          <w:szCs w:val="24"/>
        </w:rPr>
        <w:t xml:space="preserve"> „</w:t>
      </w:r>
      <w:r w:rsidR="00B629C0" w:rsidRPr="000E5FDF">
        <w:rPr>
          <w:bCs/>
          <w:i/>
          <w:sz w:val="24"/>
          <w:szCs w:val="24"/>
        </w:rPr>
        <w:t>Sutartis galioja nuo jos pasirašymo dienos ir galioja iki 2012 06 30 d. Sutartis gali būti pratęsta bendru sutarimu</w:t>
      </w:r>
      <w:r w:rsidR="00B629C0" w:rsidRPr="000E5FDF">
        <w:rPr>
          <w:bCs/>
          <w:sz w:val="24"/>
          <w:szCs w:val="24"/>
        </w:rPr>
        <w:t>“</w:t>
      </w:r>
      <w:r w:rsidR="008764B1" w:rsidRPr="000E5FDF">
        <w:rPr>
          <w:bCs/>
          <w:sz w:val="24"/>
          <w:szCs w:val="24"/>
        </w:rPr>
        <w:t xml:space="preserve">. </w:t>
      </w:r>
      <w:r w:rsidR="00A256F4" w:rsidRPr="000E5FDF">
        <w:rPr>
          <w:bCs/>
          <w:sz w:val="24"/>
          <w:szCs w:val="24"/>
        </w:rPr>
        <w:t>Pažymėtina, jog Sutarties Nr. 1 šalys</w:t>
      </w:r>
      <w:r w:rsidR="00FD2C46" w:rsidRPr="000E5FDF">
        <w:rPr>
          <w:bCs/>
          <w:sz w:val="24"/>
          <w:szCs w:val="24"/>
        </w:rPr>
        <w:t xml:space="preserve"> </w:t>
      </w:r>
      <w:r w:rsidR="002905B8" w:rsidRPr="000E5FDF">
        <w:rPr>
          <w:bCs/>
          <w:sz w:val="24"/>
          <w:szCs w:val="24"/>
        </w:rPr>
        <w:t>2012 m. gegužės 28 d. pasiraš</w:t>
      </w:r>
      <w:r w:rsidR="00FD2C46" w:rsidRPr="000E5FDF">
        <w:rPr>
          <w:bCs/>
          <w:sz w:val="24"/>
          <w:szCs w:val="24"/>
        </w:rPr>
        <w:t>ė</w:t>
      </w:r>
      <w:r w:rsidR="002905B8" w:rsidRPr="000E5FDF">
        <w:rPr>
          <w:bCs/>
          <w:sz w:val="24"/>
          <w:szCs w:val="24"/>
        </w:rPr>
        <w:t xml:space="preserve"> </w:t>
      </w:r>
      <w:r w:rsidR="00363789" w:rsidRPr="000E5FDF">
        <w:rPr>
          <w:bCs/>
          <w:sz w:val="24"/>
          <w:szCs w:val="24"/>
        </w:rPr>
        <w:t>Sutarties</w:t>
      </w:r>
      <w:r w:rsidR="00E23D8E" w:rsidRPr="000E5FDF">
        <w:rPr>
          <w:bCs/>
          <w:sz w:val="24"/>
          <w:szCs w:val="24"/>
        </w:rPr>
        <w:t xml:space="preserve"> Nr. 1</w:t>
      </w:r>
      <w:r w:rsidR="00363789" w:rsidRPr="000E5FDF">
        <w:rPr>
          <w:bCs/>
          <w:sz w:val="24"/>
          <w:szCs w:val="24"/>
        </w:rPr>
        <w:t xml:space="preserve"> papildymą</w:t>
      </w:r>
      <w:r w:rsidR="00A30368" w:rsidRPr="000E5FDF">
        <w:rPr>
          <w:bCs/>
          <w:sz w:val="24"/>
          <w:szCs w:val="24"/>
        </w:rPr>
        <w:t xml:space="preserve"> (toliau – Sutarties</w:t>
      </w:r>
      <w:r w:rsidR="00A4326F" w:rsidRPr="000E5FDF">
        <w:rPr>
          <w:bCs/>
          <w:sz w:val="24"/>
          <w:szCs w:val="24"/>
        </w:rPr>
        <w:t xml:space="preserve"> Nr. 1</w:t>
      </w:r>
      <w:r w:rsidR="00A30368" w:rsidRPr="000E5FDF">
        <w:rPr>
          <w:bCs/>
          <w:sz w:val="24"/>
          <w:szCs w:val="24"/>
        </w:rPr>
        <w:t xml:space="preserve"> pakeitimas Nr. 1)</w:t>
      </w:r>
      <w:r w:rsidR="00363789" w:rsidRPr="000E5FDF">
        <w:rPr>
          <w:bCs/>
          <w:sz w:val="24"/>
          <w:szCs w:val="24"/>
        </w:rPr>
        <w:t>, kuriuo</w:t>
      </w:r>
      <w:r w:rsidR="000505B4">
        <w:rPr>
          <w:bCs/>
          <w:sz w:val="24"/>
          <w:szCs w:val="24"/>
        </w:rPr>
        <w:t xml:space="preserve"> pakeitė Sutarties Nr. 1 sąlygas, .t.y</w:t>
      </w:r>
      <w:r w:rsidR="00092BEB">
        <w:rPr>
          <w:bCs/>
          <w:sz w:val="24"/>
          <w:szCs w:val="24"/>
        </w:rPr>
        <w:t>.</w:t>
      </w:r>
      <w:r w:rsidR="00363789" w:rsidRPr="003A2F88">
        <w:rPr>
          <w:bCs/>
          <w:sz w:val="24"/>
          <w:szCs w:val="24"/>
        </w:rPr>
        <w:t xml:space="preserve"> </w:t>
      </w:r>
      <w:r w:rsidR="003F4B15" w:rsidRPr="000E5FDF">
        <w:rPr>
          <w:bCs/>
          <w:sz w:val="24"/>
          <w:szCs w:val="24"/>
          <w:u w:val="single"/>
        </w:rPr>
        <w:t>pratęsė</w:t>
      </w:r>
      <w:r w:rsidR="00363789" w:rsidRPr="000E5FDF">
        <w:rPr>
          <w:bCs/>
          <w:sz w:val="24"/>
          <w:szCs w:val="24"/>
          <w:u w:val="single"/>
        </w:rPr>
        <w:t xml:space="preserve"> Sutarties</w:t>
      </w:r>
      <w:r w:rsidR="00A4326F" w:rsidRPr="000E5FDF">
        <w:rPr>
          <w:bCs/>
          <w:sz w:val="24"/>
          <w:szCs w:val="24"/>
          <w:u w:val="single"/>
        </w:rPr>
        <w:t xml:space="preserve"> Nr. 1</w:t>
      </w:r>
      <w:r w:rsidR="00363789" w:rsidRPr="000E5FDF">
        <w:rPr>
          <w:bCs/>
          <w:sz w:val="24"/>
          <w:szCs w:val="24"/>
          <w:u w:val="single"/>
        </w:rPr>
        <w:t xml:space="preserve"> galiojimą iki perkančiosios organizacijos vykdomo projekto VP-1.3-SADM-02-K-03-010</w:t>
      </w:r>
      <w:r w:rsidR="00FE25C0" w:rsidRPr="000E5FDF">
        <w:rPr>
          <w:bCs/>
          <w:sz w:val="24"/>
          <w:szCs w:val="24"/>
        </w:rPr>
        <w:t xml:space="preserve"> (toliau – projektas)</w:t>
      </w:r>
      <w:r w:rsidR="00363789" w:rsidRPr="000E5FDF">
        <w:rPr>
          <w:bCs/>
          <w:sz w:val="24"/>
          <w:szCs w:val="24"/>
        </w:rPr>
        <w:t xml:space="preserve"> </w:t>
      </w:r>
      <w:r w:rsidR="00363789" w:rsidRPr="000E5FDF">
        <w:rPr>
          <w:bCs/>
          <w:sz w:val="24"/>
          <w:szCs w:val="24"/>
          <w:u w:val="single"/>
        </w:rPr>
        <w:t>pabaigos</w:t>
      </w:r>
      <w:r w:rsidR="003F4B15" w:rsidRPr="000E5FDF">
        <w:rPr>
          <w:bCs/>
          <w:sz w:val="24"/>
          <w:szCs w:val="24"/>
          <w:u w:val="single"/>
        </w:rPr>
        <w:t>.</w:t>
      </w:r>
      <w:r w:rsidR="003F4B15" w:rsidRPr="000E5FDF">
        <w:rPr>
          <w:bCs/>
          <w:sz w:val="24"/>
          <w:szCs w:val="24"/>
        </w:rPr>
        <w:t xml:space="preserve"> </w:t>
      </w:r>
      <w:r w:rsidR="002E3428" w:rsidRPr="000E5FDF">
        <w:rPr>
          <w:bCs/>
          <w:sz w:val="24"/>
          <w:szCs w:val="24"/>
        </w:rPr>
        <w:t>Perkančioji organizacija rašte nurodė, kad „</w:t>
      </w:r>
      <w:r w:rsidR="002E3428" w:rsidRPr="000E5FDF">
        <w:rPr>
          <w:bCs/>
          <w:sz w:val="24"/>
          <w:szCs w:val="24"/>
          <w:u w:val="single"/>
        </w:rPr>
        <w:t>projektas turi būti baigtas iki 2015 m. vasario mėnesio</w:t>
      </w:r>
      <w:r w:rsidR="002E3428" w:rsidRPr="000E5FDF">
        <w:rPr>
          <w:bCs/>
          <w:sz w:val="24"/>
          <w:szCs w:val="24"/>
        </w:rPr>
        <w:t>“.</w:t>
      </w:r>
      <w:r w:rsidR="001B0C46" w:rsidRPr="000E5FDF">
        <w:rPr>
          <w:bCs/>
          <w:sz w:val="24"/>
          <w:szCs w:val="24"/>
        </w:rPr>
        <w:t xml:space="preserve"> </w:t>
      </w:r>
      <w:r w:rsidR="00880598" w:rsidRPr="00F734E2">
        <w:rPr>
          <w:bCs/>
          <w:sz w:val="24"/>
          <w:szCs w:val="24"/>
        </w:rPr>
        <w:t>A</w:t>
      </w:r>
      <w:r w:rsidR="00623161" w:rsidRPr="00F734E2">
        <w:rPr>
          <w:bCs/>
          <w:sz w:val="24"/>
          <w:szCs w:val="24"/>
        </w:rPr>
        <w:t>tkreipia</w:t>
      </w:r>
      <w:r w:rsidR="00880598" w:rsidRPr="00F734E2">
        <w:rPr>
          <w:bCs/>
          <w:sz w:val="24"/>
          <w:szCs w:val="24"/>
        </w:rPr>
        <w:t>me</w:t>
      </w:r>
      <w:r w:rsidR="00623161" w:rsidRPr="00F734E2">
        <w:rPr>
          <w:bCs/>
          <w:sz w:val="24"/>
          <w:szCs w:val="24"/>
        </w:rPr>
        <w:t xml:space="preserve"> dėmesį į tai, ka</w:t>
      </w:r>
      <w:r w:rsidR="00880598" w:rsidRPr="00F734E2">
        <w:rPr>
          <w:bCs/>
          <w:sz w:val="24"/>
          <w:szCs w:val="24"/>
        </w:rPr>
        <w:t>d</w:t>
      </w:r>
      <w:r w:rsidR="00B725B1" w:rsidRPr="000E5FDF">
        <w:rPr>
          <w:bCs/>
          <w:sz w:val="24"/>
          <w:szCs w:val="24"/>
        </w:rPr>
        <w:t xml:space="preserve"> </w:t>
      </w:r>
      <w:r w:rsidR="00BF439E" w:rsidRPr="000E5FDF">
        <w:rPr>
          <w:bCs/>
          <w:sz w:val="24"/>
          <w:szCs w:val="24"/>
        </w:rPr>
        <w:t>perkančioji organizacija</w:t>
      </w:r>
      <w:r w:rsidR="00FA6A81" w:rsidRPr="000E5FDF">
        <w:rPr>
          <w:bCs/>
          <w:sz w:val="24"/>
          <w:szCs w:val="24"/>
        </w:rPr>
        <w:t>,</w:t>
      </w:r>
      <w:r w:rsidR="00BF439E" w:rsidRPr="000E5FDF">
        <w:rPr>
          <w:bCs/>
          <w:sz w:val="24"/>
          <w:szCs w:val="24"/>
        </w:rPr>
        <w:t xml:space="preserve"> priim</w:t>
      </w:r>
      <w:r w:rsidR="00B725B1" w:rsidRPr="000E5FDF">
        <w:rPr>
          <w:bCs/>
          <w:sz w:val="24"/>
          <w:szCs w:val="24"/>
        </w:rPr>
        <w:t>dam</w:t>
      </w:r>
      <w:r w:rsidR="00BF439E" w:rsidRPr="000E5FDF">
        <w:rPr>
          <w:bCs/>
          <w:sz w:val="24"/>
          <w:szCs w:val="24"/>
        </w:rPr>
        <w:t xml:space="preserve">a sprendimus dėl </w:t>
      </w:r>
      <w:r w:rsidR="00B725B1" w:rsidRPr="000E5FDF">
        <w:rPr>
          <w:bCs/>
          <w:sz w:val="24"/>
          <w:szCs w:val="24"/>
        </w:rPr>
        <w:t>S</w:t>
      </w:r>
      <w:r w:rsidR="00BF439E" w:rsidRPr="000E5FDF">
        <w:rPr>
          <w:bCs/>
          <w:sz w:val="24"/>
          <w:szCs w:val="24"/>
        </w:rPr>
        <w:t>utarties</w:t>
      </w:r>
      <w:r w:rsidR="00B725B1" w:rsidRPr="000E5FDF">
        <w:rPr>
          <w:bCs/>
          <w:sz w:val="24"/>
          <w:szCs w:val="24"/>
        </w:rPr>
        <w:t xml:space="preserve"> Nr. 1</w:t>
      </w:r>
      <w:r w:rsidR="00BF439E" w:rsidRPr="000E5FDF">
        <w:rPr>
          <w:bCs/>
          <w:sz w:val="24"/>
          <w:szCs w:val="24"/>
        </w:rPr>
        <w:t xml:space="preserve"> sąlygų pakeitimo, prival</w:t>
      </w:r>
      <w:r w:rsidR="00766A96">
        <w:rPr>
          <w:bCs/>
          <w:sz w:val="24"/>
          <w:szCs w:val="24"/>
        </w:rPr>
        <w:t>ėjo</w:t>
      </w:r>
      <w:r w:rsidR="00BF439E" w:rsidRPr="000E5FDF">
        <w:rPr>
          <w:bCs/>
          <w:sz w:val="24"/>
          <w:szCs w:val="24"/>
        </w:rPr>
        <w:t xml:space="preserve"> užtikrinti Įstatymo 3 straipsnyje nustatytų principų laikymąsi ir viešojo pirkimo tikslo siekimą. </w:t>
      </w:r>
      <w:r w:rsidR="004E0F2E" w:rsidRPr="000E5FDF">
        <w:rPr>
          <w:bCs/>
          <w:sz w:val="24"/>
          <w:szCs w:val="24"/>
        </w:rPr>
        <w:t>Tarnybos nuomone,</w:t>
      </w:r>
      <w:r w:rsidR="000E5FDF" w:rsidRPr="000E5FDF">
        <w:rPr>
          <w:bCs/>
          <w:sz w:val="24"/>
          <w:szCs w:val="24"/>
        </w:rPr>
        <w:t xml:space="preserve"> šiuo atveju</w:t>
      </w:r>
      <w:r w:rsidR="004E0F2E" w:rsidRPr="000E5FDF">
        <w:rPr>
          <w:bCs/>
          <w:sz w:val="24"/>
          <w:szCs w:val="24"/>
        </w:rPr>
        <w:t xml:space="preserve"> </w:t>
      </w:r>
      <w:r w:rsidR="00736A22" w:rsidRPr="000E5FDF">
        <w:rPr>
          <w:bCs/>
          <w:sz w:val="24"/>
          <w:szCs w:val="24"/>
        </w:rPr>
        <w:t>perkančioji organizacija keisdama Sutartį</w:t>
      </w:r>
      <w:r w:rsidR="004E0F2E" w:rsidRPr="000E5FDF">
        <w:rPr>
          <w:bCs/>
          <w:sz w:val="24"/>
          <w:szCs w:val="24"/>
        </w:rPr>
        <w:t xml:space="preserve"> </w:t>
      </w:r>
      <w:r w:rsidR="004E0F2E" w:rsidRPr="000E5FDF">
        <w:rPr>
          <w:bCs/>
          <w:sz w:val="24"/>
          <w:szCs w:val="24"/>
        </w:rPr>
        <w:lastRenderedPageBreak/>
        <w:t>Nr. 1</w:t>
      </w:r>
      <w:r w:rsidR="00736A22" w:rsidRPr="000E5FDF">
        <w:rPr>
          <w:bCs/>
          <w:sz w:val="24"/>
          <w:szCs w:val="24"/>
        </w:rPr>
        <w:t xml:space="preserve">, t.y. </w:t>
      </w:r>
      <w:r w:rsidR="004E0F2E" w:rsidRPr="000E5FDF">
        <w:rPr>
          <w:bCs/>
          <w:sz w:val="24"/>
          <w:szCs w:val="24"/>
        </w:rPr>
        <w:t>pratęsdama Sutarties</w:t>
      </w:r>
      <w:r w:rsidR="00092BEB">
        <w:rPr>
          <w:bCs/>
          <w:sz w:val="24"/>
          <w:szCs w:val="24"/>
        </w:rPr>
        <w:t xml:space="preserve"> Nr. 1</w:t>
      </w:r>
      <w:r w:rsidR="004E0F2E" w:rsidRPr="000E5FDF">
        <w:rPr>
          <w:bCs/>
          <w:sz w:val="24"/>
          <w:szCs w:val="24"/>
        </w:rPr>
        <w:t xml:space="preserve"> terminą iki projekto pabaigos</w:t>
      </w:r>
      <w:r w:rsidR="000E5FDF" w:rsidRPr="000E5FDF">
        <w:rPr>
          <w:bCs/>
          <w:sz w:val="24"/>
          <w:szCs w:val="24"/>
        </w:rPr>
        <w:t xml:space="preserve">, </w:t>
      </w:r>
      <w:r w:rsidR="001A1F4A" w:rsidRPr="00766A96">
        <w:rPr>
          <w:sz w:val="24"/>
          <w:szCs w:val="24"/>
          <w:lang w:eastAsia="lt-LT"/>
        </w:rPr>
        <w:t>neužtikrin</w:t>
      </w:r>
      <w:r w:rsidR="00B1529A" w:rsidRPr="00766A96">
        <w:rPr>
          <w:sz w:val="24"/>
          <w:szCs w:val="24"/>
          <w:lang w:eastAsia="lt-LT"/>
        </w:rPr>
        <w:t>o</w:t>
      </w:r>
      <w:r w:rsidR="00002E01">
        <w:rPr>
          <w:sz w:val="24"/>
          <w:szCs w:val="24"/>
          <w:lang w:eastAsia="lt-LT"/>
        </w:rPr>
        <w:t xml:space="preserve"> </w:t>
      </w:r>
      <w:r w:rsidR="00002E01" w:rsidRPr="00766A96">
        <w:rPr>
          <w:color w:val="000000"/>
          <w:sz w:val="24"/>
          <w:szCs w:val="24"/>
          <w:lang w:eastAsia="lt-LT"/>
        </w:rPr>
        <w:t>Įstatymo 3 straipsnio 1 dalyje įtvirtintų lygiateisiškumo, nediskriminavimo ir skaidrumo principų laikymosi</w:t>
      </w:r>
      <w:r w:rsidR="00002E01">
        <w:rPr>
          <w:color w:val="000000"/>
          <w:sz w:val="24"/>
          <w:szCs w:val="24"/>
          <w:lang w:eastAsia="lt-LT"/>
        </w:rPr>
        <w:t xml:space="preserve"> ir</w:t>
      </w:r>
      <w:r w:rsidR="001A1F4A" w:rsidRPr="00766A96">
        <w:rPr>
          <w:sz w:val="24"/>
          <w:szCs w:val="24"/>
          <w:lang w:eastAsia="lt-LT"/>
        </w:rPr>
        <w:t xml:space="preserve"> </w:t>
      </w:r>
      <w:r w:rsidR="000071C3" w:rsidRPr="00766A96">
        <w:rPr>
          <w:sz w:val="24"/>
          <w:szCs w:val="24"/>
          <w:lang w:eastAsia="lt-LT"/>
        </w:rPr>
        <w:t xml:space="preserve">Įstatymo 3 straipsnio 2 dalyje </w:t>
      </w:r>
      <w:r w:rsidR="0029690B" w:rsidRPr="00766A96">
        <w:rPr>
          <w:spacing w:val="-1"/>
          <w:sz w:val="24"/>
          <w:szCs w:val="24"/>
        </w:rPr>
        <w:t xml:space="preserve">nustatyto pirkimų tikslo </w:t>
      </w:r>
      <w:r w:rsidR="00F860F1" w:rsidRPr="00766A96">
        <w:rPr>
          <w:spacing w:val="-1"/>
          <w:sz w:val="24"/>
          <w:szCs w:val="24"/>
        </w:rPr>
        <w:t>(</w:t>
      </w:r>
      <w:r w:rsidR="0029690B" w:rsidRPr="00766A96">
        <w:rPr>
          <w:spacing w:val="-1"/>
          <w:sz w:val="24"/>
          <w:szCs w:val="24"/>
        </w:rPr>
        <w:t>„</w:t>
      </w:r>
      <w:r w:rsidR="0029690B" w:rsidRPr="00766A96">
        <w:rPr>
          <w:i/>
          <w:sz w:val="24"/>
          <w:szCs w:val="24"/>
        </w:rPr>
        <w:t>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="0029690B" w:rsidRPr="00766A96">
        <w:rPr>
          <w:sz w:val="24"/>
          <w:szCs w:val="24"/>
        </w:rPr>
        <w:t>“</w:t>
      </w:r>
      <w:r w:rsidR="00F860F1" w:rsidRPr="00766A96">
        <w:rPr>
          <w:sz w:val="24"/>
          <w:szCs w:val="24"/>
        </w:rPr>
        <w:t>)</w:t>
      </w:r>
      <w:r w:rsidR="001335F8">
        <w:rPr>
          <w:sz w:val="24"/>
          <w:szCs w:val="24"/>
        </w:rPr>
        <w:t xml:space="preserve"> siekimo</w:t>
      </w:r>
      <w:r w:rsidR="007108C4" w:rsidRPr="00766A96">
        <w:rPr>
          <w:color w:val="000000"/>
          <w:sz w:val="24"/>
          <w:szCs w:val="24"/>
          <w:lang w:eastAsia="lt-LT"/>
        </w:rPr>
        <w:t xml:space="preserve"> </w:t>
      </w:r>
      <w:r w:rsidR="009845E6" w:rsidRPr="00766A96">
        <w:rPr>
          <w:color w:val="000000"/>
          <w:sz w:val="24"/>
          <w:szCs w:val="24"/>
          <w:lang w:eastAsia="lt-LT"/>
        </w:rPr>
        <w:t xml:space="preserve">ir tuo </w:t>
      </w:r>
      <w:r w:rsidR="005E6BB4" w:rsidRPr="00766A96">
        <w:rPr>
          <w:color w:val="000000"/>
          <w:sz w:val="24"/>
          <w:szCs w:val="24"/>
          <w:lang w:eastAsia="lt-LT"/>
        </w:rPr>
        <w:t xml:space="preserve">pažeidė Įstatymo 18 straipsnio 8 </w:t>
      </w:r>
      <w:r w:rsidR="0043091A" w:rsidRPr="00766A96">
        <w:rPr>
          <w:color w:val="000000"/>
          <w:sz w:val="24"/>
          <w:szCs w:val="24"/>
          <w:lang w:eastAsia="lt-LT"/>
        </w:rPr>
        <w:t>dal</w:t>
      </w:r>
      <w:r w:rsidR="0043091A">
        <w:rPr>
          <w:color w:val="000000"/>
          <w:sz w:val="24"/>
          <w:szCs w:val="24"/>
          <w:lang w:eastAsia="lt-LT"/>
        </w:rPr>
        <w:t>ies nuostatas.</w:t>
      </w:r>
    </w:p>
    <w:p w:rsidR="00683FCB" w:rsidRPr="004F5500" w:rsidRDefault="0029793F" w:rsidP="00B90FB6">
      <w:pPr>
        <w:pStyle w:val="ListParagraph"/>
        <w:tabs>
          <w:tab w:val="left" w:pos="0"/>
        </w:tabs>
        <w:ind w:left="0" w:firstLine="851"/>
        <w:jc w:val="both"/>
        <w:rPr>
          <w:strike/>
          <w:sz w:val="24"/>
          <w:szCs w:val="24"/>
        </w:rPr>
      </w:pPr>
      <w:r>
        <w:rPr>
          <w:bCs/>
          <w:sz w:val="24"/>
          <w:szCs w:val="24"/>
        </w:rPr>
        <w:t>Tarnyba, įvertinusi 2012 m. birželio 18 d. Viešųjų pirkimų komisijos protokolą Nr. 2012/06/18-1</w:t>
      </w:r>
      <w:r w:rsidR="00085E0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2012 m. birželio 20 d. </w:t>
      </w:r>
      <w:r>
        <w:rPr>
          <w:sz w:val="24"/>
          <w:szCs w:val="24"/>
        </w:rPr>
        <w:t>mažos vertės tiekėjų apklausos pažymą</w:t>
      </w:r>
      <w:r w:rsidR="00085E03">
        <w:rPr>
          <w:sz w:val="24"/>
          <w:szCs w:val="24"/>
        </w:rPr>
        <w:t xml:space="preserve"> ir perkančiosios organizacijos </w:t>
      </w:r>
      <w:r w:rsidR="00CF2237">
        <w:rPr>
          <w:sz w:val="24"/>
          <w:szCs w:val="24"/>
        </w:rPr>
        <w:t xml:space="preserve">2012 m. birželio 19 d. </w:t>
      </w:r>
      <w:r w:rsidR="00085E03">
        <w:rPr>
          <w:sz w:val="24"/>
          <w:szCs w:val="24"/>
        </w:rPr>
        <w:t>raštą „</w:t>
      </w:r>
      <w:r w:rsidR="00CF2237">
        <w:rPr>
          <w:sz w:val="24"/>
          <w:szCs w:val="24"/>
        </w:rPr>
        <w:t xml:space="preserve">Dėl maisto produktų viešojo pirkimo rezultatų“, kuriuo tiekėjai buvo informuoti apie </w:t>
      </w:r>
      <w:r w:rsidR="00DB6ADE">
        <w:rPr>
          <w:sz w:val="24"/>
          <w:szCs w:val="24"/>
        </w:rPr>
        <w:t xml:space="preserve">sudarytą pasiūlymų eilę ir perkančiosios organizacijos viešųjų pirkimų komisijos nutarimą </w:t>
      </w:r>
      <w:r w:rsidR="006A72B3">
        <w:rPr>
          <w:sz w:val="24"/>
          <w:szCs w:val="24"/>
        </w:rPr>
        <w:t>„</w:t>
      </w:r>
      <w:r w:rsidR="006A72B3" w:rsidRPr="00FE64C5">
        <w:rPr>
          <w:i/>
          <w:sz w:val="24"/>
          <w:szCs w:val="24"/>
        </w:rPr>
        <w:t xml:space="preserve">pripažinti tinkamiausiu Kauno socialinių paslaugų ir statybos verslo darbuotojų profesinio rengimo centro pasiūlymą ir pasirašyti </w:t>
      </w:r>
      <w:r w:rsidR="00FE64C5" w:rsidRPr="00FE64C5">
        <w:rPr>
          <w:i/>
          <w:sz w:val="24"/>
          <w:szCs w:val="24"/>
        </w:rPr>
        <w:t>pirkimo sutartį (priedą) 2012-06-30</w:t>
      </w:r>
      <w:r w:rsidR="00FE64C5">
        <w:rPr>
          <w:sz w:val="24"/>
          <w:szCs w:val="24"/>
        </w:rPr>
        <w:t>“</w:t>
      </w:r>
      <w:r>
        <w:rPr>
          <w:sz w:val="24"/>
          <w:szCs w:val="24"/>
        </w:rPr>
        <w:t>, nustatė</w:t>
      </w:r>
      <w:r w:rsidR="00B90FB6" w:rsidRPr="00691905">
        <w:rPr>
          <w:bCs/>
          <w:sz w:val="24"/>
          <w:szCs w:val="24"/>
        </w:rPr>
        <w:t>, kad perkančioji organizacija</w:t>
      </w:r>
      <w:r w:rsidR="00AA1874" w:rsidRPr="00691905">
        <w:rPr>
          <w:bCs/>
          <w:sz w:val="24"/>
          <w:szCs w:val="24"/>
        </w:rPr>
        <w:t xml:space="preserve"> Pirkim</w:t>
      </w:r>
      <w:r w:rsidR="00FF4490">
        <w:rPr>
          <w:bCs/>
          <w:sz w:val="24"/>
          <w:szCs w:val="24"/>
        </w:rPr>
        <w:t>o</w:t>
      </w:r>
      <w:r w:rsidR="00AA1874" w:rsidRPr="00691905">
        <w:rPr>
          <w:bCs/>
          <w:sz w:val="24"/>
          <w:szCs w:val="24"/>
        </w:rPr>
        <w:t xml:space="preserve"> Nr. 2</w:t>
      </w:r>
      <w:r w:rsidR="00E156C2" w:rsidRPr="00691905">
        <w:rPr>
          <w:bCs/>
          <w:sz w:val="24"/>
          <w:szCs w:val="24"/>
        </w:rPr>
        <w:t xml:space="preserve"> l</w:t>
      </w:r>
      <w:r w:rsidR="00E27045" w:rsidRPr="00691905">
        <w:rPr>
          <w:bCs/>
          <w:sz w:val="24"/>
          <w:szCs w:val="24"/>
        </w:rPr>
        <w:t>aimėtoju išrink</w:t>
      </w:r>
      <w:r w:rsidR="00E156C2" w:rsidRPr="00691905">
        <w:rPr>
          <w:bCs/>
          <w:sz w:val="24"/>
          <w:szCs w:val="24"/>
        </w:rPr>
        <w:t>o</w:t>
      </w:r>
      <w:r w:rsidR="00E27045" w:rsidRPr="00691905">
        <w:rPr>
          <w:bCs/>
          <w:sz w:val="24"/>
          <w:szCs w:val="24"/>
        </w:rPr>
        <w:t xml:space="preserve"> t</w:t>
      </w:r>
      <w:r w:rsidR="00E156C2" w:rsidRPr="00691905">
        <w:rPr>
          <w:bCs/>
          <w:sz w:val="24"/>
          <w:szCs w:val="24"/>
        </w:rPr>
        <w:t>ą</w:t>
      </w:r>
      <w:r w:rsidR="00E27045" w:rsidRPr="00691905">
        <w:rPr>
          <w:bCs/>
          <w:sz w:val="24"/>
          <w:szCs w:val="24"/>
        </w:rPr>
        <w:t xml:space="preserve"> pat</w:t>
      </w:r>
      <w:r w:rsidR="00E156C2" w:rsidRPr="00691905">
        <w:rPr>
          <w:bCs/>
          <w:sz w:val="24"/>
          <w:szCs w:val="24"/>
        </w:rPr>
        <w:t>į tiekėją kaip ir Pirkimo Nr. 1 metu</w:t>
      </w:r>
      <w:r w:rsidR="00B3537E">
        <w:rPr>
          <w:bCs/>
          <w:sz w:val="24"/>
          <w:szCs w:val="24"/>
        </w:rPr>
        <w:t xml:space="preserve">. </w:t>
      </w:r>
      <w:r w:rsidR="00844F26">
        <w:rPr>
          <w:bCs/>
          <w:sz w:val="24"/>
          <w:szCs w:val="24"/>
        </w:rPr>
        <w:t>Atsižvelg</w:t>
      </w:r>
      <w:r w:rsidR="007B3AD6">
        <w:rPr>
          <w:bCs/>
          <w:sz w:val="24"/>
          <w:szCs w:val="24"/>
        </w:rPr>
        <w:t>us</w:t>
      </w:r>
      <w:r w:rsidR="00C85BF6">
        <w:rPr>
          <w:bCs/>
          <w:sz w:val="24"/>
          <w:szCs w:val="24"/>
        </w:rPr>
        <w:t>i</w:t>
      </w:r>
      <w:r w:rsidR="007B3AD6">
        <w:rPr>
          <w:bCs/>
          <w:sz w:val="24"/>
          <w:szCs w:val="24"/>
        </w:rPr>
        <w:t xml:space="preserve"> </w:t>
      </w:r>
      <w:r w:rsidR="00844F26">
        <w:rPr>
          <w:bCs/>
          <w:sz w:val="24"/>
          <w:szCs w:val="24"/>
        </w:rPr>
        <w:t xml:space="preserve">į </w:t>
      </w:r>
      <w:r w:rsidR="007B3AD6">
        <w:rPr>
          <w:bCs/>
          <w:sz w:val="24"/>
          <w:szCs w:val="24"/>
        </w:rPr>
        <w:t>tai, ka</w:t>
      </w:r>
      <w:r w:rsidR="007A6083">
        <w:rPr>
          <w:bCs/>
          <w:sz w:val="24"/>
          <w:szCs w:val="24"/>
        </w:rPr>
        <w:t>d</w:t>
      </w:r>
      <w:r w:rsidR="00477ECB">
        <w:rPr>
          <w:bCs/>
          <w:sz w:val="24"/>
          <w:szCs w:val="24"/>
        </w:rPr>
        <w:t xml:space="preserve"> </w:t>
      </w:r>
      <w:r w:rsidR="007A6083">
        <w:rPr>
          <w:bCs/>
          <w:sz w:val="24"/>
          <w:szCs w:val="24"/>
        </w:rPr>
        <w:t>Pirkim</w:t>
      </w:r>
      <w:r w:rsidR="009A394D">
        <w:rPr>
          <w:bCs/>
          <w:sz w:val="24"/>
          <w:szCs w:val="24"/>
        </w:rPr>
        <w:t>e</w:t>
      </w:r>
      <w:r w:rsidR="007A6083">
        <w:rPr>
          <w:bCs/>
          <w:sz w:val="24"/>
          <w:szCs w:val="24"/>
        </w:rPr>
        <w:t xml:space="preserve"> Nr. 2</w:t>
      </w:r>
      <w:r w:rsidR="009A394D">
        <w:rPr>
          <w:bCs/>
          <w:sz w:val="24"/>
          <w:szCs w:val="24"/>
        </w:rPr>
        <w:t xml:space="preserve"> buvo nustatytas</w:t>
      </w:r>
      <w:r w:rsidR="007A6083">
        <w:rPr>
          <w:bCs/>
          <w:sz w:val="24"/>
          <w:szCs w:val="24"/>
        </w:rPr>
        <w:t xml:space="preserve"> laimėtoj</w:t>
      </w:r>
      <w:r w:rsidR="009A394D">
        <w:rPr>
          <w:bCs/>
          <w:sz w:val="24"/>
          <w:szCs w:val="24"/>
        </w:rPr>
        <w:t>as</w:t>
      </w:r>
      <w:r w:rsidR="00844F26">
        <w:rPr>
          <w:bCs/>
          <w:sz w:val="24"/>
          <w:szCs w:val="24"/>
        </w:rPr>
        <w:t>, įvertinusi, jog nebuvo Įstatymo 7 straipsnio 4 dal</w:t>
      </w:r>
      <w:r w:rsidR="00612959">
        <w:rPr>
          <w:bCs/>
          <w:sz w:val="24"/>
          <w:szCs w:val="24"/>
        </w:rPr>
        <w:t>ies 2-6 punktuose</w:t>
      </w:r>
      <w:r w:rsidR="007B3AD6">
        <w:rPr>
          <w:bCs/>
          <w:sz w:val="24"/>
          <w:szCs w:val="24"/>
        </w:rPr>
        <w:t xml:space="preserve"> </w:t>
      </w:r>
      <w:r w:rsidR="00612959">
        <w:rPr>
          <w:bCs/>
          <w:sz w:val="24"/>
          <w:szCs w:val="24"/>
        </w:rPr>
        <w:t>nurodytų pirkimo pasibaigimo pagrindų</w:t>
      </w:r>
      <w:r w:rsidR="00C85BF6">
        <w:rPr>
          <w:bCs/>
          <w:sz w:val="24"/>
          <w:szCs w:val="24"/>
        </w:rPr>
        <w:t xml:space="preserve"> („</w:t>
      </w:r>
      <w:r w:rsidR="00C85BF6" w:rsidRPr="00857230">
        <w:rPr>
          <w:bCs/>
          <w:i/>
          <w:sz w:val="24"/>
          <w:szCs w:val="24"/>
        </w:rPr>
        <w:t>2) atmetamos visos paraiškos ir pasiūlymai; 3) nutraukiamos pirkimo procedūros; 4) per nustatytą terminą nepateikiama nė viena paraiška ar pasiūlymas; 5) pasibaigia pasiūlymų galiojimo laikas ir pirkimo sutartis nesudaroma dėl priežasčių, kurios priklauso nuo tiekėjų; 6) visi tiekėjai atsiima pasiūlymus ar atsisako sudaryti pirkimo sutartį</w:t>
      </w:r>
      <w:r w:rsidR="00C85BF6">
        <w:rPr>
          <w:bCs/>
          <w:i/>
          <w:sz w:val="24"/>
          <w:szCs w:val="24"/>
        </w:rPr>
        <w:t>.</w:t>
      </w:r>
      <w:r w:rsidR="00C85BF6">
        <w:rPr>
          <w:bCs/>
          <w:sz w:val="24"/>
          <w:szCs w:val="24"/>
        </w:rPr>
        <w:t>“)</w:t>
      </w:r>
      <w:r w:rsidR="00612959">
        <w:rPr>
          <w:bCs/>
          <w:sz w:val="24"/>
          <w:szCs w:val="24"/>
        </w:rPr>
        <w:t xml:space="preserve">, </w:t>
      </w:r>
      <w:r w:rsidR="007B3AD6">
        <w:rPr>
          <w:bCs/>
          <w:sz w:val="24"/>
          <w:szCs w:val="24"/>
        </w:rPr>
        <w:t>Tarnyba daro išvadą, kad Pirkimas Nr. 2 turėjo pasibaigti perkančiajai organizacijai ir tiekėjui pasirašius pirkimo sutartį</w:t>
      </w:r>
      <w:r w:rsidR="00E058EE">
        <w:rPr>
          <w:bCs/>
          <w:sz w:val="24"/>
          <w:szCs w:val="24"/>
        </w:rPr>
        <w:t xml:space="preserve"> (Įstatymo 7 straipsnio 4 dalies 1 punktas)</w:t>
      </w:r>
      <w:r w:rsidR="007B3AD6">
        <w:rPr>
          <w:bCs/>
          <w:sz w:val="24"/>
          <w:szCs w:val="24"/>
        </w:rPr>
        <w:t>.</w:t>
      </w:r>
      <w:r w:rsidR="00605659">
        <w:rPr>
          <w:bCs/>
          <w:sz w:val="24"/>
          <w:szCs w:val="24"/>
        </w:rPr>
        <w:t xml:space="preserve"> </w:t>
      </w:r>
      <w:r w:rsidR="004D50FF">
        <w:rPr>
          <w:bCs/>
          <w:sz w:val="24"/>
          <w:szCs w:val="24"/>
        </w:rPr>
        <w:t xml:space="preserve">Įvertinus ESFA ir perkančiosios organizacijos pateiktus dokumentus, </w:t>
      </w:r>
      <w:r w:rsidR="00C827B8">
        <w:rPr>
          <w:bCs/>
          <w:sz w:val="24"/>
          <w:szCs w:val="24"/>
        </w:rPr>
        <w:t>n</w:t>
      </w:r>
      <w:r w:rsidR="008B7202">
        <w:rPr>
          <w:bCs/>
          <w:sz w:val="24"/>
          <w:szCs w:val="24"/>
        </w:rPr>
        <w:t xml:space="preserve">ustatyta, </w:t>
      </w:r>
      <w:r w:rsidR="004D50FF">
        <w:rPr>
          <w:bCs/>
          <w:sz w:val="24"/>
          <w:szCs w:val="24"/>
        </w:rPr>
        <w:t>kad</w:t>
      </w:r>
      <w:r w:rsidR="008B7202">
        <w:rPr>
          <w:bCs/>
          <w:sz w:val="24"/>
          <w:szCs w:val="24"/>
        </w:rPr>
        <w:t xml:space="preserve"> p</w:t>
      </w:r>
      <w:r w:rsidR="00AD2CA6" w:rsidRPr="00691905">
        <w:rPr>
          <w:bCs/>
          <w:sz w:val="24"/>
          <w:szCs w:val="24"/>
        </w:rPr>
        <w:t>erkančioji organizacija ir tiekėjas</w:t>
      </w:r>
      <w:r w:rsidR="00764D39" w:rsidRPr="00691905">
        <w:rPr>
          <w:bCs/>
          <w:sz w:val="24"/>
          <w:szCs w:val="24"/>
        </w:rPr>
        <w:t xml:space="preserve"> </w:t>
      </w:r>
      <w:r w:rsidR="00764D39" w:rsidRPr="00942F81">
        <w:rPr>
          <w:bCs/>
          <w:sz w:val="24"/>
          <w:szCs w:val="24"/>
          <w:u w:val="single"/>
        </w:rPr>
        <w:t>vietoj</w:t>
      </w:r>
      <w:r w:rsidR="00D57049" w:rsidRPr="00942F81">
        <w:rPr>
          <w:bCs/>
          <w:sz w:val="24"/>
          <w:szCs w:val="24"/>
          <w:u w:val="single"/>
        </w:rPr>
        <w:t>e</w:t>
      </w:r>
      <w:r w:rsidR="00764D39" w:rsidRPr="00942F81">
        <w:rPr>
          <w:bCs/>
          <w:sz w:val="24"/>
          <w:szCs w:val="24"/>
          <w:u w:val="single"/>
        </w:rPr>
        <w:t xml:space="preserve"> </w:t>
      </w:r>
      <w:r w:rsidR="00FE3F69" w:rsidRPr="00942F81">
        <w:rPr>
          <w:bCs/>
          <w:sz w:val="24"/>
          <w:szCs w:val="24"/>
          <w:u w:val="single"/>
        </w:rPr>
        <w:t>viešojo pirkimo–pardavimo</w:t>
      </w:r>
      <w:r w:rsidR="00764D39" w:rsidRPr="00942F81">
        <w:rPr>
          <w:bCs/>
          <w:sz w:val="24"/>
          <w:szCs w:val="24"/>
          <w:u w:val="single"/>
        </w:rPr>
        <w:t xml:space="preserve"> sutarties 2012 m. birželio 30 d. pasiraš</w:t>
      </w:r>
      <w:r w:rsidR="00AD2CA6" w:rsidRPr="00942F81">
        <w:rPr>
          <w:bCs/>
          <w:sz w:val="24"/>
          <w:szCs w:val="24"/>
          <w:u w:val="single"/>
        </w:rPr>
        <w:t>ė</w:t>
      </w:r>
      <w:r w:rsidR="00764D39" w:rsidRPr="00942F81">
        <w:rPr>
          <w:bCs/>
          <w:sz w:val="24"/>
          <w:szCs w:val="24"/>
          <w:u w:val="single"/>
        </w:rPr>
        <w:t xml:space="preserve"> Pried</w:t>
      </w:r>
      <w:r w:rsidR="00AD2CA6" w:rsidRPr="00942F81">
        <w:rPr>
          <w:bCs/>
          <w:sz w:val="24"/>
          <w:szCs w:val="24"/>
          <w:u w:val="single"/>
        </w:rPr>
        <w:t>ą</w:t>
      </w:r>
      <w:r w:rsidR="00764D39" w:rsidRPr="00942F81">
        <w:rPr>
          <w:bCs/>
          <w:sz w:val="24"/>
          <w:szCs w:val="24"/>
          <w:u w:val="single"/>
        </w:rPr>
        <w:t xml:space="preserve"> prie Sutarties Nr. 1</w:t>
      </w:r>
      <w:r w:rsidR="00764D39" w:rsidRPr="00691905">
        <w:rPr>
          <w:bCs/>
          <w:sz w:val="24"/>
          <w:szCs w:val="24"/>
        </w:rPr>
        <w:t xml:space="preserve"> (toliau – Sutarties Nr. 1 pakeitimas Nr. 2), </w:t>
      </w:r>
      <w:r w:rsidR="00764D39" w:rsidRPr="00942F81">
        <w:rPr>
          <w:bCs/>
          <w:sz w:val="24"/>
          <w:szCs w:val="24"/>
          <w:u w:val="single"/>
        </w:rPr>
        <w:t xml:space="preserve">kuriuo </w:t>
      </w:r>
      <w:r w:rsidR="00764D39" w:rsidRPr="00691905">
        <w:rPr>
          <w:bCs/>
          <w:sz w:val="24"/>
          <w:szCs w:val="24"/>
          <w:u w:val="single"/>
        </w:rPr>
        <w:t>susitarė pratęsti Sutarties Nr. 1 terminą iki 2013 m. gruodžio 31 d.</w:t>
      </w:r>
      <w:r w:rsidR="00A545EE" w:rsidRPr="00691905">
        <w:rPr>
          <w:bCs/>
          <w:sz w:val="24"/>
          <w:szCs w:val="24"/>
        </w:rPr>
        <w:t xml:space="preserve"> Apibendrindama tai, kas išdėstyta, Tarnyba daro išvadą, kad perkančioji organizacija, nesudarius</w:t>
      </w:r>
      <w:r w:rsidR="00A02B72" w:rsidRPr="00691905">
        <w:rPr>
          <w:bCs/>
          <w:sz w:val="24"/>
          <w:szCs w:val="24"/>
        </w:rPr>
        <w:t>i</w:t>
      </w:r>
      <w:r w:rsidR="00A545EE" w:rsidRPr="00691905">
        <w:rPr>
          <w:bCs/>
          <w:sz w:val="24"/>
          <w:szCs w:val="24"/>
        </w:rPr>
        <w:t xml:space="preserve"> </w:t>
      </w:r>
      <w:r w:rsidR="00A02B72" w:rsidRPr="00691905">
        <w:rPr>
          <w:bCs/>
          <w:sz w:val="24"/>
          <w:szCs w:val="24"/>
        </w:rPr>
        <w:t>viešojo pirkimo–pardavimo sutarties</w:t>
      </w:r>
      <w:r w:rsidR="00A545EE" w:rsidRPr="00691905">
        <w:rPr>
          <w:bCs/>
          <w:sz w:val="24"/>
          <w:szCs w:val="24"/>
        </w:rPr>
        <w:t>,</w:t>
      </w:r>
      <w:r w:rsidR="009325BC">
        <w:rPr>
          <w:bCs/>
          <w:sz w:val="24"/>
          <w:szCs w:val="24"/>
        </w:rPr>
        <w:t xml:space="preserve"> neužtikrino </w:t>
      </w:r>
      <w:r w:rsidR="009325BC" w:rsidRPr="00766A96">
        <w:rPr>
          <w:color w:val="000000"/>
          <w:sz w:val="24"/>
          <w:szCs w:val="24"/>
          <w:lang w:eastAsia="lt-LT"/>
        </w:rPr>
        <w:t xml:space="preserve">Įstatymo </w:t>
      </w:r>
      <w:r w:rsidR="009325BC">
        <w:rPr>
          <w:color w:val="000000"/>
          <w:sz w:val="24"/>
          <w:szCs w:val="24"/>
          <w:lang w:eastAsia="lt-LT"/>
        </w:rPr>
        <w:t>3 straipsnio 1 dalyje įtvirtinto</w:t>
      </w:r>
      <w:r w:rsidR="009325BC" w:rsidRPr="00766A96">
        <w:rPr>
          <w:color w:val="000000"/>
          <w:sz w:val="24"/>
          <w:szCs w:val="24"/>
          <w:lang w:eastAsia="lt-LT"/>
        </w:rPr>
        <w:t xml:space="preserve"> skaidrumo princip</w:t>
      </w:r>
      <w:r w:rsidR="009325BC">
        <w:rPr>
          <w:color w:val="000000"/>
          <w:sz w:val="24"/>
          <w:szCs w:val="24"/>
          <w:lang w:eastAsia="lt-LT"/>
        </w:rPr>
        <w:t>o</w:t>
      </w:r>
      <w:r w:rsidR="009325BC" w:rsidRPr="00766A96">
        <w:rPr>
          <w:color w:val="000000"/>
          <w:sz w:val="24"/>
          <w:szCs w:val="24"/>
          <w:lang w:eastAsia="lt-LT"/>
        </w:rPr>
        <w:t xml:space="preserve"> </w:t>
      </w:r>
      <w:r w:rsidR="009325BC" w:rsidRPr="005720C0">
        <w:rPr>
          <w:color w:val="000000"/>
          <w:sz w:val="24"/>
          <w:szCs w:val="24"/>
          <w:lang w:eastAsia="lt-LT"/>
        </w:rPr>
        <w:t>laikymosi</w:t>
      </w:r>
      <w:r w:rsidR="00AF5809" w:rsidRPr="005720C0">
        <w:rPr>
          <w:bCs/>
          <w:sz w:val="24"/>
          <w:szCs w:val="24"/>
        </w:rPr>
        <w:t>.</w:t>
      </w:r>
    </w:p>
    <w:p w:rsidR="00CE62FA" w:rsidRPr="00691905" w:rsidRDefault="00643FDD" w:rsidP="007C690A">
      <w:pPr>
        <w:pStyle w:val="ListParagraph"/>
        <w:tabs>
          <w:tab w:val="left" w:pos="0"/>
        </w:tabs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691905">
        <w:rPr>
          <w:sz w:val="24"/>
          <w:szCs w:val="24"/>
        </w:rPr>
        <w:t>Taip pat n</w:t>
      </w:r>
      <w:r w:rsidR="00192786" w:rsidRPr="00691905">
        <w:rPr>
          <w:sz w:val="24"/>
          <w:szCs w:val="24"/>
        </w:rPr>
        <w:t xml:space="preserve">ustatyta, kad </w:t>
      </w:r>
      <w:r w:rsidR="008E41B7" w:rsidRPr="00691905">
        <w:rPr>
          <w:bCs/>
          <w:sz w:val="24"/>
          <w:szCs w:val="24"/>
        </w:rPr>
        <w:t>perkančioji organizacija su tiekėju buvo pasirašę dar du Sutarties Nr. 1 pakeitimus:</w:t>
      </w:r>
      <w:r w:rsidR="00192786" w:rsidRPr="00691905">
        <w:rPr>
          <w:sz w:val="24"/>
          <w:szCs w:val="24"/>
        </w:rPr>
        <w:t xml:space="preserve"> </w:t>
      </w:r>
      <w:r w:rsidR="00A50B47" w:rsidRPr="00691905">
        <w:rPr>
          <w:bCs/>
          <w:sz w:val="24"/>
          <w:szCs w:val="24"/>
        </w:rPr>
        <w:t>2012 m. rugsėjo 3 d. Priedą prie Sutarties</w:t>
      </w:r>
      <w:r w:rsidR="00575E4B" w:rsidRPr="00691905">
        <w:rPr>
          <w:bCs/>
          <w:sz w:val="24"/>
          <w:szCs w:val="24"/>
        </w:rPr>
        <w:t xml:space="preserve"> Nr. 1</w:t>
      </w:r>
      <w:r w:rsidR="00A50B47" w:rsidRPr="00691905">
        <w:rPr>
          <w:bCs/>
          <w:sz w:val="24"/>
          <w:szCs w:val="24"/>
        </w:rPr>
        <w:t xml:space="preserve"> (toliau – Sutarties</w:t>
      </w:r>
      <w:r w:rsidR="00575E4B" w:rsidRPr="00691905">
        <w:rPr>
          <w:bCs/>
          <w:sz w:val="24"/>
          <w:szCs w:val="24"/>
        </w:rPr>
        <w:t xml:space="preserve"> Nr. 1</w:t>
      </w:r>
      <w:r w:rsidR="00A50B47" w:rsidRPr="00691905">
        <w:rPr>
          <w:bCs/>
          <w:sz w:val="24"/>
          <w:szCs w:val="24"/>
        </w:rPr>
        <w:t xml:space="preserve"> pakeitimas Nr. 3), kuriuo</w:t>
      </w:r>
      <w:r w:rsidR="00575E4B" w:rsidRPr="00691905">
        <w:rPr>
          <w:bCs/>
          <w:sz w:val="24"/>
          <w:szCs w:val="24"/>
        </w:rPr>
        <w:t xml:space="preserve"> </w:t>
      </w:r>
      <w:r w:rsidR="00575E4B" w:rsidRPr="00691905">
        <w:rPr>
          <w:bCs/>
          <w:sz w:val="24"/>
          <w:szCs w:val="24"/>
          <w:u w:val="single"/>
        </w:rPr>
        <w:t>susitarė pratęsti Sutartį Nr. 1</w:t>
      </w:r>
      <w:r w:rsidR="00A50B47" w:rsidRPr="00691905">
        <w:rPr>
          <w:bCs/>
          <w:sz w:val="24"/>
          <w:szCs w:val="24"/>
          <w:u w:val="single"/>
        </w:rPr>
        <w:t xml:space="preserve"> iki atskiro Sutarties</w:t>
      </w:r>
      <w:r w:rsidR="00575E4B" w:rsidRPr="00691905">
        <w:rPr>
          <w:bCs/>
          <w:sz w:val="24"/>
          <w:szCs w:val="24"/>
          <w:u w:val="single"/>
        </w:rPr>
        <w:t xml:space="preserve"> Nr. 1</w:t>
      </w:r>
      <w:r w:rsidR="00A50B47" w:rsidRPr="00691905">
        <w:rPr>
          <w:bCs/>
          <w:sz w:val="24"/>
          <w:szCs w:val="24"/>
          <w:u w:val="single"/>
        </w:rPr>
        <w:t xml:space="preserve"> nutraukimo</w:t>
      </w:r>
      <w:r w:rsidR="00C6689B" w:rsidRPr="00691905">
        <w:rPr>
          <w:bCs/>
          <w:sz w:val="24"/>
          <w:szCs w:val="24"/>
          <w:u w:val="single"/>
        </w:rPr>
        <w:t>;</w:t>
      </w:r>
      <w:r w:rsidR="00192786" w:rsidRPr="00691905">
        <w:rPr>
          <w:bCs/>
          <w:sz w:val="24"/>
          <w:szCs w:val="24"/>
        </w:rPr>
        <w:t xml:space="preserve"> </w:t>
      </w:r>
      <w:r w:rsidR="004C1167" w:rsidRPr="00691905">
        <w:rPr>
          <w:bCs/>
          <w:sz w:val="24"/>
          <w:szCs w:val="24"/>
        </w:rPr>
        <w:br/>
      </w:r>
      <w:r w:rsidR="00352099" w:rsidRPr="00691905">
        <w:rPr>
          <w:bCs/>
          <w:sz w:val="24"/>
          <w:szCs w:val="24"/>
        </w:rPr>
        <w:t xml:space="preserve">2014 m. sausio 3 d. </w:t>
      </w:r>
      <w:r w:rsidR="00F32C0D" w:rsidRPr="00691905">
        <w:rPr>
          <w:bCs/>
          <w:sz w:val="24"/>
          <w:szCs w:val="24"/>
        </w:rPr>
        <w:t xml:space="preserve">Priedą Nr. 2 prie Sutarties Nr. 1 (toliau – Sutarties Nr. 1 pakeitimas Nr. 4), kuriuo susitarė </w:t>
      </w:r>
      <w:r w:rsidR="00F32C0D" w:rsidRPr="00691905">
        <w:rPr>
          <w:bCs/>
          <w:sz w:val="24"/>
          <w:szCs w:val="24"/>
          <w:u w:val="single"/>
        </w:rPr>
        <w:t>pratęsti Sutartį Nr. 1 iki 2015 m. rugpjūčio 31 d.</w:t>
      </w:r>
      <w:r w:rsidR="0024122E" w:rsidRPr="00691905">
        <w:rPr>
          <w:bCs/>
          <w:sz w:val="24"/>
          <w:szCs w:val="24"/>
        </w:rPr>
        <w:t xml:space="preserve"> </w:t>
      </w:r>
      <w:r w:rsidR="001F254A">
        <w:rPr>
          <w:bCs/>
          <w:sz w:val="24"/>
          <w:szCs w:val="24"/>
        </w:rPr>
        <w:t>Pažymėtina, jog</w:t>
      </w:r>
      <w:r w:rsidR="00483254" w:rsidRPr="00691905">
        <w:rPr>
          <w:bCs/>
          <w:sz w:val="24"/>
          <w:szCs w:val="24"/>
        </w:rPr>
        <w:t xml:space="preserve"> viena iš Sutarties Nr. 1 galiojimo sąlygų yra Sutarties Nr. 1</w:t>
      </w:r>
      <w:r w:rsidR="00143A6F">
        <w:rPr>
          <w:bCs/>
          <w:sz w:val="24"/>
          <w:szCs w:val="24"/>
        </w:rPr>
        <w:t xml:space="preserve">, kurią Tarnybai pateikė ESFA </w:t>
      </w:r>
      <w:r w:rsidR="00143A6F" w:rsidRPr="00691905">
        <w:rPr>
          <w:sz w:val="24"/>
          <w:szCs w:val="24"/>
        </w:rPr>
        <w:t>2014 m. rugsėjo 9</w:t>
      </w:r>
      <w:r w:rsidR="00143A6F">
        <w:rPr>
          <w:sz w:val="24"/>
          <w:szCs w:val="24"/>
        </w:rPr>
        <w:t xml:space="preserve"> d. raštu</w:t>
      </w:r>
      <w:r w:rsidR="00143A6F" w:rsidRPr="00691905">
        <w:rPr>
          <w:sz w:val="24"/>
          <w:szCs w:val="24"/>
        </w:rPr>
        <w:t xml:space="preserve"> Nr. ESFS07-2014-04917 „Dėl išvados pateikimo“</w:t>
      </w:r>
      <w:r w:rsidR="00143A6F">
        <w:rPr>
          <w:sz w:val="24"/>
          <w:szCs w:val="24"/>
        </w:rPr>
        <w:t>,</w:t>
      </w:r>
      <w:r w:rsidR="00483254" w:rsidRPr="00691905">
        <w:rPr>
          <w:bCs/>
          <w:sz w:val="24"/>
          <w:szCs w:val="24"/>
        </w:rPr>
        <w:t xml:space="preserve"> 2.1 punkte nustatyta 9 900 Lt su PVM </w:t>
      </w:r>
      <w:r w:rsidR="008D2F63" w:rsidRPr="00691905">
        <w:rPr>
          <w:bCs/>
          <w:sz w:val="24"/>
          <w:szCs w:val="24"/>
        </w:rPr>
        <w:t xml:space="preserve">bendra Sutarties Nr. 1 kaina, kuri negali būti viršijama, todėl </w:t>
      </w:r>
      <w:r w:rsidR="006F43D8" w:rsidRPr="00691905">
        <w:rPr>
          <w:bCs/>
          <w:sz w:val="24"/>
          <w:szCs w:val="24"/>
        </w:rPr>
        <w:t xml:space="preserve">pasiekus </w:t>
      </w:r>
      <w:r w:rsidR="005C1452" w:rsidRPr="00691905">
        <w:rPr>
          <w:bCs/>
          <w:sz w:val="24"/>
          <w:szCs w:val="24"/>
        </w:rPr>
        <w:t>9 900 Lt su PVM sumą</w:t>
      </w:r>
      <w:r w:rsidR="006F43D8" w:rsidRPr="00691905">
        <w:rPr>
          <w:bCs/>
          <w:sz w:val="24"/>
          <w:szCs w:val="24"/>
        </w:rPr>
        <w:t>, Sutarti</w:t>
      </w:r>
      <w:r w:rsidR="005C1452" w:rsidRPr="00691905">
        <w:rPr>
          <w:bCs/>
          <w:sz w:val="24"/>
          <w:szCs w:val="24"/>
        </w:rPr>
        <w:t>e</w:t>
      </w:r>
      <w:r w:rsidR="006F43D8" w:rsidRPr="00691905">
        <w:rPr>
          <w:bCs/>
          <w:sz w:val="24"/>
          <w:szCs w:val="24"/>
        </w:rPr>
        <w:t xml:space="preserve">s </w:t>
      </w:r>
      <w:r w:rsidR="005C1452" w:rsidRPr="00691905">
        <w:rPr>
          <w:bCs/>
          <w:sz w:val="24"/>
          <w:szCs w:val="24"/>
        </w:rPr>
        <w:t>N</w:t>
      </w:r>
      <w:r w:rsidR="006F43D8" w:rsidRPr="00691905">
        <w:rPr>
          <w:bCs/>
          <w:sz w:val="24"/>
          <w:szCs w:val="24"/>
        </w:rPr>
        <w:t xml:space="preserve">r. 1 </w:t>
      </w:r>
      <w:r w:rsidR="005C1452" w:rsidRPr="00691905">
        <w:rPr>
          <w:bCs/>
          <w:sz w:val="24"/>
          <w:szCs w:val="24"/>
        </w:rPr>
        <w:t xml:space="preserve">galiojimas </w:t>
      </w:r>
      <w:r w:rsidR="006F43D8" w:rsidRPr="00691905">
        <w:rPr>
          <w:bCs/>
          <w:sz w:val="24"/>
          <w:szCs w:val="24"/>
        </w:rPr>
        <w:t>baigia</w:t>
      </w:r>
      <w:r w:rsidR="000A7C30" w:rsidRPr="00691905">
        <w:rPr>
          <w:bCs/>
          <w:sz w:val="24"/>
          <w:szCs w:val="24"/>
        </w:rPr>
        <w:t>si</w:t>
      </w:r>
      <w:r w:rsidR="006F43D8" w:rsidRPr="00691905">
        <w:rPr>
          <w:bCs/>
          <w:sz w:val="24"/>
          <w:szCs w:val="24"/>
        </w:rPr>
        <w:t>.</w:t>
      </w:r>
      <w:r w:rsidR="001F254A">
        <w:rPr>
          <w:bCs/>
          <w:sz w:val="24"/>
          <w:szCs w:val="24"/>
        </w:rPr>
        <w:t xml:space="preserve"> </w:t>
      </w:r>
      <w:r w:rsidR="009415CC">
        <w:rPr>
          <w:bCs/>
          <w:sz w:val="24"/>
          <w:szCs w:val="24"/>
        </w:rPr>
        <w:t xml:space="preserve">Apie </w:t>
      </w:r>
      <w:r w:rsidR="00FF292E">
        <w:rPr>
          <w:bCs/>
          <w:sz w:val="24"/>
          <w:szCs w:val="24"/>
        </w:rPr>
        <w:t>tai</w:t>
      </w:r>
      <w:r w:rsidR="009415CC">
        <w:rPr>
          <w:bCs/>
          <w:sz w:val="24"/>
          <w:szCs w:val="24"/>
        </w:rPr>
        <w:t>, kad Sutartis Nr. 1 turi limitą, kuris negali būti viršijamas,</w:t>
      </w:r>
      <w:r w:rsidR="00FF292E">
        <w:rPr>
          <w:bCs/>
          <w:sz w:val="24"/>
          <w:szCs w:val="24"/>
        </w:rPr>
        <w:t xml:space="preserve"> pažymi ir pati perkančioji</w:t>
      </w:r>
      <w:r w:rsidR="009415CC">
        <w:rPr>
          <w:bCs/>
          <w:sz w:val="24"/>
          <w:szCs w:val="24"/>
        </w:rPr>
        <w:t xml:space="preserve"> organizacija</w:t>
      </w:r>
      <w:r w:rsidR="00FF292E">
        <w:rPr>
          <w:bCs/>
          <w:sz w:val="24"/>
          <w:szCs w:val="24"/>
        </w:rPr>
        <w:t xml:space="preserve"> 2014 m. spalio 1 d. rašte „Dėl 2014-09-23 rašto Nr. 4S-3132“</w:t>
      </w:r>
      <w:r w:rsidR="009415CC">
        <w:rPr>
          <w:bCs/>
          <w:sz w:val="24"/>
          <w:szCs w:val="24"/>
        </w:rPr>
        <w:t>, pateiktame Tarnybai.</w:t>
      </w:r>
      <w:r w:rsidR="005C1452" w:rsidRPr="00691905">
        <w:rPr>
          <w:bCs/>
          <w:sz w:val="24"/>
          <w:szCs w:val="24"/>
        </w:rPr>
        <w:t xml:space="preserve"> </w:t>
      </w:r>
      <w:r w:rsidR="00F75368" w:rsidRPr="00691905">
        <w:rPr>
          <w:bCs/>
          <w:sz w:val="24"/>
          <w:szCs w:val="24"/>
        </w:rPr>
        <w:t>Pažymėtina, jog</w:t>
      </w:r>
      <w:r w:rsidR="005C1452" w:rsidRPr="00691905">
        <w:rPr>
          <w:bCs/>
          <w:sz w:val="24"/>
          <w:szCs w:val="24"/>
        </w:rPr>
        <w:t xml:space="preserve"> </w:t>
      </w:r>
      <w:r w:rsidR="00895AC4" w:rsidRPr="00691905">
        <w:rPr>
          <w:bCs/>
          <w:sz w:val="24"/>
          <w:szCs w:val="24"/>
          <w:u w:val="single"/>
        </w:rPr>
        <w:t>nuo 2012 m. balandžio 2 d. (Sutarties Nr. 1 įsigaliojimo</w:t>
      </w:r>
      <w:r w:rsidR="00F75368" w:rsidRPr="00691905">
        <w:rPr>
          <w:bCs/>
          <w:sz w:val="24"/>
          <w:szCs w:val="24"/>
          <w:u w:val="single"/>
        </w:rPr>
        <w:t xml:space="preserve"> data) </w:t>
      </w:r>
      <w:r w:rsidR="00573343" w:rsidRPr="00691905">
        <w:rPr>
          <w:bCs/>
          <w:sz w:val="24"/>
          <w:szCs w:val="24"/>
          <w:u w:val="single"/>
        </w:rPr>
        <w:t xml:space="preserve">iki </w:t>
      </w:r>
      <w:r w:rsidR="00F75368" w:rsidRPr="00691905">
        <w:rPr>
          <w:bCs/>
          <w:sz w:val="24"/>
          <w:szCs w:val="24"/>
          <w:u w:val="single"/>
        </w:rPr>
        <w:t>2012 m. birželio 25 d.</w:t>
      </w:r>
      <w:r w:rsidR="00573343" w:rsidRPr="00691905">
        <w:rPr>
          <w:bCs/>
          <w:sz w:val="24"/>
          <w:szCs w:val="24"/>
          <w:u w:val="single"/>
        </w:rPr>
        <w:t xml:space="preserve"> perkančioji organizacija buvo nusipirkusi maisto produktų už 9 595,60 Lt su PVM</w:t>
      </w:r>
      <w:r w:rsidR="00A804C4" w:rsidRPr="00691905">
        <w:rPr>
          <w:bCs/>
          <w:sz w:val="24"/>
          <w:szCs w:val="24"/>
          <w:u w:val="single"/>
        </w:rPr>
        <w:t>.</w:t>
      </w:r>
      <w:r w:rsidR="0076435E" w:rsidRPr="00691905">
        <w:rPr>
          <w:bCs/>
          <w:sz w:val="24"/>
          <w:szCs w:val="24"/>
        </w:rPr>
        <w:t xml:space="preserve"> </w:t>
      </w:r>
      <w:r w:rsidR="00F75368" w:rsidRPr="00691905">
        <w:rPr>
          <w:bCs/>
          <w:sz w:val="24"/>
          <w:szCs w:val="24"/>
        </w:rPr>
        <w:t xml:space="preserve">Tai patvirtina </w:t>
      </w:r>
      <w:r w:rsidR="00936556" w:rsidRPr="00691905">
        <w:rPr>
          <w:bCs/>
          <w:sz w:val="24"/>
          <w:szCs w:val="24"/>
        </w:rPr>
        <w:t>perk</w:t>
      </w:r>
      <w:r w:rsidR="00DE10BA" w:rsidRPr="00691905">
        <w:rPr>
          <w:bCs/>
          <w:sz w:val="24"/>
          <w:szCs w:val="24"/>
        </w:rPr>
        <w:t>ančiosios organizacijos pateikto</w:t>
      </w:r>
      <w:r w:rsidR="00936556" w:rsidRPr="00691905">
        <w:rPr>
          <w:bCs/>
          <w:sz w:val="24"/>
          <w:szCs w:val="24"/>
        </w:rPr>
        <w:t xml:space="preserve">s </w:t>
      </w:r>
      <w:r w:rsidR="00936556" w:rsidRPr="00691905">
        <w:rPr>
          <w:bCs/>
          <w:i/>
          <w:sz w:val="24"/>
          <w:szCs w:val="24"/>
        </w:rPr>
        <w:t>PVM sąskait</w:t>
      </w:r>
      <w:r w:rsidR="00DE10BA" w:rsidRPr="00691905">
        <w:rPr>
          <w:bCs/>
          <w:i/>
          <w:sz w:val="24"/>
          <w:szCs w:val="24"/>
        </w:rPr>
        <w:t>o</w:t>
      </w:r>
      <w:r w:rsidR="00936556" w:rsidRPr="00691905">
        <w:rPr>
          <w:bCs/>
          <w:i/>
          <w:sz w:val="24"/>
          <w:szCs w:val="24"/>
        </w:rPr>
        <w:t>s faktūr</w:t>
      </w:r>
      <w:r w:rsidR="00DE10BA" w:rsidRPr="00691905">
        <w:rPr>
          <w:bCs/>
          <w:i/>
          <w:sz w:val="24"/>
          <w:szCs w:val="24"/>
        </w:rPr>
        <w:t>o</w:t>
      </w:r>
      <w:r w:rsidR="00936556" w:rsidRPr="00691905">
        <w:rPr>
          <w:bCs/>
          <w:i/>
          <w:sz w:val="24"/>
          <w:szCs w:val="24"/>
        </w:rPr>
        <w:t>s</w:t>
      </w:r>
      <w:r w:rsidR="00936556" w:rsidRPr="00691905">
        <w:rPr>
          <w:bCs/>
          <w:sz w:val="24"/>
          <w:szCs w:val="24"/>
        </w:rPr>
        <w:t xml:space="preserve"> (2012 m. balandžio 27 d. sąskaita faktūra </w:t>
      </w:r>
      <w:r w:rsidR="00DD0BF7" w:rsidRPr="00691905">
        <w:rPr>
          <w:bCs/>
          <w:sz w:val="24"/>
          <w:szCs w:val="24"/>
        </w:rPr>
        <w:t>S</w:t>
      </w:r>
      <w:r w:rsidR="00936556" w:rsidRPr="00691905">
        <w:rPr>
          <w:bCs/>
          <w:sz w:val="24"/>
          <w:szCs w:val="24"/>
        </w:rPr>
        <w:t xml:space="preserve">erija KSM Nr. 22 (2 938,07 Lt su PVM), 2012 m. </w:t>
      </w:r>
      <w:r w:rsidR="00DD0BF7" w:rsidRPr="00691905">
        <w:rPr>
          <w:bCs/>
          <w:sz w:val="24"/>
          <w:szCs w:val="24"/>
        </w:rPr>
        <w:t>gegužės 31 d. sąskaita faktūra S</w:t>
      </w:r>
      <w:r w:rsidR="00936556" w:rsidRPr="00691905">
        <w:rPr>
          <w:bCs/>
          <w:sz w:val="24"/>
          <w:szCs w:val="24"/>
        </w:rPr>
        <w:t xml:space="preserve">erija KSM Nr. 30 (3 983,43 Lt su PVM), 2012 m. birželio 25 d. sąskaita faktūra </w:t>
      </w:r>
      <w:r w:rsidR="00DD0BF7" w:rsidRPr="00691905">
        <w:rPr>
          <w:bCs/>
          <w:sz w:val="24"/>
          <w:szCs w:val="24"/>
        </w:rPr>
        <w:t>S</w:t>
      </w:r>
      <w:r w:rsidR="00936556" w:rsidRPr="00691905">
        <w:rPr>
          <w:bCs/>
          <w:sz w:val="24"/>
          <w:szCs w:val="24"/>
        </w:rPr>
        <w:t xml:space="preserve">erija KSM Nr. 34 (2 674,10 Lt su PVM)) ir </w:t>
      </w:r>
      <w:r w:rsidR="00DE10BA" w:rsidRPr="00691905">
        <w:rPr>
          <w:bCs/>
          <w:i/>
          <w:sz w:val="24"/>
          <w:szCs w:val="24"/>
        </w:rPr>
        <w:t>maisto produktų perdavimo aktai</w:t>
      </w:r>
      <w:r w:rsidR="00936556" w:rsidRPr="00691905">
        <w:rPr>
          <w:bCs/>
          <w:sz w:val="24"/>
          <w:szCs w:val="24"/>
        </w:rPr>
        <w:t xml:space="preserve"> (2012 m. balandžio 27 d. maisto produktų perdavimo aktas, 2012 m. gegužės 31 d. maisto produktų perdavimo aktas, 2012 m. birželio 25 d. maisto produktų perdavimo aktas)</w:t>
      </w:r>
      <w:r w:rsidR="00DE10BA" w:rsidRPr="00691905">
        <w:rPr>
          <w:bCs/>
          <w:sz w:val="24"/>
          <w:szCs w:val="24"/>
        </w:rPr>
        <w:t xml:space="preserve">. </w:t>
      </w:r>
      <w:r w:rsidR="0001136B" w:rsidRPr="00691905">
        <w:rPr>
          <w:bCs/>
          <w:sz w:val="24"/>
          <w:szCs w:val="24"/>
        </w:rPr>
        <w:t>Tarnyba</w:t>
      </w:r>
      <w:r w:rsidR="000B2391" w:rsidRPr="00691905">
        <w:rPr>
          <w:bCs/>
          <w:sz w:val="24"/>
          <w:szCs w:val="24"/>
        </w:rPr>
        <w:t>,</w:t>
      </w:r>
      <w:r w:rsidR="0001136B" w:rsidRPr="00691905">
        <w:rPr>
          <w:bCs/>
          <w:sz w:val="24"/>
          <w:szCs w:val="24"/>
        </w:rPr>
        <w:t xml:space="preserve"> įvertinusi</w:t>
      </w:r>
      <w:r w:rsidR="0025741D" w:rsidRPr="00691905">
        <w:rPr>
          <w:bCs/>
          <w:sz w:val="24"/>
          <w:szCs w:val="24"/>
        </w:rPr>
        <w:t xml:space="preserve"> sekančią</w:t>
      </w:r>
      <w:r w:rsidR="0027622B" w:rsidRPr="00691905">
        <w:rPr>
          <w:bCs/>
          <w:sz w:val="24"/>
          <w:szCs w:val="24"/>
        </w:rPr>
        <w:t>, t.y. po 2012 m. birželio 25 d. einančią,</w:t>
      </w:r>
      <w:r w:rsidR="0025741D" w:rsidRPr="00691905">
        <w:rPr>
          <w:bCs/>
          <w:sz w:val="24"/>
          <w:szCs w:val="24"/>
        </w:rPr>
        <w:t xml:space="preserve"> PVM sąskaitą faktūrą</w:t>
      </w:r>
      <w:r w:rsidR="000A7C30" w:rsidRPr="00691905">
        <w:rPr>
          <w:bCs/>
          <w:sz w:val="24"/>
          <w:szCs w:val="24"/>
        </w:rPr>
        <w:t xml:space="preserve"> (2012 m. rugsėjo 28 d. sąskaita faktūra </w:t>
      </w:r>
      <w:r w:rsidR="003068C1" w:rsidRPr="00691905">
        <w:rPr>
          <w:bCs/>
          <w:sz w:val="24"/>
          <w:szCs w:val="24"/>
        </w:rPr>
        <w:t>S</w:t>
      </w:r>
      <w:r w:rsidR="000A7C30" w:rsidRPr="00691905">
        <w:rPr>
          <w:bCs/>
          <w:sz w:val="24"/>
          <w:szCs w:val="24"/>
        </w:rPr>
        <w:t xml:space="preserve">erija KSM Nr. 42) </w:t>
      </w:r>
      <w:r w:rsidR="0025741D" w:rsidRPr="00691905">
        <w:rPr>
          <w:bCs/>
          <w:sz w:val="24"/>
          <w:szCs w:val="24"/>
        </w:rPr>
        <w:t>ir maisto produktų perdavimo aktą</w:t>
      </w:r>
      <w:r w:rsidR="0001136B" w:rsidRPr="00691905">
        <w:rPr>
          <w:bCs/>
          <w:sz w:val="24"/>
          <w:szCs w:val="24"/>
        </w:rPr>
        <w:t xml:space="preserve"> </w:t>
      </w:r>
      <w:r w:rsidR="0027622B" w:rsidRPr="00691905">
        <w:rPr>
          <w:bCs/>
          <w:sz w:val="24"/>
          <w:szCs w:val="24"/>
        </w:rPr>
        <w:t>(</w:t>
      </w:r>
      <w:r w:rsidR="00D7118E" w:rsidRPr="00691905">
        <w:rPr>
          <w:bCs/>
          <w:sz w:val="24"/>
          <w:szCs w:val="24"/>
        </w:rPr>
        <w:t>2012 m. rugsėjo 28 d. maisto produktų perdavimo aktas</w:t>
      </w:r>
      <w:r w:rsidR="0027622B" w:rsidRPr="00691905">
        <w:rPr>
          <w:bCs/>
          <w:sz w:val="24"/>
          <w:szCs w:val="24"/>
        </w:rPr>
        <w:t>),</w:t>
      </w:r>
      <w:r w:rsidR="00D7118E" w:rsidRPr="00691905">
        <w:rPr>
          <w:bCs/>
          <w:sz w:val="24"/>
          <w:szCs w:val="24"/>
        </w:rPr>
        <w:t xml:space="preserve"> nustatė, kad</w:t>
      </w:r>
      <w:r w:rsidR="005A346B" w:rsidRPr="00691905">
        <w:rPr>
          <w:bCs/>
          <w:sz w:val="24"/>
          <w:szCs w:val="24"/>
        </w:rPr>
        <w:t>,</w:t>
      </w:r>
      <w:r w:rsidR="00D7118E" w:rsidRPr="00691905">
        <w:rPr>
          <w:bCs/>
          <w:sz w:val="24"/>
          <w:szCs w:val="24"/>
        </w:rPr>
        <w:t xml:space="preserve"> </w:t>
      </w:r>
      <w:r w:rsidR="00B86E00" w:rsidRPr="00691905">
        <w:rPr>
          <w:bCs/>
          <w:sz w:val="24"/>
          <w:szCs w:val="24"/>
        </w:rPr>
        <w:t xml:space="preserve">2012 m. rugsėjo mėnesį </w:t>
      </w:r>
      <w:r w:rsidR="00623B05" w:rsidRPr="00691905">
        <w:rPr>
          <w:bCs/>
          <w:sz w:val="24"/>
          <w:szCs w:val="24"/>
        </w:rPr>
        <w:t xml:space="preserve">tiekėjui </w:t>
      </w:r>
      <w:r w:rsidR="00B86E00" w:rsidRPr="00691905">
        <w:rPr>
          <w:bCs/>
          <w:sz w:val="24"/>
          <w:szCs w:val="24"/>
        </w:rPr>
        <w:t>pristačius</w:t>
      </w:r>
      <w:r w:rsidR="003D2B2D" w:rsidRPr="00691905">
        <w:rPr>
          <w:bCs/>
          <w:sz w:val="24"/>
          <w:szCs w:val="24"/>
        </w:rPr>
        <w:t xml:space="preserve"> perkančiajai organizacijai</w:t>
      </w:r>
      <w:r w:rsidR="00B86E00" w:rsidRPr="00691905">
        <w:rPr>
          <w:bCs/>
          <w:sz w:val="24"/>
          <w:szCs w:val="24"/>
        </w:rPr>
        <w:t xml:space="preserve"> </w:t>
      </w:r>
      <w:r w:rsidR="00D7118E" w:rsidRPr="00691905">
        <w:rPr>
          <w:bCs/>
          <w:sz w:val="24"/>
          <w:szCs w:val="24"/>
        </w:rPr>
        <w:t>maisto pr</w:t>
      </w:r>
      <w:r w:rsidR="000B2391" w:rsidRPr="00691905">
        <w:rPr>
          <w:bCs/>
          <w:sz w:val="24"/>
          <w:szCs w:val="24"/>
        </w:rPr>
        <w:t>oduktų</w:t>
      </w:r>
      <w:r w:rsidR="00D7118E" w:rsidRPr="00691905">
        <w:rPr>
          <w:bCs/>
          <w:sz w:val="24"/>
          <w:szCs w:val="24"/>
        </w:rPr>
        <w:t xml:space="preserve"> už 3852,00 Lt su PVM, </w:t>
      </w:r>
      <w:r w:rsidR="000B2391" w:rsidRPr="00691905">
        <w:rPr>
          <w:bCs/>
          <w:sz w:val="24"/>
          <w:szCs w:val="24"/>
        </w:rPr>
        <w:t>buvo viršyta b</w:t>
      </w:r>
      <w:r w:rsidR="00D7118E" w:rsidRPr="00691905">
        <w:rPr>
          <w:bCs/>
          <w:sz w:val="24"/>
          <w:szCs w:val="24"/>
        </w:rPr>
        <w:t>endra Sutarties Nr.</w:t>
      </w:r>
      <w:r w:rsidR="000B2391" w:rsidRPr="00691905">
        <w:rPr>
          <w:bCs/>
          <w:sz w:val="24"/>
          <w:szCs w:val="24"/>
        </w:rPr>
        <w:t xml:space="preserve"> 1</w:t>
      </w:r>
      <w:r w:rsidR="00D7118E" w:rsidRPr="00691905">
        <w:rPr>
          <w:bCs/>
          <w:sz w:val="24"/>
          <w:szCs w:val="24"/>
        </w:rPr>
        <w:t xml:space="preserve"> </w:t>
      </w:r>
      <w:r w:rsidR="00A14BA9" w:rsidRPr="00691905">
        <w:rPr>
          <w:bCs/>
          <w:sz w:val="24"/>
          <w:szCs w:val="24"/>
        </w:rPr>
        <w:t>kaina</w:t>
      </w:r>
      <w:r w:rsidR="000358CF" w:rsidRPr="00691905">
        <w:rPr>
          <w:bCs/>
          <w:sz w:val="24"/>
          <w:szCs w:val="24"/>
        </w:rPr>
        <w:t xml:space="preserve"> 3 547,60 Lt su PVM</w:t>
      </w:r>
      <w:r w:rsidR="00B86E00" w:rsidRPr="00691905">
        <w:rPr>
          <w:bCs/>
          <w:sz w:val="24"/>
          <w:szCs w:val="24"/>
        </w:rPr>
        <w:t xml:space="preserve">, </w:t>
      </w:r>
      <w:r w:rsidR="000358CF" w:rsidRPr="00691905">
        <w:rPr>
          <w:bCs/>
          <w:sz w:val="24"/>
          <w:szCs w:val="24"/>
        </w:rPr>
        <w:t xml:space="preserve">t.y. nuo </w:t>
      </w:r>
      <w:r w:rsidR="005A346B" w:rsidRPr="00691905">
        <w:rPr>
          <w:bCs/>
          <w:sz w:val="24"/>
          <w:szCs w:val="24"/>
        </w:rPr>
        <w:t>S</w:t>
      </w:r>
      <w:r w:rsidR="000358CF" w:rsidRPr="00691905">
        <w:rPr>
          <w:bCs/>
          <w:sz w:val="24"/>
          <w:szCs w:val="24"/>
        </w:rPr>
        <w:t>utarties</w:t>
      </w:r>
      <w:r w:rsidR="005A346B" w:rsidRPr="00691905">
        <w:rPr>
          <w:bCs/>
          <w:sz w:val="24"/>
          <w:szCs w:val="24"/>
        </w:rPr>
        <w:t xml:space="preserve"> Nr. 1</w:t>
      </w:r>
      <w:r w:rsidR="000358CF" w:rsidRPr="00691905">
        <w:rPr>
          <w:bCs/>
          <w:sz w:val="24"/>
          <w:szCs w:val="24"/>
        </w:rPr>
        <w:t xml:space="preserve"> įsigaliojimo </w:t>
      </w:r>
      <w:r w:rsidR="000358CF" w:rsidRPr="00691905">
        <w:rPr>
          <w:bCs/>
          <w:sz w:val="24"/>
          <w:szCs w:val="24"/>
          <w:u w:val="single"/>
        </w:rPr>
        <w:t>iki 2012 m. rugsėjo 28 d. tiekėjas</w:t>
      </w:r>
      <w:r w:rsidR="005A346B" w:rsidRPr="00691905">
        <w:rPr>
          <w:bCs/>
          <w:sz w:val="24"/>
          <w:szCs w:val="24"/>
          <w:u w:val="single"/>
        </w:rPr>
        <w:t xml:space="preserve"> </w:t>
      </w:r>
      <w:r w:rsidR="000F7EE5" w:rsidRPr="00691905">
        <w:rPr>
          <w:bCs/>
          <w:sz w:val="24"/>
          <w:szCs w:val="24"/>
          <w:u w:val="single"/>
        </w:rPr>
        <w:t xml:space="preserve">buvo </w:t>
      </w:r>
      <w:r w:rsidR="000358CF" w:rsidRPr="00691905">
        <w:rPr>
          <w:bCs/>
          <w:sz w:val="24"/>
          <w:szCs w:val="24"/>
          <w:u w:val="single"/>
        </w:rPr>
        <w:t>pristat</w:t>
      </w:r>
      <w:r w:rsidR="000F7EE5" w:rsidRPr="00691905">
        <w:rPr>
          <w:bCs/>
          <w:sz w:val="24"/>
          <w:szCs w:val="24"/>
          <w:u w:val="single"/>
        </w:rPr>
        <w:t>ęs</w:t>
      </w:r>
      <w:r w:rsidR="000358CF" w:rsidRPr="00691905">
        <w:rPr>
          <w:bCs/>
          <w:sz w:val="24"/>
          <w:szCs w:val="24"/>
          <w:u w:val="single"/>
        </w:rPr>
        <w:t xml:space="preserve"> maisto produktų </w:t>
      </w:r>
      <w:r w:rsidR="006F7EF6" w:rsidRPr="00691905">
        <w:rPr>
          <w:bCs/>
          <w:sz w:val="24"/>
          <w:szCs w:val="24"/>
          <w:u w:val="single"/>
        </w:rPr>
        <w:t xml:space="preserve">iš viso </w:t>
      </w:r>
      <w:r w:rsidR="000358CF" w:rsidRPr="00691905">
        <w:rPr>
          <w:bCs/>
          <w:sz w:val="24"/>
          <w:szCs w:val="24"/>
          <w:u w:val="single"/>
        </w:rPr>
        <w:t xml:space="preserve">už </w:t>
      </w:r>
      <w:r w:rsidR="000F7EE5" w:rsidRPr="00691905">
        <w:rPr>
          <w:bCs/>
          <w:sz w:val="24"/>
          <w:szCs w:val="24"/>
          <w:u w:val="single"/>
        </w:rPr>
        <w:t>13 447,60</w:t>
      </w:r>
      <w:r w:rsidR="000358CF" w:rsidRPr="00691905">
        <w:rPr>
          <w:bCs/>
          <w:sz w:val="24"/>
          <w:szCs w:val="24"/>
          <w:u w:val="single"/>
        </w:rPr>
        <w:t xml:space="preserve"> </w:t>
      </w:r>
      <w:r w:rsidR="000F7EE5" w:rsidRPr="00691905">
        <w:rPr>
          <w:bCs/>
          <w:sz w:val="24"/>
          <w:szCs w:val="24"/>
          <w:u w:val="single"/>
        </w:rPr>
        <w:t>Lt su PVM</w:t>
      </w:r>
      <w:r w:rsidR="000F7EE5" w:rsidRPr="00691905">
        <w:rPr>
          <w:bCs/>
          <w:sz w:val="24"/>
          <w:szCs w:val="24"/>
        </w:rPr>
        <w:t>.</w:t>
      </w:r>
      <w:r w:rsidR="00341883" w:rsidRPr="00691905">
        <w:rPr>
          <w:bCs/>
          <w:sz w:val="24"/>
          <w:szCs w:val="24"/>
        </w:rPr>
        <w:t xml:space="preserve"> </w:t>
      </w:r>
      <w:r w:rsidR="009E553F" w:rsidRPr="00691905">
        <w:rPr>
          <w:bCs/>
          <w:sz w:val="24"/>
          <w:szCs w:val="24"/>
        </w:rPr>
        <w:t xml:space="preserve">Pažymėtina, jog nuo 2012 m. balandžio 2 d. (Sutarties Nr. 1 </w:t>
      </w:r>
      <w:r w:rsidR="009E553F" w:rsidRPr="00691905">
        <w:rPr>
          <w:bCs/>
          <w:sz w:val="24"/>
          <w:szCs w:val="24"/>
        </w:rPr>
        <w:lastRenderedPageBreak/>
        <w:t xml:space="preserve">įsigaliojimo dienos) </w:t>
      </w:r>
      <w:r w:rsidR="009E553F" w:rsidRPr="00691905">
        <w:rPr>
          <w:bCs/>
          <w:sz w:val="24"/>
          <w:szCs w:val="24"/>
          <w:u w:val="single"/>
        </w:rPr>
        <w:t>iki 2014 m. liepos 4 d. (paskutinė perkančiosios organizacijos</w:t>
      </w:r>
      <w:r w:rsidR="00822AEB">
        <w:rPr>
          <w:bCs/>
          <w:sz w:val="24"/>
          <w:szCs w:val="24"/>
          <w:u w:val="single"/>
        </w:rPr>
        <w:t xml:space="preserve"> Tarnybai</w:t>
      </w:r>
      <w:r w:rsidR="009E553F" w:rsidRPr="00691905">
        <w:rPr>
          <w:bCs/>
          <w:sz w:val="24"/>
          <w:szCs w:val="24"/>
          <w:u w:val="single"/>
        </w:rPr>
        <w:t xml:space="preserve"> pateikta PVM sąskaita faktūra ir maisto produktų perdavimo aktas) perkančioji organizacija</w:t>
      </w:r>
      <w:r w:rsidR="00483BEA" w:rsidRPr="00691905">
        <w:rPr>
          <w:bCs/>
          <w:sz w:val="24"/>
          <w:szCs w:val="24"/>
          <w:u w:val="single"/>
        </w:rPr>
        <w:t xml:space="preserve"> pagal Sutartį Nr. 1</w:t>
      </w:r>
      <w:r w:rsidR="009E553F" w:rsidRPr="00691905">
        <w:rPr>
          <w:bCs/>
          <w:sz w:val="24"/>
          <w:szCs w:val="24"/>
          <w:u w:val="single"/>
        </w:rPr>
        <w:t xml:space="preserve"> įsigijo maisto produktų už 70 579,60 Lt su PVM.</w:t>
      </w:r>
      <w:r w:rsidR="009E553F" w:rsidRPr="00691905">
        <w:rPr>
          <w:bCs/>
          <w:sz w:val="24"/>
          <w:szCs w:val="24"/>
        </w:rPr>
        <w:t xml:space="preserve"> </w:t>
      </w:r>
      <w:r w:rsidR="00341883" w:rsidRPr="00691905">
        <w:rPr>
          <w:bCs/>
          <w:sz w:val="24"/>
          <w:szCs w:val="24"/>
        </w:rPr>
        <w:t>Apibendrindama tai, kas išdėstyta,</w:t>
      </w:r>
      <w:r w:rsidR="00E05B5E" w:rsidRPr="00691905">
        <w:rPr>
          <w:bCs/>
          <w:sz w:val="24"/>
          <w:szCs w:val="24"/>
        </w:rPr>
        <w:t xml:space="preserve"> Tarnyba daro išvadą, kad pasibaigus Sutarčiai Nr. 1</w:t>
      </w:r>
      <w:r w:rsidR="0027743D" w:rsidRPr="00691905">
        <w:rPr>
          <w:bCs/>
          <w:sz w:val="24"/>
          <w:szCs w:val="24"/>
        </w:rPr>
        <w:t>, t.y.</w:t>
      </w:r>
      <w:r w:rsidR="00E05B5E" w:rsidRPr="00691905">
        <w:rPr>
          <w:bCs/>
          <w:sz w:val="24"/>
          <w:szCs w:val="24"/>
        </w:rPr>
        <w:t xml:space="preserve"> </w:t>
      </w:r>
      <w:r w:rsidR="0027743D" w:rsidRPr="00691905">
        <w:rPr>
          <w:bCs/>
          <w:sz w:val="24"/>
          <w:szCs w:val="24"/>
        </w:rPr>
        <w:t xml:space="preserve">bendrai Sutarties Nr. 1 kainai pasiekus 9 900 Lt su PVM sumą, perkančioji organizacija ir tiekėjas negalėjo daryti </w:t>
      </w:r>
      <w:r w:rsidR="004F657B" w:rsidRPr="00691905">
        <w:rPr>
          <w:bCs/>
          <w:sz w:val="24"/>
          <w:szCs w:val="24"/>
        </w:rPr>
        <w:t>Sutarties Nr. 1</w:t>
      </w:r>
      <w:r w:rsidR="0027743D" w:rsidRPr="00691905">
        <w:rPr>
          <w:bCs/>
          <w:sz w:val="24"/>
          <w:szCs w:val="24"/>
        </w:rPr>
        <w:t xml:space="preserve"> pakeitimų</w:t>
      </w:r>
      <w:r w:rsidR="00156D20">
        <w:rPr>
          <w:bCs/>
          <w:sz w:val="24"/>
          <w:szCs w:val="24"/>
        </w:rPr>
        <w:t>, nes pasibaigus Sutarties Nr. 1 galiojimui, Sutarties Nr. 1 pakeitimai yra negalimi</w:t>
      </w:r>
      <w:r w:rsidR="00E604E8" w:rsidRPr="00691905">
        <w:rPr>
          <w:bCs/>
          <w:sz w:val="24"/>
          <w:szCs w:val="24"/>
        </w:rPr>
        <w:t>.</w:t>
      </w:r>
      <w:r w:rsidR="00EF4AAA">
        <w:rPr>
          <w:bCs/>
          <w:sz w:val="24"/>
          <w:szCs w:val="24"/>
        </w:rPr>
        <w:t xml:space="preserve"> </w:t>
      </w:r>
      <w:r w:rsidR="00C924EE">
        <w:rPr>
          <w:bCs/>
          <w:sz w:val="24"/>
          <w:szCs w:val="24"/>
        </w:rPr>
        <w:t xml:space="preserve">Pažymime, jog </w:t>
      </w:r>
      <w:r w:rsidR="00EF4AAA" w:rsidRPr="000E5FDF">
        <w:rPr>
          <w:bCs/>
          <w:sz w:val="24"/>
          <w:szCs w:val="24"/>
        </w:rPr>
        <w:t>perkančioji organizacija, priimdama sprendimus dėl Sutarties Nr. 1 sąlygų pakeitimo, prival</w:t>
      </w:r>
      <w:r w:rsidR="00EF4AAA">
        <w:rPr>
          <w:bCs/>
          <w:sz w:val="24"/>
          <w:szCs w:val="24"/>
        </w:rPr>
        <w:t>ėjo</w:t>
      </w:r>
      <w:r w:rsidR="00EF4AAA" w:rsidRPr="000E5FDF">
        <w:rPr>
          <w:bCs/>
          <w:sz w:val="24"/>
          <w:szCs w:val="24"/>
        </w:rPr>
        <w:t xml:space="preserve"> užtikrinti Įstatymo 3 straipsnyje nustatytų principų laikymąsi ir viešojo pirkimo tikslo siekimą. Tarnybos nuomone, šiuo atveju perkančioji organizacija keisdama Sutartį Nr. 1, t.y. pratęsdama Sutarties terminą</w:t>
      </w:r>
      <w:r w:rsidR="00AB60CE">
        <w:rPr>
          <w:bCs/>
          <w:sz w:val="24"/>
          <w:szCs w:val="24"/>
        </w:rPr>
        <w:t xml:space="preserve"> (</w:t>
      </w:r>
      <w:r w:rsidR="00AB60CE">
        <w:rPr>
          <w:bCs/>
          <w:sz w:val="24"/>
          <w:szCs w:val="24"/>
          <w:u w:val="single"/>
        </w:rPr>
        <w:t>„</w:t>
      </w:r>
      <w:r w:rsidR="00AB60CE" w:rsidRPr="00691905">
        <w:rPr>
          <w:bCs/>
          <w:sz w:val="24"/>
          <w:szCs w:val="24"/>
          <w:u w:val="single"/>
        </w:rPr>
        <w:t>iki atskiro Sutarties Nr. 1 nutraukimo</w:t>
      </w:r>
      <w:r w:rsidR="00AB60CE">
        <w:rPr>
          <w:bCs/>
          <w:sz w:val="24"/>
          <w:szCs w:val="24"/>
          <w:u w:val="single"/>
        </w:rPr>
        <w:t>“</w:t>
      </w:r>
      <w:r w:rsidR="001B572A">
        <w:rPr>
          <w:bCs/>
          <w:sz w:val="24"/>
          <w:szCs w:val="24"/>
          <w:u w:val="single"/>
        </w:rPr>
        <w:t>, o vėliau</w:t>
      </w:r>
      <w:r w:rsidR="00AB60CE">
        <w:rPr>
          <w:bCs/>
          <w:sz w:val="24"/>
          <w:szCs w:val="24"/>
          <w:u w:val="single"/>
        </w:rPr>
        <w:t xml:space="preserve"> „</w:t>
      </w:r>
      <w:r w:rsidR="00AB60CE" w:rsidRPr="00691905">
        <w:rPr>
          <w:bCs/>
          <w:sz w:val="24"/>
          <w:szCs w:val="24"/>
          <w:u w:val="single"/>
        </w:rPr>
        <w:t>iki 2015 m. rugpjūčio 31 d.</w:t>
      </w:r>
      <w:r w:rsidR="00AB60CE">
        <w:rPr>
          <w:bCs/>
          <w:sz w:val="24"/>
          <w:szCs w:val="24"/>
          <w:u w:val="single"/>
        </w:rPr>
        <w:t>“)</w:t>
      </w:r>
      <w:r w:rsidR="00EF4AAA" w:rsidRPr="000E5FDF">
        <w:rPr>
          <w:bCs/>
          <w:sz w:val="24"/>
          <w:szCs w:val="24"/>
        </w:rPr>
        <w:t xml:space="preserve">, </w:t>
      </w:r>
      <w:r w:rsidR="00EF4AAA" w:rsidRPr="00766A96">
        <w:rPr>
          <w:sz w:val="24"/>
          <w:szCs w:val="24"/>
          <w:lang w:eastAsia="lt-LT"/>
        </w:rPr>
        <w:t>neužtikrino</w:t>
      </w:r>
      <w:r w:rsidR="00872D25">
        <w:rPr>
          <w:bCs/>
          <w:sz w:val="24"/>
          <w:szCs w:val="24"/>
        </w:rPr>
        <w:t xml:space="preserve"> </w:t>
      </w:r>
      <w:r w:rsidR="00993352" w:rsidRPr="00691905">
        <w:rPr>
          <w:color w:val="000000"/>
          <w:sz w:val="24"/>
          <w:szCs w:val="24"/>
          <w:lang w:eastAsia="lt-LT"/>
        </w:rPr>
        <w:t>Įstatymo 3 straipsnio 1 dalyje įtvirtintų lygiateisiškumo, nediskriminavimo ir skaidrumo principų laikymosi</w:t>
      </w:r>
      <w:r w:rsidR="00993352">
        <w:rPr>
          <w:color w:val="000000"/>
          <w:sz w:val="24"/>
          <w:szCs w:val="24"/>
          <w:lang w:eastAsia="lt-LT"/>
        </w:rPr>
        <w:t xml:space="preserve"> bei </w:t>
      </w:r>
      <w:r w:rsidR="0085098C">
        <w:rPr>
          <w:color w:val="000000"/>
          <w:sz w:val="24"/>
          <w:szCs w:val="24"/>
          <w:lang w:eastAsia="lt-LT"/>
        </w:rPr>
        <w:t xml:space="preserve">Įstatymo 3 straipsnio </w:t>
      </w:r>
      <w:r w:rsidR="0085098C" w:rsidRPr="00691905">
        <w:rPr>
          <w:color w:val="000000"/>
          <w:sz w:val="24"/>
          <w:szCs w:val="24"/>
          <w:lang w:eastAsia="lt-LT"/>
        </w:rPr>
        <w:t xml:space="preserve">2 dalyje </w:t>
      </w:r>
      <w:r w:rsidR="0085098C" w:rsidRPr="00691905">
        <w:rPr>
          <w:spacing w:val="-1"/>
          <w:sz w:val="24"/>
          <w:szCs w:val="24"/>
        </w:rPr>
        <w:t>nustatyto pirkimų tikslo („</w:t>
      </w:r>
      <w:r w:rsidR="0085098C" w:rsidRPr="00691905">
        <w:rPr>
          <w:i/>
          <w:sz w:val="24"/>
          <w:szCs w:val="24"/>
        </w:rPr>
        <w:t>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="0085098C" w:rsidRPr="00691905">
        <w:rPr>
          <w:sz w:val="24"/>
          <w:szCs w:val="24"/>
        </w:rPr>
        <w:t>“)</w:t>
      </w:r>
      <w:r w:rsidR="00D7587A">
        <w:rPr>
          <w:sz w:val="24"/>
          <w:szCs w:val="24"/>
        </w:rPr>
        <w:t xml:space="preserve"> siekimo</w:t>
      </w:r>
      <w:r w:rsidR="007C690A" w:rsidRPr="00691905">
        <w:rPr>
          <w:color w:val="000000"/>
          <w:sz w:val="24"/>
          <w:szCs w:val="24"/>
          <w:lang w:eastAsia="lt-LT"/>
        </w:rPr>
        <w:t>,</w:t>
      </w:r>
      <w:r w:rsidR="00F860F1" w:rsidRPr="00691905">
        <w:rPr>
          <w:color w:val="000000"/>
          <w:sz w:val="24"/>
          <w:szCs w:val="24"/>
          <w:lang w:eastAsia="lt-LT"/>
        </w:rPr>
        <w:t xml:space="preserve"> </w:t>
      </w:r>
      <w:r w:rsidR="00CE62FA" w:rsidRPr="00691905">
        <w:rPr>
          <w:color w:val="000000"/>
          <w:sz w:val="24"/>
          <w:szCs w:val="24"/>
          <w:lang w:eastAsia="lt-LT"/>
        </w:rPr>
        <w:t xml:space="preserve">ir tuo pažeidė Įstatymo 18 straipsnio 8 </w:t>
      </w:r>
      <w:r w:rsidR="001B572A" w:rsidRPr="00691905">
        <w:rPr>
          <w:color w:val="000000"/>
          <w:sz w:val="24"/>
          <w:szCs w:val="24"/>
          <w:lang w:eastAsia="lt-LT"/>
        </w:rPr>
        <w:t>dal</w:t>
      </w:r>
      <w:r w:rsidR="001B572A">
        <w:rPr>
          <w:color w:val="000000"/>
          <w:sz w:val="24"/>
          <w:szCs w:val="24"/>
          <w:lang w:eastAsia="lt-LT"/>
        </w:rPr>
        <w:t>ies</w:t>
      </w:r>
      <w:r w:rsidR="001B572A" w:rsidRPr="00691905">
        <w:rPr>
          <w:color w:val="000000"/>
          <w:sz w:val="24"/>
          <w:szCs w:val="24"/>
          <w:lang w:eastAsia="lt-LT"/>
        </w:rPr>
        <w:t xml:space="preserve"> </w:t>
      </w:r>
      <w:r w:rsidR="001B572A">
        <w:rPr>
          <w:bCs/>
          <w:sz w:val="24"/>
          <w:szCs w:val="24"/>
        </w:rPr>
        <w:t>nuostatas</w:t>
      </w:r>
      <w:r w:rsidR="00CE62FA" w:rsidRPr="00691905">
        <w:rPr>
          <w:sz w:val="24"/>
          <w:szCs w:val="24"/>
        </w:rPr>
        <w:t>.</w:t>
      </w:r>
    </w:p>
    <w:p w:rsidR="00651968" w:rsidRPr="00651968" w:rsidRDefault="00DF0BFA" w:rsidP="00C25D68">
      <w:pPr>
        <w:pStyle w:val="ListParagraph"/>
        <w:numPr>
          <w:ilvl w:val="0"/>
          <w:numId w:val="2"/>
        </w:numPr>
        <w:tabs>
          <w:tab w:val="left" w:pos="0"/>
          <w:tab w:val="left" w:pos="900"/>
        </w:tabs>
        <w:ind w:left="0" w:firstLine="851"/>
        <w:jc w:val="both"/>
        <w:rPr>
          <w:sz w:val="24"/>
          <w:szCs w:val="24"/>
        </w:rPr>
      </w:pPr>
      <w:r w:rsidRPr="00DF0BFA">
        <w:rPr>
          <w:bCs/>
          <w:sz w:val="24"/>
          <w:szCs w:val="24"/>
        </w:rPr>
        <w:t>vykdant Pirkimo Nr. 1 ir Pirkimo Nr. 2 procedūras, galiojo atitinkamai Supaprastintų pirkimų taisykl</w:t>
      </w:r>
      <w:r w:rsidRPr="00C02F73">
        <w:rPr>
          <w:bCs/>
          <w:sz w:val="24"/>
          <w:szCs w:val="24"/>
        </w:rPr>
        <w:t>ių 1 ir Supaprastintų pirkimų taisykl</w:t>
      </w:r>
      <w:r w:rsidRPr="003D553E">
        <w:rPr>
          <w:bCs/>
          <w:sz w:val="24"/>
          <w:szCs w:val="24"/>
        </w:rPr>
        <w:t>ių</w:t>
      </w:r>
      <w:r w:rsidRPr="00225B8C">
        <w:rPr>
          <w:bCs/>
          <w:sz w:val="24"/>
          <w:szCs w:val="24"/>
        </w:rPr>
        <w:t xml:space="preserve"> 2 79.9 punktai, kuriuose nurodyta, kad </w:t>
      </w:r>
      <w:r w:rsidRPr="00524058">
        <w:rPr>
          <w:bCs/>
          <w:sz w:val="24"/>
          <w:szCs w:val="24"/>
          <w:u w:val="single"/>
        </w:rPr>
        <w:t xml:space="preserve">raštu sudaromose </w:t>
      </w:r>
      <w:r w:rsidR="00B51F93" w:rsidRPr="00524058">
        <w:rPr>
          <w:bCs/>
          <w:sz w:val="24"/>
          <w:szCs w:val="24"/>
          <w:u w:val="single"/>
        </w:rPr>
        <w:t xml:space="preserve">viešojo </w:t>
      </w:r>
      <w:r w:rsidRPr="00524058">
        <w:rPr>
          <w:bCs/>
          <w:sz w:val="24"/>
          <w:szCs w:val="24"/>
          <w:u w:val="single"/>
        </w:rPr>
        <w:t>pirkimo</w:t>
      </w:r>
      <w:r w:rsidR="00B51F93" w:rsidRPr="00524058">
        <w:rPr>
          <w:bCs/>
          <w:sz w:val="24"/>
          <w:szCs w:val="24"/>
          <w:u w:val="single"/>
        </w:rPr>
        <w:t>–pardavimo</w:t>
      </w:r>
      <w:r w:rsidRPr="00524058">
        <w:rPr>
          <w:bCs/>
          <w:sz w:val="24"/>
          <w:szCs w:val="24"/>
          <w:u w:val="single"/>
        </w:rPr>
        <w:t xml:space="preserve"> sutartyse turi būti nustatomi </w:t>
      </w:r>
      <w:r w:rsidR="00B51F93" w:rsidRPr="00524058">
        <w:rPr>
          <w:bCs/>
          <w:sz w:val="24"/>
          <w:szCs w:val="24"/>
          <w:u w:val="single"/>
        </w:rPr>
        <w:t xml:space="preserve">viešojo </w:t>
      </w:r>
      <w:r w:rsidRPr="00524058">
        <w:rPr>
          <w:bCs/>
          <w:sz w:val="24"/>
          <w:szCs w:val="24"/>
          <w:u w:val="single"/>
        </w:rPr>
        <w:t>pirkimo</w:t>
      </w:r>
      <w:r w:rsidR="00B51F93" w:rsidRPr="00524058">
        <w:rPr>
          <w:bCs/>
          <w:sz w:val="24"/>
          <w:szCs w:val="24"/>
          <w:u w:val="single"/>
        </w:rPr>
        <w:t>–pardavimo</w:t>
      </w:r>
      <w:r w:rsidRPr="00524058">
        <w:rPr>
          <w:bCs/>
          <w:sz w:val="24"/>
          <w:szCs w:val="24"/>
          <w:u w:val="single"/>
        </w:rPr>
        <w:t xml:space="preserve"> sutarčių galiojimo terminai</w:t>
      </w:r>
      <w:r w:rsidRPr="00C02F73">
        <w:rPr>
          <w:bCs/>
          <w:sz w:val="24"/>
          <w:szCs w:val="24"/>
        </w:rPr>
        <w:t xml:space="preserve">. </w:t>
      </w:r>
      <w:r w:rsidR="00CE181E">
        <w:rPr>
          <w:bCs/>
          <w:sz w:val="24"/>
          <w:szCs w:val="24"/>
        </w:rPr>
        <w:t xml:space="preserve">Pažymime, jog </w:t>
      </w:r>
      <w:r w:rsidR="00CE181E">
        <w:rPr>
          <w:color w:val="000000"/>
          <w:sz w:val="24"/>
          <w:szCs w:val="24"/>
        </w:rPr>
        <w:t>v</w:t>
      </w:r>
      <w:r w:rsidR="00D31DB3" w:rsidRPr="00DF0BFA">
        <w:rPr>
          <w:color w:val="000000"/>
          <w:sz w:val="24"/>
          <w:szCs w:val="24"/>
        </w:rPr>
        <w:t>iešojo pirkimo–pardavimo</w:t>
      </w:r>
      <w:r w:rsidR="00F57E24" w:rsidRPr="00DF0BFA">
        <w:rPr>
          <w:color w:val="000000"/>
          <w:sz w:val="24"/>
          <w:szCs w:val="24"/>
        </w:rPr>
        <w:t xml:space="preserve"> sutarčių, sudaromų ilgiau kaip 3 metams, terminų kriterijus ir atvejus, kuriais gali būti sudaromos tokios sutartys, nustato </w:t>
      </w:r>
      <w:hyperlink r:id="rId11" w:history="1">
        <w:r w:rsidR="00F57E24" w:rsidRPr="00DF0BFA">
          <w:rPr>
            <w:bCs/>
            <w:color w:val="000000"/>
            <w:sz w:val="24"/>
            <w:szCs w:val="24"/>
          </w:rPr>
          <w:t>Lietuvos Respublikos Vyriausybės 2006 m. gegužės 5 d. nutarim</w:t>
        </w:r>
        <w:r w:rsidR="00361CC3" w:rsidRPr="00DF0BFA">
          <w:rPr>
            <w:bCs/>
            <w:color w:val="000000"/>
            <w:sz w:val="24"/>
            <w:szCs w:val="24"/>
          </w:rPr>
          <w:t>as Nr. 432 „Dėl viešojo pirkimo</w:t>
        </w:r>
        <w:r w:rsidR="00F57E24" w:rsidRPr="00DF0BFA">
          <w:rPr>
            <w:bCs/>
            <w:color w:val="000000"/>
            <w:sz w:val="24"/>
            <w:szCs w:val="24"/>
          </w:rPr>
          <w:t>–pardavimo sutarčių, sudaromų ilgiau nei 3 metams, terminų nustatymo kriterijų ir atvejų, kuriais gali būti sudaromos tokios sutartys, aprašo patvirtinimo“</w:t>
        </w:r>
      </w:hyperlink>
      <w:r w:rsidR="00A01B95">
        <w:rPr>
          <w:bCs/>
          <w:color w:val="000000"/>
          <w:sz w:val="24"/>
          <w:szCs w:val="24"/>
        </w:rPr>
        <w:t xml:space="preserve"> (toliau – nutarimas)</w:t>
      </w:r>
      <w:r w:rsidR="00F57E24" w:rsidRPr="00DF0BFA">
        <w:rPr>
          <w:color w:val="000000"/>
          <w:sz w:val="24"/>
          <w:szCs w:val="24"/>
        </w:rPr>
        <w:t>.</w:t>
      </w:r>
      <w:r w:rsidR="00CE181E">
        <w:rPr>
          <w:color w:val="000000"/>
          <w:sz w:val="24"/>
          <w:szCs w:val="24"/>
        </w:rPr>
        <w:t xml:space="preserve"> Todėl j</w:t>
      </w:r>
      <w:r w:rsidR="00F57E24" w:rsidRPr="00DF0BFA">
        <w:rPr>
          <w:color w:val="000000"/>
          <w:sz w:val="24"/>
          <w:szCs w:val="24"/>
        </w:rPr>
        <w:t>eigu mažos vertės pirkimų metu</w:t>
      </w:r>
      <w:r w:rsidR="00A115EE">
        <w:rPr>
          <w:color w:val="000000"/>
          <w:sz w:val="24"/>
          <w:szCs w:val="24"/>
        </w:rPr>
        <w:t xml:space="preserve"> </w:t>
      </w:r>
      <w:r w:rsidR="00F57E24" w:rsidRPr="00DF0BFA">
        <w:rPr>
          <w:color w:val="000000"/>
          <w:sz w:val="24"/>
          <w:szCs w:val="24"/>
        </w:rPr>
        <w:t xml:space="preserve">sudaroma </w:t>
      </w:r>
      <w:r w:rsidR="00D31DB3" w:rsidRPr="00DF0BFA">
        <w:rPr>
          <w:color w:val="000000"/>
          <w:sz w:val="24"/>
          <w:szCs w:val="24"/>
        </w:rPr>
        <w:t xml:space="preserve">viešojo </w:t>
      </w:r>
      <w:r w:rsidR="00F57E24" w:rsidRPr="00DF0BFA">
        <w:rPr>
          <w:color w:val="000000"/>
          <w:sz w:val="24"/>
          <w:szCs w:val="24"/>
        </w:rPr>
        <w:t>pirkimo</w:t>
      </w:r>
      <w:r w:rsidR="00D31DB3" w:rsidRPr="00DF0BFA">
        <w:rPr>
          <w:color w:val="000000"/>
          <w:sz w:val="24"/>
          <w:szCs w:val="24"/>
        </w:rPr>
        <w:t>–pardavimo</w:t>
      </w:r>
      <w:r w:rsidR="00F57E24" w:rsidRPr="00DF0BFA">
        <w:rPr>
          <w:color w:val="000000"/>
          <w:sz w:val="24"/>
          <w:szCs w:val="24"/>
        </w:rPr>
        <w:t xml:space="preserve"> sutartis neatitinka šiame nutarime nustatytų kriterijų,</w:t>
      </w:r>
      <w:r w:rsidR="00692C2B" w:rsidRPr="00DF0BFA">
        <w:rPr>
          <w:color w:val="000000"/>
          <w:sz w:val="24"/>
          <w:szCs w:val="24"/>
        </w:rPr>
        <w:t xml:space="preserve"> o perkančioji organizacija </w:t>
      </w:r>
      <w:r w:rsidR="00795159" w:rsidRPr="00DF0BFA">
        <w:rPr>
          <w:color w:val="000000"/>
          <w:sz w:val="24"/>
          <w:szCs w:val="24"/>
        </w:rPr>
        <w:t>viešojo</w:t>
      </w:r>
      <w:r w:rsidR="00D31DB3" w:rsidRPr="00DF0BFA">
        <w:rPr>
          <w:color w:val="000000"/>
          <w:sz w:val="24"/>
          <w:szCs w:val="24"/>
        </w:rPr>
        <w:t xml:space="preserve"> </w:t>
      </w:r>
      <w:r w:rsidR="00692C2B" w:rsidRPr="00DF0BFA">
        <w:rPr>
          <w:color w:val="000000"/>
          <w:sz w:val="24"/>
          <w:szCs w:val="24"/>
        </w:rPr>
        <w:t xml:space="preserve">pirkimo sąlygose nenurodo konkretaus </w:t>
      </w:r>
      <w:r w:rsidR="00795159" w:rsidRPr="00DF0BFA">
        <w:rPr>
          <w:color w:val="000000"/>
          <w:sz w:val="24"/>
          <w:szCs w:val="24"/>
        </w:rPr>
        <w:t xml:space="preserve">viešojo pirkimo–pardavimo </w:t>
      </w:r>
      <w:r w:rsidR="00692C2B" w:rsidRPr="00DF0BFA">
        <w:rPr>
          <w:color w:val="000000"/>
          <w:sz w:val="24"/>
          <w:szCs w:val="24"/>
        </w:rPr>
        <w:t>sutarties galiojimo termino,</w:t>
      </w:r>
      <w:r w:rsidR="00F57E24" w:rsidRPr="00DF0BFA">
        <w:rPr>
          <w:color w:val="000000"/>
          <w:sz w:val="24"/>
          <w:szCs w:val="24"/>
        </w:rPr>
        <w:t xml:space="preserve"> </w:t>
      </w:r>
      <w:r w:rsidR="00692C2B" w:rsidRPr="002868F6">
        <w:rPr>
          <w:color w:val="000000"/>
          <w:sz w:val="24"/>
          <w:szCs w:val="24"/>
        </w:rPr>
        <w:t xml:space="preserve">tokia </w:t>
      </w:r>
      <w:r w:rsidR="00795159" w:rsidRPr="002868F6">
        <w:rPr>
          <w:color w:val="000000"/>
          <w:sz w:val="24"/>
          <w:szCs w:val="24"/>
        </w:rPr>
        <w:t xml:space="preserve">viešojo pirkimo–pardavimo </w:t>
      </w:r>
      <w:r w:rsidR="00692C2B" w:rsidRPr="002868F6">
        <w:rPr>
          <w:color w:val="000000"/>
          <w:sz w:val="24"/>
          <w:szCs w:val="24"/>
        </w:rPr>
        <w:t xml:space="preserve">pirkimo sutartis </w:t>
      </w:r>
      <w:r w:rsidR="00F57E24" w:rsidRPr="000E0980">
        <w:rPr>
          <w:color w:val="000000"/>
          <w:sz w:val="24"/>
          <w:szCs w:val="24"/>
          <w:u w:val="single"/>
        </w:rPr>
        <w:t>gal</w:t>
      </w:r>
      <w:r w:rsidR="00ED6F31" w:rsidRPr="000E0980">
        <w:rPr>
          <w:color w:val="000000"/>
          <w:sz w:val="24"/>
          <w:szCs w:val="24"/>
          <w:u w:val="single"/>
        </w:rPr>
        <w:t>i</w:t>
      </w:r>
      <w:r w:rsidR="00F57E24" w:rsidRPr="000E0980">
        <w:rPr>
          <w:color w:val="000000"/>
          <w:sz w:val="24"/>
          <w:szCs w:val="24"/>
          <w:u w:val="single"/>
        </w:rPr>
        <w:t xml:space="preserve"> būti</w:t>
      </w:r>
      <w:r w:rsidR="00ED6F31" w:rsidRPr="000E0980">
        <w:rPr>
          <w:color w:val="000000"/>
          <w:sz w:val="24"/>
          <w:szCs w:val="24"/>
          <w:u w:val="single"/>
        </w:rPr>
        <w:t xml:space="preserve"> sudaroma</w:t>
      </w:r>
      <w:r w:rsidR="00F57E24" w:rsidRPr="000E0980">
        <w:rPr>
          <w:color w:val="000000"/>
          <w:sz w:val="24"/>
          <w:szCs w:val="24"/>
          <w:u w:val="single"/>
        </w:rPr>
        <w:t xml:space="preserve"> ne ilgesn</w:t>
      </w:r>
      <w:r w:rsidR="00ED6F31" w:rsidRPr="000E0980">
        <w:rPr>
          <w:color w:val="000000"/>
          <w:sz w:val="24"/>
          <w:szCs w:val="24"/>
          <w:u w:val="single"/>
        </w:rPr>
        <w:t>ei</w:t>
      </w:r>
      <w:r w:rsidR="00F57E24" w:rsidRPr="000E0980">
        <w:rPr>
          <w:color w:val="000000"/>
          <w:sz w:val="24"/>
          <w:szCs w:val="24"/>
          <w:u w:val="single"/>
        </w:rPr>
        <w:t xml:space="preserve"> nei 3 met</w:t>
      </w:r>
      <w:r w:rsidR="00ED6F31" w:rsidRPr="000E0980">
        <w:rPr>
          <w:color w:val="000000"/>
          <w:sz w:val="24"/>
          <w:szCs w:val="24"/>
          <w:u w:val="single"/>
        </w:rPr>
        <w:t>ų trukmei</w:t>
      </w:r>
      <w:r w:rsidR="00F613A9">
        <w:rPr>
          <w:color w:val="000000"/>
          <w:sz w:val="24"/>
          <w:szCs w:val="24"/>
        </w:rPr>
        <w:t>.</w:t>
      </w:r>
      <w:r w:rsidR="005A3463">
        <w:rPr>
          <w:color w:val="000000"/>
          <w:sz w:val="24"/>
          <w:szCs w:val="24"/>
        </w:rPr>
        <w:t xml:space="preserve"> Šiuo atveju, perkančioji organizacija, </w:t>
      </w:r>
      <w:r w:rsidR="007C6DE5">
        <w:rPr>
          <w:color w:val="000000"/>
          <w:sz w:val="24"/>
          <w:szCs w:val="24"/>
        </w:rPr>
        <w:t xml:space="preserve">nustačiusi, kad </w:t>
      </w:r>
      <w:r w:rsidR="00B846FE" w:rsidRPr="00DF0BFA">
        <w:rPr>
          <w:color w:val="000000"/>
          <w:sz w:val="24"/>
          <w:szCs w:val="24"/>
        </w:rPr>
        <w:t>viešojo pirkimo–</w:t>
      </w:r>
      <w:r w:rsidR="007C6DE5">
        <w:rPr>
          <w:color w:val="000000"/>
          <w:sz w:val="24"/>
          <w:szCs w:val="24"/>
        </w:rPr>
        <w:t>pirkimo sutarty</w:t>
      </w:r>
      <w:r w:rsidR="00BD2672">
        <w:rPr>
          <w:color w:val="000000"/>
          <w:sz w:val="24"/>
          <w:szCs w:val="24"/>
        </w:rPr>
        <w:t xml:space="preserve">s neatitinka </w:t>
      </w:r>
      <w:r w:rsidR="005A3463" w:rsidRPr="00A01B95">
        <w:rPr>
          <w:color w:val="000000"/>
          <w:sz w:val="24"/>
          <w:szCs w:val="24"/>
        </w:rPr>
        <w:t>nutarime</w:t>
      </w:r>
      <w:r w:rsidR="005A3463">
        <w:rPr>
          <w:color w:val="000000"/>
          <w:sz w:val="24"/>
          <w:szCs w:val="24"/>
        </w:rPr>
        <w:t xml:space="preserve"> </w:t>
      </w:r>
      <w:r w:rsidR="00BD2672">
        <w:rPr>
          <w:color w:val="000000"/>
          <w:sz w:val="24"/>
          <w:szCs w:val="24"/>
        </w:rPr>
        <w:t>nustatytų kriterijų ir atvejų, gal</w:t>
      </w:r>
      <w:r w:rsidR="006B300A">
        <w:rPr>
          <w:color w:val="000000"/>
          <w:sz w:val="24"/>
          <w:szCs w:val="24"/>
        </w:rPr>
        <w:t>i</w:t>
      </w:r>
      <w:r w:rsidR="00BD2672">
        <w:rPr>
          <w:color w:val="000000"/>
          <w:sz w:val="24"/>
          <w:szCs w:val="24"/>
        </w:rPr>
        <w:t xml:space="preserve"> </w:t>
      </w:r>
      <w:r w:rsidR="007C6DE5">
        <w:rPr>
          <w:color w:val="000000"/>
          <w:sz w:val="24"/>
          <w:szCs w:val="24"/>
        </w:rPr>
        <w:t xml:space="preserve">jas </w:t>
      </w:r>
      <w:r w:rsidR="00BD2672">
        <w:rPr>
          <w:color w:val="000000"/>
          <w:sz w:val="24"/>
          <w:szCs w:val="24"/>
        </w:rPr>
        <w:t>sudaryti ne ilgesniam nei 3 metų terminui</w:t>
      </w:r>
      <w:r w:rsidR="00582682">
        <w:rPr>
          <w:color w:val="000000"/>
          <w:sz w:val="24"/>
          <w:szCs w:val="24"/>
        </w:rPr>
        <w:t>. Kaip jau minėta, perkančioji organizacija</w:t>
      </w:r>
      <w:r w:rsidR="00917737">
        <w:rPr>
          <w:color w:val="000000"/>
          <w:sz w:val="24"/>
          <w:szCs w:val="24"/>
        </w:rPr>
        <w:t xml:space="preserve"> turi vadovautis</w:t>
      </w:r>
      <w:r w:rsidR="00582682">
        <w:rPr>
          <w:color w:val="000000"/>
          <w:sz w:val="24"/>
          <w:szCs w:val="24"/>
        </w:rPr>
        <w:t xml:space="preserve"> </w:t>
      </w:r>
      <w:r w:rsidR="007C6DE5" w:rsidRPr="00DF0BFA">
        <w:rPr>
          <w:bCs/>
          <w:sz w:val="24"/>
          <w:szCs w:val="24"/>
        </w:rPr>
        <w:t>Supaprastintų pirkimų taisykl</w:t>
      </w:r>
      <w:r w:rsidR="007C6DE5" w:rsidRPr="00C02F73">
        <w:rPr>
          <w:bCs/>
          <w:sz w:val="24"/>
          <w:szCs w:val="24"/>
        </w:rPr>
        <w:t>ių 1 ir Supaprastintų pirkimų taisykl</w:t>
      </w:r>
      <w:r w:rsidR="007C6DE5" w:rsidRPr="003D553E">
        <w:rPr>
          <w:bCs/>
          <w:sz w:val="24"/>
          <w:szCs w:val="24"/>
        </w:rPr>
        <w:t>ių</w:t>
      </w:r>
      <w:r w:rsidR="007C6DE5">
        <w:rPr>
          <w:bCs/>
          <w:sz w:val="24"/>
          <w:szCs w:val="24"/>
        </w:rPr>
        <w:t xml:space="preserve"> 2 79.9 punkt</w:t>
      </w:r>
      <w:r w:rsidR="00582682">
        <w:rPr>
          <w:bCs/>
          <w:sz w:val="24"/>
          <w:szCs w:val="24"/>
        </w:rPr>
        <w:t>ais</w:t>
      </w:r>
      <w:r w:rsidR="00B846FE">
        <w:rPr>
          <w:color w:val="000000"/>
          <w:sz w:val="24"/>
          <w:szCs w:val="24"/>
        </w:rPr>
        <w:t>,</w:t>
      </w:r>
      <w:r w:rsidR="005352A5">
        <w:rPr>
          <w:color w:val="000000"/>
          <w:sz w:val="24"/>
          <w:szCs w:val="24"/>
        </w:rPr>
        <w:t xml:space="preserve"> kuriuose nustatyta, kad</w:t>
      </w:r>
      <w:r w:rsidR="00582682">
        <w:rPr>
          <w:color w:val="000000"/>
          <w:sz w:val="24"/>
          <w:szCs w:val="24"/>
        </w:rPr>
        <w:t xml:space="preserve"> </w:t>
      </w:r>
      <w:bookmarkStart w:id="2" w:name="_GoBack"/>
      <w:bookmarkEnd w:id="2"/>
      <w:r w:rsidR="00B846FE">
        <w:rPr>
          <w:color w:val="000000"/>
          <w:sz w:val="24"/>
          <w:szCs w:val="24"/>
        </w:rPr>
        <w:t>raštu sudaromos</w:t>
      </w:r>
      <w:r w:rsidR="007C6DE5">
        <w:rPr>
          <w:color w:val="000000"/>
          <w:sz w:val="24"/>
          <w:szCs w:val="24"/>
        </w:rPr>
        <w:t>e</w:t>
      </w:r>
      <w:r w:rsidR="00582682">
        <w:rPr>
          <w:color w:val="000000"/>
          <w:sz w:val="24"/>
          <w:szCs w:val="24"/>
        </w:rPr>
        <w:t xml:space="preserve"> </w:t>
      </w:r>
      <w:r w:rsidR="00582682" w:rsidRPr="00DF0BFA">
        <w:rPr>
          <w:color w:val="000000"/>
          <w:sz w:val="24"/>
          <w:szCs w:val="24"/>
        </w:rPr>
        <w:t>viešojo pirkimo–</w:t>
      </w:r>
      <w:r w:rsidR="00582682">
        <w:rPr>
          <w:color w:val="000000"/>
          <w:sz w:val="24"/>
          <w:szCs w:val="24"/>
        </w:rPr>
        <w:t>pirkimo</w:t>
      </w:r>
      <w:r w:rsidR="00A01B95">
        <w:rPr>
          <w:color w:val="000000"/>
          <w:sz w:val="24"/>
          <w:szCs w:val="24"/>
        </w:rPr>
        <w:t xml:space="preserve"> sutartys</w:t>
      </w:r>
      <w:r w:rsidR="007C6DE5">
        <w:rPr>
          <w:color w:val="000000"/>
          <w:sz w:val="24"/>
          <w:szCs w:val="24"/>
        </w:rPr>
        <w:t>e</w:t>
      </w:r>
      <w:r w:rsidR="005352A5">
        <w:rPr>
          <w:color w:val="000000"/>
          <w:sz w:val="24"/>
          <w:szCs w:val="24"/>
        </w:rPr>
        <w:t xml:space="preserve"> perkančioji organizacija turi</w:t>
      </w:r>
      <w:r w:rsidR="00A01B95">
        <w:rPr>
          <w:color w:val="000000"/>
          <w:sz w:val="24"/>
          <w:szCs w:val="24"/>
        </w:rPr>
        <w:t xml:space="preserve"> </w:t>
      </w:r>
      <w:r w:rsidR="007C6DE5">
        <w:rPr>
          <w:color w:val="000000"/>
          <w:sz w:val="24"/>
          <w:szCs w:val="24"/>
        </w:rPr>
        <w:t xml:space="preserve">nurodyti </w:t>
      </w:r>
      <w:r w:rsidR="00A01B95" w:rsidRPr="00DF0BFA">
        <w:rPr>
          <w:color w:val="000000"/>
          <w:sz w:val="24"/>
          <w:szCs w:val="24"/>
        </w:rPr>
        <w:t>viešojo pirkimo–</w:t>
      </w:r>
      <w:r w:rsidR="00A01B95">
        <w:rPr>
          <w:color w:val="000000"/>
          <w:sz w:val="24"/>
          <w:szCs w:val="24"/>
        </w:rPr>
        <w:t xml:space="preserve">pirkimo </w:t>
      </w:r>
      <w:r w:rsidR="007C6DE5">
        <w:rPr>
          <w:color w:val="000000"/>
          <w:sz w:val="24"/>
          <w:szCs w:val="24"/>
        </w:rPr>
        <w:t>sutar</w:t>
      </w:r>
      <w:r w:rsidR="00A01B95">
        <w:rPr>
          <w:color w:val="000000"/>
          <w:sz w:val="24"/>
          <w:szCs w:val="24"/>
        </w:rPr>
        <w:t>čių</w:t>
      </w:r>
      <w:r w:rsidR="007C6DE5">
        <w:rPr>
          <w:color w:val="000000"/>
          <w:sz w:val="24"/>
          <w:szCs w:val="24"/>
        </w:rPr>
        <w:t xml:space="preserve"> galiojimo terminus</w:t>
      </w:r>
      <w:r w:rsidR="00A01B95">
        <w:rPr>
          <w:color w:val="000000"/>
          <w:sz w:val="24"/>
          <w:szCs w:val="24"/>
        </w:rPr>
        <w:t>.</w:t>
      </w:r>
    </w:p>
    <w:p w:rsidR="00331673" w:rsidRPr="00332CF7" w:rsidRDefault="008E39FF" w:rsidP="0033167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1673">
        <w:rPr>
          <w:sz w:val="24"/>
          <w:szCs w:val="24"/>
        </w:rPr>
        <w:t>Atsižvelgiant į tai, kad Jūsų prašymas pateikti išvadą pateiktas vadovaujantis Atsakomybės ir funkcijų pasiskirstymo tarp institucijų, įgyvendinant 2007-2013 metų Europos Sąjungos struktūrinės paramos panaudojimo strategiją ir veiksmų programas, taisyklėmis, patvirtintomis Lietuvos Respublikos Vyriausybės 2007 m. spalio 17 d. nutarimu Nr. 1139,</w:t>
      </w:r>
      <w:r w:rsidR="00461576">
        <w:rPr>
          <w:sz w:val="24"/>
          <w:szCs w:val="24"/>
        </w:rPr>
        <w:t xml:space="preserve"> (toliau – Taisyklės)</w:t>
      </w:r>
      <w:r w:rsidR="00331673">
        <w:rPr>
          <w:sz w:val="24"/>
          <w:szCs w:val="24"/>
        </w:rPr>
        <w:t xml:space="preserve"> primename, kad vadovaujantis </w:t>
      </w:r>
      <w:r w:rsidR="00461576">
        <w:rPr>
          <w:sz w:val="24"/>
          <w:szCs w:val="24"/>
        </w:rPr>
        <w:t>T</w:t>
      </w:r>
      <w:r w:rsidR="00331673">
        <w:rPr>
          <w:sz w:val="24"/>
          <w:szCs w:val="24"/>
        </w:rPr>
        <w:t xml:space="preserve">aisyklių </w:t>
      </w:r>
      <w:r w:rsidR="00331673" w:rsidRPr="00332CF7">
        <w:rPr>
          <w:sz w:val="24"/>
          <w:szCs w:val="24"/>
        </w:rPr>
        <w:t xml:space="preserve">10.3.5 punkto nuostatomis, </w:t>
      </w:r>
      <w:r w:rsidR="00331673" w:rsidRPr="00FF042D">
        <w:rPr>
          <w:sz w:val="24"/>
          <w:szCs w:val="24"/>
          <w:u w:val="single"/>
        </w:rPr>
        <w:t xml:space="preserve">Įgyvendinančioji institucija </w:t>
      </w:r>
      <w:r w:rsidR="00461576">
        <w:rPr>
          <w:sz w:val="24"/>
          <w:szCs w:val="24"/>
          <w:u w:val="single"/>
        </w:rPr>
        <w:t xml:space="preserve">(šiuo atveju ESFA) </w:t>
      </w:r>
      <w:r w:rsidR="00693BCB">
        <w:rPr>
          <w:sz w:val="24"/>
          <w:szCs w:val="24"/>
          <w:u w:val="single"/>
        </w:rPr>
        <w:t xml:space="preserve">pati </w:t>
      </w:r>
      <w:r w:rsidR="00331673" w:rsidRPr="00FF042D">
        <w:rPr>
          <w:sz w:val="24"/>
          <w:szCs w:val="24"/>
          <w:u w:val="single"/>
        </w:rPr>
        <w:t>atlieka pažeidimų tyrimus</w:t>
      </w:r>
      <w:r w:rsidR="00331673" w:rsidRPr="00461576">
        <w:rPr>
          <w:sz w:val="24"/>
          <w:szCs w:val="24"/>
          <w:u w:val="single"/>
        </w:rPr>
        <w:t>, nustato pažeidimus, priima sprendimus dėl nustatytų pažeidimų ir teisės aktų nustatyta tvarka praneša apie juos atitinkamoms institucijoms.</w:t>
      </w:r>
      <w:r w:rsidR="00331673" w:rsidRPr="00332CF7">
        <w:rPr>
          <w:sz w:val="24"/>
          <w:szCs w:val="24"/>
        </w:rPr>
        <w:t xml:space="preserve"> Tokiu būdu, įgyvendinančioji institucija, kreipdamasi į Tarnybą, prašyme</w:t>
      </w:r>
      <w:r w:rsidR="00331673">
        <w:rPr>
          <w:sz w:val="24"/>
          <w:szCs w:val="24"/>
        </w:rPr>
        <w:t xml:space="preserve"> dėl </w:t>
      </w:r>
      <w:r w:rsidR="00331673" w:rsidRPr="00E52531">
        <w:rPr>
          <w:sz w:val="24"/>
          <w:szCs w:val="24"/>
        </w:rPr>
        <w:t>viešųjų pirkimų</w:t>
      </w:r>
      <w:r w:rsidR="00331673">
        <w:rPr>
          <w:sz w:val="24"/>
          <w:szCs w:val="24"/>
        </w:rPr>
        <w:t xml:space="preserve"> pažeidimų, </w:t>
      </w:r>
      <w:r w:rsidR="00693BCB" w:rsidRPr="00332CF7">
        <w:rPr>
          <w:sz w:val="24"/>
          <w:szCs w:val="24"/>
        </w:rPr>
        <w:t>tur</w:t>
      </w:r>
      <w:r w:rsidR="00693BCB">
        <w:rPr>
          <w:sz w:val="24"/>
          <w:szCs w:val="24"/>
        </w:rPr>
        <w:t>ėtų</w:t>
      </w:r>
      <w:r w:rsidR="00693BCB" w:rsidRPr="00332CF7">
        <w:rPr>
          <w:sz w:val="24"/>
          <w:szCs w:val="24"/>
        </w:rPr>
        <w:t xml:space="preserve"> </w:t>
      </w:r>
      <w:r w:rsidR="00331673" w:rsidRPr="00332CF7">
        <w:rPr>
          <w:sz w:val="24"/>
          <w:szCs w:val="24"/>
        </w:rPr>
        <w:t>išdėstyti padarytų pažeidimų tyrimo rezultatus, išsamiai nurodant įtariamo pažeidimo esmę, kvalifikuoja</w:t>
      </w:r>
      <w:r w:rsidR="00E52531">
        <w:rPr>
          <w:sz w:val="24"/>
          <w:szCs w:val="24"/>
        </w:rPr>
        <w:t>nt jį pagal Įstatymo straipsnį.</w:t>
      </w:r>
    </w:p>
    <w:p w:rsidR="00331673" w:rsidRPr="00D82829" w:rsidRDefault="00331673" w:rsidP="00D82829">
      <w:pPr>
        <w:tabs>
          <w:tab w:val="left" w:pos="900"/>
        </w:tabs>
        <w:rPr>
          <w:sz w:val="24"/>
          <w:szCs w:val="24"/>
        </w:rPr>
      </w:pPr>
    </w:p>
    <w:p w:rsidR="00D5121E" w:rsidRPr="00D82829" w:rsidRDefault="00D5121E" w:rsidP="00D82829">
      <w:pPr>
        <w:tabs>
          <w:tab w:val="left" w:pos="900"/>
        </w:tabs>
        <w:rPr>
          <w:sz w:val="24"/>
          <w:szCs w:val="24"/>
        </w:rPr>
      </w:pPr>
    </w:p>
    <w:p w:rsidR="00145903" w:rsidRPr="00907C82" w:rsidRDefault="00145903" w:rsidP="00145903">
      <w:pPr>
        <w:tabs>
          <w:tab w:val="left" w:pos="900"/>
        </w:tabs>
        <w:rPr>
          <w:sz w:val="24"/>
          <w:szCs w:val="24"/>
        </w:rPr>
      </w:pPr>
    </w:p>
    <w:p w:rsidR="00145903" w:rsidRPr="00907C82" w:rsidRDefault="00145903" w:rsidP="00145903">
      <w:pPr>
        <w:tabs>
          <w:tab w:val="left" w:pos="900"/>
        </w:tabs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145903" w:rsidRPr="008B369B" w:rsidTr="009B1415">
        <w:tc>
          <w:tcPr>
            <w:tcW w:w="4927" w:type="dxa"/>
          </w:tcPr>
          <w:p w:rsidR="00145903" w:rsidRPr="008B369B" w:rsidRDefault="00145903" w:rsidP="009B141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</w:t>
            </w:r>
            <w:r w:rsidR="005720C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 w:rsidR="005720C0">
              <w:rPr>
                <w:sz w:val="24"/>
                <w:szCs w:val="24"/>
              </w:rPr>
              <w:t xml:space="preserve"> pavaduotoja</w:t>
            </w:r>
          </w:p>
        </w:tc>
        <w:tc>
          <w:tcPr>
            <w:tcW w:w="4928" w:type="dxa"/>
          </w:tcPr>
          <w:p w:rsidR="00145903" w:rsidRPr="008B369B" w:rsidRDefault="005720C0" w:rsidP="009B1415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Sigita </w:t>
            </w:r>
            <w:proofErr w:type="spellStart"/>
            <w:r>
              <w:rPr>
                <w:sz w:val="24"/>
                <w:szCs w:val="24"/>
              </w:rPr>
              <w:t>Jurgeliavičienė</w:t>
            </w:r>
            <w:proofErr w:type="spellEnd"/>
          </w:p>
        </w:tc>
      </w:tr>
    </w:tbl>
    <w:p w:rsidR="00145903" w:rsidRDefault="005720C0" w:rsidP="00145903">
      <w:pPr>
        <w:tabs>
          <w:tab w:val="left" w:pos="900"/>
          <w:tab w:val="left" w:pos="70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laikinai atliekanti direktoriaus funkcijas</w:t>
      </w:r>
    </w:p>
    <w:p w:rsidR="00917737" w:rsidRDefault="00917737" w:rsidP="00145903">
      <w:pPr>
        <w:tabs>
          <w:tab w:val="left" w:pos="900"/>
          <w:tab w:val="left" w:pos="7020"/>
        </w:tabs>
        <w:rPr>
          <w:color w:val="000000"/>
          <w:sz w:val="24"/>
          <w:szCs w:val="24"/>
        </w:rPr>
      </w:pPr>
    </w:p>
    <w:p w:rsidR="005720C0" w:rsidRPr="00907C82" w:rsidRDefault="005720C0" w:rsidP="00145903">
      <w:pPr>
        <w:tabs>
          <w:tab w:val="left" w:pos="900"/>
          <w:tab w:val="left" w:pos="7020"/>
        </w:tabs>
        <w:rPr>
          <w:color w:val="000000"/>
          <w:sz w:val="24"/>
          <w:szCs w:val="24"/>
        </w:rPr>
      </w:pPr>
    </w:p>
    <w:p w:rsidR="00CE1F4C" w:rsidRPr="00596207" w:rsidRDefault="00CE1F4C" w:rsidP="00CE1F4C">
      <w:pPr>
        <w:jc w:val="both"/>
      </w:pPr>
      <w:r w:rsidRPr="00596207">
        <w:rPr>
          <w:sz w:val="24"/>
          <w:szCs w:val="24"/>
        </w:rPr>
        <w:t xml:space="preserve">E. Spudulytė, tel. (8 5) 219 7033, faks. (8 5) 213 6213, el. p. </w:t>
      </w:r>
      <w:hyperlink r:id="rId12" w:history="1">
        <w:r w:rsidRPr="00596207">
          <w:rPr>
            <w:rStyle w:val="Hyperlink"/>
            <w:sz w:val="24"/>
            <w:szCs w:val="24"/>
          </w:rPr>
          <w:t>Egle.Spudulyte@vpt.lt</w:t>
        </w:r>
      </w:hyperlink>
    </w:p>
    <w:sectPr w:rsidR="00CE1F4C" w:rsidRPr="00596207" w:rsidSect="00617673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56" w:rsidRDefault="00196C56">
      <w:r>
        <w:separator/>
      </w:r>
    </w:p>
  </w:endnote>
  <w:endnote w:type="continuationSeparator" w:id="0">
    <w:p w:rsidR="00196C56" w:rsidRDefault="00196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196C56">
    <w:pPr>
      <w:pStyle w:val="Footer"/>
    </w:pPr>
  </w:p>
  <w:p w:rsidR="00B23540" w:rsidRDefault="00196C56">
    <w:pPr>
      <w:pStyle w:val="Footer"/>
    </w:pPr>
  </w:p>
  <w:p w:rsidR="00B23540" w:rsidRDefault="00196C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B35F35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B35F35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B35F35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B35F35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B35F35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B35F35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B35F35" w:rsidP="008A5A7B">
          <w:pPr>
            <w:pStyle w:val="Footer"/>
          </w:pPr>
          <w:r w:rsidRPr="008F10BE">
            <w:t>Duomenys kaupiami ir saugomi</w:t>
          </w:r>
        </w:p>
        <w:p w:rsidR="00225780" w:rsidRPr="008F10BE" w:rsidRDefault="00B35F35" w:rsidP="00225780">
          <w:pPr>
            <w:pStyle w:val="Footer"/>
          </w:pPr>
          <w:r w:rsidRPr="008F10BE">
            <w:t>Juridinių asmenų registre</w:t>
          </w:r>
        </w:p>
        <w:p w:rsidR="00396B0F" w:rsidRPr="008F10BE" w:rsidRDefault="00B35F35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196C56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56" w:rsidRDefault="00196C56">
      <w:r>
        <w:separator/>
      </w:r>
    </w:p>
  </w:footnote>
  <w:footnote w:type="continuationSeparator" w:id="0">
    <w:p w:rsidR="00196C56" w:rsidRDefault="00196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1739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5F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196C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1739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5F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0C0">
      <w:rPr>
        <w:rStyle w:val="PageNumber"/>
        <w:noProof/>
      </w:rPr>
      <w:t>3</w:t>
    </w:r>
    <w:r>
      <w:rPr>
        <w:rStyle w:val="PageNumber"/>
      </w:rPr>
      <w:fldChar w:fldCharType="end"/>
    </w:r>
  </w:p>
  <w:p w:rsidR="00B23540" w:rsidRDefault="00196C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7E3D"/>
    <w:multiLevelType w:val="multilevel"/>
    <w:tmpl w:val="2870B3CA"/>
    <w:lvl w:ilvl="0">
      <w:start w:val="11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E27627C"/>
    <w:multiLevelType w:val="hybridMultilevel"/>
    <w:tmpl w:val="53F8D052"/>
    <w:lvl w:ilvl="0" w:tplc="8DCAEC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B26E68"/>
    <w:multiLevelType w:val="hybridMultilevel"/>
    <w:tmpl w:val="116A6FD4"/>
    <w:lvl w:ilvl="0" w:tplc="B7DE4A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E32184A"/>
    <w:multiLevelType w:val="multilevel"/>
    <w:tmpl w:val="26E2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B5B53"/>
    <w:multiLevelType w:val="multilevel"/>
    <w:tmpl w:val="69D8D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79" w:hanging="51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4B37063"/>
    <w:multiLevelType w:val="hybridMultilevel"/>
    <w:tmpl w:val="88882DB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68FA79F1"/>
    <w:multiLevelType w:val="hybridMultilevel"/>
    <w:tmpl w:val="2B5825F2"/>
    <w:lvl w:ilvl="0" w:tplc="B2D6400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903"/>
    <w:rsid w:val="0000268D"/>
    <w:rsid w:val="00002E01"/>
    <w:rsid w:val="000071C3"/>
    <w:rsid w:val="0001136B"/>
    <w:rsid w:val="00012693"/>
    <w:rsid w:val="00030B18"/>
    <w:rsid w:val="000321BD"/>
    <w:rsid w:val="00032AEC"/>
    <w:rsid w:val="000358CF"/>
    <w:rsid w:val="00037068"/>
    <w:rsid w:val="0004000F"/>
    <w:rsid w:val="0004654A"/>
    <w:rsid w:val="000505B4"/>
    <w:rsid w:val="00060546"/>
    <w:rsid w:val="000616D8"/>
    <w:rsid w:val="000622EE"/>
    <w:rsid w:val="000624F8"/>
    <w:rsid w:val="00066F51"/>
    <w:rsid w:val="000713D5"/>
    <w:rsid w:val="000726EC"/>
    <w:rsid w:val="000736BA"/>
    <w:rsid w:val="00080C82"/>
    <w:rsid w:val="00083CDC"/>
    <w:rsid w:val="00085E03"/>
    <w:rsid w:val="00092BEB"/>
    <w:rsid w:val="000A7C30"/>
    <w:rsid w:val="000B0229"/>
    <w:rsid w:val="000B213F"/>
    <w:rsid w:val="000B2391"/>
    <w:rsid w:val="000C427F"/>
    <w:rsid w:val="000C5C9C"/>
    <w:rsid w:val="000D3B77"/>
    <w:rsid w:val="000D4C71"/>
    <w:rsid w:val="000D5B7D"/>
    <w:rsid w:val="000E0980"/>
    <w:rsid w:val="000E27EA"/>
    <w:rsid w:val="000E5FDF"/>
    <w:rsid w:val="000E6CF6"/>
    <w:rsid w:val="000F72CE"/>
    <w:rsid w:val="000F7EE5"/>
    <w:rsid w:val="00104CC5"/>
    <w:rsid w:val="001215BF"/>
    <w:rsid w:val="0013233B"/>
    <w:rsid w:val="00132716"/>
    <w:rsid w:val="001335F8"/>
    <w:rsid w:val="00134BDD"/>
    <w:rsid w:val="00140136"/>
    <w:rsid w:val="00143A6F"/>
    <w:rsid w:val="00145903"/>
    <w:rsid w:val="001516ED"/>
    <w:rsid w:val="00154A32"/>
    <w:rsid w:val="00156D20"/>
    <w:rsid w:val="001668C3"/>
    <w:rsid w:val="00171245"/>
    <w:rsid w:val="00171665"/>
    <w:rsid w:val="001739B0"/>
    <w:rsid w:val="00190D7B"/>
    <w:rsid w:val="00191B5C"/>
    <w:rsid w:val="00192786"/>
    <w:rsid w:val="00192A2F"/>
    <w:rsid w:val="0019446B"/>
    <w:rsid w:val="00195B13"/>
    <w:rsid w:val="00196C56"/>
    <w:rsid w:val="001A1F4A"/>
    <w:rsid w:val="001B0C46"/>
    <w:rsid w:val="001B2450"/>
    <w:rsid w:val="001B3390"/>
    <w:rsid w:val="001B56C8"/>
    <w:rsid w:val="001B572A"/>
    <w:rsid w:val="001B6CA5"/>
    <w:rsid w:val="001C319C"/>
    <w:rsid w:val="001C33DB"/>
    <w:rsid w:val="001D2025"/>
    <w:rsid w:val="001D2983"/>
    <w:rsid w:val="001D66EA"/>
    <w:rsid w:val="001E0CC8"/>
    <w:rsid w:val="001E4340"/>
    <w:rsid w:val="001E52AE"/>
    <w:rsid w:val="001F254A"/>
    <w:rsid w:val="001F26D8"/>
    <w:rsid w:val="001F3CD1"/>
    <w:rsid w:val="001F7FB9"/>
    <w:rsid w:val="00202A6E"/>
    <w:rsid w:val="00225B8C"/>
    <w:rsid w:val="00231FFA"/>
    <w:rsid w:val="0023521A"/>
    <w:rsid w:val="00236E9D"/>
    <w:rsid w:val="0024122E"/>
    <w:rsid w:val="002434A1"/>
    <w:rsid w:val="00257092"/>
    <w:rsid w:val="0025741D"/>
    <w:rsid w:val="00266C88"/>
    <w:rsid w:val="00273FCC"/>
    <w:rsid w:val="00275029"/>
    <w:rsid w:val="0027622B"/>
    <w:rsid w:val="0027743D"/>
    <w:rsid w:val="002868F6"/>
    <w:rsid w:val="002905B8"/>
    <w:rsid w:val="0029690B"/>
    <w:rsid w:val="0029793F"/>
    <w:rsid w:val="002A3325"/>
    <w:rsid w:val="002A34E0"/>
    <w:rsid w:val="002A3C90"/>
    <w:rsid w:val="002B0BAB"/>
    <w:rsid w:val="002B1163"/>
    <w:rsid w:val="002D0291"/>
    <w:rsid w:val="002D49AA"/>
    <w:rsid w:val="002E3428"/>
    <w:rsid w:val="002F0618"/>
    <w:rsid w:val="002F2B4B"/>
    <w:rsid w:val="00300067"/>
    <w:rsid w:val="003043DC"/>
    <w:rsid w:val="0030688E"/>
    <w:rsid w:val="003068C1"/>
    <w:rsid w:val="00306B27"/>
    <w:rsid w:val="00313A66"/>
    <w:rsid w:val="00316C43"/>
    <w:rsid w:val="00320BDC"/>
    <w:rsid w:val="00321116"/>
    <w:rsid w:val="003228EC"/>
    <w:rsid w:val="00331673"/>
    <w:rsid w:val="00332DF8"/>
    <w:rsid w:val="0033461E"/>
    <w:rsid w:val="00341883"/>
    <w:rsid w:val="00352099"/>
    <w:rsid w:val="00354484"/>
    <w:rsid w:val="003568F3"/>
    <w:rsid w:val="00361976"/>
    <w:rsid w:val="00361CC3"/>
    <w:rsid w:val="00363789"/>
    <w:rsid w:val="00382549"/>
    <w:rsid w:val="00383445"/>
    <w:rsid w:val="003868D8"/>
    <w:rsid w:val="00397662"/>
    <w:rsid w:val="003A2F88"/>
    <w:rsid w:val="003B1F76"/>
    <w:rsid w:val="003B6055"/>
    <w:rsid w:val="003B62E3"/>
    <w:rsid w:val="003C3A9D"/>
    <w:rsid w:val="003D2B2D"/>
    <w:rsid w:val="003D553E"/>
    <w:rsid w:val="003E46A3"/>
    <w:rsid w:val="003E65B8"/>
    <w:rsid w:val="003E6AE1"/>
    <w:rsid w:val="003F4A7F"/>
    <w:rsid w:val="003F4B15"/>
    <w:rsid w:val="003F59F8"/>
    <w:rsid w:val="003F6740"/>
    <w:rsid w:val="0040032E"/>
    <w:rsid w:val="00402A0A"/>
    <w:rsid w:val="004146C8"/>
    <w:rsid w:val="00420343"/>
    <w:rsid w:val="004234A5"/>
    <w:rsid w:val="00424F6A"/>
    <w:rsid w:val="004273DE"/>
    <w:rsid w:val="00427ACE"/>
    <w:rsid w:val="0043091A"/>
    <w:rsid w:val="00431E81"/>
    <w:rsid w:val="00432E38"/>
    <w:rsid w:val="004332A5"/>
    <w:rsid w:val="0043769A"/>
    <w:rsid w:val="00444A59"/>
    <w:rsid w:val="0045252E"/>
    <w:rsid w:val="00455565"/>
    <w:rsid w:val="004603B2"/>
    <w:rsid w:val="00461576"/>
    <w:rsid w:val="0046226F"/>
    <w:rsid w:val="00462EDF"/>
    <w:rsid w:val="00464A9B"/>
    <w:rsid w:val="00473811"/>
    <w:rsid w:val="00477ECB"/>
    <w:rsid w:val="00483254"/>
    <w:rsid w:val="00483BEA"/>
    <w:rsid w:val="004858EF"/>
    <w:rsid w:val="00485E60"/>
    <w:rsid w:val="00490B96"/>
    <w:rsid w:val="004A1D9E"/>
    <w:rsid w:val="004B176E"/>
    <w:rsid w:val="004B4FE2"/>
    <w:rsid w:val="004B559E"/>
    <w:rsid w:val="004B61B9"/>
    <w:rsid w:val="004B7252"/>
    <w:rsid w:val="004C1167"/>
    <w:rsid w:val="004D2759"/>
    <w:rsid w:val="004D50FF"/>
    <w:rsid w:val="004D5864"/>
    <w:rsid w:val="004E0F2E"/>
    <w:rsid w:val="004E3ADC"/>
    <w:rsid w:val="004F5500"/>
    <w:rsid w:val="004F657B"/>
    <w:rsid w:val="00502C1A"/>
    <w:rsid w:val="00520381"/>
    <w:rsid w:val="00524058"/>
    <w:rsid w:val="005304AD"/>
    <w:rsid w:val="00532C39"/>
    <w:rsid w:val="00532F50"/>
    <w:rsid w:val="005336DE"/>
    <w:rsid w:val="00533961"/>
    <w:rsid w:val="00534EF2"/>
    <w:rsid w:val="005352A5"/>
    <w:rsid w:val="0054754F"/>
    <w:rsid w:val="005539D7"/>
    <w:rsid w:val="0055422E"/>
    <w:rsid w:val="00555DF5"/>
    <w:rsid w:val="00557E42"/>
    <w:rsid w:val="00561229"/>
    <w:rsid w:val="005720C0"/>
    <w:rsid w:val="00573343"/>
    <w:rsid w:val="00575E4B"/>
    <w:rsid w:val="00582682"/>
    <w:rsid w:val="00585D0E"/>
    <w:rsid w:val="00586E0E"/>
    <w:rsid w:val="005A26B7"/>
    <w:rsid w:val="005A3463"/>
    <w:rsid w:val="005A346B"/>
    <w:rsid w:val="005B1780"/>
    <w:rsid w:val="005B6613"/>
    <w:rsid w:val="005B7C81"/>
    <w:rsid w:val="005C1452"/>
    <w:rsid w:val="005C3529"/>
    <w:rsid w:val="005D2F85"/>
    <w:rsid w:val="005D3954"/>
    <w:rsid w:val="005D50E1"/>
    <w:rsid w:val="005D576B"/>
    <w:rsid w:val="005E5765"/>
    <w:rsid w:val="005E62EB"/>
    <w:rsid w:val="005E6BB4"/>
    <w:rsid w:val="00602B36"/>
    <w:rsid w:val="00605659"/>
    <w:rsid w:val="006063AF"/>
    <w:rsid w:val="006071D2"/>
    <w:rsid w:val="00611AEC"/>
    <w:rsid w:val="00612959"/>
    <w:rsid w:val="0062249D"/>
    <w:rsid w:val="00623161"/>
    <w:rsid w:val="00623B05"/>
    <w:rsid w:val="006260CC"/>
    <w:rsid w:val="0063068A"/>
    <w:rsid w:val="00632BD9"/>
    <w:rsid w:val="00633495"/>
    <w:rsid w:val="00640306"/>
    <w:rsid w:val="00643FDD"/>
    <w:rsid w:val="00651968"/>
    <w:rsid w:val="00655645"/>
    <w:rsid w:val="00662936"/>
    <w:rsid w:val="00663003"/>
    <w:rsid w:val="006804E8"/>
    <w:rsid w:val="0068242D"/>
    <w:rsid w:val="00683CEC"/>
    <w:rsid w:val="00683FCB"/>
    <w:rsid w:val="00691905"/>
    <w:rsid w:val="00692C2B"/>
    <w:rsid w:val="00693BCB"/>
    <w:rsid w:val="006A72B3"/>
    <w:rsid w:val="006B300A"/>
    <w:rsid w:val="006B41C7"/>
    <w:rsid w:val="006B46D2"/>
    <w:rsid w:val="006B5580"/>
    <w:rsid w:val="006B5CF8"/>
    <w:rsid w:val="006B7704"/>
    <w:rsid w:val="006C55CB"/>
    <w:rsid w:val="006C6622"/>
    <w:rsid w:val="006F43D8"/>
    <w:rsid w:val="006F7EF6"/>
    <w:rsid w:val="007063AD"/>
    <w:rsid w:val="00707BF2"/>
    <w:rsid w:val="007108C4"/>
    <w:rsid w:val="007154BC"/>
    <w:rsid w:val="007169DA"/>
    <w:rsid w:val="00724E1D"/>
    <w:rsid w:val="00734901"/>
    <w:rsid w:val="007369A4"/>
    <w:rsid w:val="00736A22"/>
    <w:rsid w:val="00753395"/>
    <w:rsid w:val="00755225"/>
    <w:rsid w:val="00757954"/>
    <w:rsid w:val="0076435E"/>
    <w:rsid w:val="00764D39"/>
    <w:rsid w:val="00766A96"/>
    <w:rsid w:val="007677F5"/>
    <w:rsid w:val="00770E73"/>
    <w:rsid w:val="00773330"/>
    <w:rsid w:val="00786BC9"/>
    <w:rsid w:val="00791DAE"/>
    <w:rsid w:val="00795159"/>
    <w:rsid w:val="00796F35"/>
    <w:rsid w:val="007A1404"/>
    <w:rsid w:val="007A159B"/>
    <w:rsid w:val="007A2570"/>
    <w:rsid w:val="007A3242"/>
    <w:rsid w:val="007A407D"/>
    <w:rsid w:val="007A57A3"/>
    <w:rsid w:val="007A6083"/>
    <w:rsid w:val="007B3AD6"/>
    <w:rsid w:val="007C1146"/>
    <w:rsid w:val="007C4F26"/>
    <w:rsid w:val="007C690A"/>
    <w:rsid w:val="007C6DE5"/>
    <w:rsid w:val="007D1AFF"/>
    <w:rsid w:val="007D727B"/>
    <w:rsid w:val="007E564D"/>
    <w:rsid w:val="007F3595"/>
    <w:rsid w:val="007F721A"/>
    <w:rsid w:val="00801961"/>
    <w:rsid w:val="00802553"/>
    <w:rsid w:val="00807AF2"/>
    <w:rsid w:val="00811EEC"/>
    <w:rsid w:val="00811EFE"/>
    <w:rsid w:val="0081272E"/>
    <w:rsid w:val="00820E37"/>
    <w:rsid w:val="008225FD"/>
    <w:rsid w:val="00822AEB"/>
    <w:rsid w:val="0082314E"/>
    <w:rsid w:val="008275B6"/>
    <w:rsid w:val="0083234E"/>
    <w:rsid w:val="0083453E"/>
    <w:rsid w:val="00840DAB"/>
    <w:rsid w:val="00844F26"/>
    <w:rsid w:val="0085098C"/>
    <w:rsid w:val="00857230"/>
    <w:rsid w:val="00861885"/>
    <w:rsid w:val="00867CA2"/>
    <w:rsid w:val="008703A8"/>
    <w:rsid w:val="00872D25"/>
    <w:rsid w:val="008764B1"/>
    <w:rsid w:val="00880598"/>
    <w:rsid w:val="0088126C"/>
    <w:rsid w:val="00883DEE"/>
    <w:rsid w:val="00893414"/>
    <w:rsid w:val="00895AC4"/>
    <w:rsid w:val="008965B3"/>
    <w:rsid w:val="00897195"/>
    <w:rsid w:val="008B57A4"/>
    <w:rsid w:val="008B7202"/>
    <w:rsid w:val="008C33FB"/>
    <w:rsid w:val="008D2F63"/>
    <w:rsid w:val="008E0F3C"/>
    <w:rsid w:val="008E39FF"/>
    <w:rsid w:val="008E41B7"/>
    <w:rsid w:val="008E5E3B"/>
    <w:rsid w:val="008E65C2"/>
    <w:rsid w:val="008E7B2F"/>
    <w:rsid w:val="008F1C55"/>
    <w:rsid w:val="008F3B05"/>
    <w:rsid w:val="009145A0"/>
    <w:rsid w:val="00914B87"/>
    <w:rsid w:val="00917737"/>
    <w:rsid w:val="00925741"/>
    <w:rsid w:val="009278B5"/>
    <w:rsid w:val="009325BC"/>
    <w:rsid w:val="00936556"/>
    <w:rsid w:val="009415CC"/>
    <w:rsid w:val="00941FAF"/>
    <w:rsid w:val="00942F81"/>
    <w:rsid w:val="00944F3E"/>
    <w:rsid w:val="00961974"/>
    <w:rsid w:val="0096700A"/>
    <w:rsid w:val="009677E8"/>
    <w:rsid w:val="009845E6"/>
    <w:rsid w:val="00984A11"/>
    <w:rsid w:val="00993352"/>
    <w:rsid w:val="009A394D"/>
    <w:rsid w:val="009B26AC"/>
    <w:rsid w:val="009B68EA"/>
    <w:rsid w:val="009D5222"/>
    <w:rsid w:val="009D529C"/>
    <w:rsid w:val="009D61AB"/>
    <w:rsid w:val="009E22DE"/>
    <w:rsid w:val="009E3EC8"/>
    <w:rsid w:val="009E553F"/>
    <w:rsid w:val="009E74BE"/>
    <w:rsid w:val="009F3C5D"/>
    <w:rsid w:val="009F7480"/>
    <w:rsid w:val="00A01B95"/>
    <w:rsid w:val="00A02B72"/>
    <w:rsid w:val="00A053AE"/>
    <w:rsid w:val="00A115EE"/>
    <w:rsid w:val="00A1304E"/>
    <w:rsid w:val="00A14BA9"/>
    <w:rsid w:val="00A206C6"/>
    <w:rsid w:val="00A25107"/>
    <w:rsid w:val="00A256F4"/>
    <w:rsid w:val="00A258CB"/>
    <w:rsid w:val="00A25C24"/>
    <w:rsid w:val="00A30368"/>
    <w:rsid w:val="00A34C34"/>
    <w:rsid w:val="00A4326F"/>
    <w:rsid w:val="00A50B47"/>
    <w:rsid w:val="00A5247C"/>
    <w:rsid w:val="00A545EE"/>
    <w:rsid w:val="00A613B4"/>
    <w:rsid w:val="00A65BE1"/>
    <w:rsid w:val="00A70554"/>
    <w:rsid w:val="00A7118B"/>
    <w:rsid w:val="00A804C4"/>
    <w:rsid w:val="00A91430"/>
    <w:rsid w:val="00A978FF"/>
    <w:rsid w:val="00AA0E75"/>
    <w:rsid w:val="00AA1874"/>
    <w:rsid w:val="00AA22A2"/>
    <w:rsid w:val="00AA37AF"/>
    <w:rsid w:val="00AA3AFB"/>
    <w:rsid w:val="00AA743D"/>
    <w:rsid w:val="00AB12D3"/>
    <w:rsid w:val="00AB5308"/>
    <w:rsid w:val="00AB60CE"/>
    <w:rsid w:val="00AD2CA6"/>
    <w:rsid w:val="00AE3A7C"/>
    <w:rsid w:val="00AF4B78"/>
    <w:rsid w:val="00AF5809"/>
    <w:rsid w:val="00B00906"/>
    <w:rsid w:val="00B01165"/>
    <w:rsid w:val="00B1529A"/>
    <w:rsid w:val="00B16470"/>
    <w:rsid w:val="00B3537E"/>
    <w:rsid w:val="00B35F35"/>
    <w:rsid w:val="00B4723A"/>
    <w:rsid w:val="00B517E7"/>
    <w:rsid w:val="00B51F93"/>
    <w:rsid w:val="00B54550"/>
    <w:rsid w:val="00B5602F"/>
    <w:rsid w:val="00B629C0"/>
    <w:rsid w:val="00B66EF4"/>
    <w:rsid w:val="00B715EC"/>
    <w:rsid w:val="00B716E4"/>
    <w:rsid w:val="00B725B1"/>
    <w:rsid w:val="00B72850"/>
    <w:rsid w:val="00B72A46"/>
    <w:rsid w:val="00B743DB"/>
    <w:rsid w:val="00B75FA2"/>
    <w:rsid w:val="00B836A0"/>
    <w:rsid w:val="00B836A4"/>
    <w:rsid w:val="00B846FE"/>
    <w:rsid w:val="00B86E00"/>
    <w:rsid w:val="00B876ED"/>
    <w:rsid w:val="00B9071C"/>
    <w:rsid w:val="00B90FB6"/>
    <w:rsid w:val="00BA15CA"/>
    <w:rsid w:val="00BA1AD1"/>
    <w:rsid w:val="00BA3BCE"/>
    <w:rsid w:val="00BA4776"/>
    <w:rsid w:val="00BD0CE4"/>
    <w:rsid w:val="00BD2672"/>
    <w:rsid w:val="00BD5BB6"/>
    <w:rsid w:val="00BE1073"/>
    <w:rsid w:val="00BE31AB"/>
    <w:rsid w:val="00BE5F6A"/>
    <w:rsid w:val="00BE6881"/>
    <w:rsid w:val="00BE7C62"/>
    <w:rsid w:val="00BF439E"/>
    <w:rsid w:val="00C005EB"/>
    <w:rsid w:val="00C02F73"/>
    <w:rsid w:val="00C1074A"/>
    <w:rsid w:val="00C12160"/>
    <w:rsid w:val="00C156A2"/>
    <w:rsid w:val="00C16000"/>
    <w:rsid w:val="00C21DE5"/>
    <w:rsid w:val="00C229B0"/>
    <w:rsid w:val="00C23033"/>
    <w:rsid w:val="00C230E0"/>
    <w:rsid w:val="00C25D68"/>
    <w:rsid w:val="00C30B90"/>
    <w:rsid w:val="00C506D5"/>
    <w:rsid w:val="00C6689B"/>
    <w:rsid w:val="00C733EE"/>
    <w:rsid w:val="00C80A9D"/>
    <w:rsid w:val="00C827B8"/>
    <w:rsid w:val="00C828F6"/>
    <w:rsid w:val="00C85834"/>
    <w:rsid w:val="00C85BF6"/>
    <w:rsid w:val="00C90C9F"/>
    <w:rsid w:val="00C924EE"/>
    <w:rsid w:val="00C96ED1"/>
    <w:rsid w:val="00CA2973"/>
    <w:rsid w:val="00CC2812"/>
    <w:rsid w:val="00CD45F9"/>
    <w:rsid w:val="00CD4F34"/>
    <w:rsid w:val="00CE0455"/>
    <w:rsid w:val="00CE17AE"/>
    <w:rsid w:val="00CE181E"/>
    <w:rsid w:val="00CE1F4C"/>
    <w:rsid w:val="00CE4C07"/>
    <w:rsid w:val="00CE62FA"/>
    <w:rsid w:val="00CE6F5D"/>
    <w:rsid w:val="00CF1ADF"/>
    <w:rsid w:val="00CF1E3E"/>
    <w:rsid w:val="00CF2237"/>
    <w:rsid w:val="00CF49E4"/>
    <w:rsid w:val="00D02E17"/>
    <w:rsid w:val="00D04522"/>
    <w:rsid w:val="00D21E83"/>
    <w:rsid w:val="00D24326"/>
    <w:rsid w:val="00D300B1"/>
    <w:rsid w:val="00D31DB3"/>
    <w:rsid w:val="00D345CF"/>
    <w:rsid w:val="00D4359D"/>
    <w:rsid w:val="00D50AFF"/>
    <w:rsid w:val="00D5121E"/>
    <w:rsid w:val="00D57049"/>
    <w:rsid w:val="00D5762F"/>
    <w:rsid w:val="00D57B6B"/>
    <w:rsid w:val="00D60B70"/>
    <w:rsid w:val="00D7118E"/>
    <w:rsid w:val="00D71984"/>
    <w:rsid w:val="00D72A49"/>
    <w:rsid w:val="00D7587A"/>
    <w:rsid w:val="00D82829"/>
    <w:rsid w:val="00D973F8"/>
    <w:rsid w:val="00DA1F85"/>
    <w:rsid w:val="00DA684D"/>
    <w:rsid w:val="00DB61C9"/>
    <w:rsid w:val="00DB695A"/>
    <w:rsid w:val="00DB6ADE"/>
    <w:rsid w:val="00DB730E"/>
    <w:rsid w:val="00DC3714"/>
    <w:rsid w:val="00DD0BF7"/>
    <w:rsid w:val="00DD2187"/>
    <w:rsid w:val="00DD7F43"/>
    <w:rsid w:val="00DE10BA"/>
    <w:rsid w:val="00DF0AF8"/>
    <w:rsid w:val="00DF0BFA"/>
    <w:rsid w:val="00E058EE"/>
    <w:rsid w:val="00E05B5E"/>
    <w:rsid w:val="00E14B3D"/>
    <w:rsid w:val="00E156C2"/>
    <w:rsid w:val="00E20A41"/>
    <w:rsid w:val="00E232DF"/>
    <w:rsid w:val="00E23D8E"/>
    <w:rsid w:val="00E27045"/>
    <w:rsid w:val="00E309E1"/>
    <w:rsid w:val="00E51901"/>
    <w:rsid w:val="00E52531"/>
    <w:rsid w:val="00E53B77"/>
    <w:rsid w:val="00E5584D"/>
    <w:rsid w:val="00E5690C"/>
    <w:rsid w:val="00E604E8"/>
    <w:rsid w:val="00E609A0"/>
    <w:rsid w:val="00E60DE8"/>
    <w:rsid w:val="00E61A45"/>
    <w:rsid w:val="00E62F6D"/>
    <w:rsid w:val="00E73412"/>
    <w:rsid w:val="00E75861"/>
    <w:rsid w:val="00E77A68"/>
    <w:rsid w:val="00E80181"/>
    <w:rsid w:val="00E9025E"/>
    <w:rsid w:val="00E94171"/>
    <w:rsid w:val="00EA1208"/>
    <w:rsid w:val="00EA2AC3"/>
    <w:rsid w:val="00EA2F4B"/>
    <w:rsid w:val="00EA4EAF"/>
    <w:rsid w:val="00EB6AB5"/>
    <w:rsid w:val="00EC0719"/>
    <w:rsid w:val="00EC2FA9"/>
    <w:rsid w:val="00EC54D8"/>
    <w:rsid w:val="00EC6F0E"/>
    <w:rsid w:val="00ED26E1"/>
    <w:rsid w:val="00ED4246"/>
    <w:rsid w:val="00ED6F31"/>
    <w:rsid w:val="00EE0886"/>
    <w:rsid w:val="00EF1778"/>
    <w:rsid w:val="00EF4AAA"/>
    <w:rsid w:val="00F00E69"/>
    <w:rsid w:val="00F15C85"/>
    <w:rsid w:val="00F17A5D"/>
    <w:rsid w:val="00F20DF5"/>
    <w:rsid w:val="00F24E35"/>
    <w:rsid w:val="00F3135E"/>
    <w:rsid w:val="00F32C0D"/>
    <w:rsid w:val="00F3347F"/>
    <w:rsid w:val="00F337AB"/>
    <w:rsid w:val="00F33B51"/>
    <w:rsid w:val="00F46B04"/>
    <w:rsid w:val="00F56CD6"/>
    <w:rsid w:val="00F57E24"/>
    <w:rsid w:val="00F613A9"/>
    <w:rsid w:val="00F734E2"/>
    <w:rsid w:val="00F737C7"/>
    <w:rsid w:val="00F75368"/>
    <w:rsid w:val="00F77CD3"/>
    <w:rsid w:val="00F860F1"/>
    <w:rsid w:val="00FA6A81"/>
    <w:rsid w:val="00FB540F"/>
    <w:rsid w:val="00FB7018"/>
    <w:rsid w:val="00FC1040"/>
    <w:rsid w:val="00FD2C46"/>
    <w:rsid w:val="00FD49A9"/>
    <w:rsid w:val="00FD6BD7"/>
    <w:rsid w:val="00FD7B14"/>
    <w:rsid w:val="00FE25C0"/>
    <w:rsid w:val="00FE3F69"/>
    <w:rsid w:val="00FE64C5"/>
    <w:rsid w:val="00FE7747"/>
    <w:rsid w:val="00FF128B"/>
    <w:rsid w:val="00FF292E"/>
    <w:rsid w:val="00FF4490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45903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90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1459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59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459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590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5903"/>
  </w:style>
  <w:style w:type="paragraph" w:styleId="ListParagraph">
    <w:name w:val="List Paragraph"/>
    <w:basedOn w:val="Normal"/>
    <w:uiPriority w:val="34"/>
    <w:qFormat/>
    <w:rsid w:val="00145903"/>
    <w:pPr>
      <w:ind w:left="720"/>
      <w:contextualSpacing/>
    </w:pPr>
  </w:style>
  <w:style w:type="paragraph" w:customStyle="1" w:styleId="CentrBold">
    <w:name w:val="CentrBold"/>
    <w:basedOn w:val="Normal"/>
    <w:rsid w:val="000321BD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40"/>
    <w:rPr>
      <w:rFonts w:ascii="Tahoma" w:eastAsia="Times New Roman" w:hAnsi="Tahoma" w:cs="Tahoma"/>
      <w:sz w:val="16"/>
      <w:szCs w:val="16"/>
    </w:rPr>
  </w:style>
  <w:style w:type="paragraph" w:customStyle="1" w:styleId="Pagrindinistekstas1">
    <w:name w:val="Pagrindinis tekstas1"/>
    <w:basedOn w:val="Normal"/>
    <w:rsid w:val="006071D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 w:eastAsia="lt-LT"/>
    </w:rPr>
  </w:style>
  <w:style w:type="character" w:styleId="Hyperlink">
    <w:name w:val="Hyperlink"/>
    <w:basedOn w:val="DefaultParagraphFont"/>
    <w:uiPriority w:val="99"/>
    <w:semiHidden/>
    <w:unhideWhenUsed/>
    <w:rsid w:val="004B176E"/>
    <w:rPr>
      <w:color w:val="000000"/>
      <w:u w:val="single"/>
    </w:rPr>
  </w:style>
  <w:style w:type="paragraph" w:customStyle="1" w:styleId="MAZAS">
    <w:name w:val="MAZAS"/>
    <w:basedOn w:val="Normal"/>
    <w:rsid w:val="00E77A6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4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5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5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4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grindinistekstas2">
    <w:name w:val="Pagrindinis tekstas2"/>
    <w:basedOn w:val="Normal"/>
    <w:rsid w:val="003F4A7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5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45903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4590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14590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14590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14590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145903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145903"/>
  </w:style>
  <w:style w:type="paragraph" w:styleId="Sraopastraipa">
    <w:name w:val="List Paragraph"/>
    <w:basedOn w:val="prastasis"/>
    <w:uiPriority w:val="34"/>
    <w:qFormat/>
    <w:rsid w:val="00145903"/>
    <w:pPr>
      <w:ind w:left="720"/>
      <w:contextualSpacing/>
    </w:pPr>
  </w:style>
  <w:style w:type="paragraph" w:customStyle="1" w:styleId="CentrBold">
    <w:name w:val="CentrBold"/>
    <w:basedOn w:val="prastasis"/>
    <w:rsid w:val="000321BD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0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040"/>
    <w:rPr>
      <w:rFonts w:ascii="Tahoma" w:eastAsia="Times New Roman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6071D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B176E"/>
    <w:rPr>
      <w:color w:val="000000"/>
      <w:u w:val="single"/>
    </w:rPr>
  </w:style>
  <w:style w:type="paragraph" w:customStyle="1" w:styleId="MAZAS">
    <w:name w:val="MAZAS"/>
    <w:basedOn w:val="prastasis"/>
    <w:rsid w:val="00E77A6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65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654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654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65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654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grindinistekstas2">
    <w:name w:val="Pagrindinis tekstas2"/>
    <w:basedOn w:val="prastasis"/>
    <w:rsid w:val="003F4A7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0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gle.Spudulyte@vp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pt.lt/index.php?lan=LT&amp;pid=1089184506&amp;cid=11502708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26B6F-C9F4-42ED-BC17-C9D7AD34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10534</Words>
  <Characters>6005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Spudulytė</dc:creator>
  <cp:lastModifiedBy>Povilas Straševičius</cp:lastModifiedBy>
  <cp:revision>18</cp:revision>
  <cp:lastPrinted>2014-10-23T10:25:00Z</cp:lastPrinted>
  <dcterms:created xsi:type="dcterms:W3CDTF">2014-10-23T08:28:00Z</dcterms:created>
  <dcterms:modified xsi:type="dcterms:W3CDTF">2014-11-03T08:12:00Z</dcterms:modified>
</cp:coreProperties>
</file>