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B27F13" w:rsidRDefault="00B27F13" w:rsidP="00B27F13">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0824749" r:id="rId9"/>
        </w:object>
      </w:r>
      <w:r w:rsidRPr="0017077F">
        <w:rPr>
          <w:rFonts w:ascii="CG Times" w:hAnsi="CG Times"/>
          <w:noProof/>
          <w:sz w:val="24"/>
          <w:szCs w:val="24"/>
          <w:lang w:eastAsia="lt-LT"/>
        </w:rPr>
        <w:drawing>
          <wp:anchor distT="0" distB="0" distL="114300" distR="114300" simplePos="0" relativeHeight="251659264" behindDoc="1" locked="0" layoutInCell="1" allowOverlap="1" wp14:anchorId="5D828F6A" wp14:editId="74C4BDF4">
            <wp:simplePos x="0" y="0"/>
            <wp:positionH relativeFrom="margin">
              <wp:posOffset>5206365</wp:posOffset>
            </wp:positionH>
            <wp:positionV relativeFrom="margin">
              <wp:posOffset>13335</wp:posOffset>
            </wp:positionV>
            <wp:extent cx="542925" cy="542925"/>
            <wp:effectExtent l="0" t="0" r="0" b="0"/>
            <wp:wrapNone/>
            <wp:docPr id="3"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B27F13" w:rsidRPr="00907C82" w:rsidRDefault="00B27F13" w:rsidP="00B27F13">
      <w:pPr>
        <w:jc w:val="center"/>
        <w:rPr>
          <w:sz w:val="24"/>
          <w:szCs w:val="24"/>
        </w:rPr>
      </w:pPr>
    </w:p>
    <w:p w:rsidR="00B27F13" w:rsidRPr="00907C82" w:rsidRDefault="00B27F13" w:rsidP="00B27F13">
      <w:pPr>
        <w:pStyle w:val="Antrat1"/>
        <w:tabs>
          <w:tab w:val="left" w:pos="900"/>
        </w:tabs>
        <w:jc w:val="center"/>
        <w:rPr>
          <w:sz w:val="24"/>
          <w:szCs w:val="24"/>
        </w:rPr>
      </w:pPr>
      <w:r w:rsidRPr="00907C82">
        <w:rPr>
          <w:sz w:val="24"/>
          <w:szCs w:val="24"/>
        </w:rPr>
        <w:t>VIEŠŲJŲ PIRKIMŲ TARNYBA</w:t>
      </w:r>
    </w:p>
    <w:p w:rsidR="00B27F13" w:rsidRPr="00907C82" w:rsidRDefault="00B27F13" w:rsidP="00B27F13">
      <w:pPr>
        <w:tabs>
          <w:tab w:val="left" w:pos="900"/>
        </w:tabs>
        <w:rPr>
          <w:bCs/>
          <w:sz w:val="24"/>
          <w:szCs w:val="24"/>
        </w:rPr>
      </w:pPr>
    </w:p>
    <w:p w:rsidR="00B27F13" w:rsidRDefault="00B27F13" w:rsidP="00B27F13">
      <w:pPr>
        <w:tabs>
          <w:tab w:val="left" w:pos="900"/>
        </w:tabs>
        <w:rPr>
          <w:bCs/>
          <w:sz w:val="24"/>
          <w:szCs w:val="24"/>
        </w:rPr>
      </w:pPr>
    </w:p>
    <w:p w:rsidR="00B27F13" w:rsidRDefault="00B27F13" w:rsidP="00B27F13">
      <w:pPr>
        <w:tabs>
          <w:tab w:val="left" w:pos="900"/>
        </w:tabs>
        <w:rPr>
          <w:bCs/>
          <w:sz w:val="24"/>
          <w:szCs w:val="24"/>
        </w:rPr>
      </w:pPr>
    </w:p>
    <w:p w:rsidR="00B27F13" w:rsidRDefault="00B27F13" w:rsidP="00B27F13">
      <w:pPr>
        <w:tabs>
          <w:tab w:val="left" w:pos="900"/>
        </w:tabs>
        <w:rPr>
          <w:bCs/>
          <w:sz w:val="24"/>
          <w:szCs w:val="24"/>
        </w:rPr>
      </w:pPr>
    </w:p>
    <w:p w:rsidR="00B27F13" w:rsidRDefault="002747CB" w:rsidP="00B27F13">
      <w:pPr>
        <w:tabs>
          <w:tab w:val="left" w:pos="900"/>
        </w:tabs>
        <w:rPr>
          <w:bCs/>
          <w:sz w:val="24"/>
          <w:szCs w:val="24"/>
        </w:rPr>
      </w:pPr>
      <w:r>
        <w:rPr>
          <w:bCs/>
          <w:sz w:val="24"/>
          <w:szCs w:val="24"/>
        </w:rPr>
        <w:t>Valstybinio socialinio</w:t>
      </w:r>
      <w:r w:rsidR="00B27F13">
        <w:rPr>
          <w:bCs/>
          <w:sz w:val="24"/>
          <w:szCs w:val="24"/>
        </w:rPr>
        <w:t xml:space="preserve"> draudimo fondo valdybai prie Socialinės apsaugos ir darbo ministerijos</w:t>
      </w:r>
    </w:p>
    <w:tbl>
      <w:tblPr>
        <w:tblpPr w:leftFromText="180" w:rightFromText="180" w:vertAnchor="text" w:horzAnchor="margin" w:tblpXSpec="right" w:tblpY="-17"/>
        <w:tblW w:w="0" w:type="auto"/>
        <w:tblLayout w:type="fixed"/>
        <w:tblLook w:val="0000" w:firstRow="0" w:lastRow="0" w:firstColumn="0" w:lastColumn="0" w:noHBand="0" w:noVBand="0"/>
      </w:tblPr>
      <w:tblGrid>
        <w:gridCol w:w="959"/>
        <w:gridCol w:w="1452"/>
        <w:gridCol w:w="708"/>
        <w:gridCol w:w="1838"/>
      </w:tblGrid>
      <w:tr w:rsidR="00B27F13" w:rsidRPr="00907C82" w:rsidTr="00783598">
        <w:trPr>
          <w:cantSplit/>
          <w:trHeight w:val="80"/>
        </w:trPr>
        <w:tc>
          <w:tcPr>
            <w:tcW w:w="959" w:type="dxa"/>
          </w:tcPr>
          <w:p w:rsidR="00B27F13" w:rsidRPr="00907C82" w:rsidRDefault="00B27F13" w:rsidP="00783598">
            <w:pPr>
              <w:tabs>
                <w:tab w:val="left" w:pos="900"/>
              </w:tabs>
              <w:rPr>
                <w:sz w:val="24"/>
                <w:szCs w:val="24"/>
              </w:rPr>
            </w:pPr>
          </w:p>
        </w:tc>
        <w:tc>
          <w:tcPr>
            <w:tcW w:w="1452" w:type="dxa"/>
          </w:tcPr>
          <w:p w:rsidR="00B27F13" w:rsidRPr="00907C82" w:rsidRDefault="00B27F13" w:rsidP="00783598">
            <w:pPr>
              <w:tabs>
                <w:tab w:val="left" w:pos="900"/>
              </w:tabs>
              <w:rPr>
                <w:sz w:val="24"/>
                <w:szCs w:val="24"/>
              </w:rPr>
            </w:pPr>
            <w:r>
              <w:rPr>
                <w:sz w:val="24"/>
                <w:szCs w:val="24"/>
              </w:rPr>
              <w:t>2014</w:t>
            </w:r>
            <w:r w:rsidRPr="00907C82">
              <w:rPr>
                <w:sz w:val="24"/>
                <w:szCs w:val="24"/>
              </w:rPr>
              <w:t>-</w:t>
            </w:r>
            <w:r>
              <w:rPr>
                <w:sz w:val="24"/>
                <w:szCs w:val="24"/>
              </w:rPr>
              <w:t>08</w:t>
            </w:r>
            <w:r w:rsidR="00200FEB">
              <w:rPr>
                <w:sz w:val="24"/>
                <w:szCs w:val="24"/>
              </w:rPr>
              <w:t>-</w:t>
            </w:r>
          </w:p>
        </w:tc>
        <w:tc>
          <w:tcPr>
            <w:tcW w:w="708" w:type="dxa"/>
          </w:tcPr>
          <w:p w:rsidR="00B27F13" w:rsidRPr="00907C82" w:rsidRDefault="00B27F13" w:rsidP="00783598">
            <w:pPr>
              <w:tabs>
                <w:tab w:val="left" w:pos="900"/>
              </w:tabs>
              <w:rPr>
                <w:sz w:val="24"/>
                <w:szCs w:val="24"/>
              </w:rPr>
            </w:pPr>
            <w:r w:rsidRPr="00907C82">
              <w:rPr>
                <w:sz w:val="24"/>
                <w:szCs w:val="24"/>
              </w:rPr>
              <w:t>N</w:t>
            </w:r>
            <w:r>
              <w:rPr>
                <w:sz w:val="24"/>
                <w:szCs w:val="24"/>
              </w:rPr>
              <w:t>r.</w:t>
            </w:r>
          </w:p>
        </w:tc>
        <w:tc>
          <w:tcPr>
            <w:tcW w:w="1838" w:type="dxa"/>
          </w:tcPr>
          <w:p w:rsidR="00B27F13" w:rsidRPr="00907C82" w:rsidRDefault="00B27F13" w:rsidP="00783598">
            <w:pPr>
              <w:tabs>
                <w:tab w:val="left" w:pos="900"/>
              </w:tabs>
              <w:rPr>
                <w:sz w:val="24"/>
                <w:szCs w:val="24"/>
              </w:rPr>
            </w:pPr>
            <w:r w:rsidRPr="00907C82">
              <w:rPr>
                <w:sz w:val="24"/>
                <w:szCs w:val="24"/>
              </w:rPr>
              <w:t>4S-</w:t>
            </w:r>
          </w:p>
        </w:tc>
      </w:tr>
      <w:tr w:rsidR="00B27F13" w:rsidRPr="00907C82" w:rsidTr="00783598">
        <w:trPr>
          <w:cantSplit/>
          <w:trHeight w:val="80"/>
        </w:trPr>
        <w:tc>
          <w:tcPr>
            <w:tcW w:w="959" w:type="dxa"/>
          </w:tcPr>
          <w:p w:rsidR="00B27F13" w:rsidRPr="00907C82" w:rsidRDefault="00B27F13" w:rsidP="00783598">
            <w:pPr>
              <w:tabs>
                <w:tab w:val="left" w:pos="900"/>
              </w:tabs>
              <w:rPr>
                <w:sz w:val="24"/>
                <w:szCs w:val="24"/>
              </w:rPr>
            </w:pPr>
            <w:r>
              <w:rPr>
                <w:sz w:val="24"/>
                <w:szCs w:val="24"/>
              </w:rPr>
              <w:t xml:space="preserve">           Į</w:t>
            </w:r>
          </w:p>
        </w:tc>
        <w:tc>
          <w:tcPr>
            <w:tcW w:w="1452" w:type="dxa"/>
          </w:tcPr>
          <w:p w:rsidR="00B27F13" w:rsidRPr="00907C82" w:rsidRDefault="00B27F13" w:rsidP="00783598">
            <w:pPr>
              <w:tabs>
                <w:tab w:val="left" w:pos="900"/>
              </w:tabs>
              <w:rPr>
                <w:sz w:val="24"/>
                <w:szCs w:val="24"/>
              </w:rPr>
            </w:pPr>
            <w:r>
              <w:rPr>
                <w:sz w:val="24"/>
                <w:szCs w:val="24"/>
              </w:rPr>
              <w:t>2014-07-31</w:t>
            </w:r>
          </w:p>
        </w:tc>
        <w:tc>
          <w:tcPr>
            <w:tcW w:w="708" w:type="dxa"/>
          </w:tcPr>
          <w:p w:rsidR="00B27F13" w:rsidRPr="00907C82" w:rsidRDefault="00B27F13" w:rsidP="00783598">
            <w:pPr>
              <w:tabs>
                <w:tab w:val="left" w:pos="900"/>
              </w:tabs>
              <w:rPr>
                <w:sz w:val="24"/>
                <w:szCs w:val="24"/>
              </w:rPr>
            </w:pPr>
            <w:r>
              <w:rPr>
                <w:sz w:val="24"/>
                <w:szCs w:val="24"/>
              </w:rPr>
              <w:t>Nr.</w:t>
            </w:r>
          </w:p>
        </w:tc>
        <w:tc>
          <w:tcPr>
            <w:tcW w:w="1838" w:type="dxa"/>
          </w:tcPr>
          <w:p w:rsidR="00B27F13" w:rsidRPr="00907C82" w:rsidRDefault="00B27F13" w:rsidP="00783598">
            <w:pPr>
              <w:tabs>
                <w:tab w:val="left" w:pos="900"/>
              </w:tabs>
              <w:rPr>
                <w:sz w:val="24"/>
                <w:szCs w:val="24"/>
              </w:rPr>
            </w:pPr>
            <w:r>
              <w:rPr>
                <w:sz w:val="24"/>
                <w:szCs w:val="24"/>
              </w:rPr>
              <w:t>(7.31) I-6611</w:t>
            </w:r>
          </w:p>
        </w:tc>
      </w:tr>
    </w:tbl>
    <w:p w:rsidR="00B27F13" w:rsidRDefault="00B27F13" w:rsidP="00B27F13">
      <w:pPr>
        <w:tabs>
          <w:tab w:val="left" w:pos="900"/>
        </w:tabs>
        <w:rPr>
          <w:bCs/>
          <w:sz w:val="24"/>
          <w:szCs w:val="24"/>
        </w:rPr>
      </w:pPr>
    </w:p>
    <w:p w:rsidR="00B27F13" w:rsidRDefault="00B27F13" w:rsidP="00B27F13">
      <w:pPr>
        <w:tabs>
          <w:tab w:val="left" w:pos="900"/>
        </w:tabs>
        <w:rPr>
          <w:bCs/>
          <w:sz w:val="24"/>
          <w:szCs w:val="24"/>
        </w:rPr>
      </w:pPr>
      <w:r>
        <w:rPr>
          <w:bCs/>
          <w:sz w:val="24"/>
          <w:szCs w:val="24"/>
        </w:rPr>
        <w:t xml:space="preserve">Konstitucijos pr. 12 </w:t>
      </w:r>
    </w:p>
    <w:p w:rsidR="00B27F13" w:rsidRDefault="00B27F13" w:rsidP="00B27F13">
      <w:pPr>
        <w:tabs>
          <w:tab w:val="left" w:pos="900"/>
        </w:tabs>
        <w:rPr>
          <w:bCs/>
          <w:sz w:val="24"/>
          <w:szCs w:val="24"/>
        </w:rPr>
      </w:pPr>
      <w:r>
        <w:rPr>
          <w:bCs/>
          <w:sz w:val="24"/>
          <w:szCs w:val="24"/>
        </w:rPr>
        <w:t>LT-09308 Vilnius</w:t>
      </w:r>
    </w:p>
    <w:p w:rsidR="00B27F13" w:rsidRDefault="00B27F13" w:rsidP="00B27F13">
      <w:pPr>
        <w:tabs>
          <w:tab w:val="left" w:pos="900"/>
        </w:tabs>
        <w:rPr>
          <w:bCs/>
          <w:sz w:val="24"/>
          <w:szCs w:val="24"/>
        </w:rPr>
      </w:pPr>
    </w:p>
    <w:p w:rsidR="00B27F13" w:rsidRDefault="00B27F13" w:rsidP="00B27F13">
      <w:pPr>
        <w:tabs>
          <w:tab w:val="left" w:pos="900"/>
        </w:tabs>
        <w:rPr>
          <w:bCs/>
          <w:sz w:val="24"/>
          <w:szCs w:val="24"/>
        </w:rPr>
      </w:pPr>
      <w:r>
        <w:rPr>
          <w:bCs/>
          <w:sz w:val="24"/>
          <w:szCs w:val="24"/>
        </w:rPr>
        <w:t>Kopija</w:t>
      </w:r>
    </w:p>
    <w:p w:rsidR="00B27F13" w:rsidRDefault="00B27F13" w:rsidP="00B27F13">
      <w:pPr>
        <w:tabs>
          <w:tab w:val="left" w:pos="900"/>
        </w:tabs>
        <w:rPr>
          <w:sz w:val="24"/>
          <w:szCs w:val="24"/>
        </w:rPr>
      </w:pPr>
      <w:r>
        <w:rPr>
          <w:sz w:val="24"/>
          <w:szCs w:val="24"/>
        </w:rPr>
        <w:t>Europos socialinio fondo agentūrai</w:t>
      </w:r>
    </w:p>
    <w:p w:rsidR="00B27F13" w:rsidRDefault="00B27F13" w:rsidP="00B27F13">
      <w:pPr>
        <w:tabs>
          <w:tab w:val="left" w:pos="900"/>
        </w:tabs>
        <w:rPr>
          <w:sz w:val="24"/>
          <w:szCs w:val="24"/>
        </w:rPr>
      </w:pPr>
    </w:p>
    <w:p w:rsidR="00B27F13" w:rsidRDefault="00B27F13" w:rsidP="00B27F13">
      <w:pPr>
        <w:tabs>
          <w:tab w:val="left" w:pos="900"/>
        </w:tabs>
        <w:rPr>
          <w:sz w:val="24"/>
          <w:szCs w:val="24"/>
        </w:rPr>
      </w:pPr>
      <w:r>
        <w:rPr>
          <w:sz w:val="24"/>
          <w:szCs w:val="24"/>
        </w:rPr>
        <w:t>Gynėjų g. 16</w:t>
      </w:r>
    </w:p>
    <w:p w:rsidR="00B27F13" w:rsidRDefault="00B27F13" w:rsidP="00B27F13">
      <w:pPr>
        <w:tabs>
          <w:tab w:val="left" w:pos="900"/>
        </w:tabs>
        <w:rPr>
          <w:sz w:val="24"/>
          <w:szCs w:val="24"/>
        </w:rPr>
      </w:pPr>
      <w:r>
        <w:rPr>
          <w:sz w:val="24"/>
          <w:szCs w:val="24"/>
        </w:rPr>
        <w:t>LT-01109 Vilnius</w:t>
      </w:r>
    </w:p>
    <w:p w:rsidR="00B27F13" w:rsidRDefault="00B27F13" w:rsidP="00B27F13">
      <w:pPr>
        <w:tabs>
          <w:tab w:val="left" w:pos="900"/>
        </w:tabs>
        <w:rPr>
          <w:bCs/>
          <w:sz w:val="24"/>
          <w:szCs w:val="24"/>
        </w:rPr>
      </w:pPr>
    </w:p>
    <w:p w:rsidR="00B27F13" w:rsidRDefault="00B27F13" w:rsidP="00B27F13">
      <w:pPr>
        <w:tabs>
          <w:tab w:val="left" w:pos="900"/>
        </w:tabs>
        <w:rPr>
          <w:bCs/>
          <w:sz w:val="24"/>
          <w:szCs w:val="24"/>
        </w:rPr>
      </w:pPr>
    </w:p>
    <w:p w:rsidR="00B27F13" w:rsidRPr="00907C82" w:rsidRDefault="00B27F13" w:rsidP="00B27F13">
      <w:pPr>
        <w:tabs>
          <w:tab w:val="left" w:pos="900"/>
        </w:tabs>
        <w:rPr>
          <w:bCs/>
          <w:sz w:val="24"/>
          <w:szCs w:val="24"/>
        </w:rPr>
      </w:pPr>
    </w:p>
    <w:p w:rsidR="00B27F13" w:rsidRDefault="00B27F13" w:rsidP="00B27F13">
      <w:pPr>
        <w:shd w:val="clear" w:color="auto" w:fill="FFFFFF"/>
        <w:tabs>
          <w:tab w:val="left" w:pos="900"/>
        </w:tabs>
        <w:rPr>
          <w:b/>
          <w:color w:val="000000"/>
          <w:sz w:val="24"/>
          <w:szCs w:val="24"/>
          <w:lang w:eastAsia="lt-LT"/>
        </w:rPr>
      </w:pPr>
    </w:p>
    <w:p w:rsidR="00B27F13" w:rsidRPr="00447F39" w:rsidRDefault="00B27F13" w:rsidP="00B27F13">
      <w:pPr>
        <w:rPr>
          <w:b/>
          <w:sz w:val="24"/>
          <w:szCs w:val="24"/>
        </w:rPr>
      </w:pPr>
      <w:r w:rsidRPr="00447F39">
        <w:rPr>
          <w:b/>
          <w:sz w:val="24"/>
          <w:szCs w:val="24"/>
        </w:rPr>
        <w:t xml:space="preserve">DĖL VIEŠOJO PIRKIMO NR. </w:t>
      </w:r>
      <w:r>
        <w:rPr>
          <w:b/>
          <w:sz w:val="24"/>
          <w:szCs w:val="24"/>
        </w:rPr>
        <w:t>141889</w:t>
      </w:r>
      <w:r w:rsidRPr="00447F39">
        <w:rPr>
          <w:b/>
          <w:sz w:val="24"/>
          <w:szCs w:val="24"/>
        </w:rPr>
        <w:t xml:space="preserve"> </w:t>
      </w:r>
      <w:r w:rsidR="00F141AB">
        <w:rPr>
          <w:b/>
          <w:sz w:val="24"/>
          <w:szCs w:val="24"/>
        </w:rPr>
        <w:t xml:space="preserve">DALINIO </w:t>
      </w:r>
      <w:r w:rsidRPr="00447F39">
        <w:rPr>
          <w:b/>
          <w:sz w:val="24"/>
          <w:szCs w:val="24"/>
        </w:rPr>
        <w:t xml:space="preserve">VERTINIMO </w:t>
      </w:r>
    </w:p>
    <w:p w:rsidR="00B27F13" w:rsidRPr="00447F39" w:rsidRDefault="00B27F13" w:rsidP="00B27F13">
      <w:pPr>
        <w:rPr>
          <w:b/>
          <w:sz w:val="24"/>
          <w:szCs w:val="24"/>
        </w:rPr>
      </w:pPr>
    </w:p>
    <w:p w:rsidR="00B27F13" w:rsidRPr="00447F39" w:rsidRDefault="00B27F13" w:rsidP="00B27F13">
      <w:pPr>
        <w:rPr>
          <w:b/>
          <w:sz w:val="24"/>
          <w:szCs w:val="24"/>
        </w:rPr>
      </w:pPr>
    </w:p>
    <w:p w:rsidR="00B27F13" w:rsidRDefault="008311BC" w:rsidP="000D23F1">
      <w:pPr>
        <w:tabs>
          <w:tab w:val="left" w:pos="1276"/>
        </w:tabs>
        <w:spacing w:line="276" w:lineRule="auto"/>
        <w:jc w:val="both"/>
        <w:rPr>
          <w:sz w:val="24"/>
          <w:szCs w:val="24"/>
        </w:rPr>
      </w:pPr>
      <w:r>
        <w:rPr>
          <w:sz w:val="24"/>
          <w:szCs w:val="24"/>
        </w:rPr>
        <w:tab/>
      </w:r>
      <w:r w:rsidR="00B27F13" w:rsidRPr="00FC4FF2">
        <w:rPr>
          <w:sz w:val="24"/>
          <w:szCs w:val="24"/>
        </w:rPr>
        <w:t>Viešųjų pirkimų tarnyba (toliau – Tarnyba), vadovaudamasi Lietuvos Respublikos viešųjų pirkimų įstatymo 8² straipsnio 1 dalies 2 punktu</w:t>
      </w:r>
      <w:r w:rsidR="00B27F13">
        <w:rPr>
          <w:sz w:val="24"/>
          <w:szCs w:val="24"/>
        </w:rPr>
        <w:t xml:space="preserve"> ir atsižvelgdama į Valstybinio socialinio draudimo fondo valdybos prie Socialinės apsaugos ir darbo ministerijos 2014-07-03 raštą Nr. (1.58) I-5913 „Dėl projektų valdymo sistemos sukūrimo ir įdiegimo paslaugų pirkimas“</w:t>
      </w:r>
      <w:r w:rsidR="00040E87">
        <w:rPr>
          <w:sz w:val="24"/>
          <w:szCs w:val="24"/>
        </w:rPr>
        <w:t xml:space="preserve"> (toliau – Raštas)</w:t>
      </w:r>
      <w:r w:rsidR="00B27F13">
        <w:rPr>
          <w:sz w:val="24"/>
          <w:szCs w:val="24"/>
        </w:rPr>
        <w:t xml:space="preserve"> bei</w:t>
      </w:r>
      <w:r w:rsidR="00E429C1">
        <w:rPr>
          <w:sz w:val="24"/>
          <w:szCs w:val="24"/>
        </w:rPr>
        <w:t xml:space="preserve"> į</w:t>
      </w:r>
      <w:r w:rsidR="00B27F13">
        <w:rPr>
          <w:sz w:val="24"/>
          <w:szCs w:val="24"/>
        </w:rPr>
        <w:t xml:space="preserve"> pateiktus dokumentus atliko</w:t>
      </w:r>
      <w:r w:rsidR="00B27F13" w:rsidRPr="00FC4FF2">
        <w:rPr>
          <w:sz w:val="24"/>
          <w:szCs w:val="24"/>
        </w:rPr>
        <w:t xml:space="preserve"> </w:t>
      </w:r>
      <w:r w:rsidR="002747CB">
        <w:rPr>
          <w:sz w:val="24"/>
          <w:szCs w:val="24"/>
        </w:rPr>
        <w:t>Valstybinio</w:t>
      </w:r>
      <w:r w:rsidR="00B27F13">
        <w:rPr>
          <w:sz w:val="24"/>
          <w:szCs w:val="24"/>
        </w:rPr>
        <w:t xml:space="preserve"> socialinio draudimo fondo valdybos prie </w:t>
      </w:r>
      <w:r w:rsidR="00E12D33">
        <w:rPr>
          <w:sz w:val="24"/>
          <w:szCs w:val="24"/>
        </w:rPr>
        <w:t>Socialinės apsaugos ir darbo ministerijos</w:t>
      </w:r>
      <w:r w:rsidR="00040E87">
        <w:rPr>
          <w:sz w:val="24"/>
          <w:szCs w:val="24"/>
        </w:rPr>
        <w:t xml:space="preserve"> (toliau – Perkančioji organizacija)</w:t>
      </w:r>
      <w:r w:rsidR="00B27F13">
        <w:rPr>
          <w:sz w:val="24"/>
          <w:szCs w:val="24"/>
        </w:rPr>
        <w:t xml:space="preserve"> </w:t>
      </w:r>
      <w:r w:rsidR="0006129E">
        <w:rPr>
          <w:sz w:val="24"/>
          <w:szCs w:val="24"/>
        </w:rPr>
        <w:t>vykdyto atviro</w:t>
      </w:r>
      <w:r w:rsidR="0006129E">
        <w:rPr>
          <w:sz w:val="24"/>
          <w:szCs w:val="24"/>
          <w:lang w:eastAsia="lt-LT"/>
        </w:rPr>
        <w:t xml:space="preserve"> konkurso</w:t>
      </w:r>
      <w:r w:rsidR="00B27F13" w:rsidRPr="00FC4FF2">
        <w:rPr>
          <w:sz w:val="24"/>
          <w:szCs w:val="24"/>
          <w:lang w:eastAsia="lt-LT"/>
        </w:rPr>
        <w:t xml:space="preserve"> </w:t>
      </w:r>
      <w:r w:rsidR="00B27F13" w:rsidRPr="00FC4FF2">
        <w:rPr>
          <w:sz w:val="24"/>
          <w:szCs w:val="24"/>
        </w:rPr>
        <w:t>„</w:t>
      </w:r>
      <w:r w:rsidR="00B27F13">
        <w:rPr>
          <w:i/>
          <w:sz w:val="24"/>
          <w:szCs w:val="24"/>
        </w:rPr>
        <w:t>Projektų valdymo sistemos sukūrimo ir įdiegimo paslaugų pirkimas</w:t>
      </w:r>
      <w:r w:rsidR="00B27F13" w:rsidRPr="00FC4FF2">
        <w:rPr>
          <w:sz w:val="24"/>
          <w:szCs w:val="24"/>
        </w:rPr>
        <w:t>“ (Centrinėje viešųjų pirkimų informacinėje sistemoje</w:t>
      </w:r>
      <w:r w:rsidR="00F141AB">
        <w:rPr>
          <w:sz w:val="24"/>
          <w:szCs w:val="24"/>
        </w:rPr>
        <w:t xml:space="preserve"> (toliau – CVP IS)</w:t>
      </w:r>
      <w:r w:rsidR="00B27F13" w:rsidRPr="00FC4FF2">
        <w:rPr>
          <w:sz w:val="24"/>
          <w:szCs w:val="24"/>
        </w:rPr>
        <w:t xml:space="preserve"> skelbtas </w:t>
      </w:r>
      <w:r w:rsidR="00B27F13">
        <w:rPr>
          <w:sz w:val="24"/>
          <w:szCs w:val="24"/>
        </w:rPr>
        <w:t>2013-08-30</w:t>
      </w:r>
      <w:r w:rsidR="00B27F13" w:rsidRPr="00FC4FF2">
        <w:rPr>
          <w:sz w:val="24"/>
          <w:szCs w:val="24"/>
        </w:rPr>
        <w:t xml:space="preserve">, pirkimo Nr. </w:t>
      </w:r>
      <w:r w:rsidR="00B27F13">
        <w:rPr>
          <w:sz w:val="24"/>
          <w:szCs w:val="24"/>
        </w:rPr>
        <w:t>141889</w:t>
      </w:r>
      <w:r w:rsidR="00B27F13" w:rsidRPr="00FC4FF2">
        <w:rPr>
          <w:sz w:val="24"/>
          <w:szCs w:val="24"/>
        </w:rPr>
        <w:t>) (toliau – Pirkimas)</w:t>
      </w:r>
      <w:r w:rsidR="00B27F13">
        <w:rPr>
          <w:sz w:val="24"/>
          <w:szCs w:val="24"/>
        </w:rPr>
        <w:t xml:space="preserve"> dalinį vertinimą</w:t>
      </w:r>
      <w:r w:rsidR="00B27F13" w:rsidRPr="00FC4FF2">
        <w:rPr>
          <w:sz w:val="24"/>
          <w:szCs w:val="24"/>
        </w:rPr>
        <w:t xml:space="preserve">. </w:t>
      </w:r>
    </w:p>
    <w:p w:rsidR="00040E87" w:rsidRDefault="008311BC" w:rsidP="000D23F1">
      <w:pPr>
        <w:tabs>
          <w:tab w:val="left" w:pos="1276"/>
        </w:tabs>
        <w:spacing w:line="276" w:lineRule="auto"/>
        <w:jc w:val="both"/>
        <w:rPr>
          <w:sz w:val="24"/>
          <w:szCs w:val="24"/>
        </w:rPr>
      </w:pPr>
      <w:r>
        <w:rPr>
          <w:sz w:val="24"/>
          <w:szCs w:val="24"/>
        </w:rPr>
        <w:tab/>
      </w:r>
      <w:r w:rsidR="002747CB">
        <w:rPr>
          <w:sz w:val="24"/>
          <w:szCs w:val="24"/>
        </w:rPr>
        <w:t>Pirkimas finansuojamas Europos S</w:t>
      </w:r>
      <w:r w:rsidR="00040E87">
        <w:rPr>
          <w:sz w:val="24"/>
          <w:szCs w:val="24"/>
        </w:rPr>
        <w:t xml:space="preserve">ąjungos lėšomis pagal 2007-2013 m. Žmogiškųjų išteklių plėtros veiksmų programos 4 prioriteto „Administracinių gebėjimų stiprinimas ir viešojo administravimo efektyvumo didinimas“  įgyvendinimo priemonę VP1-4.2-VRM-03-V „Viešojo administravimo subjektų sistemos tobulinimas“, įgyvendinančioji institucija – Europos </w:t>
      </w:r>
      <w:r w:rsidR="00485E05">
        <w:rPr>
          <w:sz w:val="24"/>
          <w:szCs w:val="24"/>
        </w:rPr>
        <w:t>so</w:t>
      </w:r>
      <w:r w:rsidR="00040E87">
        <w:rPr>
          <w:sz w:val="24"/>
          <w:szCs w:val="24"/>
        </w:rPr>
        <w:t>cialinio fondo agentūra</w:t>
      </w:r>
      <w:r w:rsidR="006C6DB3">
        <w:rPr>
          <w:sz w:val="24"/>
          <w:szCs w:val="24"/>
        </w:rPr>
        <w:t xml:space="preserve"> (toliau – ESFA)</w:t>
      </w:r>
      <w:r w:rsidR="00040E87">
        <w:rPr>
          <w:sz w:val="24"/>
          <w:szCs w:val="24"/>
        </w:rPr>
        <w:t>.</w:t>
      </w:r>
    </w:p>
    <w:p w:rsidR="00B27F13" w:rsidRDefault="008311BC" w:rsidP="000D23F1">
      <w:pPr>
        <w:tabs>
          <w:tab w:val="left" w:pos="1276"/>
        </w:tabs>
        <w:spacing w:line="276" w:lineRule="auto"/>
        <w:jc w:val="both"/>
        <w:rPr>
          <w:sz w:val="24"/>
          <w:szCs w:val="24"/>
        </w:rPr>
      </w:pPr>
      <w:r>
        <w:rPr>
          <w:sz w:val="24"/>
          <w:szCs w:val="24"/>
        </w:rPr>
        <w:tab/>
      </w:r>
      <w:r w:rsidR="00485E05">
        <w:rPr>
          <w:sz w:val="24"/>
          <w:szCs w:val="24"/>
        </w:rPr>
        <w:t>Perkančioji organizacija</w:t>
      </w:r>
      <w:r w:rsidR="00B27F13">
        <w:rPr>
          <w:sz w:val="24"/>
          <w:szCs w:val="24"/>
        </w:rPr>
        <w:t xml:space="preserve"> Pirkimą atliko pagal Lietuvos Respublikos viešųjų pirkimų įst</w:t>
      </w:r>
      <w:r w:rsidR="00E12D33">
        <w:rPr>
          <w:sz w:val="24"/>
          <w:szCs w:val="24"/>
        </w:rPr>
        <w:t xml:space="preserve">atymo (redakcija nuo 2013-01-30, </w:t>
      </w:r>
      <w:r w:rsidR="00B27F13">
        <w:rPr>
          <w:sz w:val="24"/>
          <w:szCs w:val="24"/>
        </w:rPr>
        <w:t xml:space="preserve">toliau </w:t>
      </w:r>
      <w:r w:rsidR="00E12D33">
        <w:rPr>
          <w:sz w:val="24"/>
          <w:szCs w:val="24"/>
        </w:rPr>
        <w:t xml:space="preserve">– </w:t>
      </w:r>
      <w:r w:rsidR="00F141AB">
        <w:rPr>
          <w:sz w:val="24"/>
          <w:szCs w:val="24"/>
        </w:rPr>
        <w:t>Įstatymas) nuostatas ir</w:t>
      </w:r>
      <w:r w:rsidR="000D5D8B">
        <w:rPr>
          <w:sz w:val="24"/>
          <w:szCs w:val="24"/>
        </w:rPr>
        <w:t xml:space="preserve"> pagal Atviro konkurso sąlygas, patvirtintas </w:t>
      </w:r>
      <w:r w:rsidR="002B08B7">
        <w:rPr>
          <w:sz w:val="24"/>
          <w:szCs w:val="24"/>
        </w:rPr>
        <w:t>Perkančiosios organizacijos P</w:t>
      </w:r>
      <w:r w:rsidR="00FD36E0">
        <w:rPr>
          <w:sz w:val="24"/>
          <w:szCs w:val="24"/>
        </w:rPr>
        <w:t>irkimo komisijos 2013-08-28 protokolo Nr. ŪV-10-268 nutarimu Nr. 2.1.</w:t>
      </w:r>
      <w:r w:rsidR="002B08B7">
        <w:rPr>
          <w:sz w:val="24"/>
          <w:szCs w:val="24"/>
        </w:rPr>
        <w:t>,</w:t>
      </w:r>
      <w:r w:rsidR="00FD36E0">
        <w:rPr>
          <w:sz w:val="24"/>
          <w:szCs w:val="24"/>
        </w:rPr>
        <w:t xml:space="preserve"> (toliau – Pirkimo sąlygos)</w:t>
      </w:r>
      <w:r w:rsidR="000D5D8B">
        <w:rPr>
          <w:sz w:val="24"/>
          <w:szCs w:val="24"/>
        </w:rPr>
        <w:t>.</w:t>
      </w:r>
    </w:p>
    <w:p w:rsidR="00FD36E0" w:rsidRDefault="008311BC" w:rsidP="000D23F1">
      <w:pPr>
        <w:tabs>
          <w:tab w:val="left" w:pos="1276"/>
        </w:tabs>
        <w:spacing w:line="276" w:lineRule="auto"/>
        <w:jc w:val="both"/>
        <w:rPr>
          <w:sz w:val="24"/>
          <w:szCs w:val="24"/>
        </w:rPr>
      </w:pPr>
      <w:r>
        <w:rPr>
          <w:sz w:val="24"/>
          <w:szCs w:val="24"/>
        </w:rPr>
        <w:tab/>
      </w:r>
      <w:r w:rsidR="003514B8">
        <w:rPr>
          <w:sz w:val="24"/>
          <w:szCs w:val="24"/>
        </w:rPr>
        <w:t>Tarnyba</w:t>
      </w:r>
      <w:r w:rsidR="000D5D8B">
        <w:rPr>
          <w:sz w:val="24"/>
          <w:szCs w:val="24"/>
        </w:rPr>
        <w:t>,</w:t>
      </w:r>
      <w:r w:rsidR="003514B8">
        <w:rPr>
          <w:sz w:val="24"/>
          <w:szCs w:val="24"/>
        </w:rPr>
        <w:t xml:space="preserve"> susipažinusi su  Raštu</w:t>
      </w:r>
      <w:r w:rsidR="000D5D8B">
        <w:rPr>
          <w:sz w:val="24"/>
          <w:szCs w:val="24"/>
        </w:rPr>
        <w:t>,</w:t>
      </w:r>
      <w:r w:rsidR="003514B8">
        <w:rPr>
          <w:sz w:val="24"/>
          <w:szCs w:val="24"/>
        </w:rPr>
        <w:t xml:space="preserve"> nustatė, kad tarp Perkančiosios organizacijos ir ESFA kilo ginčas dėl Pirkimo </w:t>
      </w:r>
      <w:r w:rsidR="00F70740">
        <w:rPr>
          <w:sz w:val="24"/>
          <w:szCs w:val="24"/>
        </w:rPr>
        <w:t>sąlygose</w:t>
      </w:r>
      <w:r w:rsidR="003514B8">
        <w:rPr>
          <w:sz w:val="24"/>
          <w:szCs w:val="24"/>
        </w:rPr>
        <w:t xml:space="preserve"> nustatytų reikalavimų atitikties Įstatymo reikalavimams. ESFA </w:t>
      </w:r>
      <w:r w:rsidR="003514B8">
        <w:rPr>
          <w:sz w:val="24"/>
          <w:szCs w:val="24"/>
        </w:rPr>
        <w:lastRenderedPageBreak/>
        <w:t>teigimu</w:t>
      </w:r>
      <w:r>
        <w:rPr>
          <w:sz w:val="24"/>
          <w:szCs w:val="24"/>
        </w:rPr>
        <w:t>,</w:t>
      </w:r>
      <w:r w:rsidR="003514B8">
        <w:rPr>
          <w:sz w:val="24"/>
          <w:szCs w:val="24"/>
        </w:rPr>
        <w:t xml:space="preserve"> (ESFA 2014-05-06 raštas</w:t>
      </w:r>
      <w:r w:rsidR="00D334CB">
        <w:rPr>
          <w:sz w:val="24"/>
          <w:szCs w:val="24"/>
        </w:rPr>
        <w:t xml:space="preserve"> Nr. ESFS07-2014-02703</w:t>
      </w:r>
      <w:r w:rsidR="003514B8">
        <w:rPr>
          <w:sz w:val="24"/>
          <w:szCs w:val="24"/>
        </w:rPr>
        <w:t xml:space="preserve"> </w:t>
      </w:r>
      <w:r>
        <w:rPr>
          <w:sz w:val="24"/>
          <w:szCs w:val="24"/>
        </w:rPr>
        <w:t>„</w:t>
      </w:r>
      <w:r w:rsidR="003514B8">
        <w:rPr>
          <w:sz w:val="24"/>
          <w:szCs w:val="24"/>
        </w:rPr>
        <w:t>Dėl pirkimo procedūrų dokumentų įvertinimo</w:t>
      </w:r>
      <w:r>
        <w:rPr>
          <w:sz w:val="24"/>
          <w:szCs w:val="24"/>
        </w:rPr>
        <w:t xml:space="preserve">“, </w:t>
      </w:r>
      <w:r w:rsidR="007004DA">
        <w:rPr>
          <w:sz w:val="24"/>
          <w:szCs w:val="24"/>
        </w:rPr>
        <w:t>toliau – I Raštas)</w:t>
      </w:r>
      <w:r w:rsidR="003514B8">
        <w:rPr>
          <w:sz w:val="24"/>
          <w:szCs w:val="24"/>
        </w:rPr>
        <w:t xml:space="preserve"> Perkančiosios organizacij</w:t>
      </w:r>
      <w:r w:rsidR="009C7884">
        <w:rPr>
          <w:sz w:val="24"/>
          <w:szCs w:val="24"/>
        </w:rPr>
        <w:t xml:space="preserve">os Pirkimo sąlygų 3.2.2.3.2.1.1 punkte nustatytas </w:t>
      </w:r>
      <w:r>
        <w:rPr>
          <w:sz w:val="24"/>
          <w:szCs w:val="24"/>
        </w:rPr>
        <w:t xml:space="preserve">minimalus kvalifikacinis </w:t>
      </w:r>
      <w:r w:rsidR="009C7884">
        <w:rPr>
          <w:sz w:val="24"/>
          <w:szCs w:val="24"/>
        </w:rPr>
        <w:t>reikalavimas projekto vadovui turėti „PMP (</w:t>
      </w:r>
      <w:proofErr w:type="spellStart"/>
      <w:r w:rsidR="009C7884">
        <w:rPr>
          <w:sz w:val="24"/>
          <w:szCs w:val="24"/>
        </w:rPr>
        <w:t>project</w:t>
      </w:r>
      <w:proofErr w:type="spellEnd"/>
      <w:r w:rsidR="009C7884">
        <w:rPr>
          <w:sz w:val="24"/>
          <w:szCs w:val="24"/>
        </w:rPr>
        <w:t xml:space="preserve"> </w:t>
      </w:r>
      <w:proofErr w:type="spellStart"/>
      <w:r w:rsidR="009C7884">
        <w:rPr>
          <w:sz w:val="24"/>
          <w:szCs w:val="24"/>
        </w:rPr>
        <w:t>Management</w:t>
      </w:r>
      <w:proofErr w:type="spellEnd"/>
      <w:r w:rsidR="009C7884">
        <w:rPr>
          <w:sz w:val="24"/>
          <w:szCs w:val="24"/>
        </w:rPr>
        <w:t xml:space="preserve"> Professional) sertifikatą arba lygiavertį dokumentą bei </w:t>
      </w:r>
      <w:r w:rsidR="00F70740">
        <w:rPr>
          <w:sz w:val="24"/>
          <w:szCs w:val="24"/>
        </w:rPr>
        <w:t xml:space="preserve">Pirkimo sąlygų </w:t>
      </w:r>
      <w:r w:rsidR="009C7884">
        <w:rPr>
          <w:sz w:val="24"/>
          <w:szCs w:val="24"/>
        </w:rPr>
        <w:t>3.2.2.3.2.1.2 punkte – CMC (</w:t>
      </w:r>
      <w:proofErr w:type="spellStart"/>
      <w:r w:rsidR="009C7884">
        <w:rPr>
          <w:sz w:val="24"/>
          <w:szCs w:val="24"/>
        </w:rPr>
        <w:t>Certified</w:t>
      </w:r>
      <w:proofErr w:type="spellEnd"/>
      <w:r w:rsidR="009C7884">
        <w:rPr>
          <w:sz w:val="24"/>
          <w:szCs w:val="24"/>
        </w:rPr>
        <w:t xml:space="preserve"> </w:t>
      </w:r>
      <w:proofErr w:type="spellStart"/>
      <w:r w:rsidR="009C7884">
        <w:rPr>
          <w:sz w:val="24"/>
          <w:szCs w:val="24"/>
        </w:rPr>
        <w:t>Management</w:t>
      </w:r>
      <w:proofErr w:type="spellEnd"/>
      <w:r w:rsidR="009C7884">
        <w:rPr>
          <w:sz w:val="24"/>
          <w:szCs w:val="24"/>
        </w:rPr>
        <w:t xml:space="preserve"> </w:t>
      </w:r>
      <w:proofErr w:type="spellStart"/>
      <w:r w:rsidR="009C7884">
        <w:rPr>
          <w:sz w:val="24"/>
          <w:szCs w:val="24"/>
        </w:rPr>
        <w:t>Consul</w:t>
      </w:r>
      <w:r w:rsidR="002747CB">
        <w:rPr>
          <w:sz w:val="24"/>
          <w:szCs w:val="24"/>
        </w:rPr>
        <w:t>t</w:t>
      </w:r>
      <w:r w:rsidR="009C7884">
        <w:rPr>
          <w:sz w:val="24"/>
          <w:szCs w:val="24"/>
        </w:rPr>
        <w:t>ing</w:t>
      </w:r>
      <w:proofErr w:type="spellEnd"/>
      <w:r w:rsidR="009C7884">
        <w:rPr>
          <w:sz w:val="24"/>
          <w:szCs w:val="24"/>
        </w:rPr>
        <w:t>) sertifikatą arba lygiavertį“</w:t>
      </w:r>
      <w:r w:rsidR="00F70740">
        <w:rPr>
          <w:sz w:val="24"/>
          <w:szCs w:val="24"/>
        </w:rPr>
        <w:t xml:space="preserve"> (toliau – Kvalifikacinis reikalavimas)</w:t>
      </w:r>
      <w:r w:rsidR="009C7884">
        <w:rPr>
          <w:sz w:val="24"/>
          <w:szCs w:val="24"/>
        </w:rPr>
        <w:t xml:space="preserve"> ir Pirkimo sąlygų 2.4.5.9.3 punkte </w:t>
      </w:r>
      <w:r w:rsidR="003514B8">
        <w:rPr>
          <w:sz w:val="24"/>
          <w:szCs w:val="24"/>
        </w:rPr>
        <w:t xml:space="preserve"> </w:t>
      </w:r>
      <w:r w:rsidR="00D334CB">
        <w:rPr>
          <w:sz w:val="24"/>
          <w:szCs w:val="24"/>
        </w:rPr>
        <w:t xml:space="preserve">nustatytas </w:t>
      </w:r>
      <w:r w:rsidR="009C7884">
        <w:rPr>
          <w:sz w:val="24"/>
          <w:szCs w:val="24"/>
        </w:rPr>
        <w:t>reikalavimas</w:t>
      </w:r>
      <w:r>
        <w:rPr>
          <w:sz w:val="24"/>
          <w:szCs w:val="24"/>
        </w:rPr>
        <w:t xml:space="preserve"> Pirkimo objektui</w:t>
      </w:r>
      <w:r w:rsidR="009C7884">
        <w:rPr>
          <w:sz w:val="24"/>
          <w:szCs w:val="24"/>
        </w:rPr>
        <w:t>, kad</w:t>
      </w:r>
      <w:r w:rsidR="00D334CB">
        <w:rPr>
          <w:sz w:val="24"/>
          <w:szCs w:val="24"/>
        </w:rPr>
        <w:t xml:space="preserve"> „siekiant išvengti nesuderinamumų, visa pateikiama programinė įranga privalo būti to paties gamintojo“</w:t>
      </w:r>
      <w:r w:rsidR="00F70740">
        <w:rPr>
          <w:sz w:val="24"/>
          <w:szCs w:val="24"/>
        </w:rPr>
        <w:t xml:space="preserve"> (toliau – Reikalavimas)</w:t>
      </w:r>
      <w:r w:rsidR="00FD36E0">
        <w:rPr>
          <w:sz w:val="24"/>
          <w:szCs w:val="24"/>
        </w:rPr>
        <w:t xml:space="preserve"> </w:t>
      </w:r>
      <w:r w:rsidR="003514B8">
        <w:rPr>
          <w:sz w:val="24"/>
          <w:szCs w:val="24"/>
        </w:rPr>
        <w:t xml:space="preserve">dirbtinai riboja konkurenciją. </w:t>
      </w:r>
    </w:p>
    <w:p w:rsidR="003514B8" w:rsidRDefault="004F29B6" w:rsidP="000D23F1">
      <w:pPr>
        <w:tabs>
          <w:tab w:val="left" w:pos="1276"/>
        </w:tabs>
        <w:spacing w:line="276" w:lineRule="auto"/>
        <w:jc w:val="both"/>
        <w:rPr>
          <w:sz w:val="24"/>
          <w:szCs w:val="24"/>
        </w:rPr>
      </w:pPr>
      <w:r>
        <w:rPr>
          <w:sz w:val="24"/>
          <w:szCs w:val="24"/>
        </w:rPr>
        <w:tab/>
      </w:r>
      <w:r w:rsidR="003514B8">
        <w:rPr>
          <w:sz w:val="24"/>
          <w:szCs w:val="24"/>
        </w:rPr>
        <w:t>Perkančioji organizacija</w:t>
      </w:r>
      <w:r w:rsidR="00FD36E0">
        <w:rPr>
          <w:sz w:val="24"/>
          <w:szCs w:val="24"/>
        </w:rPr>
        <w:t>,</w:t>
      </w:r>
      <w:r w:rsidR="003514B8">
        <w:rPr>
          <w:sz w:val="24"/>
          <w:szCs w:val="24"/>
        </w:rPr>
        <w:t xml:space="preserve"> nesutikdama su ESFA </w:t>
      </w:r>
      <w:r w:rsidR="007004DA">
        <w:rPr>
          <w:sz w:val="24"/>
          <w:szCs w:val="24"/>
        </w:rPr>
        <w:t xml:space="preserve">I Rašte </w:t>
      </w:r>
      <w:r w:rsidR="00FD36E0">
        <w:rPr>
          <w:sz w:val="24"/>
          <w:szCs w:val="24"/>
        </w:rPr>
        <w:t>nurodytomis nuostatomis,</w:t>
      </w:r>
      <w:r w:rsidR="00487D56">
        <w:rPr>
          <w:sz w:val="24"/>
          <w:szCs w:val="24"/>
        </w:rPr>
        <w:t xml:space="preserve"> paprašė Tarnybą įvertinti ar:</w:t>
      </w:r>
    </w:p>
    <w:p w:rsidR="00F70740" w:rsidRDefault="00487D56" w:rsidP="000D23F1">
      <w:pPr>
        <w:tabs>
          <w:tab w:val="left" w:pos="1276"/>
        </w:tabs>
        <w:spacing w:line="276" w:lineRule="auto"/>
        <w:jc w:val="both"/>
        <w:rPr>
          <w:sz w:val="24"/>
          <w:szCs w:val="24"/>
        </w:rPr>
      </w:pPr>
      <w:r>
        <w:rPr>
          <w:sz w:val="24"/>
          <w:szCs w:val="24"/>
        </w:rPr>
        <w:tab/>
        <w:t xml:space="preserve">1. </w:t>
      </w:r>
      <w:r w:rsidR="00F70740">
        <w:rPr>
          <w:sz w:val="24"/>
          <w:szCs w:val="24"/>
        </w:rPr>
        <w:t>Kvalifikacinis reikalavimas d</w:t>
      </w:r>
      <w:r w:rsidR="007C1B82">
        <w:rPr>
          <w:sz w:val="24"/>
          <w:szCs w:val="24"/>
        </w:rPr>
        <w:t>irbtinai neriboja konkurencijos;</w:t>
      </w:r>
    </w:p>
    <w:p w:rsidR="00D334CB" w:rsidRDefault="00487D56" w:rsidP="000D23F1">
      <w:pPr>
        <w:tabs>
          <w:tab w:val="left" w:pos="1276"/>
        </w:tabs>
        <w:spacing w:line="276" w:lineRule="auto"/>
        <w:jc w:val="both"/>
        <w:rPr>
          <w:color w:val="000000"/>
          <w:spacing w:val="-1"/>
          <w:sz w:val="24"/>
          <w:szCs w:val="24"/>
        </w:rPr>
      </w:pPr>
      <w:r>
        <w:rPr>
          <w:color w:val="000000"/>
          <w:spacing w:val="-1"/>
          <w:sz w:val="24"/>
          <w:szCs w:val="24"/>
        </w:rPr>
        <w:tab/>
        <w:t xml:space="preserve">2. </w:t>
      </w:r>
      <w:r w:rsidR="00F70740">
        <w:rPr>
          <w:color w:val="000000"/>
          <w:spacing w:val="-1"/>
          <w:sz w:val="24"/>
          <w:szCs w:val="24"/>
        </w:rPr>
        <w:t>Reikalavimas</w:t>
      </w:r>
      <w:r w:rsidRPr="00487D56">
        <w:rPr>
          <w:color w:val="000000"/>
          <w:spacing w:val="-1"/>
          <w:sz w:val="24"/>
          <w:szCs w:val="24"/>
        </w:rPr>
        <w:t xml:space="preserve"> nėra ribojantis</w:t>
      </w:r>
      <w:r w:rsidR="007C1B82">
        <w:rPr>
          <w:color w:val="000000"/>
          <w:spacing w:val="-1"/>
          <w:sz w:val="24"/>
          <w:szCs w:val="24"/>
        </w:rPr>
        <w:t>.</w:t>
      </w:r>
      <w:r w:rsidRPr="00487D56">
        <w:rPr>
          <w:color w:val="000000"/>
          <w:spacing w:val="-1"/>
          <w:sz w:val="24"/>
          <w:szCs w:val="24"/>
        </w:rPr>
        <w:t xml:space="preserve"> </w:t>
      </w:r>
    </w:p>
    <w:p w:rsidR="007004DA" w:rsidRDefault="00D334CB" w:rsidP="000D23F1">
      <w:pPr>
        <w:tabs>
          <w:tab w:val="left" w:pos="1276"/>
        </w:tabs>
        <w:spacing w:line="276" w:lineRule="auto"/>
        <w:jc w:val="both"/>
        <w:rPr>
          <w:color w:val="000000"/>
          <w:spacing w:val="-1"/>
          <w:sz w:val="24"/>
          <w:szCs w:val="24"/>
        </w:rPr>
      </w:pPr>
      <w:r>
        <w:rPr>
          <w:color w:val="000000"/>
          <w:spacing w:val="-1"/>
          <w:sz w:val="24"/>
          <w:szCs w:val="24"/>
        </w:rPr>
        <w:tab/>
      </w:r>
      <w:r w:rsidR="008826B1" w:rsidRPr="008826B1">
        <w:rPr>
          <w:color w:val="000000"/>
          <w:spacing w:val="-1"/>
          <w:sz w:val="24"/>
          <w:szCs w:val="24"/>
        </w:rPr>
        <w:t>Tarnyba, įvertinusi Perkančiosios organizacijos pateiktą infor</w:t>
      </w:r>
      <w:r w:rsidR="00864E31">
        <w:rPr>
          <w:color w:val="000000"/>
          <w:spacing w:val="-1"/>
          <w:sz w:val="24"/>
          <w:szCs w:val="24"/>
        </w:rPr>
        <w:t>maciją</w:t>
      </w:r>
      <w:r w:rsidR="008311BC">
        <w:rPr>
          <w:color w:val="000000"/>
          <w:spacing w:val="-1"/>
          <w:sz w:val="24"/>
          <w:szCs w:val="24"/>
        </w:rPr>
        <w:t xml:space="preserve"> nustatė</w:t>
      </w:r>
      <w:r w:rsidR="00864E31">
        <w:rPr>
          <w:color w:val="000000"/>
          <w:spacing w:val="-1"/>
          <w:sz w:val="24"/>
          <w:szCs w:val="24"/>
        </w:rPr>
        <w:t>, kad</w:t>
      </w:r>
      <w:r w:rsidR="008311BC">
        <w:rPr>
          <w:color w:val="000000"/>
          <w:spacing w:val="-1"/>
          <w:sz w:val="24"/>
          <w:szCs w:val="24"/>
        </w:rPr>
        <w:t>:</w:t>
      </w:r>
      <w:r w:rsidR="00487D56">
        <w:rPr>
          <w:color w:val="000000"/>
          <w:spacing w:val="-1"/>
          <w:sz w:val="24"/>
          <w:szCs w:val="24"/>
        </w:rPr>
        <w:t xml:space="preserve"> </w:t>
      </w:r>
    </w:p>
    <w:p w:rsidR="008311BC" w:rsidRPr="00273F21" w:rsidRDefault="006D7EB0" w:rsidP="000D23F1">
      <w:pPr>
        <w:tabs>
          <w:tab w:val="left" w:pos="1276"/>
        </w:tabs>
        <w:spacing w:line="276" w:lineRule="auto"/>
        <w:jc w:val="both"/>
        <w:rPr>
          <w:color w:val="000000"/>
          <w:spacing w:val="-1"/>
          <w:sz w:val="24"/>
          <w:szCs w:val="24"/>
        </w:rPr>
      </w:pPr>
      <w:r>
        <w:rPr>
          <w:color w:val="000000"/>
          <w:spacing w:val="-1"/>
          <w:sz w:val="24"/>
          <w:szCs w:val="24"/>
        </w:rPr>
        <w:tab/>
        <w:t xml:space="preserve">1. </w:t>
      </w:r>
      <w:r w:rsidR="002B08B7">
        <w:rPr>
          <w:color w:val="000000"/>
          <w:spacing w:val="-1"/>
          <w:sz w:val="24"/>
          <w:szCs w:val="24"/>
        </w:rPr>
        <w:t>Perkančioji organizacija</w:t>
      </w:r>
      <w:r>
        <w:rPr>
          <w:color w:val="000000"/>
          <w:spacing w:val="-1"/>
          <w:sz w:val="24"/>
          <w:szCs w:val="24"/>
        </w:rPr>
        <w:t xml:space="preserve"> </w:t>
      </w:r>
      <w:r w:rsidRPr="009806C7">
        <w:rPr>
          <w:color w:val="000000"/>
          <w:spacing w:val="-1"/>
          <w:sz w:val="24"/>
          <w:szCs w:val="24"/>
        </w:rPr>
        <w:t>CVP IS</w:t>
      </w:r>
      <w:r w:rsidR="000D23F1">
        <w:rPr>
          <w:color w:val="000000"/>
          <w:spacing w:val="-1"/>
          <w:sz w:val="24"/>
          <w:szCs w:val="24"/>
        </w:rPr>
        <w:t xml:space="preserve"> priemonėmis</w:t>
      </w:r>
      <w:r w:rsidRPr="009806C7">
        <w:rPr>
          <w:color w:val="000000"/>
          <w:spacing w:val="-1"/>
          <w:sz w:val="24"/>
          <w:szCs w:val="24"/>
        </w:rPr>
        <w:t xml:space="preserve"> 2013-10-</w:t>
      </w:r>
      <w:r w:rsidR="009806C7">
        <w:rPr>
          <w:color w:val="000000"/>
          <w:spacing w:val="-1"/>
          <w:sz w:val="24"/>
          <w:szCs w:val="24"/>
        </w:rPr>
        <w:t>01</w:t>
      </w:r>
      <w:r w:rsidR="002B08B7">
        <w:rPr>
          <w:color w:val="000000"/>
          <w:spacing w:val="-1"/>
          <w:sz w:val="24"/>
          <w:szCs w:val="24"/>
        </w:rPr>
        <w:t xml:space="preserve"> ir 2013-10-07</w:t>
      </w:r>
      <w:r w:rsidR="009806C7">
        <w:rPr>
          <w:color w:val="000000"/>
          <w:spacing w:val="-1"/>
          <w:sz w:val="24"/>
          <w:szCs w:val="24"/>
        </w:rPr>
        <w:t xml:space="preserve"> </w:t>
      </w:r>
      <w:r w:rsidR="002B08B7">
        <w:rPr>
          <w:color w:val="000000"/>
          <w:spacing w:val="-1"/>
          <w:sz w:val="24"/>
          <w:szCs w:val="24"/>
        </w:rPr>
        <w:t>iš tiekėjų gavo paklausimus</w:t>
      </w:r>
      <w:r w:rsidRPr="006D7EB0">
        <w:rPr>
          <w:color w:val="000000"/>
          <w:spacing w:val="-1"/>
          <w:sz w:val="24"/>
          <w:szCs w:val="24"/>
        </w:rPr>
        <w:t xml:space="preserve"> dėl Pirkimo sąlygų </w:t>
      </w:r>
      <w:r w:rsidR="00097C54">
        <w:rPr>
          <w:color w:val="000000"/>
          <w:spacing w:val="-1"/>
          <w:sz w:val="24"/>
          <w:szCs w:val="24"/>
        </w:rPr>
        <w:t xml:space="preserve">3.1.2.3.1, </w:t>
      </w:r>
      <w:r w:rsidR="00864E31" w:rsidRPr="006D7EB0">
        <w:rPr>
          <w:color w:val="000000"/>
          <w:spacing w:val="-1"/>
          <w:sz w:val="24"/>
          <w:szCs w:val="24"/>
        </w:rPr>
        <w:t>3.2.2.3.2.1.1 ir</w:t>
      </w:r>
      <w:r w:rsidR="00097C54">
        <w:rPr>
          <w:color w:val="000000"/>
          <w:spacing w:val="-1"/>
          <w:sz w:val="24"/>
          <w:szCs w:val="24"/>
        </w:rPr>
        <w:t xml:space="preserve"> 3.2.2.3.2.1.2</w:t>
      </w:r>
      <w:r>
        <w:rPr>
          <w:color w:val="000000"/>
          <w:spacing w:val="-1"/>
          <w:sz w:val="24"/>
          <w:szCs w:val="24"/>
        </w:rPr>
        <w:t xml:space="preserve"> punkte nurodyto K</w:t>
      </w:r>
      <w:r w:rsidR="00864E31" w:rsidRPr="006D7EB0">
        <w:rPr>
          <w:color w:val="000000"/>
          <w:spacing w:val="-1"/>
          <w:sz w:val="24"/>
          <w:szCs w:val="24"/>
        </w:rPr>
        <w:t>valifikacinio reikalavimo</w:t>
      </w:r>
      <w:r w:rsidR="009806C7">
        <w:rPr>
          <w:color w:val="000000"/>
          <w:spacing w:val="-1"/>
          <w:sz w:val="24"/>
          <w:szCs w:val="24"/>
        </w:rPr>
        <w:t>.</w:t>
      </w:r>
      <w:r>
        <w:rPr>
          <w:color w:val="000000"/>
          <w:spacing w:val="-1"/>
          <w:sz w:val="24"/>
          <w:szCs w:val="24"/>
        </w:rPr>
        <w:t xml:space="preserve"> Perkančiosios organizacijos </w:t>
      </w:r>
      <w:r w:rsidR="002B08B7">
        <w:rPr>
          <w:color w:val="000000"/>
          <w:spacing w:val="-1"/>
          <w:sz w:val="24"/>
          <w:szCs w:val="24"/>
        </w:rPr>
        <w:t>Pirkimo komisijos</w:t>
      </w:r>
      <w:r>
        <w:rPr>
          <w:color w:val="000000"/>
          <w:spacing w:val="-1"/>
          <w:sz w:val="24"/>
          <w:szCs w:val="24"/>
        </w:rPr>
        <w:t xml:space="preserve"> 2013-10-22 pateiktame atsakyme nurodyta, kad </w:t>
      </w:r>
      <w:r>
        <w:rPr>
          <w:i/>
          <w:color w:val="000000"/>
          <w:spacing w:val="-1"/>
          <w:sz w:val="24"/>
          <w:szCs w:val="24"/>
        </w:rPr>
        <w:t>„&lt;...&gt; Siekiant užtikrinti kokybišką ir sklandų paslaugų teikimą ir rezultatus, tiekėjas turi pasiūlyti tinkamos kvalifikacijos projekto vadovą. Atsižvelgiant į tai, kad paslaugų teikimo metu projektų valdymo sistema turi būti ne tik sukurta, bet ir tapti atskirų Fondo valdybos veiklos procesų dalimi, valdymo įrankiu</w:t>
      </w:r>
      <w:r w:rsidR="00174EF2">
        <w:rPr>
          <w:i/>
          <w:color w:val="000000"/>
          <w:spacing w:val="-1"/>
          <w:sz w:val="24"/>
          <w:szCs w:val="24"/>
        </w:rPr>
        <w:t>, siekiama gauti aukštos kompetencijos ir profesionalumo paslaugas, todėl ir yra reikalaujama, kad projekto vadovas turėtų faktines žinias ir patirtį tiek projektų valdyme (tai įrodo projektų valdymo sertifikatas PMP arba kitas lygiavertis dokumentas, tiek organizacijos vadybos konsultavime (tai įrodo vadybos konsultanto sertifikatas CMC arba kitas lygiavertis dokumentas &lt;...&gt;“</w:t>
      </w:r>
      <w:r w:rsidR="00174EF2">
        <w:rPr>
          <w:color w:val="000000"/>
          <w:spacing w:val="-1"/>
          <w:sz w:val="24"/>
          <w:szCs w:val="24"/>
        </w:rPr>
        <w:t xml:space="preserve">. Taip pat Perkančioji organizacija iš ESFA gavo I Raštą, kuriame prašo pateikti papildomą informaciją dėl Pirkimo sąlygų </w:t>
      </w:r>
      <w:r w:rsidR="00097C54">
        <w:rPr>
          <w:color w:val="000000"/>
          <w:spacing w:val="-1"/>
          <w:sz w:val="24"/>
          <w:szCs w:val="24"/>
        </w:rPr>
        <w:t xml:space="preserve">3.1.2.3.1, </w:t>
      </w:r>
      <w:r w:rsidR="00174EF2">
        <w:rPr>
          <w:color w:val="000000"/>
          <w:spacing w:val="-1"/>
          <w:sz w:val="24"/>
          <w:szCs w:val="24"/>
        </w:rPr>
        <w:t>3.2.2.3.2.1.1 ir 3.2.2.3.2.1.2 punktuose nurodytų Kvalifikacinių reikalavimų, Perkančioji organizacija 2014-05-22 pateikė</w:t>
      </w:r>
      <w:r w:rsidR="009C44FF">
        <w:rPr>
          <w:color w:val="000000"/>
          <w:spacing w:val="-1"/>
          <w:sz w:val="24"/>
          <w:szCs w:val="24"/>
        </w:rPr>
        <w:t xml:space="preserve"> raštą Nr. (7.31) I-4753 ESFA „D</w:t>
      </w:r>
      <w:r w:rsidR="00174EF2">
        <w:rPr>
          <w:color w:val="000000"/>
          <w:spacing w:val="-1"/>
          <w:sz w:val="24"/>
          <w:szCs w:val="24"/>
        </w:rPr>
        <w:t>ėl pirkimo procedūrų dokumentų įvertinimo“</w:t>
      </w:r>
      <w:r w:rsidR="00E369D2">
        <w:rPr>
          <w:color w:val="000000"/>
          <w:spacing w:val="-1"/>
          <w:sz w:val="24"/>
          <w:szCs w:val="24"/>
        </w:rPr>
        <w:t xml:space="preserve"> atsakydama į ESFA I Raštą, kuriame nurodo, kad </w:t>
      </w:r>
      <w:r w:rsidR="00E369D2">
        <w:rPr>
          <w:i/>
          <w:color w:val="000000"/>
          <w:spacing w:val="-1"/>
          <w:sz w:val="24"/>
          <w:szCs w:val="24"/>
        </w:rPr>
        <w:t>„&lt;...&gt; Reikalavimai projekto vadovui turėti PMP  sertifikatą arba lygiavertį dokumentą yra pagrįsti, kadangi šių sertifikatų turėjimas tik patvirtina skirtingas projekto vadovui būtinas kompetencijas, reikalingas paslaugų teikimui. &lt;...&gt; reikalaujant vadybos konsultavimo kvalifikacijos CMC siekiama užtikrinti, kad tiekėjo paskirtas projekto vadovas išmanytų pirkimo objekto specifiką, turėtų bendrąsias projektų valdymo</w:t>
      </w:r>
      <w:r w:rsidR="00273F21">
        <w:rPr>
          <w:i/>
          <w:color w:val="000000"/>
          <w:spacing w:val="-1"/>
          <w:sz w:val="24"/>
          <w:szCs w:val="24"/>
        </w:rPr>
        <w:t xml:space="preserve"> </w:t>
      </w:r>
      <w:r w:rsidR="00273F21" w:rsidRPr="00273F21">
        <w:rPr>
          <w:color w:val="000000"/>
          <w:spacing w:val="-1"/>
          <w:sz w:val="24"/>
          <w:szCs w:val="24"/>
        </w:rPr>
        <w:t>žinias</w:t>
      </w:r>
      <w:r w:rsidR="00273F21">
        <w:rPr>
          <w:i/>
          <w:color w:val="000000"/>
          <w:spacing w:val="-1"/>
          <w:sz w:val="24"/>
          <w:szCs w:val="24"/>
        </w:rPr>
        <w:t xml:space="preserve"> ir sugebėtų kokybiškai planuoti, vykdyti, kontroliuoti visą paslaugų teikimą bei jų eigą &lt;...&gt;“. </w:t>
      </w:r>
      <w:r w:rsidR="00273F21">
        <w:rPr>
          <w:color w:val="000000"/>
          <w:spacing w:val="-1"/>
          <w:sz w:val="24"/>
          <w:szCs w:val="24"/>
        </w:rPr>
        <w:t>Perkančioji organizacija 2014-07-03 raštu Nr. (1.58) I-5913 „Dėl projektų valdymo sistemos sukūrimo ir įdiegimo pasl</w:t>
      </w:r>
      <w:r w:rsidR="00654CBC">
        <w:rPr>
          <w:color w:val="000000"/>
          <w:spacing w:val="-1"/>
          <w:sz w:val="24"/>
          <w:szCs w:val="24"/>
        </w:rPr>
        <w:t>augų pirkimo“ kreipėsi į Tarnybą</w:t>
      </w:r>
      <w:r w:rsidR="00273F21">
        <w:rPr>
          <w:color w:val="000000"/>
          <w:spacing w:val="-1"/>
          <w:sz w:val="24"/>
          <w:szCs w:val="24"/>
        </w:rPr>
        <w:t xml:space="preserve"> ir ESFA, teikdama paaiškinimą, kad </w:t>
      </w:r>
      <w:r w:rsidR="00273F21">
        <w:rPr>
          <w:i/>
          <w:color w:val="000000"/>
          <w:spacing w:val="-1"/>
          <w:sz w:val="24"/>
          <w:szCs w:val="24"/>
        </w:rPr>
        <w:t>„&lt;...&gt; Atsižvelgiant į tai, kad Lietuvoje yra ne mažiau 28 CMC sertifikatus turinčių asmenų, iš kurių nemaža dalis deklaruoja turintys vadybos kvalifikaciją, ir ne mažiau 100 PMP sertifikuotų specialistų, galima manyti, kad reikalavimas nėra dirbtinai ribojantis &lt;...&gt;“</w:t>
      </w:r>
      <w:r w:rsidR="00273F21">
        <w:rPr>
          <w:color w:val="000000"/>
          <w:spacing w:val="-1"/>
          <w:sz w:val="24"/>
          <w:szCs w:val="24"/>
        </w:rPr>
        <w:t xml:space="preserve">. </w:t>
      </w:r>
    </w:p>
    <w:p w:rsidR="009C7884" w:rsidRDefault="00273F21" w:rsidP="000D23F1">
      <w:pPr>
        <w:tabs>
          <w:tab w:val="left" w:pos="1276"/>
        </w:tabs>
        <w:spacing w:line="276" w:lineRule="auto"/>
        <w:jc w:val="both"/>
        <w:rPr>
          <w:color w:val="000000"/>
          <w:spacing w:val="-1"/>
          <w:sz w:val="24"/>
          <w:szCs w:val="24"/>
        </w:rPr>
      </w:pPr>
      <w:r>
        <w:rPr>
          <w:color w:val="000000"/>
          <w:spacing w:val="-1"/>
          <w:sz w:val="24"/>
          <w:szCs w:val="24"/>
        </w:rPr>
        <w:tab/>
      </w:r>
      <w:r w:rsidR="009C7884" w:rsidRPr="00487D56">
        <w:rPr>
          <w:color w:val="000000"/>
          <w:spacing w:val="-1"/>
          <w:sz w:val="24"/>
          <w:szCs w:val="24"/>
        </w:rPr>
        <w:t xml:space="preserve">Įstatymo 32 straipsnio 1 dalyje įtvirtinta nuostata, pagal kurią perkančioji organizacija yra įpareigota išsiaiškinti tiekėjo kompetentingumą, patikimumą ir pajėgumą įvykdyti pirkimo sąlygas, </w:t>
      </w:r>
      <w:r w:rsidR="00097C54">
        <w:rPr>
          <w:color w:val="000000"/>
          <w:spacing w:val="-1"/>
          <w:sz w:val="24"/>
          <w:szCs w:val="24"/>
        </w:rPr>
        <w:t xml:space="preserve">Įstatymo 32 straipsnio 2 dalyje įtvirtinta nuostata, jog perkančiosios organizacijos nustatyti minimalūs kandidatų ar dalyvių kvalifikacijos reikalavimai negali dirbtinai riboti konkurencijos, </w:t>
      </w:r>
      <w:r w:rsidR="009C7884" w:rsidRPr="00487D56">
        <w:rPr>
          <w:color w:val="000000"/>
          <w:spacing w:val="-1"/>
          <w:sz w:val="24"/>
          <w:szCs w:val="24"/>
        </w:rPr>
        <w:t>todėl nepažeisdama Įstatymo reikalavimų, tik perkančioji organizacija turi teisę nuspręsti, kokius kvalifikacijos reikalavimus</w:t>
      </w:r>
      <w:r>
        <w:rPr>
          <w:color w:val="000000"/>
          <w:spacing w:val="-1"/>
          <w:sz w:val="24"/>
          <w:szCs w:val="24"/>
        </w:rPr>
        <w:t xml:space="preserve"> nustatyti pirkimo dokumentuose.</w:t>
      </w:r>
    </w:p>
    <w:p w:rsidR="004B7E91" w:rsidRDefault="00273F21" w:rsidP="000D23F1">
      <w:pPr>
        <w:tabs>
          <w:tab w:val="left" w:pos="1276"/>
        </w:tabs>
        <w:spacing w:line="276" w:lineRule="auto"/>
        <w:jc w:val="both"/>
        <w:rPr>
          <w:color w:val="000000"/>
          <w:spacing w:val="-1"/>
          <w:sz w:val="24"/>
          <w:szCs w:val="24"/>
        </w:rPr>
      </w:pPr>
      <w:r>
        <w:rPr>
          <w:color w:val="000000"/>
          <w:spacing w:val="-1"/>
          <w:sz w:val="24"/>
          <w:szCs w:val="24"/>
        </w:rPr>
        <w:tab/>
        <w:t>Atsižvelgiant į išdėstymą ir į tai, jog</w:t>
      </w:r>
      <w:r w:rsidR="00097C54">
        <w:rPr>
          <w:color w:val="000000"/>
          <w:spacing w:val="-1"/>
          <w:sz w:val="24"/>
          <w:szCs w:val="24"/>
        </w:rPr>
        <w:t xml:space="preserve"> Perkančioji organizacija vykdo tarptautinį pirkimą, atviro konkurso būdu,</w:t>
      </w:r>
      <w:r>
        <w:rPr>
          <w:color w:val="000000"/>
          <w:spacing w:val="-1"/>
          <w:sz w:val="24"/>
          <w:szCs w:val="24"/>
        </w:rPr>
        <w:t xml:space="preserve"> Perkančiajai organizacijai tiekėjai teikė paklausimus ir gavus atsakymus nebuvo </w:t>
      </w:r>
      <w:r>
        <w:rPr>
          <w:color w:val="000000"/>
          <w:spacing w:val="-1"/>
          <w:sz w:val="24"/>
          <w:szCs w:val="24"/>
        </w:rPr>
        <w:lastRenderedPageBreak/>
        <w:t>prieštaravimų ir neteikė pretenzijų, taip pat į Pirkimo objekto svarbą</w:t>
      </w:r>
      <w:r w:rsidR="000D23F1">
        <w:rPr>
          <w:color w:val="000000"/>
          <w:spacing w:val="-1"/>
          <w:sz w:val="24"/>
          <w:szCs w:val="24"/>
        </w:rPr>
        <w:t>,</w:t>
      </w:r>
      <w:r>
        <w:rPr>
          <w:color w:val="000000"/>
          <w:spacing w:val="-1"/>
          <w:sz w:val="24"/>
          <w:szCs w:val="24"/>
        </w:rPr>
        <w:t xml:space="preserve"> </w:t>
      </w:r>
      <w:r w:rsidR="00947AA7">
        <w:rPr>
          <w:color w:val="000000"/>
          <w:spacing w:val="-1"/>
          <w:sz w:val="24"/>
          <w:szCs w:val="24"/>
        </w:rPr>
        <w:t>darytina išvada, kad Perkančiosios</w:t>
      </w:r>
      <w:r>
        <w:rPr>
          <w:color w:val="000000"/>
          <w:spacing w:val="-1"/>
          <w:sz w:val="24"/>
          <w:szCs w:val="24"/>
        </w:rPr>
        <w:t xml:space="preserve"> organizacijos nustatytas Kvalifikacinis reikalavimas</w:t>
      </w:r>
      <w:r w:rsidR="003C78F6">
        <w:rPr>
          <w:color w:val="000000"/>
          <w:spacing w:val="-1"/>
          <w:sz w:val="24"/>
          <w:szCs w:val="24"/>
        </w:rPr>
        <w:t xml:space="preserve"> nepažeidžia Įstatymo 32 straipsnio 2 dalies nuostatos, kad nustatyti minimalūs kvalifikaciniai reikalavimai negali</w:t>
      </w:r>
      <w:r>
        <w:rPr>
          <w:color w:val="000000"/>
          <w:spacing w:val="-1"/>
          <w:sz w:val="24"/>
          <w:szCs w:val="24"/>
        </w:rPr>
        <w:t xml:space="preserve"> dirbtinai </w:t>
      </w:r>
      <w:r w:rsidR="003C78F6">
        <w:rPr>
          <w:color w:val="000000"/>
          <w:spacing w:val="-1"/>
          <w:sz w:val="24"/>
          <w:szCs w:val="24"/>
        </w:rPr>
        <w:t>riboti</w:t>
      </w:r>
      <w:r>
        <w:rPr>
          <w:color w:val="000000"/>
          <w:spacing w:val="-1"/>
          <w:sz w:val="24"/>
          <w:szCs w:val="24"/>
        </w:rPr>
        <w:t xml:space="preserve"> konkurencijos</w:t>
      </w:r>
      <w:r w:rsidR="004B7E91">
        <w:rPr>
          <w:color w:val="000000"/>
          <w:spacing w:val="-1"/>
          <w:sz w:val="24"/>
          <w:szCs w:val="24"/>
        </w:rPr>
        <w:t>.</w:t>
      </w:r>
    </w:p>
    <w:p w:rsidR="009C44FF" w:rsidRPr="00011545" w:rsidRDefault="004B7E91" w:rsidP="000D23F1">
      <w:pPr>
        <w:tabs>
          <w:tab w:val="left" w:pos="1276"/>
        </w:tabs>
        <w:spacing w:line="276" w:lineRule="auto"/>
        <w:jc w:val="both"/>
        <w:rPr>
          <w:color w:val="000000"/>
          <w:spacing w:val="-1"/>
          <w:sz w:val="24"/>
          <w:szCs w:val="24"/>
        </w:rPr>
      </w:pPr>
      <w:r>
        <w:rPr>
          <w:color w:val="000000"/>
          <w:spacing w:val="-1"/>
          <w:sz w:val="24"/>
          <w:szCs w:val="24"/>
        </w:rPr>
        <w:tab/>
        <w:t xml:space="preserve">2. </w:t>
      </w:r>
      <w:r w:rsidR="002B08B7">
        <w:rPr>
          <w:color w:val="000000"/>
          <w:spacing w:val="-1"/>
          <w:sz w:val="24"/>
          <w:szCs w:val="24"/>
        </w:rPr>
        <w:t>Perkančioji</w:t>
      </w:r>
      <w:r w:rsidR="009C44FF">
        <w:rPr>
          <w:color w:val="000000"/>
          <w:spacing w:val="-1"/>
          <w:sz w:val="24"/>
          <w:szCs w:val="24"/>
        </w:rPr>
        <w:t xml:space="preserve"> organi</w:t>
      </w:r>
      <w:r w:rsidR="002B08B7">
        <w:rPr>
          <w:color w:val="000000"/>
          <w:spacing w:val="-1"/>
          <w:sz w:val="24"/>
          <w:szCs w:val="24"/>
        </w:rPr>
        <w:t>zacija</w:t>
      </w:r>
      <w:r w:rsidR="009C44FF">
        <w:rPr>
          <w:color w:val="000000"/>
          <w:spacing w:val="-1"/>
          <w:sz w:val="24"/>
          <w:szCs w:val="24"/>
        </w:rPr>
        <w:t xml:space="preserve"> CVP IS </w:t>
      </w:r>
      <w:r w:rsidR="000D23F1">
        <w:rPr>
          <w:color w:val="000000"/>
          <w:spacing w:val="-1"/>
          <w:sz w:val="24"/>
          <w:szCs w:val="24"/>
        </w:rPr>
        <w:t xml:space="preserve">priemonėmis </w:t>
      </w:r>
      <w:r w:rsidR="009C44FF" w:rsidRPr="009806C7">
        <w:rPr>
          <w:color w:val="000000"/>
          <w:spacing w:val="-1"/>
          <w:sz w:val="24"/>
          <w:szCs w:val="24"/>
        </w:rPr>
        <w:t>2013-10-</w:t>
      </w:r>
      <w:r w:rsidR="009C44FF">
        <w:rPr>
          <w:color w:val="000000"/>
          <w:spacing w:val="-1"/>
          <w:sz w:val="24"/>
          <w:szCs w:val="24"/>
        </w:rPr>
        <w:t>17</w:t>
      </w:r>
      <w:r w:rsidR="002B08B7">
        <w:rPr>
          <w:color w:val="000000"/>
          <w:spacing w:val="-1"/>
          <w:sz w:val="24"/>
          <w:szCs w:val="24"/>
        </w:rPr>
        <w:t xml:space="preserve"> </w:t>
      </w:r>
      <w:r w:rsidR="009C44FF">
        <w:rPr>
          <w:color w:val="000000"/>
          <w:spacing w:val="-1"/>
          <w:sz w:val="24"/>
          <w:szCs w:val="24"/>
        </w:rPr>
        <w:t xml:space="preserve">iš tiekėjo gavo paklausimą dėl Pirkimo sąlygų 2.4.5.9.3 punkte nustatyto reikalavimo, jog </w:t>
      </w:r>
      <w:r w:rsidR="009C44FF">
        <w:rPr>
          <w:i/>
          <w:color w:val="000000"/>
          <w:spacing w:val="-1"/>
          <w:sz w:val="24"/>
          <w:szCs w:val="24"/>
        </w:rPr>
        <w:t>„Siekiant išvengti nesuderinamumų, visa pateikiama programinė įranga privalo būti to paties gamintojo“.</w:t>
      </w:r>
      <w:r w:rsidR="009C44FF">
        <w:rPr>
          <w:color w:val="000000"/>
          <w:spacing w:val="-1"/>
          <w:sz w:val="24"/>
          <w:szCs w:val="24"/>
        </w:rPr>
        <w:t xml:space="preserve"> Perkančiosios organizacijos </w:t>
      </w:r>
      <w:r w:rsidR="002B08B7">
        <w:rPr>
          <w:color w:val="000000"/>
          <w:spacing w:val="-1"/>
          <w:sz w:val="24"/>
          <w:szCs w:val="24"/>
        </w:rPr>
        <w:t>Pirkimo komisijos</w:t>
      </w:r>
      <w:r w:rsidR="009C44FF">
        <w:rPr>
          <w:color w:val="000000"/>
          <w:spacing w:val="-1"/>
          <w:sz w:val="24"/>
          <w:szCs w:val="24"/>
        </w:rPr>
        <w:t xml:space="preserve"> 2013-10-22 pateiktame atsakyme nurodyta, kad</w:t>
      </w:r>
      <w:r w:rsidR="00BC362C">
        <w:rPr>
          <w:color w:val="000000"/>
          <w:spacing w:val="-1"/>
          <w:sz w:val="24"/>
          <w:szCs w:val="24"/>
        </w:rPr>
        <w:t xml:space="preserve"> </w:t>
      </w:r>
      <w:r w:rsidR="00BC362C" w:rsidRPr="00BC362C">
        <w:rPr>
          <w:i/>
          <w:color w:val="000000"/>
          <w:spacing w:val="-1"/>
          <w:sz w:val="24"/>
          <w:szCs w:val="24"/>
        </w:rPr>
        <w:t>„</w:t>
      </w:r>
      <w:r w:rsidR="004A7324">
        <w:rPr>
          <w:i/>
          <w:color w:val="000000"/>
          <w:spacing w:val="-1"/>
          <w:sz w:val="24"/>
          <w:szCs w:val="24"/>
        </w:rPr>
        <w:t xml:space="preserve">&lt;...&gt; </w:t>
      </w:r>
      <w:r w:rsidR="00BC362C" w:rsidRPr="00BC362C">
        <w:rPr>
          <w:i/>
          <w:color w:val="000000"/>
          <w:spacing w:val="-1"/>
          <w:sz w:val="24"/>
          <w:szCs w:val="24"/>
        </w:rPr>
        <w:t>Fondo valdyba, diegdama projektų valdymo sistemą, siekia išvengti bet kokio galimo nesuderinamumo tarp atskirų programinės įrangos komponentų, taip pat užtikrinti, kad produktai būtų palaikomi bent 10 metų po paslaugų teikimo sutarties pabaigos</w:t>
      </w:r>
      <w:r w:rsidR="00097C54">
        <w:rPr>
          <w:i/>
          <w:color w:val="000000"/>
          <w:spacing w:val="-1"/>
          <w:sz w:val="24"/>
          <w:szCs w:val="24"/>
        </w:rPr>
        <w:t xml:space="preserve"> (komercinių produktų techninis palaikymas užtikrinamas 10 m.): a) Jei programinės įrangos komponentai, kaip duomenų bazių valdymo sistema (DBVS), aplikacijų serveris, siūlomi tiekėjo, yra ne vieno gamintojo, tiekėjas privalo &lt;...&gt;</w:t>
      </w:r>
      <w:r w:rsidR="00BC362C">
        <w:rPr>
          <w:i/>
          <w:color w:val="000000"/>
          <w:spacing w:val="-1"/>
          <w:sz w:val="24"/>
          <w:szCs w:val="24"/>
        </w:rPr>
        <w:t xml:space="preserve">. </w:t>
      </w:r>
      <w:r w:rsidR="00097C54">
        <w:rPr>
          <w:i/>
          <w:color w:val="000000"/>
          <w:spacing w:val="-1"/>
          <w:sz w:val="24"/>
          <w:szCs w:val="24"/>
        </w:rPr>
        <w:t xml:space="preserve">b) </w:t>
      </w:r>
      <w:r w:rsidR="00BC362C">
        <w:rPr>
          <w:i/>
          <w:color w:val="000000"/>
          <w:spacing w:val="-1"/>
          <w:sz w:val="24"/>
          <w:szCs w:val="24"/>
        </w:rPr>
        <w:t xml:space="preserve">Perkančiosios organizacijos žiniomis, panašius komercinius sprendimus gamina ir Lietuvoje teikia bent 3 gamintojai: IBM, </w:t>
      </w:r>
      <w:proofErr w:type="spellStart"/>
      <w:r w:rsidR="00BC362C">
        <w:rPr>
          <w:i/>
          <w:color w:val="000000"/>
          <w:spacing w:val="-1"/>
          <w:sz w:val="24"/>
          <w:szCs w:val="24"/>
        </w:rPr>
        <w:t>Oracle</w:t>
      </w:r>
      <w:proofErr w:type="spellEnd"/>
      <w:r w:rsidR="00BC362C">
        <w:rPr>
          <w:i/>
          <w:color w:val="000000"/>
          <w:spacing w:val="-1"/>
          <w:sz w:val="24"/>
          <w:szCs w:val="24"/>
        </w:rPr>
        <w:t>, Microsoft</w:t>
      </w:r>
      <w:r w:rsidR="00097C54">
        <w:rPr>
          <w:i/>
          <w:color w:val="000000"/>
          <w:spacing w:val="-1"/>
          <w:sz w:val="24"/>
          <w:szCs w:val="24"/>
        </w:rPr>
        <w:t>. c) Tiekėjas gali siūlyti atvirojo kodo programinę įrangą, jei ji yra vieno gamintojo arba tenkina a) punkte nurodytas sąlygas &lt;...&gt;</w:t>
      </w:r>
      <w:r w:rsidR="00BC362C">
        <w:rPr>
          <w:i/>
          <w:color w:val="000000"/>
          <w:spacing w:val="-1"/>
          <w:sz w:val="24"/>
          <w:szCs w:val="24"/>
        </w:rPr>
        <w:t>“.</w:t>
      </w:r>
      <w:r w:rsidR="00BC362C">
        <w:rPr>
          <w:color w:val="000000"/>
          <w:spacing w:val="-1"/>
          <w:sz w:val="24"/>
          <w:szCs w:val="24"/>
        </w:rPr>
        <w:t xml:space="preserve"> Taip pat Perkančioji organizacija iš ESFA gavo I Raštą, kuriame prašo pateikti papildomą informaciją dėl Pirkimo sąlygų 2.4.5.9.3 punkte nurodyto Reikalavimo, Perkančioji organizacija 2014-05-22 pateikė raštą Nr. (7.31) I-4753 ESFA „Dėl pirkimo procedūrų dokumentų įvertinimo“ atsakydama į ESFA I Raštą, kuriame nurodo, kad</w:t>
      </w:r>
      <w:r w:rsidR="004A7324">
        <w:rPr>
          <w:color w:val="000000"/>
          <w:spacing w:val="-1"/>
          <w:sz w:val="24"/>
          <w:szCs w:val="24"/>
        </w:rPr>
        <w:t xml:space="preserve"> </w:t>
      </w:r>
      <w:r w:rsidR="004A7324">
        <w:rPr>
          <w:i/>
          <w:color w:val="000000"/>
          <w:spacing w:val="-1"/>
          <w:sz w:val="24"/>
          <w:szCs w:val="24"/>
        </w:rPr>
        <w:t>„&lt;...&gt; Atsižvelgiant į šio aspekto svarbą, atitinkamas reikalavimas buvo numatytas ir techninėje specifikacijoje, kurio pagrįstumą galima paaiškinti taip: 1) Vieno gamintojo kuriamoms programinėms įrangos komponentėms yra užtikrinamas jų tarpusavio visapusiškas veikimo suderinamumas, dėl to pasirinkto sprendimo (šiuo atveju valdymo sistemos) diegimas, integravimas ir konfigūravimas yra paprastesnis ir greitesnis, keliantis mažiau rūpesčių, neturi neigiamos įtakos įdiegtos sistemos funkcionalumui, lankstesnės įdiegtos sistemos modifikavimo, tobulinimo ir plėtros galimybės &lt;...&gt;. 2) Vieno gamintojo programinės įrangos komponenčių pagrindu įdie</w:t>
      </w:r>
      <w:r w:rsidR="006072DF">
        <w:rPr>
          <w:i/>
          <w:color w:val="000000"/>
          <w:spacing w:val="-1"/>
          <w:sz w:val="24"/>
          <w:szCs w:val="24"/>
        </w:rPr>
        <w:t>gtos sistemos priežiūra yra leng</w:t>
      </w:r>
      <w:r w:rsidR="004A7324">
        <w:rPr>
          <w:i/>
          <w:color w:val="000000"/>
          <w:spacing w:val="-1"/>
          <w:sz w:val="24"/>
          <w:szCs w:val="24"/>
        </w:rPr>
        <w:t>vesnė</w:t>
      </w:r>
      <w:r w:rsidR="006072DF">
        <w:rPr>
          <w:i/>
          <w:color w:val="000000"/>
          <w:spacing w:val="-1"/>
          <w:sz w:val="24"/>
          <w:szCs w:val="24"/>
        </w:rPr>
        <w:t>, kadangi programinės įrangos komponenčių tarpusavio suderinamumas užtikrina sistemos stabilesnį veikimą, paprastesnis atnaujinimas, lengvesnė iškilusių problemų paieška ir sprendimas &lt;...&gt;. 3) Vieno gamintojo programinės įrangos komponenčių pagrindu įdiegtos sistemos priežiūros išlaidos yra mažesnės, kadangi dėl komponenčių suderinamumo sistemos priežiūrai reikia skirti mažiau lėšų, jai administruoti pakanka vieno darbuotojo &lt;...&gt;“.</w:t>
      </w:r>
      <w:r w:rsidR="006072DF">
        <w:rPr>
          <w:color w:val="000000"/>
          <w:spacing w:val="-1"/>
          <w:sz w:val="24"/>
          <w:szCs w:val="24"/>
        </w:rPr>
        <w:t xml:space="preserve"> </w:t>
      </w:r>
      <w:r w:rsidR="002B08B7">
        <w:rPr>
          <w:color w:val="000000"/>
          <w:spacing w:val="-1"/>
          <w:sz w:val="24"/>
          <w:szCs w:val="24"/>
        </w:rPr>
        <w:t>Be to,</w:t>
      </w:r>
      <w:r w:rsidR="006072DF">
        <w:rPr>
          <w:color w:val="000000"/>
          <w:spacing w:val="-1"/>
          <w:sz w:val="24"/>
          <w:szCs w:val="24"/>
        </w:rPr>
        <w:t xml:space="preserve"> Perkančioji organizacija 2014-07-03 raštu Nr. (1.58) I-5913 „Dėl projektų valdymo sistemos sukūrimo ir įdiegimo pasl</w:t>
      </w:r>
      <w:r w:rsidR="00A40714">
        <w:rPr>
          <w:color w:val="000000"/>
          <w:spacing w:val="-1"/>
          <w:sz w:val="24"/>
          <w:szCs w:val="24"/>
        </w:rPr>
        <w:t>augų pirkimo“ kreipėsi į Tarnybą</w:t>
      </w:r>
      <w:r w:rsidR="006072DF">
        <w:rPr>
          <w:color w:val="000000"/>
          <w:spacing w:val="-1"/>
          <w:sz w:val="24"/>
          <w:szCs w:val="24"/>
        </w:rPr>
        <w:t xml:space="preserve"> ir ESFA, teikdama paaiškinimą, kad</w:t>
      </w:r>
      <w:r w:rsidR="006072DF">
        <w:rPr>
          <w:i/>
          <w:color w:val="000000"/>
          <w:spacing w:val="-1"/>
          <w:sz w:val="24"/>
          <w:szCs w:val="24"/>
        </w:rPr>
        <w:t xml:space="preserve"> „&lt;...&gt; Iš skirtingų gamintojų modulių sukomplektuota programinė įranga</w:t>
      </w:r>
      <w:r w:rsidR="00011545">
        <w:rPr>
          <w:i/>
          <w:color w:val="000000"/>
          <w:spacing w:val="-1"/>
          <w:sz w:val="24"/>
          <w:szCs w:val="24"/>
        </w:rPr>
        <w:t xml:space="preserve"> tiek dėl ribotos projekto trukmės, tiek dėl kitų resursų ribotumo nebus ištestuota taip, kaip ištestuojama gamintojų programinė įranga. Todėl nėra garantijų, kad ją eksploatuojant nekils situacijos, kai bus prarasta informacija, trikdomas eksploatacijai reiktų skirti ženkliai didesnius resursus, nei standartinės vieno gamintojo programinės įrangos eksploatacijai. &lt;...&gt; Atsižvelgiant į tai, kad Lietuvoje atstovus turi ne mažiau 7 gamintojų, gaminančių projektų valdymo programinę įrangą (Microsoft, IBM, </w:t>
      </w:r>
      <w:proofErr w:type="spellStart"/>
      <w:r w:rsidR="00011545">
        <w:rPr>
          <w:i/>
          <w:color w:val="000000"/>
          <w:spacing w:val="-1"/>
          <w:sz w:val="24"/>
          <w:szCs w:val="24"/>
        </w:rPr>
        <w:t>Oracle</w:t>
      </w:r>
      <w:proofErr w:type="spellEnd"/>
      <w:r w:rsidR="00011545">
        <w:rPr>
          <w:i/>
          <w:color w:val="000000"/>
          <w:spacing w:val="-1"/>
          <w:sz w:val="24"/>
          <w:szCs w:val="24"/>
        </w:rPr>
        <w:t xml:space="preserve">, SAP, EPM </w:t>
      </w:r>
      <w:proofErr w:type="spellStart"/>
      <w:r w:rsidR="00011545">
        <w:rPr>
          <w:i/>
          <w:color w:val="000000"/>
          <w:spacing w:val="-1"/>
          <w:sz w:val="24"/>
          <w:szCs w:val="24"/>
        </w:rPr>
        <w:t>Live</w:t>
      </w:r>
      <w:proofErr w:type="spellEnd"/>
      <w:r w:rsidR="00011545">
        <w:rPr>
          <w:i/>
          <w:color w:val="000000"/>
          <w:spacing w:val="-1"/>
          <w:sz w:val="24"/>
          <w:szCs w:val="24"/>
        </w:rPr>
        <w:t xml:space="preserve">, CA </w:t>
      </w:r>
      <w:proofErr w:type="spellStart"/>
      <w:r w:rsidR="00011545">
        <w:rPr>
          <w:i/>
          <w:color w:val="000000"/>
          <w:spacing w:val="-1"/>
          <w:sz w:val="24"/>
          <w:szCs w:val="24"/>
        </w:rPr>
        <w:t>Clarity</w:t>
      </w:r>
      <w:proofErr w:type="spellEnd"/>
      <w:r w:rsidR="00011545">
        <w:rPr>
          <w:i/>
          <w:color w:val="000000"/>
          <w:spacing w:val="-1"/>
          <w:sz w:val="24"/>
          <w:szCs w:val="24"/>
        </w:rPr>
        <w:t xml:space="preserve">, HP), kurie turi po kelis, o Microsoft – nes virš 40 atstovų, galinčių vykdyti </w:t>
      </w:r>
      <w:proofErr w:type="spellStart"/>
      <w:r w:rsidR="00011545">
        <w:rPr>
          <w:i/>
          <w:color w:val="000000"/>
          <w:spacing w:val="-1"/>
          <w:sz w:val="24"/>
          <w:szCs w:val="24"/>
        </w:rPr>
        <w:t>diegimus</w:t>
      </w:r>
      <w:proofErr w:type="spellEnd"/>
      <w:r w:rsidR="00011545">
        <w:rPr>
          <w:i/>
          <w:color w:val="000000"/>
          <w:spacing w:val="-1"/>
          <w:sz w:val="24"/>
          <w:szCs w:val="24"/>
        </w:rPr>
        <w:t>, teigti, kad toks reikalavimas riboja konkurenciją nebūtų teisinga &lt;...&gt;“</w:t>
      </w:r>
      <w:r w:rsidR="00011545">
        <w:rPr>
          <w:color w:val="000000"/>
          <w:spacing w:val="-1"/>
          <w:sz w:val="24"/>
          <w:szCs w:val="24"/>
        </w:rPr>
        <w:t>.</w:t>
      </w:r>
    </w:p>
    <w:p w:rsidR="000D23F1" w:rsidRDefault="00011545" w:rsidP="000D23F1">
      <w:pPr>
        <w:tabs>
          <w:tab w:val="left" w:pos="1276"/>
        </w:tabs>
        <w:spacing w:line="276" w:lineRule="auto"/>
        <w:jc w:val="both"/>
        <w:rPr>
          <w:sz w:val="24"/>
          <w:szCs w:val="24"/>
        </w:rPr>
      </w:pPr>
      <w:r>
        <w:rPr>
          <w:i/>
          <w:color w:val="000000"/>
          <w:spacing w:val="-1"/>
          <w:sz w:val="24"/>
          <w:szCs w:val="24"/>
        </w:rPr>
        <w:tab/>
      </w:r>
      <w:r w:rsidR="009C7884" w:rsidRPr="00487D56">
        <w:rPr>
          <w:sz w:val="24"/>
          <w:szCs w:val="24"/>
        </w:rPr>
        <w:t>Įstatymo 3 straipsnio 2 dalyje nustatyta, kad pirkimo tikslas yra vadovaujantis Įstatymo reikalavimais sudaryti pirkimo sutartį, leidžiančią įsigyti perkančiajai organizacijai reikalingų prekių, paslaugų ar darbų, racionaliai naudojant tam skirtas lėšas. Tačiau Tarny</w:t>
      </w:r>
      <w:r w:rsidR="00FD36E0">
        <w:rPr>
          <w:sz w:val="24"/>
          <w:szCs w:val="24"/>
        </w:rPr>
        <w:t>ba pastebi</w:t>
      </w:r>
      <w:r w:rsidR="009C7884" w:rsidRPr="00487D56">
        <w:rPr>
          <w:sz w:val="24"/>
          <w:szCs w:val="24"/>
        </w:rPr>
        <w:t xml:space="preserve">, kad </w:t>
      </w:r>
      <w:r w:rsidR="00FD36E0">
        <w:rPr>
          <w:sz w:val="24"/>
          <w:szCs w:val="24"/>
        </w:rPr>
        <w:t>Pirkimo</w:t>
      </w:r>
      <w:r w:rsidR="009C7884" w:rsidRPr="00487D56">
        <w:rPr>
          <w:sz w:val="24"/>
          <w:szCs w:val="24"/>
        </w:rPr>
        <w:t xml:space="preserve"> sąlygos turi būti pagrįstos ir negali dirbtinai riboti konkurencijos. Perkančioji organizacija, </w:t>
      </w:r>
      <w:r w:rsidR="009C7884" w:rsidRPr="00487D56">
        <w:rPr>
          <w:sz w:val="24"/>
          <w:szCs w:val="24"/>
        </w:rPr>
        <w:lastRenderedPageBreak/>
        <w:t>atsižvelgdama į konkretaus pirkimo ypatybes, specifiką ir vadovaudamasi Įstatymo 25 straipsnio reikalavimais, nurodo tokias technines specifikacijas, kokių, jos manymu, dėl objektyvių priežasčių reikia.</w:t>
      </w:r>
    </w:p>
    <w:p w:rsidR="009C7884" w:rsidRDefault="000D23F1" w:rsidP="000D23F1">
      <w:pPr>
        <w:tabs>
          <w:tab w:val="left" w:pos="1276"/>
        </w:tabs>
        <w:spacing w:line="276" w:lineRule="auto"/>
        <w:jc w:val="both"/>
        <w:rPr>
          <w:sz w:val="24"/>
          <w:szCs w:val="24"/>
        </w:rPr>
      </w:pPr>
      <w:r>
        <w:rPr>
          <w:sz w:val="24"/>
          <w:szCs w:val="24"/>
        </w:rPr>
        <w:tab/>
      </w:r>
      <w:r w:rsidRPr="000D23F1">
        <w:rPr>
          <w:sz w:val="24"/>
          <w:szCs w:val="24"/>
        </w:rPr>
        <w:t>Atsižvelgiant į išdėstytą ir į tai, kad perkančioji organizacija atsakydama tiekėjam</w:t>
      </w:r>
      <w:r w:rsidR="002747CB">
        <w:rPr>
          <w:sz w:val="24"/>
          <w:szCs w:val="24"/>
        </w:rPr>
        <w:t>s nurodė, kad gali būti pateikta</w:t>
      </w:r>
      <w:r w:rsidRPr="000D23F1">
        <w:rPr>
          <w:sz w:val="24"/>
          <w:szCs w:val="24"/>
        </w:rPr>
        <w:t xml:space="preserve"> programinė įranga ir ne vieno gamintojo, Tarnybos nuomone, negalima teigti, kad Reikalavimas pažeidžia Įstatymo 25 straipsnio 2 ar 8 dalį ir dirbtinai riboja konkurenciją</w:t>
      </w:r>
      <w:r w:rsidR="00F70740">
        <w:rPr>
          <w:sz w:val="24"/>
          <w:szCs w:val="24"/>
        </w:rPr>
        <w:t>, nes kiekvienu atveju pati perkančioji organizacija, atsižvelgdama į pirkimo objektą, nustato tokias sąlygas, kurios yra būtinos bei pagrįstos siekiant įgyvendinti pirkimo tikslą.</w:t>
      </w:r>
    </w:p>
    <w:p w:rsidR="009C7884" w:rsidRPr="009C7884" w:rsidRDefault="009C7884" w:rsidP="000D23F1">
      <w:pPr>
        <w:tabs>
          <w:tab w:val="left" w:pos="1276"/>
        </w:tabs>
        <w:spacing w:line="276" w:lineRule="auto"/>
        <w:ind w:firstLine="720"/>
        <w:jc w:val="both"/>
        <w:rPr>
          <w:color w:val="000000"/>
          <w:spacing w:val="-1"/>
          <w:sz w:val="24"/>
          <w:szCs w:val="24"/>
        </w:rPr>
      </w:pPr>
      <w:r>
        <w:rPr>
          <w:sz w:val="24"/>
          <w:szCs w:val="24"/>
        </w:rPr>
        <w:tab/>
      </w:r>
      <w:r w:rsidR="00C21B56">
        <w:rPr>
          <w:sz w:val="24"/>
          <w:szCs w:val="24"/>
        </w:rPr>
        <w:t>Apibendrindama</w:t>
      </w:r>
      <w:r>
        <w:rPr>
          <w:sz w:val="24"/>
          <w:szCs w:val="24"/>
        </w:rPr>
        <w:t xml:space="preserve"> pateiktą informaciją</w:t>
      </w:r>
      <w:r w:rsidR="00C21B56">
        <w:rPr>
          <w:sz w:val="24"/>
          <w:szCs w:val="24"/>
        </w:rPr>
        <w:t>,</w:t>
      </w:r>
      <w:r>
        <w:rPr>
          <w:sz w:val="24"/>
          <w:szCs w:val="24"/>
        </w:rPr>
        <w:t xml:space="preserve"> Tarnyba</w:t>
      </w:r>
      <w:r>
        <w:rPr>
          <w:color w:val="000000"/>
          <w:spacing w:val="-1"/>
          <w:sz w:val="24"/>
          <w:szCs w:val="24"/>
        </w:rPr>
        <w:t xml:space="preserve"> </w:t>
      </w:r>
      <w:r w:rsidRPr="008826B1">
        <w:rPr>
          <w:color w:val="000000"/>
          <w:spacing w:val="-1"/>
          <w:sz w:val="24"/>
          <w:szCs w:val="24"/>
        </w:rPr>
        <w:t>neturi pagrindo konstatuoti, kad Perkanči</w:t>
      </w:r>
      <w:r w:rsidR="0087629E">
        <w:rPr>
          <w:color w:val="000000"/>
          <w:spacing w:val="-1"/>
          <w:sz w:val="24"/>
          <w:szCs w:val="24"/>
        </w:rPr>
        <w:t>osios organizacijos</w:t>
      </w:r>
      <w:r>
        <w:rPr>
          <w:color w:val="000000"/>
          <w:spacing w:val="-1"/>
          <w:sz w:val="24"/>
          <w:szCs w:val="24"/>
        </w:rPr>
        <w:t xml:space="preserve"> nustatytas Kvalifikacijos reikalavimas ir Reikalavimas</w:t>
      </w:r>
      <w:r w:rsidRPr="008826B1">
        <w:rPr>
          <w:color w:val="000000"/>
          <w:spacing w:val="-1"/>
          <w:sz w:val="24"/>
          <w:szCs w:val="24"/>
        </w:rPr>
        <w:t xml:space="preserve"> pažeidžia Įstatymo 3 straipsnio 1 dalyje įtvirtintus principus </w:t>
      </w:r>
      <w:r w:rsidR="003C78F6">
        <w:rPr>
          <w:color w:val="000000"/>
          <w:spacing w:val="-1"/>
          <w:sz w:val="24"/>
          <w:szCs w:val="24"/>
        </w:rPr>
        <w:t>ar dirbtinai riboja konkurenciją.</w:t>
      </w:r>
    </w:p>
    <w:p w:rsidR="009C7884" w:rsidRPr="00487D56" w:rsidRDefault="009C7884" w:rsidP="009C7884">
      <w:pPr>
        <w:tabs>
          <w:tab w:val="left" w:pos="1276"/>
        </w:tabs>
        <w:jc w:val="both"/>
        <w:rPr>
          <w:color w:val="000000"/>
          <w:spacing w:val="-1"/>
          <w:sz w:val="24"/>
          <w:szCs w:val="24"/>
        </w:rPr>
      </w:pPr>
    </w:p>
    <w:p w:rsidR="00B27F13" w:rsidRDefault="00B27F13" w:rsidP="00B27F13">
      <w:pPr>
        <w:jc w:val="both"/>
        <w:rPr>
          <w:sz w:val="24"/>
          <w:szCs w:val="24"/>
          <w:lang w:eastAsia="lt-LT"/>
        </w:rPr>
      </w:pPr>
    </w:p>
    <w:p w:rsidR="000D23F1" w:rsidRDefault="000D23F1" w:rsidP="00B27F13">
      <w:pPr>
        <w:jc w:val="both"/>
        <w:rPr>
          <w:sz w:val="24"/>
          <w:szCs w:val="24"/>
          <w:lang w:eastAsia="lt-LT"/>
        </w:rPr>
      </w:pPr>
    </w:p>
    <w:p w:rsidR="00F25642" w:rsidRPr="00447F39" w:rsidRDefault="00F25642" w:rsidP="00B27F13">
      <w:pPr>
        <w:jc w:val="both"/>
        <w:rPr>
          <w:sz w:val="24"/>
          <w:szCs w:val="24"/>
          <w:lang w:eastAsia="lt-LT"/>
        </w:rPr>
      </w:pPr>
    </w:p>
    <w:tbl>
      <w:tblPr>
        <w:tblW w:w="9639" w:type="dxa"/>
        <w:tblLook w:val="01E0" w:firstRow="1" w:lastRow="1" w:firstColumn="1" w:lastColumn="1" w:noHBand="0" w:noVBand="0"/>
      </w:tblPr>
      <w:tblGrid>
        <w:gridCol w:w="4704"/>
        <w:gridCol w:w="4935"/>
      </w:tblGrid>
      <w:tr w:rsidR="00B27F13" w:rsidRPr="00255FBE" w:rsidTr="00783598">
        <w:tc>
          <w:tcPr>
            <w:tcW w:w="4704" w:type="dxa"/>
          </w:tcPr>
          <w:p w:rsidR="00B27F13" w:rsidRPr="000D160C" w:rsidRDefault="00B27F13" w:rsidP="00783598">
            <w:pPr>
              <w:pStyle w:val="Pagrindinistekstas"/>
              <w:tabs>
                <w:tab w:val="left" w:pos="720"/>
              </w:tabs>
              <w:jc w:val="left"/>
              <w:rPr>
                <w:sz w:val="24"/>
                <w:szCs w:val="24"/>
              </w:rPr>
            </w:pPr>
            <w:r>
              <w:rPr>
                <w:sz w:val="24"/>
                <w:szCs w:val="24"/>
              </w:rPr>
              <w:t>Direktorius</w:t>
            </w:r>
          </w:p>
        </w:tc>
        <w:tc>
          <w:tcPr>
            <w:tcW w:w="4935" w:type="dxa"/>
          </w:tcPr>
          <w:p w:rsidR="00B27F13" w:rsidRDefault="00B27F13" w:rsidP="00783598">
            <w:pPr>
              <w:pStyle w:val="Pagrindinistekstas"/>
              <w:tabs>
                <w:tab w:val="left" w:pos="720"/>
              </w:tabs>
              <w:jc w:val="right"/>
              <w:rPr>
                <w:sz w:val="24"/>
                <w:szCs w:val="24"/>
              </w:rPr>
            </w:pPr>
            <w:r>
              <w:rPr>
                <w:sz w:val="24"/>
                <w:szCs w:val="24"/>
              </w:rPr>
              <w:t xml:space="preserve"> Žydrūnas </w:t>
            </w:r>
            <w:proofErr w:type="spellStart"/>
            <w:r>
              <w:rPr>
                <w:sz w:val="24"/>
                <w:szCs w:val="24"/>
              </w:rPr>
              <w:t>Plytnikas</w:t>
            </w:r>
            <w:proofErr w:type="spellEnd"/>
          </w:p>
        </w:tc>
      </w:tr>
      <w:tr w:rsidR="00B27F13" w:rsidRPr="00255FBE" w:rsidTr="00783598">
        <w:tc>
          <w:tcPr>
            <w:tcW w:w="4704" w:type="dxa"/>
          </w:tcPr>
          <w:p w:rsidR="00B27F13" w:rsidRDefault="00B27F13" w:rsidP="00783598">
            <w:pPr>
              <w:pStyle w:val="Pagrindinistekstas"/>
              <w:tabs>
                <w:tab w:val="left" w:pos="720"/>
              </w:tabs>
              <w:jc w:val="left"/>
              <w:rPr>
                <w:sz w:val="24"/>
                <w:szCs w:val="24"/>
              </w:rPr>
            </w:pPr>
          </w:p>
        </w:tc>
        <w:tc>
          <w:tcPr>
            <w:tcW w:w="4935" w:type="dxa"/>
          </w:tcPr>
          <w:p w:rsidR="00B27F13" w:rsidRDefault="00B27F13" w:rsidP="00783598">
            <w:pPr>
              <w:pStyle w:val="Pagrindinistekstas"/>
              <w:tabs>
                <w:tab w:val="left" w:pos="720"/>
              </w:tabs>
              <w:jc w:val="right"/>
              <w:rPr>
                <w:sz w:val="24"/>
                <w:szCs w:val="24"/>
              </w:rPr>
            </w:pPr>
          </w:p>
        </w:tc>
      </w:tr>
    </w:tbl>
    <w:p w:rsidR="00B27F13" w:rsidRPr="00447F39" w:rsidRDefault="00B27F13" w:rsidP="00B27F13">
      <w:pPr>
        <w:jc w:val="both"/>
        <w:rPr>
          <w:color w:val="000000"/>
          <w:sz w:val="24"/>
          <w:szCs w:val="24"/>
        </w:rPr>
      </w:pPr>
    </w:p>
    <w:p w:rsidR="00B27F13" w:rsidRPr="00447F39" w:rsidRDefault="00B27F13" w:rsidP="00B27F13">
      <w:pPr>
        <w:jc w:val="both"/>
        <w:rPr>
          <w:color w:val="000000"/>
          <w:sz w:val="24"/>
          <w:szCs w:val="24"/>
        </w:rPr>
      </w:pPr>
    </w:p>
    <w:p w:rsidR="00B27F13" w:rsidRDefault="00B27F13" w:rsidP="00B27F13">
      <w:pPr>
        <w:jc w:val="both"/>
        <w:rPr>
          <w:color w:val="000000"/>
          <w:sz w:val="24"/>
          <w:szCs w:val="24"/>
        </w:rPr>
      </w:pPr>
    </w:p>
    <w:p w:rsidR="00FD36E0" w:rsidRDefault="00FD36E0"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564711" w:rsidRDefault="00564711" w:rsidP="00B27F13">
      <w:pPr>
        <w:jc w:val="both"/>
        <w:rPr>
          <w:color w:val="000000"/>
          <w:sz w:val="24"/>
          <w:szCs w:val="24"/>
        </w:rPr>
      </w:pPr>
    </w:p>
    <w:p w:rsidR="000D23F1" w:rsidRDefault="000D23F1" w:rsidP="00B27F13">
      <w:pPr>
        <w:jc w:val="both"/>
        <w:rPr>
          <w:color w:val="000000"/>
          <w:sz w:val="24"/>
          <w:szCs w:val="24"/>
        </w:rPr>
      </w:pPr>
    </w:p>
    <w:p w:rsidR="000D23F1" w:rsidRDefault="000D23F1" w:rsidP="00B27F13">
      <w:pPr>
        <w:jc w:val="both"/>
        <w:rPr>
          <w:color w:val="000000"/>
          <w:sz w:val="24"/>
          <w:szCs w:val="24"/>
        </w:rPr>
      </w:pPr>
    </w:p>
    <w:p w:rsidR="00564711" w:rsidRPr="00447F39" w:rsidRDefault="00564711" w:rsidP="00564711">
      <w:pPr>
        <w:jc w:val="both"/>
        <w:rPr>
          <w:color w:val="000000"/>
          <w:sz w:val="24"/>
          <w:szCs w:val="24"/>
        </w:rPr>
      </w:pPr>
    </w:p>
    <w:p w:rsidR="00136A6D" w:rsidRPr="00F25642" w:rsidRDefault="00136A6D" w:rsidP="00F25642">
      <w:pPr>
        <w:jc w:val="both"/>
        <w:rPr>
          <w:color w:val="000000"/>
          <w:sz w:val="24"/>
          <w:szCs w:val="24"/>
        </w:rPr>
      </w:pPr>
      <w:bookmarkStart w:id="2" w:name="_GoBack"/>
      <w:bookmarkEnd w:id="2"/>
    </w:p>
    <w:sectPr w:rsidR="00136A6D" w:rsidRPr="00F25642" w:rsidSect="00F25642">
      <w:headerReference w:type="even" r:id="rId11"/>
      <w:headerReference w:type="default" r:id="rId12"/>
      <w:footerReference w:type="default" r:id="rId13"/>
      <w:footerReference w:type="first" r:id="rId14"/>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FCC" w:rsidRDefault="00E429C1">
      <w:r>
        <w:separator/>
      </w:r>
    </w:p>
  </w:endnote>
  <w:endnote w:type="continuationSeparator" w:id="0">
    <w:p w:rsidR="00F07FCC" w:rsidRDefault="00E4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564711">
    <w:pPr>
      <w:pStyle w:val="Porat"/>
    </w:pPr>
  </w:p>
  <w:p w:rsidR="00B23540" w:rsidRDefault="00564711">
    <w:pPr>
      <w:pStyle w:val="Porat"/>
    </w:pPr>
  </w:p>
  <w:p w:rsidR="00B23540" w:rsidRDefault="0056471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396B0F" w:rsidRPr="008F10BE" w:rsidTr="0048148B">
      <w:tc>
        <w:tcPr>
          <w:tcW w:w="3225" w:type="dxa"/>
        </w:tcPr>
        <w:p w:rsidR="008A5A7B" w:rsidRPr="008F10BE" w:rsidRDefault="00F25642" w:rsidP="00225780">
          <w:pPr>
            <w:pStyle w:val="Porat"/>
          </w:pPr>
          <w:r w:rsidRPr="008F10BE">
            <w:t>Biudžetinė įstaiga</w:t>
          </w:r>
        </w:p>
        <w:p w:rsidR="00225780" w:rsidRPr="008F10BE" w:rsidRDefault="00F25642" w:rsidP="00225780">
          <w:pPr>
            <w:pStyle w:val="Porat"/>
          </w:pPr>
          <w:r w:rsidRPr="008F10BE">
            <w:t>Kareivių g. 1, 08221 Vilnius</w:t>
          </w:r>
        </w:p>
        <w:p w:rsidR="00225780" w:rsidRPr="008F10BE" w:rsidRDefault="00F25642" w:rsidP="00225780">
          <w:pPr>
            <w:pStyle w:val="Porat"/>
          </w:pPr>
          <w:r w:rsidRPr="008F10BE">
            <w:t>http://www.vpt.lt</w:t>
          </w:r>
        </w:p>
      </w:tc>
      <w:tc>
        <w:tcPr>
          <w:tcW w:w="3225" w:type="dxa"/>
        </w:tcPr>
        <w:p w:rsidR="00396B0F" w:rsidRPr="008F10BE" w:rsidRDefault="00F25642" w:rsidP="008A5A7B">
          <w:pPr>
            <w:pStyle w:val="Porat"/>
          </w:pPr>
          <w:r w:rsidRPr="008F10BE">
            <w:t>Tel. (8 5) 219 7001</w:t>
          </w:r>
        </w:p>
        <w:p w:rsidR="008A5A7B" w:rsidRPr="008F10BE" w:rsidRDefault="00F25642" w:rsidP="008A5A7B">
          <w:pPr>
            <w:pStyle w:val="Porat"/>
          </w:pPr>
          <w:r w:rsidRPr="008F10BE">
            <w:t>Faks. (8 5) 213 6213</w:t>
          </w:r>
        </w:p>
        <w:p w:rsidR="008A5A7B" w:rsidRPr="008F10BE" w:rsidRDefault="00F25642" w:rsidP="008A5A7B">
          <w:pPr>
            <w:pStyle w:val="Porat"/>
          </w:pPr>
          <w:r w:rsidRPr="008F10BE">
            <w:t>El. p. info@vpt.lt</w:t>
          </w:r>
        </w:p>
      </w:tc>
      <w:tc>
        <w:tcPr>
          <w:tcW w:w="3225" w:type="dxa"/>
        </w:tcPr>
        <w:p w:rsidR="008A5A7B" w:rsidRPr="008F10BE" w:rsidRDefault="00F25642" w:rsidP="008A5A7B">
          <w:pPr>
            <w:pStyle w:val="Porat"/>
          </w:pPr>
          <w:r w:rsidRPr="008F10BE">
            <w:t>Duomenys kaupiami ir saugomi</w:t>
          </w:r>
        </w:p>
        <w:p w:rsidR="00225780" w:rsidRPr="008F10BE" w:rsidRDefault="00F25642" w:rsidP="00225780">
          <w:pPr>
            <w:pStyle w:val="Porat"/>
          </w:pPr>
          <w:r w:rsidRPr="008F10BE">
            <w:t>Juridinių asmenų registre</w:t>
          </w:r>
        </w:p>
        <w:p w:rsidR="00396B0F" w:rsidRPr="008F10BE" w:rsidRDefault="00F25642" w:rsidP="00225780">
          <w:pPr>
            <w:pStyle w:val="Porat"/>
          </w:pPr>
          <w:r w:rsidRPr="008F10BE">
            <w:t>Kodas 188656261</w:t>
          </w:r>
        </w:p>
      </w:tc>
    </w:tr>
  </w:tbl>
  <w:p w:rsidR="00B23540" w:rsidRPr="008F10BE" w:rsidRDefault="00564711"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FCC" w:rsidRDefault="00E429C1">
      <w:r>
        <w:separator/>
      </w:r>
    </w:p>
  </w:footnote>
  <w:footnote w:type="continuationSeparator" w:id="0">
    <w:p w:rsidR="00F07FCC" w:rsidRDefault="00E42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F256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5647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F256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64711">
      <w:rPr>
        <w:rStyle w:val="Puslapionumeris"/>
        <w:noProof/>
      </w:rPr>
      <w:t>4</w:t>
    </w:r>
    <w:r>
      <w:rPr>
        <w:rStyle w:val="Puslapionumeris"/>
      </w:rPr>
      <w:fldChar w:fldCharType="end"/>
    </w:r>
  </w:p>
  <w:p w:rsidR="00B23540" w:rsidRDefault="0056471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6236B"/>
    <w:multiLevelType w:val="hybridMultilevel"/>
    <w:tmpl w:val="874C0390"/>
    <w:lvl w:ilvl="0" w:tplc="1C7E5EB4">
      <w:start w:val="1"/>
      <w:numFmt w:val="decimal"/>
      <w:lvlText w:val="%1."/>
      <w:lvlJc w:val="left"/>
      <w:pPr>
        <w:ind w:left="1069" w:hanging="360"/>
      </w:pPr>
      <w:rPr>
        <w:rFonts w:ascii="Times New Roman" w:eastAsia="Times New Roman" w:hAnsi="Times New Roman" w:cs="Times New Roman"/>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6286593"/>
    <w:multiLevelType w:val="hybridMultilevel"/>
    <w:tmpl w:val="43126FF6"/>
    <w:lvl w:ilvl="0" w:tplc="A95012CA">
      <w:start w:val="1"/>
      <w:numFmt w:val="decimal"/>
      <w:lvlText w:val="%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2">
    <w:nsid w:val="19075DFC"/>
    <w:multiLevelType w:val="hybridMultilevel"/>
    <w:tmpl w:val="6C0A1FCC"/>
    <w:lvl w:ilvl="0" w:tplc="E84411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7F94840"/>
    <w:multiLevelType w:val="hybridMultilevel"/>
    <w:tmpl w:val="CD9EB348"/>
    <w:lvl w:ilvl="0" w:tplc="90129DCA">
      <w:start w:val="1"/>
      <w:numFmt w:val="decimal"/>
      <w:lvlText w:val="%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4">
    <w:nsid w:val="3E673338"/>
    <w:multiLevelType w:val="hybridMultilevel"/>
    <w:tmpl w:val="39189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13651DF"/>
    <w:multiLevelType w:val="hybridMultilevel"/>
    <w:tmpl w:val="988814C6"/>
    <w:lvl w:ilvl="0" w:tplc="B1745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5A954C00"/>
    <w:multiLevelType w:val="hybridMultilevel"/>
    <w:tmpl w:val="B3544C70"/>
    <w:lvl w:ilvl="0" w:tplc="BA84D8AA">
      <w:start w:val="1"/>
      <w:numFmt w:val="decimal"/>
      <w:lvlText w:val="%1."/>
      <w:lvlJc w:val="left"/>
      <w:pPr>
        <w:ind w:left="1008" w:hanging="360"/>
      </w:pPr>
      <w:rPr>
        <w:rFonts w:hint="default"/>
      </w:rPr>
    </w:lvl>
    <w:lvl w:ilvl="1" w:tplc="04270019" w:tentative="1">
      <w:start w:val="1"/>
      <w:numFmt w:val="lowerLetter"/>
      <w:lvlText w:val="%2."/>
      <w:lvlJc w:val="left"/>
      <w:pPr>
        <w:ind w:left="1728" w:hanging="360"/>
      </w:pPr>
    </w:lvl>
    <w:lvl w:ilvl="2" w:tplc="0427001B" w:tentative="1">
      <w:start w:val="1"/>
      <w:numFmt w:val="lowerRoman"/>
      <w:lvlText w:val="%3."/>
      <w:lvlJc w:val="right"/>
      <w:pPr>
        <w:ind w:left="2448" w:hanging="180"/>
      </w:pPr>
    </w:lvl>
    <w:lvl w:ilvl="3" w:tplc="0427000F" w:tentative="1">
      <w:start w:val="1"/>
      <w:numFmt w:val="decimal"/>
      <w:lvlText w:val="%4."/>
      <w:lvlJc w:val="left"/>
      <w:pPr>
        <w:ind w:left="3168" w:hanging="360"/>
      </w:pPr>
    </w:lvl>
    <w:lvl w:ilvl="4" w:tplc="04270019" w:tentative="1">
      <w:start w:val="1"/>
      <w:numFmt w:val="lowerLetter"/>
      <w:lvlText w:val="%5."/>
      <w:lvlJc w:val="left"/>
      <w:pPr>
        <w:ind w:left="3888" w:hanging="360"/>
      </w:pPr>
    </w:lvl>
    <w:lvl w:ilvl="5" w:tplc="0427001B" w:tentative="1">
      <w:start w:val="1"/>
      <w:numFmt w:val="lowerRoman"/>
      <w:lvlText w:val="%6."/>
      <w:lvlJc w:val="right"/>
      <w:pPr>
        <w:ind w:left="4608" w:hanging="180"/>
      </w:pPr>
    </w:lvl>
    <w:lvl w:ilvl="6" w:tplc="0427000F" w:tentative="1">
      <w:start w:val="1"/>
      <w:numFmt w:val="decimal"/>
      <w:lvlText w:val="%7."/>
      <w:lvlJc w:val="left"/>
      <w:pPr>
        <w:ind w:left="5328" w:hanging="360"/>
      </w:pPr>
    </w:lvl>
    <w:lvl w:ilvl="7" w:tplc="04270019" w:tentative="1">
      <w:start w:val="1"/>
      <w:numFmt w:val="lowerLetter"/>
      <w:lvlText w:val="%8."/>
      <w:lvlJc w:val="left"/>
      <w:pPr>
        <w:ind w:left="6048" w:hanging="360"/>
      </w:pPr>
    </w:lvl>
    <w:lvl w:ilvl="8" w:tplc="0427001B" w:tentative="1">
      <w:start w:val="1"/>
      <w:numFmt w:val="lowerRoman"/>
      <w:lvlText w:val="%9."/>
      <w:lvlJc w:val="right"/>
      <w:pPr>
        <w:ind w:left="6768" w:hanging="180"/>
      </w:pPr>
    </w:lvl>
  </w:abstractNum>
  <w:abstractNum w:abstractNumId="7">
    <w:nsid w:val="64DD3D18"/>
    <w:multiLevelType w:val="hybridMultilevel"/>
    <w:tmpl w:val="320EC6BC"/>
    <w:lvl w:ilvl="0" w:tplc="D0A6EA8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71E70D10"/>
    <w:multiLevelType w:val="hybridMultilevel"/>
    <w:tmpl w:val="B98CA82E"/>
    <w:lvl w:ilvl="0" w:tplc="3246FC88">
      <w:start w:val="1"/>
      <w:numFmt w:val="decimal"/>
      <w:lvlText w:val="%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num w:numId="1">
    <w:abstractNumId w:val="7"/>
  </w:num>
  <w:num w:numId="2">
    <w:abstractNumId w:val="2"/>
  </w:num>
  <w:num w:numId="3">
    <w:abstractNumId w:val="6"/>
  </w:num>
  <w:num w:numId="4">
    <w:abstractNumId w:val="0"/>
  </w:num>
  <w:num w:numId="5">
    <w:abstractNumId w:val="5"/>
  </w:num>
  <w:num w:numId="6">
    <w:abstractNumId w:val="8"/>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13"/>
    <w:rsid w:val="00011545"/>
    <w:rsid w:val="00017385"/>
    <w:rsid w:val="00040E87"/>
    <w:rsid w:val="0006129E"/>
    <w:rsid w:val="00075294"/>
    <w:rsid w:val="00097C54"/>
    <w:rsid w:val="000D23F1"/>
    <w:rsid w:val="000D5D8B"/>
    <w:rsid w:val="00136A6D"/>
    <w:rsid w:val="0017085A"/>
    <w:rsid w:val="00174EF2"/>
    <w:rsid w:val="001B6D7A"/>
    <w:rsid w:val="001F6B81"/>
    <w:rsid w:val="00200FEB"/>
    <w:rsid w:val="00254325"/>
    <w:rsid w:val="00273F21"/>
    <w:rsid w:val="002747CB"/>
    <w:rsid w:val="002A47FB"/>
    <w:rsid w:val="002B08B7"/>
    <w:rsid w:val="003514B8"/>
    <w:rsid w:val="003A2881"/>
    <w:rsid w:val="003C78F6"/>
    <w:rsid w:val="00411CDC"/>
    <w:rsid w:val="004656EA"/>
    <w:rsid w:val="00485E05"/>
    <w:rsid w:val="00487D56"/>
    <w:rsid w:val="004A49D5"/>
    <w:rsid w:val="004A7324"/>
    <w:rsid w:val="004B704D"/>
    <w:rsid w:val="004B7E91"/>
    <w:rsid w:val="004F29B6"/>
    <w:rsid w:val="00564711"/>
    <w:rsid w:val="006072DF"/>
    <w:rsid w:val="00607924"/>
    <w:rsid w:val="00654CBC"/>
    <w:rsid w:val="006C6DB3"/>
    <w:rsid w:val="006D7EB0"/>
    <w:rsid w:val="007004DA"/>
    <w:rsid w:val="00751524"/>
    <w:rsid w:val="0079341E"/>
    <w:rsid w:val="007A7EF2"/>
    <w:rsid w:val="007C1B82"/>
    <w:rsid w:val="007D3D00"/>
    <w:rsid w:val="007E4A97"/>
    <w:rsid w:val="008311BC"/>
    <w:rsid w:val="00864E31"/>
    <w:rsid w:val="0087629E"/>
    <w:rsid w:val="008826B1"/>
    <w:rsid w:val="00947AA7"/>
    <w:rsid w:val="009806C7"/>
    <w:rsid w:val="009C44FF"/>
    <w:rsid w:val="009C7884"/>
    <w:rsid w:val="009F7DA7"/>
    <w:rsid w:val="00A40714"/>
    <w:rsid w:val="00AB1745"/>
    <w:rsid w:val="00AC4FAC"/>
    <w:rsid w:val="00AE6314"/>
    <w:rsid w:val="00B27F13"/>
    <w:rsid w:val="00BB1637"/>
    <w:rsid w:val="00BC362C"/>
    <w:rsid w:val="00C21B56"/>
    <w:rsid w:val="00C62824"/>
    <w:rsid w:val="00CF0316"/>
    <w:rsid w:val="00D334CB"/>
    <w:rsid w:val="00DA6112"/>
    <w:rsid w:val="00DC1F4C"/>
    <w:rsid w:val="00E12D33"/>
    <w:rsid w:val="00E369D2"/>
    <w:rsid w:val="00E429C1"/>
    <w:rsid w:val="00E93E6F"/>
    <w:rsid w:val="00EF14A1"/>
    <w:rsid w:val="00F07FCC"/>
    <w:rsid w:val="00F141AB"/>
    <w:rsid w:val="00F25642"/>
    <w:rsid w:val="00F70740"/>
    <w:rsid w:val="00FD3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E9637E6-0B3B-44C1-A6FB-42B256A0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F13"/>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B27F13"/>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27F13"/>
    <w:rPr>
      <w:rFonts w:ascii="Times New Roman" w:eastAsia="Times New Roman" w:hAnsi="Times New Roman" w:cs="Times New Roman"/>
      <w:b/>
      <w:bCs/>
      <w:sz w:val="32"/>
      <w:szCs w:val="32"/>
    </w:rPr>
  </w:style>
  <w:style w:type="paragraph" w:styleId="Pagrindinistekstas">
    <w:name w:val="Body Text"/>
    <w:basedOn w:val="prastasis"/>
    <w:link w:val="PagrindinistekstasDiagrama"/>
    <w:unhideWhenUsed/>
    <w:rsid w:val="00B27F13"/>
    <w:pPr>
      <w:jc w:val="center"/>
    </w:pPr>
    <w:rPr>
      <w:sz w:val="22"/>
    </w:rPr>
  </w:style>
  <w:style w:type="character" w:customStyle="1" w:styleId="PagrindinistekstasDiagrama">
    <w:name w:val="Pagrindinis tekstas Diagrama"/>
    <w:basedOn w:val="Numatytasispastraiposriftas"/>
    <w:link w:val="Pagrindinistekstas"/>
    <w:rsid w:val="00B27F13"/>
    <w:rPr>
      <w:rFonts w:ascii="Times New Roman" w:eastAsia="Times New Roman" w:hAnsi="Times New Roman" w:cs="Times New Roman"/>
      <w:szCs w:val="20"/>
    </w:rPr>
  </w:style>
  <w:style w:type="paragraph" w:styleId="Antrats">
    <w:name w:val="header"/>
    <w:basedOn w:val="prastasis"/>
    <w:link w:val="AntratsDiagrama"/>
    <w:rsid w:val="00B27F13"/>
    <w:pPr>
      <w:tabs>
        <w:tab w:val="center" w:pos="4320"/>
        <w:tab w:val="right" w:pos="8640"/>
      </w:tabs>
    </w:pPr>
  </w:style>
  <w:style w:type="character" w:customStyle="1" w:styleId="AntratsDiagrama">
    <w:name w:val="Antraštės Diagrama"/>
    <w:basedOn w:val="Numatytasispastraiposriftas"/>
    <w:link w:val="Antrats"/>
    <w:rsid w:val="00B27F13"/>
    <w:rPr>
      <w:rFonts w:ascii="Times New Roman" w:eastAsia="Times New Roman" w:hAnsi="Times New Roman" w:cs="Times New Roman"/>
      <w:sz w:val="20"/>
      <w:szCs w:val="20"/>
    </w:rPr>
  </w:style>
  <w:style w:type="paragraph" w:styleId="Porat">
    <w:name w:val="footer"/>
    <w:basedOn w:val="prastasis"/>
    <w:link w:val="PoratDiagrama"/>
    <w:rsid w:val="00B27F13"/>
    <w:pPr>
      <w:tabs>
        <w:tab w:val="center" w:pos="4320"/>
        <w:tab w:val="right" w:pos="8640"/>
      </w:tabs>
    </w:pPr>
  </w:style>
  <w:style w:type="character" w:customStyle="1" w:styleId="PoratDiagrama">
    <w:name w:val="Poraštė Diagrama"/>
    <w:basedOn w:val="Numatytasispastraiposriftas"/>
    <w:link w:val="Porat"/>
    <w:rsid w:val="00B27F13"/>
    <w:rPr>
      <w:rFonts w:ascii="Times New Roman" w:eastAsia="Times New Roman" w:hAnsi="Times New Roman" w:cs="Times New Roman"/>
      <w:sz w:val="20"/>
      <w:szCs w:val="20"/>
    </w:rPr>
  </w:style>
  <w:style w:type="character" w:styleId="Puslapionumeris">
    <w:name w:val="page number"/>
    <w:basedOn w:val="Numatytasispastraiposriftas"/>
    <w:rsid w:val="00B27F13"/>
  </w:style>
  <w:style w:type="paragraph" w:styleId="Debesliotekstas">
    <w:name w:val="Balloon Text"/>
    <w:basedOn w:val="prastasis"/>
    <w:link w:val="DebesliotekstasDiagrama"/>
    <w:uiPriority w:val="99"/>
    <w:semiHidden/>
    <w:unhideWhenUsed/>
    <w:rsid w:val="00E12D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2D33"/>
    <w:rPr>
      <w:rFonts w:ascii="Segoe UI" w:eastAsia="Times New Roman" w:hAnsi="Segoe UI" w:cs="Segoe UI"/>
      <w:sz w:val="18"/>
      <w:szCs w:val="18"/>
    </w:rPr>
  </w:style>
  <w:style w:type="paragraph" w:styleId="Sraopastraipa">
    <w:name w:val="List Paragraph"/>
    <w:basedOn w:val="prastasis"/>
    <w:uiPriority w:val="34"/>
    <w:qFormat/>
    <w:rsid w:val="00200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1827-ADC6-454E-9E18-1E700A96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7256</Words>
  <Characters>4136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5</cp:revision>
  <cp:lastPrinted>2014-08-29T10:39:00Z</cp:lastPrinted>
  <dcterms:created xsi:type="dcterms:W3CDTF">2014-08-29T10:27:00Z</dcterms:created>
  <dcterms:modified xsi:type="dcterms:W3CDTF">2014-08-29T10:39:00Z</dcterms:modified>
</cp:coreProperties>
</file>