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bookmarkStart w:id="1" w:name="_MON_1301915618"/>
    <w:bookmarkEnd w:id="1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69013979" r:id="rId9"/>
        </w:object>
      </w:r>
      <w:r w:rsidR="0017077F" w:rsidRPr="0017077F">
        <w:rPr>
          <w:rFonts w:ascii="CG Times" w:hAnsi="CG Times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5206365</wp:posOffset>
            </wp:positionH>
            <wp:positionV relativeFrom="margin">
              <wp:posOffset>13335</wp:posOffset>
            </wp:positionV>
            <wp:extent cx="542925" cy="542925"/>
            <wp:effectExtent l="0" t="0" r="0" b="0"/>
            <wp:wrapNone/>
            <wp:docPr id="3" name="Paveikslėlis 1" descr="Euro ivedimas_sablonai ZENKLAS Full COL &amp; euras_l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 ivedimas_sablonai ZENKLAS Full COL &amp; euras_lt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Pr="00907C82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351E8D" w:rsidRPr="00907C82" w:rsidRDefault="00351E8D" w:rsidP="00A77BDD">
      <w:pPr>
        <w:tabs>
          <w:tab w:val="left" w:pos="900"/>
        </w:tabs>
        <w:rPr>
          <w:bCs/>
          <w:sz w:val="24"/>
          <w:szCs w:val="24"/>
        </w:rPr>
      </w:pPr>
    </w:p>
    <w:p w:rsidR="00F90553" w:rsidRDefault="00F90553" w:rsidP="00A77BDD">
      <w:pPr>
        <w:tabs>
          <w:tab w:val="left" w:pos="900"/>
        </w:tabs>
        <w:rPr>
          <w:bCs/>
          <w:sz w:val="24"/>
          <w:szCs w:val="24"/>
        </w:rPr>
      </w:pPr>
    </w:p>
    <w:p w:rsidR="000327A3" w:rsidRDefault="000327A3" w:rsidP="00A77BDD">
      <w:pPr>
        <w:tabs>
          <w:tab w:val="left" w:pos="900"/>
        </w:tabs>
        <w:rPr>
          <w:bCs/>
          <w:sz w:val="24"/>
          <w:szCs w:val="24"/>
        </w:rPr>
      </w:pPr>
    </w:p>
    <w:p w:rsidR="000327A3" w:rsidRDefault="000327A3" w:rsidP="00A77BDD">
      <w:pPr>
        <w:tabs>
          <w:tab w:val="left" w:pos="900"/>
        </w:tabs>
        <w:rPr>
          <w:bCs/>
          <w:sz w:val="24"/>
          <w:szCs w:val="24"/>
        </w:rPr>
      </w:pPr>
    </w:p>
    <w:p w:rsidR="00396B0F" w:rsidRDefault="00396B0F" w:rsidP="00A77BDD">
      <w:pPr>
        <w:tabs>
          <w:tab w:val="left" w:pos="900"/>
        </w:tabs>
        <w:rPr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17"/>
        <w:tblW w:w="0" w:type="auto"/>
        <w:tblLayout w:type="fixed"/>
        <w:tblLook w:val="0000"/>
      </w:tblPr>
      <w:tblGrid>
        <w:gridCol w:w="407"/>
        <w:gridCol w:w="1544"/>
        <w:gridCol w:w="567"/>
        <w:gridCol w:w="1129"/>
      </w:tblGrid>
      <w:tr w:rsidR="00396B0F" w:rsidRPr="00907C82" w:rsidTr="00F73F5D">
        <w:trPr>
          <w:cantSplit/>
          <w:trHeight w:val="80"/>
        </w:trPr>
        <w:tc>
          <w:tcPr>
            <w:tcW w:w="407" w:type="dxa"/>
          </w:tcPr>
          <w:p w:rsidR="00396B0F" w:rsidRPr="00907C82" w:rsidRDefault="00396B0F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396B0F" w:rsidRPr="00907C82" w:rsidRDefault="00396B0F" w:rsidP="00C82C5B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4C325B">
              <w:rPr>
                <w:sz w:val="24"/>
                <w:szCs w:val="24"/>
              </w:rPr>
              <w:t>4</w:t>
            </w:r>
            <w:r w:rsidRPr="00907C82">
              <w:rPr>
                <w:sz w:val="24"/>
                <w:szCs w:val="24"/>
              </w:rPr>
              <w:t>-</w:t>
            </w:r>
            <w:r w:rsidR="005D2379">
              <w:rPr>
                <w:sz w:val="24"/>
                <w:szCs w:val="24"/>
              </w:rPr>
              <w:t>08-</w:t>
            </w:r>
          </w:p>
        </w:tc>
        <w:tc>
          <w:tcPr>
            <w:tcW w:w="567" w:type="dxa"/>
          </w:tcPr>
          <w:p w:rsidR="00396B0F" w:rsidRPr="00907C82" w:rsidRDefault="00396B0F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907C82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r.</w:t>
            </w:r>
          </w:p>
        </w:tc>
        <w:tc>
          <w:tcPr>
            <w:tcW w:w="1129" w:type="dxa"/>
          </w:tcPr>
          <w:p w:rsidR="00396B0F" w:rsidRPr="00907C82" w:rsidRDefault="00396B0F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907C82">
              <w:rPr>
                <w:sz w:val="24"/>
                <w:szCs w:val="24"/>
              </w:rPr>
              <w:t>4S-</w:t>
            </w:r>
          </w:p>
        </w:tc>
      </w:tr>
      <w:tr w:rsidR="00396B0F" w:rsidRPr="00907C82" w:rsidTr="00F73F5D">
        <w:trPr>
          <w:cantSplit/>
          <w:trHeight w:val="80"/>
        </w:trPr>
        <w:tc>
          <w:tcPr>
            <w:tcW w:w="407" w:type="dxa"/>
          </w:tcPr>
          <w:p w:rsidR="00396B0F" w:rsidRPr="00907C82" w:rsidRDefault="00F73F5D" w:rsidP="00396B0F">
            <w:pPr>
              <w:tabs>
                <w:tab w:val="left" w:pos="9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</w:p>
        </w:tc>
        <w:tc>
          <w:tcPr>
            <w:tcW w:w="1544" w:type="dxa"/>
          </w:tcPr>
          <w:p w:rsidR="00396B0F" w:rsidRPr="00907C82" w:rsidRDefault="00F73F5D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2014-07-22</w:t>
            </w:r>
          </w:p>
        </w:tc>
        <w:tc>
          <w:tcPr>
            <w:tcW w:w="567" w:type="dxa"/>
          </w:tcPr>
          <w:p w:rsidR="00396B0F" w:rsidRPr="00907C82" w:rsidRDefault="00F73F5D" w:rsidP="00F73F5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1129" w:type="dxa"/>
          </w:tcPr>
          <w:p w:rsidR="00396B0F" w:rsidRPr="00907C82" w:rsidRDefault="00F73F5D" w:rsidP="00396B0F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3GF-711</w:t>
            </w:r>
          </w:p>
        </w:tc>
      </w:tr>
    </w:tbl>
    <w:p w:rsidR="00BF40BD" w:rsidRDefault="00F73F5D" w:rsidP="00BF40BD">
      <w:pPr>
        <w:tabs>
          <w:tab w:val="left" w:pos="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Lietuvos Respublikos ginklų fondui</w:t>
      </w:r>
    </w:p>
    <w:p w:rsidR="00F73F5D" w:rsidRDefault="004E56C3" w:rsidP="00BF40BD">
      <w:pPr>
        <w:tabs>
          <w:tab w:val="left" w:pos="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F73F5D">
        <w:rPr>
          <w:bCs/>
          <w:sz w:val="24"/>
          <w:szCs w:val="24"/>
        </w:rPr>
        <w:t>rie Lietuvos Respublikos vidaus reikalų ministerijos</w:t>
      </w:r>
    </w:p>
    <w:p w:rsidR="00BF40BD" w:rsidRDefault="001E6599" w:rsidP="00BF40BD">
      <w:pPr>
        <w:tabs>
          <w:tab w:val="left" w:pos="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Linkmenų g. 26</w:t>
      </w:r>
    </w:p>
    <w:p w:rsidR="00BF40BD" w:rsidRDefault="00BF40BD" w:rsidP="00BF40BD">
      <w:pPr>
        <w:tabs>
          <w:tab w:val="left" w:pos="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LT-</w:t>
      </w:r>
      <w:r w:rsidR="001E6599">
        <w:rPr>
          <w:bCs/>
          <w:sz w:val="24"/>
          <w:szCs w:val="24"/>
        </w:rPr>
        <w:t>08217</w:t>
      </w:r>
      <w:r>
        <w:rPr>
          <w:bCs/>
          <w:sz w:val="24"/>
          <w:szCs w:val="24"/>
        </w:rPr>
        <w:t xml:space="preserve"> Vilnius</w:t>
      </w:r>
    </w:p>
    <w:p w:rsidR="00396B0F" w:rsidRDefault="00396B0F" w:rsidP="00A77BDD">
      <w:pPr>
        <w:tabs>
          <w:tab w:val="left" w:pos="900"/>
        </w:tabs>
        <w:rPr>
          <w:bCs/>
          <w:sz w:val="24"/>
          <w:szCs w:val="24"/>
        </w:rPr>
      </w:pPr>
    </w:p>
    <w:p w:rsidR="00F90553" w:rsidRPr="00907C82" w:rsidRDefault="00F90553" w:rsidP="00A77BDD">
      <w:pPr>
        <w:shd w:val="clear" w:color="auto" w:fill="FFFFFF"/>
        <w:tabs>
          <w:tab w:val="left" w:pos="900"/>
        </w:tabs>
        <w:rPr>
          <w:bCs/>
          <w:color w:val="000000"/>
          <w:sz w:val="24"/>
          <w:szCs w:val="24"/>
          <w:lang w:eastAsia="lt-LT"/>
        </w:rPr>
      </w:pPr>
    </w:p>
    <w:p w:rsidR="00396B0F" w:rsidRDefault="00396B0F" w:rsidP="000363F6">
      <w:pPr>
        <w:tabs>
          <w:tab w:val="left" w:pos="900"/>
        </w:tabs>
        <w:contextualSpacing/>
        <w:jc w:val="both"/>
        <w:rPr>
          <w:sz w:val="24"/>
          <w:szCs w:val="24"/>
        </w:rPr>
      </w:pPr>
    </w:p>
    <w:p w:rsidR="00396B0F" w:rsidRDefault="00396B0F" w:rsidP="000363F6">
      <w:pPr>
        <w:tabs>
          <w:tab w:val="left" w:pos="900"/>
        </w:tabs>
        <w:contextualSpacing/>
        <w:jc w:val="both"/>
        <w:rPr>
          <w:sz w:val="24"/>
          <w:szCs w:val="24"/>
        </w:rPr>
      </w:pPr>
    </w:p>
    <w:p w:rsidR="00D34999" w:rsidRPr="00FE15E4" w:rsidRDefault="00D34999" w:rsidP="00D34999">
      <w:pPr>
        <w:ind w:left="-87"/>
        <w:rPr>
          <w:b/>
          <w:sz w:val="24"/>
          <w:szCs w:val="24"/>
        </w:rPr>
      </w:pPr>
      <w:r w:rsidRPr="00FE15E4">
        <w:rPr>
          <w:b/>
          <w:sz w:val="24"/>
          <w:szCs w:val="24"/>
        </w:rPr>
        <w:t xml:space="preserve">DĖL </w:t>
      </w:r>
      <w:r w:rsidR="001E6599">
        <w:rPr>
          <w:b/>
          <w:sz w:val="24"/>
          <w:szCs w:val="24"/>
        </w:rPr>
        <w:t xml:space="preserve">PIRKIMO NR. 151433 </w:t>
      </w:r>
      <w:r w:rsidR="00853BC2">
        <w:rPr>
          <w:b/>
          <w:sz w:val="24"/>
          <w:szCs w:val="24"/>
        </w:rPr>
        <w:t>ĮVERTINIMO</w:t>
      </w:r>
    </w:p>
    <w:p w:rsidR="00D34999" w:rsidRDefault="00D34999" w:rsidP="00D34999">
      <w:pPr>
        <w:ind w:right="141" w:firstLine="851"/>
        <w:jc w:val="both"/>
        <w:rPr>
          <w:sz w:val="24"/>
          <w:szCs w:val="24"/>
        </w:rPr>
      </w:pPr>
    </w:p>
    <w:p w:rsidR="00D34999" w:rsidRDefault="00D34999" w:rsidP="00D34999">
      <w:pPr>
        <w:ind w:right="141" w:firstLine="851"/>
        <w:jc w:val="both"/>
        <w:rPr>
          <w:sz w:val="24"/>
          <w:szCs w:val="24"/>
        </w:rPr>
      </w:pPr>
    </w:p>
    <w:p w:rsidR="00D34999" w:rsidRDefault="00D34999" w:rsidP="00D34999">
      <w:pPr>
        <w:ind w:right="141" w:firstLine="851"/>
        <w:jc w:val="both"/>
        <w:rPr>
          <w:rFonts w:ascii="Tahoma" w:hAnsi="Tahoma" w:cs="Tahoma"/>
          <w:color w:val="FFFFFF"/>
          <w:sz w:val="15"/>
          <w:szCs w:val="15"/>
        </w:rPr>
      </w:pPr>
      <w:r>
        <w:rPr>
          <w:rFonts w:ascii="Tahoma" w:hAnsi="Tahoma" w:cs="Tahoma"/>
          <w:color w:val="FFFFFF"/>
          <w:sz w:val="15"/>
          <w:szCs w:val="15"/>
        </w:rPr>
        <w:t>Saltoniškių g. 19,</w:t>
      </w:r>
    </w:p>
    <w:p w:rsidR="001E6599" w:rsidRPr="00C00343" w:rsidRDefault="001E6599" w:rsidP="00C00343">
      <w:pPr>
        <w:pStyle w:val="Normal12pt"/>
        <w:spacing w:line="360" w:lineRule="auto"/>
        <w:ind w:right="0" w:firstLine="720"/>
      </w:pPr>
      <w:r w:rsidRPr="005617C6">
        <w:t>Viešųjų pirkimų tarnyba (toliau – Tarnyba), vadovaudamasi Lietuvos Respub</w:t>
      </w:r>
      <w:r>
        <w:t>likos viešųjų pirkim</w:t>
      </w:r>
      <w:r w:rsidRPr="00C00343">
        <w:t xml:space="preserve">ų įstatymo 8² straipsnio 1 dalies 2 punktu, atliko </w:t>
      </w:r>
      <w:r w:rsidR="00812DC4" w:rsidRPr="00C00343">
        <w:rPr>
          <w:bCs/>
        </w:rPr>
        <w:t>Lietuvos Respublikos ginklų fondo prie Lietuvos Respublikos vidaus reikalų ministerijos</w:t>
      </w:r>
      <w:r w:rsidRPr="00C00343">
        <w:rPr>
          <w:bCs/>
        </w:rPr>
        <w:t xml:space="preserve"> </w:t>
      </w:r>
      <w:r w:rsidRPr="00C00343">
        <w:t>(toliau –</w:t>
      </w:r>
      <w:r w:rsidR="00C05867" w:rsidRPr="00C00343">
        <w:t>P</w:t>
      </w:r>
      <w:r w:rsidRPr="00C00343">
        <w:t xml:space="preserve">erkančioji organizacija) </w:t>
      </w:r>
      <w:r w:rsidR="00812DC4" w:rsidRPr="00C00343">
        <w:t>pagal Policijos departamento prie Lietuvos Respublikos vidaus reikalų ministerijos įgalioj</w:t>
      </w:r>
      <w:r w:rsidR="00C05867" w:rsidRPr="00C00343">
        <w:t>imą</w:t>
      </w:r>
      <w:r w:rsidR="00812DC4" w:rsidRPr="00C00343">
        <w:t xml:space="preserve"> </w:t>
      </w:r>
      <w:r w:rsidRPr="00C00343">
        <w:t xml:space="preserve">atviro konkurso būdu </w:t>
      </w:r>
      <w:r w:rsidR="00772F47" w:rsidRPr="00C00343">
        <w:t xml:space="preserve">vykdomo </w:t>
      </w:r>
      <w:r w:rsidRPr="00C00343">
        <w:t>pirkimo „</w:t>
      </w:r>
      <w:r w:rsidR="00812DC4" w:rsidRPr="00C00343">
        <w:t xml:space="preserve">Elektros </w:t>
      </w:r>
      <w:proofErr w:type="spellStart"/>
      <w:r w:rsidR="00812DC4" w:rsidRPr="00C00343">
        <w:t>impulsinių</w:t>
      </w:r>
      <w:proofErr w:type="spellEnd"/>
      <w:r w:rsidR="00812DC4" w:rsidRPr="00C00343">
        <w:t xml:space="preserve"> prietaisų pirkimas</w:t>
      </w:r>
      <w:r w:rsidRPr="00C00343">
        <w:t xml:space="preserve">“ (skelbtas 2014 m. </w:t>
      </w:r>
      <w:r w:rsidR="00812DC4" w:rsidRPr="00C00343">
        <w:t>gegužės</w:t>
      </w:r>
      <w:r w:rsidRPr="00C00343">
        <w:t xml:space="preserve"> </w:t>
      </w:r>
      <w:r w:rsidR="00812DC4" w:rsidRPr="00C00343">
        <w:t>14</w:t>
      </w:r>
      <w:r w:rsidRPr="00C00343">
        <w:t xml:space="preserve"> d. Centrinėje viešųjų pirkimų informacinėje sistemoje (toliau – CVP IS), Pirkimo Nr. </w:t>
      </w:r>
      <w:r w:rsidR="00812DC4" w:rsidRPr="00C00343">
        <w:t>151433</w:t>
      </w:r>
      <w:r w:rsidRPr="00C00343">
        <w:t>) (toliau – Pirkimas) vertinimą ir teikia išvadą</w:t>
      </w:r>
      <w:r w:rsidR="00C00343">
        <w:t xml:space="preserve"> (toliau – Išvada)</w:t>
      </w:r>
      <w:r w:rsidRPr="00C00343">
        <w:t>.</w:t>
      </w:r>
    </w:p>
    <w:p w:rsidR="001E6599" w:rsidRPr="00C00343" w:rsidRDefault="001E6599" w:rsidP="00C00343">
      <w:pPr>
        <w:pStyle w:val="Normal12pt"/>
        <w:spacing w:line="360" w:lineRule="auto"/>
        <w:ind w:right="0" w:firstLine="720"/>
      </w:pPr>
      <w:r w:rsidRPr="00C00343">
        <w:t>Perkančioji organizacija Pirkimą vykd</w:t>
      </w:r>
      <w:r w:rsidR="00812DC4" w:rsidRPr="00C00343">
        <w:t>o</w:t>
      </w:r>
      <w:r w:rsidRPr="00C00343">
        <w:t xml:space="preserve"> CVP IS priemonėmis pagal Lietuvos Respublikos viešųjų pirkimų įstatymo (redakcija nuo 2014-01-01) (toliau – Įstatymas) nuostatas.</w:t>
      </w:r>
    </w:p>
    <w:p w:rsidR="00C05867" w:rsidRPr="00C00343" w:rsidRDefault="005E4B7B" w:rsidP="00C00343">
      <w:pPr>
        <w:spacing w:line="360" w:lineRule="auto"/>
        <w:ind w:firstLine="720"/>
        <w:jc w:val="both"/>
        <w:rPr>
          <w:sz w:val="24"/>
          <w:szCs w:val="24"/>
        </w:rPr>
      </w:pPr>
      <w:r w:rsidRPr="00C00343">
        <w:rPr>
          <w:sz w:val="24"/>
          <w:szCs w:val="24"/>
        </w:rPr>
        <w:t xml:space="preserve">Tarnyba, įvertinusi su Pirkimu susijusius dokumentus ir CVP </w:t>
      </w:r>
      <w:r w:rsidR="00C00343" w:rsidRPr="00C00343">
        <w:rPr>
          <w:sz w:val="24"/>
          <w:szCs w:val="24"/>
        </w:rPr>
        <w:t>IS esančią Pirkimo informaciją,</w:t>
      </w:r>
      <w:r w:rsidRPr="00C00343">
        <w:rPr>
          <w:bCs/>
          <w:sz w:val="24"/>
          <w:szCs w:val="24"/>
        </w:rPr>
        <w:t xml:space="preserve"> pastebi:</w:t>
      </w:r>
    </w:p>
    <w:p w:rsidR="00840680" w:rsidRDefault="00C253D2" w:rsidP="00C00343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720"/>
        <w:contextualSpacing w:val="0"/>
        <w:jc w:val="both"/>
        <w:rPr>
          <w:sz w:val="24"/>
          <w:szCs w:val="24"/>
        </w:rPr>
      </w:pPr>
      <w:r w:rsidRPr="00C253D2">
        <w:rPr>
          <w:sz w:val="24"/>
          <w:szCs w:val="24"/>
        </w:rPr>
        <w:t>Perkančioji organizacija skelbimo apie Pirkimą</w:t>
      </w:r>
      <w:r>
        <w:t xml:space="preserve"> </w:t>
      </w:r>
      <w:r>
        <w:rPr>
          <w:sz w:val="24"/>
          <w:szCs w:val="24"/>
        </w:rPr>
        <w:t xml:space="preserve">II.1.4. punkte nurodė, kad preliminariojo susitarimo trukmė 36 mėnesiai, </w:t>
      </w:r>
      <w:r w:rsidR="00840680">
        <w:rPr>
          <w:sz w:val="24"/>
          <w:szCs w:val="24"/>
        </w:rPr>
        <w:t>Pirkimo sąlygų 4 priedo „Sutarties projektas“ (toliau – Sutarties projektas) 27.1. punkte nustatyta, kad „Sutartis įsigalioja nuo sutarties pasirašymo dienos, o baigia galioti abiem šalims įvykdžius Sutartyje numatytus įsipareigojimus, įskaitant garantiją</w:t>
      </w:r>
      <w:r>
        <w:rPr>
          <w:sz w:val="24"/>
          <w:szCs w:val="24"/>
        </w:rPr>
        <w:t>.</w:t>
      </w:r>
      <w:r w:rsidR="00840680">
        <w:rPr>
          <w:sz w:val="24"/>
          <w:szCs w:val="24"/>
        </w:rPr>
        <w:t xml:space="preserve">“ </w:t>
      </w:r>
      <w:r w:rsidRPr="00C253D2">
        <w:rPr>
          <w:sz w:val="24"/>
          <w:szCs w:val="24"/>
        </w:rPr>
        <w:t>Atkreipiame dėmesį, kad Perkančioji organizacija turėtų nustatyti tikslų sutarties galiojimo terminą, kuris apimtų laikotarpį nuo jos pasirašymo iki kol bus atsiskaityta su tiekėju.</w:t>
      </w:r>
    </w:p>
    <w:p w:rsidR="00873B10" w:rsidRDefault="00873B10" w:rsidP="00C00343">
      <w:pPr>
        <w:pStyle w:val="ListParagraph"/>
        <w:numPr>
          <w:ilvl w:val="0"/>
          <w:numId w:val="3"/>
        </w:numPr>
        <w:tabs>
          <w:tab w:val="left" w:pos="993"/>
        </w:tabs>
        <w:spacing w:line="360" w:lineRule="auto"/>
        <w:ind w:left="0" w:firstLine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Perkančioji organizacija skelbimo apie Pirkimą II.2.3 punkte nurodė, kad sutartis gali būti pratęsta vieną kartą </w:t>
      </w:r>
      <w:r w:rsidRPr="00772F47">
        <w:rPr>
          <w:b/>
          <w:sz w:val="24"/>
          <w:szCs w:val="24"/>
        </w:rPr>
        <w:t>dvylikai mėnesių</w:t>
      </w:r>
      <w:r>
        <w:rPr>
          <w:sz w:val="24"/>
          <w:szCs w:val="24"/>
        </w:rPr>
        <w:t>, o Sutarties projekto 27.2. punkte nurodė, kad „</w:t>
      </w:r>
      <w:r w:rsidRPr="00873B10">
        <w:rPr>
          <w:sz w:val="24"/>
          <w:szCs w:val="24"/>
        </w:rPr>
        <w:t xml:space="preserve">PIRKĖJO rašytiniu prašymu ir TIEKĖJUI sutikus sutartis gali būti pratęsiama terminui </w:t>
      </w:r>
      <w:r w:rsidRPr="00772F47">
        <w:rPr>
          <w:b/>
          <w:sz w:val="24"/>
          <w:szCs w:val="24"/>
        </w:rPr>
        <w:t>iki dvejų metų</w:t>
      </w:r>
      <w:r w:rsidRPr="00873B10">
        <w:rPr>
          <w:sz w:val="24"/>
          <w:szCs w:val="24"/>
        </w:rPr>
        <w:t>.</w:t>
      </w:r>
      <w:r>
        <w:rPr>
          <w:sz w:val="24"/>
          <w:szCs w:val="24"/>
        </w:rPr>
        <w:t>“</w:t>
      </w:r>
      <w:r w:rsidR="00C05867">
        <w:rPr>
          <w:sz w:val="24"/>
          <w:szCs w:val="24"/>
        </w:rPr>
        <w:t xml:space="preserve"> </w:t>
      </w:r>
      <w:r w:rsidR="00C05867">
        <w:rPr>
          <w:sz w:val="24"/>
          <w:szCs w:val="24"/>
        </w:rPr>
        <w:lastRenderedPageBreak/>
        <w:t>Atsižvelgiant į tai Perkančioji organizacija neužtikrino Įstatymo 24 straipsnio 9 dalies nuostatų, kad „&lt;...&gt;Pirkimo dokumentai turi būti tikslūs, aiškūs, be dviprasmybių&lt;...&gt;.“ Taip pat Tarnyba atkreipia dėmesį, kad Įstatymo 63 straipsnio 5 dalyje yra nustatyta, kad „Preliminarioji sutartis negali būti sudaryta ilgesniam kaip 4 metų laikotarpiui, išskyrus pagrįstus atvejus, kurie nurodomi skelbime apie pirkimą</w:t>
      </w:r>
      <w:r w:rsidR="00826D69">
        <w:rPr>
          <w:sz w:val="24"/>
          <w:szCs w:val="24"/>
        </w:rPr>
        <w:t>.</w:t>
      </w:r>
      <w:r w:rsidR="00C05867">
        <w:rPr>
          <w:sz w:val="24"/>
          <w:szCs w:val="24"/>
        </w:rPr>
        <w:t>“</w:t>
      </w:r>
    </w:p>
    <w:p w:rsidR="00C00343" w:rsidRPr="00C00343" w:rsidRDefault="00C00343" w:rsidP="00C00343">
      <w:pPr>
        <w:pStyle w:val="ListParagraph"/>
        <w:spacing w:line="360" w:lineRule="auto"/>
        <w:ind w:left="0" w:firstLine="720"/>
        <w:jc w:val="both"/>
        <w:rPr>
          <w:sz w:val="24"/>
          <w:szCs w:val="24"/>
        </w:rPr>
      </w:pPr>
      <w:r w:rsidRPr="00C00343">
        <w:rPr>
          <w:sz w:val="24"/>
          <w:szCs w:val="24"/>
        </w:rPr>
        <w:t xml:space="preserve">Tarnyba, atsižvelgdama į tai, kad nenustatė </w:t>
      </w:r>
      <w:r>
        <w:rPr>
          <w:sz w:val="24"/>
          <w:szCs w:val="24"/>
        </w:rPr>
        <w:t>Į</w:t>
      </w:r>
      <w:r w:rsidRPr="00C00343">
        <w:rPr>
          <w:sz w:val="24"/>
          <w:szCs w:val="24"/>
        </w:rPr>
        <w:t>statymo pažeidimų, galėsiančių turėti įtakos Pirkimo rezultata</w:t>
      </w:r>
      <w:r>
        <w:rPr>
          <w:sz w:val="24"/>
          <w:szCs w:val="24"/>
        </w:rPr>
        <w:t>ms</w:t>
      </w:r>
      <w:r w:rsidRPr="00C00343">
        <w:rPr>
          <w:sz w:val="24"/>
          <w:szCs w:val="24"/>
        </w:rPr>
        <w:t xml:space="preserve">, neprieštarauja, kad </w:t>
      </w:r>
      <w:r>
        <w:rPr>
          <w:sz w:val="24"/>
          <w:szCs w:val="24"/>
        </w:rPr>
        <w:t>P</w:t>
      </w:r>
      <w:r w:rsidRPr="00C00343">
        <w:rPr>
          <w:sz w:val="24"/>
          <w:szCs w:val="24"/>
        </w:rPr>
        <w:t>erkančioji organizacija tęstų Pirkimo procedūras, tik atsižvelgusi į Išvadoje pateiktas pastabas ir patikslinusi Pirkimo dokumentus.</w:t>
      </w:r>
    </w:p>
    <w:p w:rsidR="001E6599" w:rsidRDefault="001E6599" w:rsidP="001E6599">
      <w:pPr>
        <w:pStyle w:val="Normal12pt"/>
        <w:ind w:right="0"/>
      </w:pPr>
    </w:p>
    <w:p w:rsidR="001E6599" w:rsidRDefault="001E6599" w:rsidP="001E6599">
      <w:pPr>
        <w:pStyle w:val="Normal12pt"/>
        <w:ind w:right="0"/>
      </w:pPr>
    </w:p>
    <w:p w:rsidR="00C00343" w:rsidRDefault="00C00343" w:rsidP="001E6599">
      <w:pPr>
        <w:pStyle w:val="Normal12pt"/>
        <w:ind w:right="0"/>
      </w:pPr>
    </w:p>
    <w:tbl>
      <w:tblPr>
        <w:tblW w:w="9828" w:type="dxa"/>
        <w:tblLook w:val="01E0"/>
      </w:tblPr>
      <w:tblGrid>
        <w:gridCol w:w="4704"/>
        <w:gridCol w:w="5124"/>
      </w:tblGrid>
      <w:tr w:rsidR="001E6599" w:rsidRPr="005A35C2" w:rsidTr="001E6599">
        <w:trPr>
          <w:trHeight w:val="224"/>
        </w:trPr>
        <w:tc>
          <w:tcPr>
            <w:tcW w:w="4704" w:type="dxa"/>
          </w:tcPr>
          <w:p w:rsidR="001E6599" w:rsidRPr="005617C6" w:rsidRDefault="001E6599" w:rsidP="001E6599">
            <w:pPr>
              <w:pStyle w:val="BodyText"/>
              <w:tabs>
                <w:tab w:val="left" w:pos="720"/>
              </w:tabs>
              <w:spacing w:line="360" w:lineRule="auto"/>
              <w:jc w:val="left"/>
              <w:rPr>
                <w:sz w:val="24"/>
                <w:szCs w:val="24"/>
              </w:rPr>
            </w:pPr>
            <w:r w:rsidRPr="005617C6">
              <w:rPr>
                <w:bCs/>
                <w:sz w:val="24"/>
                <w:szCs w:val="24"/>
              </w:rPr>
              <w:t xml:space="preserve">Direktorius </w:t>
            </w:r>
          </w:p>
          <w:p w:rsidR="001E6599" w:rsidRPr="005617C6" w:rsidRDefault="001E6599" w:rsidP="001E6599">
            <w:pPr>
              <w:pStyle w:val="BodyText"/>
              <w:tabs>
                <w:tab w:val="left" w:pos="720"/>
              </w:tabs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124" w:type="dxa"/>
          </w:tcPr>
          <w:p w:rsidR="001E6599" w:rsidRPr="005617C6" w:rsidRDefault="001E6599" w:rsidP="001E6599">
            <w:pPr>
              <w:pStyle w:val="BodyText"/>
              <w:tabs>
                <w:tab w:val="left" w:pos="720"/>
              </w:tabs>
              <w:spacing w:line="360" w:lineRule="auto"/>
              <w:jc w:val="right"/>
              <w:rPr>
                <w:sz w:val="24"/>
                <w:szCs w:val="24"/>
              </w:rPr>
            </w:pPr>
            <w:r w:rsidRPr="005617C6">
              <w:rPr>
                <w:sz w:val="24"/>
                <w:szCs w:val="24"/>
              </w:rPr>
              <w:t xml:space="preserve">Žydrūnas </w:t>
            </w:r>
            <w:proofErr w:type="spellStart"/>
            <w:r w:rsidRPr="005617C6">
              <w:rPr>
                <w:sz w:val="24"/>
                <w:szCs w:val="24"/>
              </w:rPr>
              <w:t>Plytnikas</w:t>
            </w:r>
            <w:proofErr w:type="spellEnd"/>
          </w:p>
        </w:tc>
      </w:tr>
    </w:tbl>
    <w:p w:rsidR="00B23540" w:rsidRDefault="00B23540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4C488E" w:rsidRDefault="004C488E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8A5A7B" w:rsidRDefault="008A5A7B" w:rsidP="00A77BDD">
      <w:pPr>
        <w:tabs>
          <w:tab w:val="left" w:pos="900"/>
        </w:tabs>
        <w:rPr>
          <w:color w:val="000000"/>
          <w:sz w:val="24"/>
          <w:szCs w:val="24"/>
        </w:rPr>
      </w:pPr>
    </w:p>
    <w:p w:rsidR="004C488E" w:rsidRDefault="004C488E" w:rsidP="00A77BDD">
      <w:pPr>
        <w:tabs>
          <w:tab w:val="left" w:pos="900"/>
        </w:tabs>
        <w:rPr>
          <w:color w:val="000000"/>
          <w:sz w:val="24"/>
          <w:szCs w:val="24"/>
        </w:rPr>
      </w:pPr>
    </w:p>
    <w:sectPr w:rsidR="004C488E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343" w:rsidRDefault="00C00343">
      <w:r>
        <w:separator/>
      </w:r>
    </w:p>
  </w:endnote>
  <w:endnote w:type="continuationSeparator" w:id="0">
    <w:p w:rsidR="00C00343" w:rsidRDefault="00C00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AFF" w:usb1="C000605B" w:usb2="00000029" w:usb3="00000000" w:csb0="000101FF" w:csb1="00000000"/>
  </w:font>
  <w:font w:name="CG Times">
    <w:panose1 w:val="02020603050405020304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343" w:rsidRDefault="00C00343">
    <w:pPr>
      <w:pStyle w:val="Footer"/>
    </w:pPr>
  </w:p>
  <w:p w:rsidR="00C00343" w:rsidRDefault="00C00343">
    <w:pPr>
      <w:pStyle w:val="Footer"/>
    </w:pPr>
  </w:p>
  <w:p w:rsidR="00C00343" w:rsidRDefault="00C003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C00343" w:rsidRPr="008F10BE" w:rsidTr="0048148B">
      <w:tc>
        <w:tcPr>
          <w:tcW w:w="3225" w:type="dxa"/>
        </w:tcPr>
        <w:p w:rsidR="00C00343" w:rsidRPr="008F10BE" w:rsidRDefault="00C00343" w:rsidP="00225780">
          <w:pPr>
            <w:pStyle w:val="Footer"/>
          </w:pPr>
          <w:r w:rsidRPr="008F10BE">
            <w:t>Biudžetinė įstaiga</w:t>
          </w:r>
        </w:p>
        <w:p w:rsidR="00C00343" w:rsidRPr="008F10BE" w:rsidRDefault="00C00343" w:rsidP="00225780">
          <w:pPr>
            <w:pStyle w:val="Footer"/>
          </w:pPr>
          <w:r w:rsidRPr="008F10BE">
            <w:t>Kareivių g. 1, 08221 Vilnius</w:t>
          </w:r>
        </w:p>
        <w:p w:rsidR="00C00343" w:rsidRPr="008F10BE" w:rsidRDefault="00C00343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C00343" w:rsidRPr="008F10BE" w:rsidRDefault="00C00343" w:rsidP="008A5A7B">
          <w:pPr>
            <w:pStyle w:val="Footer"/>
          </w:pPr>
          <w:r w:rsidRPr="008F10BE">
            <w:t>Tel. (8 5) 219 7001</w:t>
          </w:r>
        </w:p>
        <w:p w:rsidR="00C00343" w:rsidRPr="008F10BE" w:rsidRDefault="00C00343" w:rsidP="008A5A7B">
          <w:pPr>
            <w:pStyle w:val="Footer"/>
          </w:pPr>
          <w:r w:rsidRPr="008F10BE">
            <w:t>Faks. (8 5) 213 6213</w:t>
          </w:r>
        </w:p>
        <w:p w:rsidR="00C00343" w:rsidRPr="008F10BE" w:rsidRDefault="00C00343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C00343" w:rsidRPr="008F10BE" w:rsidRDefault="00C00343" w:rsidP="008A5A7B">
          <w:pPr>
            <w:pStyle w:val="Footer"/>
          </w:pPr>
          <w:r w:rsidRPr="008F10BE">
            <w:t>Duomenys kaupiami ir saugomi</w:t>
          </w:r>
        </w:p>
        <w:p w:rsidR="00C00343" w:rsidRPr="008F10BE" w:rsidRDefault="00C00343" w:rsidP="00225780">
          <w:pPr>
            <w:pStyle w:val="Footer"/>
          </w:pPr>
          <w:r w:rsidRPr="008F10BE">
            <w:t>Juridinių asmenų registre</w:t>
          </w:r>
        </w:p>
        <w:p w:rsidR="00C00343" w:rsidRPr="008F10BE" w:rsidRDefault="00C00343" w:rsidP="00225780">
          <w:pPr>
            <w:pStyle w:val="Footer"/>
          </w:pPr>
          <w:r w:rsidRPr="008F10BE">
            <w:t>Kodas 188656261</w:t>
          </w:r>
        </w:p>
      </w:tc>
    </w:tr>
  </w:tbl>
  <w:p w:rsidR="00C00343" w:rsidRPr="008F10BE" w:rsidRDefault="00C00343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343" w:rsidRDefault="00C00343">
      <w:r>
        <w:separator/>
      </w:r>
    </w:p>
  </w:footnote>
  <w:footnote w:type="continuationSeparator" w:id="0">
    <w:p w:rsidR="00C00343" w:rsidRDefault="00C003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343" w:rsidRDefault="00D340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003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0343" w:rsidRDefault="00C003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343" w:rsidRDefault="00D340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003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3B83">
      <w:rPr>
        <w:rStyle w:val="PageNumber"/>
        <w:noProof/>
      </w:rPr>
      <w:t>2</w:t>
    </w:r>
    <w:r>
      <w:rPr>
        <w:rStyle w:val="PageNumber"/>
      </w:rPr>
      <w:fldChar w:fldCharType="end"/>
    </w:r>
  </w:p>
  <w:p w:rsidR="00C00343" w:rsidRDefault="00C003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260D"/>
    <w:multiLevelType w:val="hybridMultilevel"/>
    <w:tmpl w:val="0F208262"/>
    <w:lvl w:ilvl="0" w:tplc="8558E9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F8024B"/>
    <w:multiLevelType w:val="multilevel"/>
    <w:tmpl w:val="099E3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7D0350D"/>
    <w:multiLevelType w:val="hybridMultilevel"/>
    <w:tmpl w:val="813A0DBC"/>
    <w:lvl w:ilvl="0" w:tplc="9D3EF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7372"/>
    <w:rsid w:val="00021053"/>
    <w:rsid w:val="00023B43"/>
    <w:rsid w:val="000327A3"/>
    <w:rsid w:val="00033CC7"/>
    <w:rsid w:val="00035EB7"/>
    <w:rsid w:val="000363F6"/>
    <w:rsid w:val="00044AFE"/>
    <w:rsid w:val="000506A7"/>
    <w:rsid w:val="00097A68"/>
    <w:rsid w:val="000E5D45"/>
    <w:rsid w:val="00103DFB"/>
    <w:rsid w:val="00111FD6"/>
    <w:rsid w:val="001134B2"/>
    <w:rsid w:val="00117AAD"/>
    <w:rsid w:val="0017077F"/>
    <w:rsid w:val="001947C6"/>
    <w:rsid w:val="001A2A3C"/>
    <w:rsid w:val="001C64A9"/>
    <w:rsid w:val="001E6599"/>
    <w:rsid w:val="00223E47"/>
    <w:rsid w:val="00225780"/>
    <w:rsid w:val="00256CEF"/>
    <w:rsid w:val="002571B3"/>
    <w:rsid w:val="00287365"/>
    <w:rsid w:val="002878B6"/>
    <w:rsid w:val="00297410"/>
    <w:rsid w:val="002A06B0"/>
    <w:rsid w:val="002B0D9C"/>
    <w:rsid w:val="002B5FFD"/>
    <w:rsid w:val="002B6A22"/>
    <w:rsid w:val="002C4A68"/>
    <w:rsid w:val="002D1F71"/>
    <w:rsid w:val="002D44DD"/>
    <w:rsid w:val="002F6A88"/>
    <w:rsid w:val="00313FC6"/>
    <w:rsid w:val="00351E8D"/>
    <w:rsid w:val="0035640A"/>
    <w:rsid w:val="00357A1F"/>
    <w:rsid w:val="00363575"/>
    <w:rsid w:val="00364784"/>
    <w:rsid w:val="00396B0F"/>
    <w:rsid w:val="003B3873"/>
    <w:rsid w:val="003D3D13"/>
    <w:rsid w:val="003D4978"/>
    <w:rsid w:val="003F5351"/>
    <w:rsid w:val="00407574"/>
    <w:rsid w:val="004434D2"/>
    <w:rsid w:val="00454D65"/>
    <w:rsid w:val="00462A10"/>
    <w:rsid w:val="0048148B"/>
    <w:rsid w:val="004A78DE"/>
    <w:rsid w:val="004C325B"/>
    <w:rsid w:val="004C488E"/>
    <w:rsid w:val="004D03A6"/>
    <w:rsid w:val="004D1BAD"/>
    <w:rsid w:val="004E56C3"/>
    <w:rsid w:val="00510C55"/>
    <w:rsid w:val="005B6FCB"/>
    <w:rsid w:val="005D2379"/>
    <w:rsid w:val="005E4B7B"/>
    <w:rsid w:val="005F5F70"/>
    <w:rsid w:val="00604645"/>
    <w:rsid w:val="00617673"/>
    <w:rsid w:val="00626943"/>
    <w:rsid w:val="006416BB"/>
    <w:rsid w:val="00646619"/>
    <w:rsid w:val="00653884"/>
    <w:rsid w:val="006542AD"/>
    <w:rsid w:val="00654BAE"/>
    <w:rsid w:val="00663222"/>
    <w:rsid w:val="00663B83"/>
    <w:rsid w:val="00664877"/>
    <w:rsid w:val="00672B1E"/>
    <w:rsid w:val="00691084"/>
    <w:rsid w:val="00693D78"/>
    <w:rsid w:val="00693F43"/>
    <w:rsid w:val="006C1852"/>
    <w:rsid w:val="006D6F78"/>
    <w:rsid w:val="006F4452"/>
    <w:rsid w:val="00701414"/>
    <w:rsid w:val="00702DFF"/>
    <w:rsid w:val="00727CA6"/>
    <w:rsid w:val="00744E44"/>
    <w:rsid w:val="00772F47"/>
    <w:rsid w:val="00793677"/>
    <w:rsid w:val="007A3192"/>
    <w:rsid w:val="007A6CDF"/>
    <w:rsid w:val="007A7FEC"/>
    <w:rsid w:val="007F62F4"/>
    <w:rsid w:val="00812DC4"/>
    <w:rsid w:val="00826D69"/>
    <w:rsid w:val="00832DBE"/>
    <w:rsid w:val="00840680"/>
    <w:rsid w:val="008465EF"/>
    <w:rsid w:val="00853BC2"/>
    <w:rsid w:val="00854F66"/>
    <w:rsid w:val="00873B10"/>
    <w:rsid w:val="00877384"/>
    <w:rsid w:val="008A5A7B"/>
    <w:rsid w:val="008B369B"/>
    <w:rsid w:val="008C08DC"/>
    <w:rsid w:val="008C20D1"/>
    <w:rsid w:val="008F10BE"/>
    <w:rsid w:val="00900135"/>
    <w:rsid w:val="00907A60"/>
    <w:rsid w:val="00907C82"/>
    <w:rsid w:val="009310AB"/>
    <w:rsid w:val="00943DBD"/>
    <w:rsid w:val="0095689C"/>
    <w:rsid w:val="009607FC"/>
    <w:rsid w:val="009831BF"/>
    <w:rsid w:val="0098570E"/>
    <w:rsid w:val="00987111"/>
    <w:rsid w:val="009A7CC2"/>
    <w:rsid w:val="009F1576"/>
    <w:rsid w:val="00A07134"/>
    <w:rsid w:val="00A26FAE"/>
    <w:rsid w:val="00A41F79"/>
    <w:rsid w:val="00A630A8"/>
    <w:rsid w:val="00A77BDD"/>
    <w:rsid w:val="00AC720E"/>
    <w:rsid w:val="00AD4FCC"/>
    <w:rsid w:val="00AD6B9F"/>
    <w:rsid w:val="00AE1A79"/>
    <w:rsid w:val="00B1182C"/>
    <w:rsid w:val="00B13D09"/>
    <w:rsid w:val="00B23540"/>
    <w:rsid w:val="00B24171"/>
    <w:rsid w:val="00B36DDA"/>
    <w:rsid w:val="00B53DC4"/>
    <w:rsid w:val="00B64871"/>
    <w:rsid w:val="00B67F07"/>
    <w:rsid w:val="00BB0636"/>
    <w:rsid w:val="00BB3371"/>
    <w:rsid w:val="00BB6D51"/>
    <w:rsid w:val="00BC2A65"/>
    <w:rsid w:val="00BE5F43"/>
    <w:rsid w:val="00BF40BD"/>
    <w:rsid w:val="00C00343"/>
    <w:rsid w:val="00C05867"/>
    <w:rsid w:val="00C11535"/>
    <w:rsid w:val="00C253D2"/>
    <w:rsid w:val="00C267ED"/>
    <w:rsid w:val="00C3102D"/>
    <w:rsid w:val="00C71B4A"/>
    <w:rsid w:val="00C82C5B"/>
    <w:rsid w:val="00C9438A"/>
    <w:rsid w:val="00C96CAB"/>
    <w:rsid w:val="00CD0D68"/>
    <w:rsid w:val="00D215F6"/>
    <w:rsid w:val="00D26C7E"/>
    <w:rsid w:val="00D302B3"/>
    <w:rsid w:val="00D30739"/>
    <w:rsid w:val="00D340B7"/>
    <w:rsid w:val="00D34999"/>
    <w:rsid w:val="00D37AE0"/>
    <w:rsid w:val="00D5057E"/>
    <w:rsid w:val="00D73CF3"/>
    <w:rsid w:val="00D74661"/>
    <w:rsid w:val="00D87661"/>
    <w:rsid w:val="00D87DC4"/>
    <w:rsid w:val="00D917BE"/>
    <w:rsid w:val="00DA4DB5"/>
    <w:rsid w:val="00DB3D63"/>
    <w:rsid w:val="00DD21E7"/>
    <w:rsid w:val="00DE39F7"/>
    <w:rsid w:val="00DE7300"/>
    <w:rsid w:val="00E10488"/>
    <w:rsid w:val="00E1788F"/>
    <w:rsid w:val="00EC1185"/>
    <w:rsid w:val="00EC3B31"/>
    <w:rsid w:val="00F34035"/>
    <w:rsid w:val="00F606BC"/>
    <w:rsid w:val="00F73F5D"/>
    <w:rsid w:val="00F90553"/>
    <w:rsid w:val="00F90D16"/>
    <w:rsid w:val="00F94496"/>
    <w:rsid w:val="00FA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325B"/>
    <w:pPr>
      <w:ind w:left="720"/>
      <w:contextualSpacing/>
    </w:pPr>
  </w:style>
  <w:style w:type="paragraph" w:customStyle="1" w:styleId="DiagramaCharChar1Diagrama0">
    <w:name w:val="Diagrama Char Char1 Diagrama"/>
    <w:basedOn w:val="Normal"/>
    <w:rsid w:val="007A6CDF"/>
    <w:pPr>
      <w:spacing w:after="160" w:line="240" w:lineRule="exact"/>
    </w:pPr>
    <w:rPr>
      <w:rFonts w:ascii="Tahoma" w:hAnsi="Tahoma"/>
      <w:lang w:val="en-US"/>
    </w:rPr>
  </w:style>
  <w:style w:type="paragraph" w:customStyle="1" w:styleId="Normal12pt">
    <w:name w:val="Normal + 12 pt"/>
    <w:basedOn w:val="Normal"/>
    <w:link w:val="Normal12ptChar"/>
    <w:rsid w:val="001E6599"/>
    <w:pPr>
      <w:tabs>
        <w:tab w:val="left" w:pos="737"/>
      </w:tabs>
      <w:ind w:right="-283"/>
      <w:jc w:val="both"/>
    </w:pPr>
    <w:rPr>
      <w:sz w:val="24"/>
      <w:szCs w:val="24"/>
    </w:rPr>
  </w:style>
  <w:style w:type="paragraph" w:styleId="BodyText">
    <w:name w:val="Body Text"/>
    <w:basedOn w:val="Normal"/>
    <w:link w:val="BodyTextChar"/>
    <w:rsid w:val="001E6599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1E6599"/>
    <w:rPr>
      <w:sz w:val="22"/>
      <w:lang w:eastAsia="en-US"/>
    </w:rPr>
  </w:style>
  <w:style w:type="character" w:customStyle="1" w:styleId="Normal12ptChar">
    <w:name w:val="Normal + 12 pt Char"/>
    <w:basedOn w:val="DefaultParagraphFont"/>
    <w:link w:val="Normal12pt"/>
    <w:rsid w:val="001E6599"/>
    <w:rPr>
      <w:sz w:val="24"/>
      <w:szCs w:val="24"/>
      <w:lang w:eastAsia="en-US"/>
    </w:rPr>
  </w:style>
  <w:style w:type="character" w:styleId="Strong">
    <w:name w:val="Strong"/>
    <w:basedOn w:val="DefaultParagraphFont"/>
    <w:qFormat/>
    <w:rsid w:val="001E65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BECEE-CA9D-4893-863F-404BC291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0</TotalTime>
  <Pages>2</Pages>
  <Words>333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Viešųjų pirkimų tarnyba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TIlciukas</cp:lastModifiedBy>
  <cp:revision>3</cp:revision>
  <cp:lastPrinted>2014-08-06T07:33:00Z</cp:lastPrinted>
  <dcterms:created xsi:type="dcterms:W3CDTF">2014-08-06T07:59:00Z</dcterms:created>
  <dcterms:modified xsi:type="dcterms:W3CDTF">2014-08-08T11:40:00Z</dcterms:modified>
</cp:coreProperties>
</file>