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15" w:rsidRDefault="00D84EE5" w:rsidP="00657129">
      <w:pPr>
        <w:tabs>
          <w:tab w:val="decimal" w:pos="2982"/>
        </w:tabs>
      </w:pPr>
      <w:bookmarkStart w:id="0" w:name="_MON_1301915618"/>
      <w:bookmarkEnd w:id="0"/>
      <w:r w:rsidRPr="00D84EE5">
        <w:rPr>
          <w:noProof/>
          <w:lang w:eastAsia="lt-LT"/>
        </w:rPr>
        <w:drawing>
          <wp:anchor distT="0" distB="0" distL="114300" distR="114300" simplePos="0" relativeHeight="251659264" behindDoc="1" locked="0" layoutInCell="1" allowOverlap="1">
            <wp:simplePos x="0" y="0"/>
            <wp:positionH relativeFrom="margin">
              <wp:posOffset>5215890</wp:posOffset>
            </wp:positionH>
            <wp:positionV relativeFrom="margin">
              <wp:posOffset>102235</wp:posOffset>
            </wp:positionV>
            <wp:extent cx="542925" cy="542925"/>
            <wp:effectExtent l="19050" t="0" r="9525" b="0"/>
            <wp:wrapNone/>
            <wp:docPr id="2" name="Paveikslėlis 1" descr="Euro ivedimas_sablonai ZENKLAS Full COL &amp; euras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spect="1" noChangeArrowheads="1"/>
                    </pic:cNvPicPr>
                  </pic:nvPicPr>
                  <pic:blipFill>
                    <a:blip r:embed="rId8" cstate="print"/>
                    <a:srcRect/>
                    <a:stretch>
                      <a:fillRect/>
                    </a:stretch>
                  </pic:blipFill>
                  <pic:spPr bwMode="auto">
                    <a:xfrm>
                      <a:off x="0" y="0"/>
                      <a:ext cx="542925" cy="542925"/>
                    </a:xfrm>
                    <a:prstGeom prst="rect">
                      <a:avLst/>
                    </a:prstGeom>
                    <a:noFill/>
                    <a:ln w="9525">
                      <a:noFill/>
                      <a:miter lim="800000"/>
                      <a:headEnd/>
                      <a:tailEnd/>
                    </a:ln>
                  </pic:spPr>
                </pic:pic>
              </a:graphicData>
            </a:graphic>
          </wp:anchor>
        </w:drawing>
      </w:r>
    </w:p>
    <w:p w:rsidR="00D84EE5" w:rsidRPr="00907C82" w:rsidRDefault="00D84EE5" w:rsidP="00D84EE5">
      <w:pPr>
        <w:jc w:val="center"/>
      </w:pPr>
    </w:p>
    <w:p w:rsidR="00D84EE5" w:rsidRPr="00E167CA" w:rsidRDefault="00D84EE5" w:rsidP="00D84EE5">
      <w:pPr>
        <w:rPr>
          <w:bCs w:val="0"/>
        </w:rPr>
      </w:pPr>
    </w:p>
    <w:p w:rsidR="00D84EE5" w:rsidRDefault="00D84EE5" w:rsidP="00D84EE5">
      <w:pPr>
        <w:jc w:val="center"/>
        <w:rPr>
          <w:bCs w:val="0"/>
        </w:rPr>
      </w:pPr>
      <w:r w:rsidRPr="00D84EE5">
        <w:rPr>
          <w:bCs w:val="0"/>
          <w:noProof/>
          <w:lang w:eastAsia="lt-LT"/>
        </w:rPr>
        <w:drawing>
          <wp:inline distT="0" distB="0" distL="0" distR="0">
            <wp:extent cx="552450" cy="6096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609600"/>
                    </a:xfrm>
                    <a:prstGeom prst="rect">
                      <a:avLst/>
                    </a:prstGeom>
                    <a:noFill/>
                    <a:ln w="9525">
                      <a:noFill/>
                      <a:miter lim="800000"/>
                      <a:headEnd/>
                      <a:tailEnd/>
                    </a:ln>
                  </pic:spPr>
                </pic:pic>
              </a:graphicData>
            </a:graphic>
          </wp:inline>
        </w:drawing>
      </w:r>
    </w:p>
    <w:p w:rsidR="00D84EE5" w:rsidRDefault="00D84EE5" w:rsidP="00D84EE5">
      <w:pPr>
        <w:jc w:val="center"/>
        <w:rPr>
          <w:bCs w:val="0"/>
        </w:rPr>
      </w:pPr>
    </w:p>
    <w:p w:rsidR="00D84EE5" w:rsidRPr="006E7EAE" w:rsidRDefault="00D84EE5" w:rsidP="00D84EE5">
      <w:pPr>
        <w:jc w:val="center"/>
        <w:rPr>
          <w:b/>
          <w:bCs w:val="0"/>
        </w:rPr>
      </w:pPr>
      <w:r w:rsidRPr="006E7EAE">
        <w:rPr>
          <w:b/>
          <w:bCs w:val="0"/>
        </w:rPr>
        <w:t>VIEŠŲJŲ PIRKIMŲ TARNYBA</w:t>
      </w:r>
    </w:p>
    <w:p w:rsidR="00396B0F" w:rsidRPr="00657129" w:rsidRDefault="00396B0F" w:rsidP="00657129"/>
    <w:p w:rsidR="00CD5D3F" w:rsidRDefault="00CD5D3F" w:rsidP="00657129"/>
    <w:tbl>
      <w:tblPr>
        <w:tblpPr w:leftFromText="180" w:rightFromText="180" w:vertAnchor="text" w:horzAnchor="margin" w:tblpXSpec="right" w:tblpY="-17"/>
        <w:tblW w:w="0" w:type="auto"/>
        <w:tblLayout w:type="fixed"/>
        <w:tblLook w:val="0000"/>
      </w:tblPr>
      <w:tblGrid>
        <w:gridCol w:w="1526"/>
        <w:gridCol w:w="567"/>
        <w:gridCol w:w="1905"/>
      </w:tblGrid>
      <w:tr w:rsidR="00CD5D3F" w:rsidRPr="00907C82" w:rsidTr="00CD5D3F">
        <w:trPr>
          <w:cantSplit/>
          <w:trHeight w:val="80"/>
        </w:trPr>
        <w:tc>
          <w:tcPr>
            <w:tcW w:w="1526" w:type="dxa"/>
          </w:tcPr>
          <w:p w:rsidR="00CD5D3F" w:rsidRPr="00907C82" w:rsidRDefault="00CD5D3F" w:rsidP="00657129">
            <w:r>
              <w:t>2014</w:t>
            </w:r>
            <w:r w:rsidRPr="00907C82">
              <w:t>-</w:t>
            </w:r>
            <w:r>
              <w:t>0</w:t>
            </w:r>
            <w:r w:rsidR="00415D78">
              <w:t>8</w:t>
            </w:r>
          </w:p>
        </w:tc>
        <w:tc>
          <w:tcPr>
            <w:tcW w:w="567" w:type="dxa"/>
          </w:tcPr>
          <w:p w:rsidR="00CD5D3F" w:rsidRPr="00907C82" w:rsidRDefault="00CD5D3F" w:rsidP="00657129">
            <w:r w:rsidRPr="00907C82">
              <w:t>N</w:t>
            </w:r>
            <w:r>
              <w:t>r.</w:t>
            </w:r>
          </w:p>
        </w:tc>
        <w:tc>
          <w:tcPr>
            <w:tcW w:w="1905" w:type="dxa"/>
          </w:tcPr>
          <w:p w:rsidR="00CD5D3F" w:rsidRPr="00907C82" w:rsidRDefault="00CD5D3F" w:rsidP="00657129">
            <w:r w:rsidRPr="00907C82">
              <w:t>4S-</w:t>
            </w:r>
          </w:p>
        </w:tc>
      </w:tr>
      <w:tr w:rsidR="00CD5D3F" w:rsidRPr="00907C82" w:rsidTr="00CD5D3F">
        <w:trPr>
          <w:cantSplit/>
          <w:trHeight w:val="80"/>
        </w:trPr>
        <w:tc>
          <w:tcPr>
            <w:tcW w:w="1526" w:type="dxa"/>
          </w:tcPr>
          <w:p w:rsidR="00CD5D3F" w:rsidRPr="00907C82" w:rsidRDefault="00CD5D3F" w:rsidP="00657129">
            <w:r>
              <w:t>Į 2014-0</w:t>
            </w:r>
            <w:r w:rsidR="00415D78">
              <w:t>7-1</w:t>
            </w:r>
            <w:r>
              <w:t>5</w:t>
            </w:r>
          </w:p>
        </w:tc>
        <w:tc>
          <w:tcPr>
            <w:tcW w:w="567" w:type="dxa"/>
          </w:tcPr>
          <w:p w:rsidR="00CD5D3F" w:rsidRPr="00907C82" w:rsidRDefault="00CD5D3F" w:rsidP="00657129">
            <w:r>
              <w:t>Nr.</w:t>
            </w:r>
          </w:p>
        </w:tc>
        <w:tc>
          <w:tcPr>
            <w:tcW w:w="1905" w:type="dxa"/>
          </w:tcPr>
          <w:p w:rsidR="00CD5D3F" w:rsidRPr="00907C82" w:rsidRDefault="00415D78" w:rsidP="00657129">
            <w:r>
              <w:t>140715-2</w:t>
            </w:r>
          </w:p>
        </w:tc>
      </w:tr>
    </w:tbl>
    <w:p w:rsidR="00AC244A" w:rsidRDefault="00415D78" w:rsidP="00657129">
      <w:r>
        <w:t>VšĮ „Šiaulių regiono plėtros agentūra“</w:t>
      </w:r>
    </w:p>
    <w:p w:rsidR="00AC244A" w:rsidRDefault="00415D78" w:rsidP="00657129">
      <w:r>
        <w:t>Vilniaus g. 100</w:t>
      </w:r>
    </w:p>
    <w:p w:rsidR="00AC244A" w:rsidRDefault="00AC244A" w:rsidP="00657129">
      <w:r>
        <w:t>LT-</w:t>
      </w:r>
      <w:r w:rsidR="00415D78">
        <w:t>76356</w:t>
      </w:r>
      <w:r>
        <w:t xml:space="preserve"> </w:t>
      </w:r>
      <w:r w:rsidR="00415D78">
        <w:t>Šiauliai</w:t>
      </w:r>
    </w:p>
    <w:p w:rsidR="00B02B94" w:rsidRDefault="00B02B94" w:rsidP="00657129"/>
    <w:p w:rsidR="00AC244A" w:rsidRDefault="00B02B94" w:rsidP="00657129">
      <w:r>
        <w:t xml:space="preserve">Kopija </w:t>
      </w:r>
    </w:p>
    <w:p w:rsidR="00CD5D3F" w:rsidRDefault="00B02B94" w:rsidP="00657129">
      <w:proofErr w:type="spellStart"/>
      <w:r>
        <w:t>VšĮ</w:t>
      </w:r>
      <w:proofErr w:type="spellEnd"/>
      <w:r>
        <w:t xml:space="preserve"> „Lietuvos verslo paramos agentūra“</w:t>
      </w:r>
    </w:p>
    <w:p w:rsidR="00396B0F" w:rsidRDefault="00B02B94" w:rsidP="00657129">
      <w:pPr>
        <w:rPr>
          <w:lang w:eastAsia="lt-LT"/>
        </w:rPr>
      </w:pPr>
      <w:r>
        <w:rPr>
          <w:lang w:eastAsia="lt-LT"/>
        </w:rPr>
        <w:t>Savanorių pr. 28,</w:t>
      </w:r>
    </w:p>
    <w:p w:rsidR="00B02B94" w:rsidRDefault="00B02B94" w:rsidP="00657129">
      <w:pPr>
        <w:rPr>
          <w:lang w:eastAsia="lt-LT"/>
        </w:rPr>
      </w:pPr>
      <w:r>
        <w:rPr>
          <w:lang w:eastAsia="lt-LT"/>
        </w:rPr>
        <w:t>LT-03116, Vilnius</w:t>
      </w:r>
    </w:p>
    <w:p w:rsidR="00B02B94" w:rsidRDefault="00B02B94" w:rsidP="00657129">
      <w:pPr>
        <w:rPr>
          <w:lang w:eastAsia="lt-LT"/>
        </w:rPr>
      </w:pPr>
    </w:p>
    <w:p w:rsidR="00B02B94" w:rsidRDefault="00B02B94" w:rsidP="00657129">
      <w:pPr>
        <w:rPr>
          <w:lang w:eastAsia="lt-LT"/>
        </w:rPr>
      </w:pPr>
    </w:p>
    <w:p w:rsidR="00351E8D" w:rsidRPr="006E7EAE" w:rsidRDefault="004D03A6" w:rsidP="00657129">
      <w:pPr>
        <w:rPr>
          <w:b/>
          <w:lang w:eastAsia="lt-LT"/>
        </w:rPr>
      </w:pPr>
      <w:r w:rsidRPr="006E7EAE">
        <w:rPr>
          <w:b/>
          <w:lang w:eastAsia="lt-LT"/>
        </w:rPr>
        <w:t>DĖL</w:t>
      </w:r>
      <w:r w:rsidR="00AC244A" w:rsidRPr="006E7EAE">
        <w:rPr>
          <w:b/>
          <w:lang w:eastAsia="lt-LT"/>
        </w:rPr>
        <w:t xml:space="preserve"> VIEŠOJO PIRKIMO NR. </w:t>
      </w:r>
      <w:r w:rsidR="00415D78" w:rsidRPr="006E7EAE">
        <w:rPr>
          <w:b/>
          <w:lang w:eastAsia="lt-LT"/>
        </w:rPr>
        <w:t>149726</w:t>
      </w:r>
      <w:r w:rsidR="00AC244A" w:rsidRPr="006E7EAE">
        <w:rPr>
          <w:b/>
          <w:lang w:eastAsia="lt-LT"/>
        </w:rPr>
        <w:t xml:space="preserve"> ĮVERTINIMO</w:t>
      </w:r>
    </w:p>
    <w:p w:rsidR="00225780" w:rsidRDefault="00225780" w:rsidP="00657129"/>
    <w:p w:rsidR="00346223" w:rsidRDefault="00346223" w:rsidP="00657129"/>
    <w:p w:rsidR="00415D78" w:rsidRDefault="00415D78" w:rsidP="00657129">
      <w:pPr>
        <w:rPr>
          <w:lang w:eastAsia="lt-LT"/>
        </w:rPr>
      </w:pPr>
    </w:p>
    <w:p w:rsidR="00415D78" w:rsidRDefault="006E7EAE" w:rsidP="00532E8D">
      <w:pPr>
        <w:jc w:val="both"/>
      </w:pPr>
      <w:r>
        <w:tab/>
      </w:r>
      <w:r w:rsidR="00415D78">
        <w:t xml:space="preserve">Viešųjų pirkimų tarnyba (toliau – Tarnyba), vadovaudamasi Lietuvos Respublikos viešųjų pirkimų įstatymo (toliau – Įstatymas) 8² straipsnio 1 dalies 2 punktu, įvertino VšĮ „Šiaulių regiono plėtros agentūra“ (toliau – Perkančioji organizacija) pateiktus dokumentus, susijusius su vykdytu supaprastintu atviru konkursu „Šiaulių menų inkubatoriaus (Elnio g. 25, Šiauliai) įkūrimas: rangos darbai““ (Centrinėje viešųjų pirkimų informacinėje sistemoje skelbtas 2014 m. balandžio 2 d., pirkimo Nr. 149726, toliau – Pirkimas). </w:t>
      </w:r>
    </w:p>
    <w:p w:rsidR="008E45ED" w:rsidRDefault="006E7EAE" w:rsidP="00532E8D">
      <w:pPr>
        <w:jc w:val="both"/>
      </w:pPr>
      <w:r>
        <w:tab/>
      </w:r>
      <w:r w:rsidR="00415D78">
        <w:t xml:space="preserve">Pirkimas vykdytas pagal Įstatymo, </w:t>
      </w:r>
      <w:r w:rsidR="00AD2878">
        <w:t xml:space="preserve">VšĮ „Šiaulių regiono plėtros agentūra“ </w:t>
      </w:r>
      <w:r w:rsidR="00415D78">
        <w:t xml:space="preserve">Supaprastintų viešųjų pirkimų </w:t>
      </w:r>
      <w:proofErr w:type="gramStart"/>
      <w:r w:rsidR="00415D78">
        <w:t>taisyklių</w:t>
      </w:r>
      <w:proofErr w:type="gramEnd"/>
      <w:r w:rsidR="00415D78">
        <w:t xml:space="preserve">, patvirtintų Perkančiosios organizacijos </w:t>
      </w:r>
      <w:r w:rsidR="00415D78" w:rsidRPr="004637BD">
        <w:t xml:space="preserve">direktoriaus </w:t>
      </w:r>
      <w:r w:rsidR="008E45ED" w:rsidRPr="004637BD">
        <w:t>2012</w:t>
      </w:r>
      <w:r w:rsidR="004637BD">
        <w:t>-01-27</w:t>
      </w:r>
      <w:r w:rsidR="008E45ED" w:rsidRPr="004637BD">
        <w:t xml:space="preserve"> </w:t>
      </w:r>
      <w:r w:rsidR="008E45ED" w:rsidRPr="004637BD">
        <w:rPr>
          <w:spacing w:val="-1"/>
        </w:rPr>
        <w:t xml:space="preserve">įsakymu </w:t>
      </w:r>
      <w:r w:rsidR="008E45ED" w:rsidRPr="004637BD">
        <w:t xml:space="preserve">Nr. V5-1 </w:t>
      </w:r>
      <w:r w:rsidR="00B06B4B">
        <w:t xml:space="preserve">(toliau – Taisyklės) </w:t>
      </w:r>
      <w:r w:rsidR="00415D78" w:rsidRPr="004637BD">
        <w:t xml:space="preserve">nuostatas, Pirkimo sąlygas, patvirtintas </w:t>
      </w:r>
      <w:r w:rsidR="004637BD">
        <w:t xml:space="preserve">Perkančiosios organizacijos </w:t>
      </w:r>
      <w:r w:rsidR="004637BD" w:rsidRPr="004637BD">
        <w:t>direktoriaus</w:t>
      </w:r>
      <w:r w:rsidR="00B06B4B">
        <w:t xml:space="preserve"> </w:t>
      </w:r>
      <w:r w:rsidR="004637BD" w:rsidRPr="004637BD">
        <w:t>2012</w:t>
      </w:r>
      <w:r w:rsidR="004637BD">
        <w:t>-02-25</w:t>
      </w:r>
      <w:r w:rsidR="004637BD" w:rsidRPr="004637BD">
        <w:t xml:space="preserve"> </w:t>
      </w:r>
      <w:r w:rsidR="004637BD">
        <w:t>įsakymu Nr. V14-1 sudarytos projekto „Šiaulių menų inkubatoriaus įkūrimas“</w:t>
      </w:r>
      <w:r w:rsidR="004637BD" w:rsidRPr="004637BD">
        <w:t xml:space="preserve"> </w:t>
      </w:r>
      <w:r w:rsidR="00415D78" w:rsidRPr="004637BD">
        <w:t xml:space="preserve">Viešųjų pirkimų komisijos </w:t>
      </w:r>
      <w:r w:rsidR="004637BD">
        <w:t xml:space="preserve">(toliau – Komisija) </w:t>
      </w:r>
      <w:r w:rsidR="00415D78" w:rsidRPr="004637BD">
        <w:t>2014-03-2</w:t>
      </w:r>
      <w:r w:rsidR="008E45ED" w:rsidRPr="004637BD">
        <w:t>7</w:t>
      </w:r>
      <w:r w:rsidR="00415D78" w:rsidRPr="004637BD">
        <w:t xml:space="preserve"> posėdžio protokolu Nr. </w:t>
      </w:r>
      <w:r w:rsidR="008E45ED" w:rsidRPr="004637BD">
        <w:t>PER-03</w:t>
      </w:r>
      <w:r w:rsidR="00415D78" w:rsidRPr="004637BD">
        <w:t xml:space="preserve">, CVP IS priemonėmis. </w:t>
      </w:r>
    </w:p>
    <w:p w:rsidR="00415D78" w:rsidRDefault="006E7EAE" w:rsidP="00532E8D">
      <w:pPr>
        <w:jc w:val="both"/>
      </w:pPr>
      <w:r>
        <w:tab/>
      </w:r>
      <w:r w:rsidR="00415D78">
        <w:t>Tarnyba, įvertinusi Perkančiosios organizacijos pateiktus dokumentus bei CVP IS esančią Pirkimo informaciją, nustatė:</w:t>
      </w:r>
    </w:p>
    <w:p w:rsidR="00A52218" w:rsidRPr="00B06B4B" w:rsidRDefault="006E7EAE" w:rsidP="00532E8D">
      <w:pPr>
        <w:jc w:val="both"/>
      </w:pPr>
      <w:r>
        <w:tab/>
      </w:r>
      <w:r w:rsidR="0086677B">
        <w:t>1. K</w:t>
      </w:r>
      <w:r w:rsidR="00A52218">
        <w:t xml:space="preserve">omisija nesivadovavo Perkančiosios organizacijos </w:t>
      </w:r>
      <w:r w:rsidR="00A52218" w:rsidRPr="004637BD">
        <w:t>direktoriaus</w:t>
      </w:r>
      <w:r w:rsidR="00A52218">
        <w:t xml:space="preserve"> 201</w:t>
      </w:r>
      <w:r w:rsidR="00A52218" w:rsidRPr="004637BD">
        <w:t>2</w:t>
      </w:r>
      <w:r w:rsidR="00A52218">
        <w:t>-03-25</w:t>
      </w:r>
      <w:r w:rsidR="00A52218" w:rsidRPr="004637BD">
        <w:t xml:space="preserve"> </w:t>
      </w:r>
      <w:r w:rsidR="00A52218">
        <w:t>įsakymu</w:t>
      </w:r>
      <w:proofErr w:type="gramStart"/>
      <w:r w:rsidR="00A52218">
        <w:t xml:space="preserve"> </w:t>
      </w:r>
      <w:r w:rsidR="00B06B4B">
        <w:t xml:space="preserve">             </w:t>
      </w:r>
      <w:proofErr w:type="gramEnd"/>
      <w:r w:rsidR="00A52218">
        <w:t xml:space="preserve">Nr. V19-3 patvirtinto Viešųjų pirkimų komisijos darbo reglamento III skyriaus „Komisijos funkcijos“ 7 </w:t>
      </w:r>
      <w:r w:rsidR="00A52218" w:rsidRPr="00A52218">
        <w:t>punkto nuostata, kad Komisija „parenka pirkimo būdą“, nes Tarnybai nepateiktas protokolas, kuri</w:t>
      </w:r>
      <w:r w:rsidR="00604679">
        <w:t>ame būtų užfiksuotas sprendimas</w:t>
      </w:r>
      <w:r w:rsidR="00A52218" w:rsidRPr="00A52218">
        <w:t xml:space="preserve"> </w:t>
      </w:r>
      <w:r w:rsidR="00A52218" w:rsidRPr="00B06B4B">
        <w:t xml:space="preserve">Pirkimą vykdyti supaprastinto atviro konkurso būdu. Tuo </w:t>
      </w:r>
      <w:r w:rsidR="000F24F2">
        <w:t>neužtikrintas</w:t>
      </w:r>
      <w:r w:rsidR="00A52218" w:rsidRPr="00B06B4B">
        <w:t xml:space="preserve"> </w:t>
      </w:r>
      <w:proofErr w:type="gramStart"/>
      <w:r w:rsidR="00B06B4B" w:rsidRPr="00B06B4B">
        <w:t>Taisyklių</w:t>
      </w:r>
      <w:proofErr w:type="gramEnd"/>
      <w:r w:rsidR="00B06B4B" w:rsidRPr="00B06B4B">
        <w:t xml:space="preserve"> 15 punkto bei </w:t>
      </w:r>
      <w:r w:rsidR="00A52218" w:rsidRPr="00B06B4B">
        <w:t xml:space="preserve">Įstatymo </w:t>
      </w:r>
      <w:bookmarkStart w:id="1" w:name="straipsnis16"/>
      <w:r w:rsidR="00A52218" w:rsidRPr="00B06B4B">
        <w:rPr>
          <w:color w:val="000000"/>
        </w:rPr>
        <w:t xml:space="preserve">16 </w:t>
      </w:r>
      <w:bookmarkStart w:id="2" w:name="_Toc19335322"/>
      <w:bookmarkStart w:id="3" w:name="_Toc7067131"/>
      <w:bookmarkStart w:id="4" w:name="_Toc6907148"/>
      <w:bookmarkStart w:id="5" w:name="_Toc673179"/>
      <w:bookmarkStart w:id="6" w:name="_Ref531399210"/>
      <w:bookmarkEnd w:id="1"/>
      <w:bookmarkEnd w:id="2"/>
      <w:bookmarkEnd w:id="3"/>
      <w:bookmarkEnd w:id="4"/>
      <w:bookmarkEnd w:id="5"/>
      <w:r w:rsidR="00A52218" w:rsidRPr="00B06B4B">
        <w:rPr>
          <w:color w:val="000000"/>
        </w:rPr>
        <w:t xml:space="preserve">straipsnio </w:t>
      </w:r>
      <w:bookmarkEnd w:id="6"/>
      <w:r w:rsidR="00120BEB">
        <w:rPr>
          <w:color w:val="000000"/>
        </w:rPr>
        <w:t xml:space="preserve">1 </w:t>
      </w:r>
      <w:r w:rsidR="00A52218" w:rsidRPr="00B06B4B">
        <w:t>dalies nuostat</w:t>
      </w:r>
      <w:r w:rsidR="000F24F2">
        <w:t>ų laikymasis</w:t>
      </w:r>
      <w:r w:rsidR="00A52218" w:rsidRPr="00B06B4B">
        <w:t>, kad „Komisija dirba pagal ją sudariusios organizacijos patvirtintą darbo reglamentą &lt;...&gt;.“</w:t>
      </w:r>
    </w:p>
    <w:p w:rsidR="00B06B4B" w:rsidRPr="00742EC2" w:rsidRDefault="006E7EAE" w:rsidP="006E7EAE">
      <w:pPr>
        <w:jc w:val="both"/>
      </w:pPr>
      <w:r>
        <w:tab/>
      </w:r>
      <w:r w:rsidR="00D06684">
        <w:t xml:space="preserve">2. </w:t>
      </w:r>
      <w:r w:rsidR="00B06B4B" w:rsidRPr="00742EC2">
        <w:t>Konkurso sąlygų 20 punkto nuostata, kad „Tiekėjo, pasiūliusio didesnę kainą nei nurodyta 8.1 punkte kvalifikacija nebus tikrinama“, neatitinka Taisyklių 52 punkto „Siekiant įsitikinti, ar tiekėjas bus pajėgus įvykdyti pirkimo sutartį, vadovaujantis Viešųjų pirkimų įstatymo 32–38 straipsnių nuostatomis</w:t>
      </w:r>
      <w:r w:rsidR="00C91A1E">
        <w:t xml:space="preserve"> &lt;...&gt; </w:t>
      </w:r>
      <w:r w:rsidR="00C91A1E" w:rsidRPr="00C91A1E">
        <w:t>pirkimo dokumentuose nustatomi tiekėjų kvalifikacijos reikalavimai ir vykdomas tiek</w:t>
      </w:r>
      <w:r w:rsidR="00C91A1E">
        <w:t>ėjų kvalifikacijos patikrinimas</w:t>
      </w:r>
      <w:r w:rsidR="00AB4242">
        <w:t>“</w:t>
      </w:r>
      <w:r w:rsidR="00B06B4B" w:rsidRPr="00742EC2">
        <w:t xml:space="preserve"> </w:t>
      </w:r>
      <w:r w:rsidR="00AB4242">
        <w:t xml:space="preserve">ir </w:t>
      </w:r>
      <w:r w:rsidR="009256DA">
        <w:t>neužtikrina</w:t>
      </w:r>
      <w:r w:rsidR="00AB4242">
        <w:t xml:space="preserve"> </w:t>
      </w:r>
      <w:r w:rsidR="00B06B4B" w:rsidRPr="00742EC2">
        <w:t>Įstatymo 32 straipsnio</w:t>
      </w:r>
      <w:proofErr w:type="gramStart"/>
      <w:r w:rsidR="00B06B4B" w:rsidRPr="00742EC2">
        <w:t xml:space="preserve"> </w:t>
      </w:r>
      <w:r w:rsidR="009256DA">
        <w:t xml:space="preserve"> </w:t>
      </w:r>
      <w:proofErr w:type="gramEnd"/>
      <w:r w:rsidR="00B06B4B" w:rsidRPr="00742EC2">
        <w:t>7 dalies</w:t>
      </w:r>
      <w:r w:rsidR="009256DA">
        <w:t xml:space="preserve"> nuostatos</w:t>
      </w:r>
      <w:r w:rsidR="00742EC2" w:rsidRPr="00742EC2">
        <w:t xml:space="preserve">, kad „Kandidatų ir dalyvių kvalifikaciniai duomenys vertinami vadovaujantis jiems pateiktuose pirkimo dokumentuose nustatytais kriterijais ir procedūromis. Komisija priima sprendimą </w:t>
      </w:r>
      <w:r w:rsidR="00742EC2" w:rsidRPr="00742EC2">
        <w:rPr>
          <w:u w:val="single"/>
        </w:rPr>
        <w:t>dėl kiekvieno paraišką ar pasiūlymą pateikusio kandidato</w:t>
      </w:r>
      <w:r w:rsidR="00742EC2" w:rsidRPr="00742EC2">
        <w:t xml:space="preserve"> </w:t>
      </w:r>
      <w:r w:rsidR="00742EC2" w:rsidRPr="00742EC2">
        <w:rPr>
          <w:u w:val="single"/>
        </w:rPr>
        <w:t>ar dalyvio</w:t>
      </w:r>
      <w:r w:rsidR="00742EC2" w:rsidRPr="00742EC2">
        <w:t xml:space="preserve"> kvalifikacinių </w:t>
      </w:r>
      <w:r w:rsidR="00742EC2" w:rsidRPr="00742EC2">
        <w:lastRenderedPageBreak/>
        <w:t>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r w:rsidR="009256DA">
        <w:t>, laikymosi</w:t>
      </w:r>
      <w:r w:rsidR="00742EC2" w:rsidRPr="00742EC2">
        <w:t>.</w:t>
      </w:r>
      <w:r w:rsidR="00727B6D">
        <w:t xml:space="preserve"> Tarnyba paaiškina, kad </w:t>
      </w:r>
      <w:r w:rsidR="00D21DAD">
        <w:t>vadovaujantis Įstatymo nuostatomis, kvalifikaciją privaloma tikrinti visais atvejais perkančiajai organizacijai pirkimo dokumentuose nustačius minimalius kvalifikacijos reikalavimus. Taip pat Įstatyme nenumatytos išimtys, jog tiekėjų kvalifikacijos neprivaloma tikrinti, esant aplinkybei, nurodytai Pirkimo sąlygų 20 punkte.</w:t>
      </w:r>
    </w:p>
    <w:p w:rsidR="004067D0" w:rsidRDefault="006E7EAE" w:rsidP="006E7EAE">
      <w:pPr>
        <w:jc w:val="both"/>
      </w:pPr>
      <w:r>
        <w:tab/>
      </w:r>
      <w:r w:rsidR="00692375" w:rsidRPr="004047F0">
        <w:t xml:space="preserve">3. </w:t>
      </w:r>
      <w:r w:rsidR="004047F0" w:rsidRPr="004047F0">
        <w:t xml:space="preserve">Konkurso sąlygų priedo Nr. 4 „Minimalių kvalifikacinių reikalavimų atitikties deklaracija“ 4 punkte nustatytas tiekėjų kritinio likvidumo koeficiento dydis 1, neatitinka </w:t>
      </w:r>
      <w:r w:rsidR="00B06B4B" w:rsidRPr="004047F0">
        <w:t>Viešųjų pirkimų tarnybos direktoriaus 2003</w:t>
      </w:r>
      <w:r w:rsidR="004047F0" w:rsidRPr="004047F0">
        <w:t>-10-20</w:t>
      </w:r>
      <w:r w:rsidR="00B06B4B" w:rsidRPr="004047F0">
        <w:t xml:space="preserve"> įsakymu Nr. 1S-100 patvirtint</w:t>
      </w:r>
      <w:r w:rsidR="004047F0" w:rsidRPr="004047F0">
        <w:t>ų</w:t>
      </w:r>
      <w:r w:rsidR="00B06B4B" w:rsidRPr="004047F0">
        <w:t xml:space="preserve"> Tiekėjų kvali</w:t>
      </w:r>
      <w:r w:rsidR="004047F0" w:rsidRPr="004047F0">
        <w:t>fikacijos vertinimo metodinių rekomendacijų</w:t>
      </w:r>
      <w:r w:rsidR="00B06B4B" w:rsidRPr="004047F0">
        <w:t xml:space="preserve"> (</w:t>
      </w:r>
      <w:r w:rsidR="004047F0" w:rsidRPr="004047F0">
        <w:t>redakcija nuo 2012-01-08</w:t>
      </w:r>
      <w:r w:rsidR="00B06B4B" w:rsidRPr="004047F0">
        <w:t xml:space="preserve">) </w:t>
      </w:r>
      <w:r w:rsidR="004047F0" w:rsidRPr="004047F0">
        <w:t>19.5</w:t>
      </w:r>
      <w:r w:rsidR="00E678D6">
        <w:t xml:space="preserve"> punkto, kuriame nustatyta, kad</w:t>
      </w:r>
      <w:r w:rsidR="004047F0" w:rsidRPr="004047F0">
        <w:t xml:space="preserve"> </w:t>
      </w:r>
      <w:r w:rsidR="00E678D6">
        <w:t>„</w:t>
      </w:r>
      <w:r w:rsidR="004047F0" w:rsidRPr="004047F0">
        <w:t>rekomenduojama kriterijaus reikšmė – kritinio likvidumo koeficientas ne mažesnis už 0,5. Jeigu trumpalaikiai įsipareigojimai lygūs 0, laikoma, kad tiekėjai atitinka nustatytą kritinio likvidumo reikalavimą</w:t>
      </w:r>
      <w:r w:rsidR="00E678D6">
        <w:t>“</w:t>
      </w:r>
      <w:r w:rsidR="004047F0" w:rsidRPr="004047F0">
        <w:t>.</w:t>
      </w:r>
      <w:r>
        <w:t xml:space="preserve"> </w:t>
      </w:r>
      <w:r w:rsidR="004047F0" w:rsidRPr="00D84EE5">
        <w:t xml:space="preserve">Tarnyba pažymi, kad Perkančioji organizacija negali kelti tokių kvalifikacijos reikalavimų, kurie dirbtinai ribotų galimą konkurenciją. </w:t>
      </w:r>
      <w:r w:rsidR="004047F0" w:rsidRPr="00532E8D">
        <w:t xml:space="preserve">Kvalifikacijos reikalavimai turi būti minimalūs, pagrįsti ir proporcingi pirkimo </w:t>
      </w:r>
      <w:r w:rsidR="00E678D6" w:rsidRPr="00532E8D">
        <w:t>objektui</w:t>
      </w:r>
      <w:r w:rsidR="004047F0" w:rsidRPr="00532E8D">
        <w:t>.</w:t>
      </w:r>
      <w:r w:rsidR="009256DA">
        <w:t xml:space="preserve"> </w:t>
      </w:r>
    </w:p>
    <w:p w:rsidR="00415D78" w:rsidRPr="00532E8D" w:rsidRDefault="006E7EAE" w:rsidP="006E7EAE">
      <w:pPr>
        <w:jc w:val="both"/>
      </w:pPr>
      <w:r>
        <w:tab/>
      </w:r>
      <w:r w:rsidR="004047F0" w:rsidRPr="00532E8D">
        <w:t>Atkreiptinas dėmesys, kad Komisija, priėmusi sprendimą padidinti</w:t>
      </w:r>
      <w:r w:rsidR="00E678D6" w:rsidRPr="00532E8D">
        <w:t xml:space="preserve"> šio kriterijaus reikšmę iki 1 (</w:t>
      </w:r>
      <w:r w:rsidR="004047F0" w:rsidRPr="00532E8D">
        <w:t xml:space="preserve">Komisijos </w:t>
      </w:r>
      <w:r w:rsidR="006A5589" w:rsidRPr="00532E8D">
        <w:t xml:space="preserve">2014-03-12 </w:t>
      </w:r>
      <w:r w:rsidR="004047F0" w:rsidRPr="00532E8D">
        <w:t xml:space="preserve">posėdžio protokolas Nr. </w:t>
      </w:r>
      <w:r w:rsidR="00204B01" w:rsidRPr="00532E8D">
        <w:t>PR02)</w:t>
      </w:r>
      <w:r w:rsidR="00E678D6" w:rsidRPr="00532E8D">
        <w:t>,</w:t>
      </w:r>
      <w:r w:rsidR="00204B01" w:rsidRPr="00532E8D">
        <w:t xml:space="preserve"> </w:t>
      </w:r>
      <w:r w:rsidR="004047F0" w:rsidRPr="00532E8D">
        <w:t xml:space="preserve">nenurodė </w:t>
      </w:r>
      <w:r w:rsidR="00204B01" w:rsidRPr="00532E8D">
        <w:t xml:space="preserve">sprendimo motyvų ir tuo </w:t>
      </w:r>
      <w:r w:rsidR="009256DA">
        <w:t>nesivadovavo</w:t>
      </w:r>
      <w:r w:rsidR="00204B01" w:rsidRPr="00532E8D">
        <w:t xml:space="preserve"> Įstatymo 16 straipsnio 3 dalies nuostat</w:t>
      </w:r>
      <w:r w:rsidR="009256DA">
        <w:t>a</w:t>
      </w:r>
      <w:r w:rsidR="00204B01" w:rsidRPr="00532E8D">
        <w:t>, kad „Komisijos sprendimai įforminami protokolu. Protokole nurodomi Komisijos sprendimo motyvai, pateikiami paaiškinimai, kiekvieno Komisijos nario atskiroji nuomonė</w:t>
      </w:r>
      <w:r w:rsidR="00E678D6" w:rsidRPr="00532E8D">
        <w:t>“</w:t>
      </w:r>
      <w:r w:rsidR="00204B01" w:rsidRPr="00532E8D">
        <w:t>.</w:t>
      </w:r>
    </w:p>
    <w:p w:rsidR="00415D78" w:rsidRDefault="006E7EAE" w:rsidP="006E7EAE">
      <w:pPr>
        <w:jc w:val="both"/>
      </w:pPr>
      <w:r>
        <w:tab/>
      </w:r>
      <w:r w:rsidR="003171AB" w:rsidRPr="00532E8D">
        <w:t xml:space="preserve">4. </w:t>
      </w:r>
      <w:r w:rsidR="006F7567">
        <w:t>P</w:t>
      </w:r>
      <w:r w:rsidR="007B1E6E" w:rsidRPr="00532E8D">
        <w:t>erkančioji organizacija su konkurso laimėtoja UAB „</w:t>
      </w:r>
      <w:proofErr w:type="spellStart"/>
      <w:r w:rsidR="007B1E6E" w:rsidRPr="00532E8D">
        <w:t>Me</w:t>
      </w:r>
      <w:r w:rsidR="00120BEB">
        <w:t>b</w:t>
      </w:r>
      <w:r w:rsidR="007B1E6E" w:rsidRPr="00532E8D">
        <w:t>a</w:t>
      </w:r>
      <w:proofErr w:type="spellEnd"/>
      <w:r w:rsidR="007B1E6E" w:rsidRPr="00532E8D">
        <w:t xml:space="preserve">“, veikiančia jungtinės veiklos </w:t>
      </w:r>
      <w:r w:rsidR="00C238B3">
        <w:t xml:space="preserve">sutarties </w:t>
      </w:r>
      <w:r w:rsidR="007B1E6E" w:rsidRPr="00532E8D">
        <w:t>pagrindu su UAB „Konsole“</w:t>
      </w:r>
      <w:r w:rsidR="003E6264">
        <w:t>,</w:t>
      </w:r>
      <w:r w:rsidR="007B1E6E" w:rsidRPr="00532E8D">
        <w:t xml:space="preserve"> 2014-05-16 sudarė Statybos darbų rangos sutartį </w:t>
      </w:r>
      <w:r w:rsidR="003E6264">
        <w:t xml:space="preserve">                          </w:t>
      </w:r>
      <w:r w:rsidR="007B1E6E" w:rsidRPr="00532E8D">
        <w:t>Nr. S140516-2 (toliau – Sutartis), kurios kaina atitinka tiekėjo pasiūlyme nurodytą kainą.</w:t>
      </w:r>
    </w:p>
    <w:p w:rsidR="004067D0" w:rsidRDefault="008728AB" w:rsidP="008728AB">
      <w:pPr>
        <w:jc w:val="both"/>
      </w:pPr>
      <w:r>
        <w:tab/>
        <w:t>Sutarties 6.7 punkte nustatyta sąlyga: „Užsakovas, raštu nurodydamas priežastį, gali bet kada nurodyti Rangovui sustabdyti vi</w:t>
      </w:r>
      <w:r w:rsidR="00AB4242">
        <w:t>sų Darbų arba jų dalies vykdymą</w:t>
      </w:r>
      <w:r>
        <w:t xml:space="preserve"> &lt;...&gt;“, yra </w:t>
      </w:r>
      <w:r w:rsidR="004067D0">
        <w:t>nepakankama, kad Perkančioji organizacija be Tarnybos sutikimo galėtų stabdyti Sutartį</w:t>
      </w:r>
      <w:r w:rsidRPr="008728AB">
        <w:t>,</w:t>
      </w:r>
      <w:r>
        <w:t xml:space="preserve"> nes joje nenurodytos priežastys ir objektyvios aplinkybės, </w:t>
      </w:r>
      <w:r w:rsidR="004067D0">
        <w:t>nenustatytas galimas darbų sustabdymo terminas.</w:t>
      </w:r>
    </w:p>
    <w:p w:rsidR="008728AB" w:rsidRDefault="004067D0" w:rsidP="008728AB">
      <w:pPr>
        <w:jc w:val="both"/>
      </w:pPr>
      <w:r>
        <w:tab/>
      </w:r>
      <w:r w:rsidR="008728AB">
        <w:t xml:space="preserve">Be to, atsižvelgiant į tai, kad terminas yra esminė sutarties sąlyga, to paties punkto nuostata:  „&lt;...&gt; Jeigu toks sustabdymas yra ne dėl Rangovo kaltės, tai Darbų atlikimo terminas turi būti pratęsiamas tiek, kiek trunka Darbų sustabdymas. &lt;...&gt;“, Tarnybos nuomone, </w:t>
      </w:r>
      <w:r w:rsidR="008728AB" w:rsidRPr="008728AB">
        <w:t>nustato neproporcingą Sutartimi apibrėžtų terminų pratęsimo sąlygą</w:t>
      </w:r>
      <w:r w:rsidR="008728AB">
        <w:t>, nes numatomas darbų atlikimo termino pratęsimas darbų sustabdymo laikotarpiui, o ne tam darbų atlikimo terminui, kuris buvo likęs iki sutartinių įsipareigojimų sustabdymo.</w:t>
      </w:r>
    </w:p>
    <w:p w:rsidR="003F4D55" w:rsidRDefault="001327CE" w:rsidP="00E86D16">
      <w:pPr>
        <w:jc w:val="both"/>
        <w:rPr>
          <w:i/>
          <w:iCs/>
        </w:rPr>
      </w:pPr>
      <w:r>
        <w:tab/>
        <w:t xml:space="preserve">5. </w:t>
      </w:r>
      <w:r w:rsidR="003028E9">
        <w:t xml:space="preserve">Sutarties 10.2.1 punkte nustatyta, kad </w:t>
      </w:r>
      <w:r w:rsidR="006A5589">
        <w:t>„</w:t>
      </w:r>
      <w:r w:rsidR="003E6264" w:rsidRPr="003E6264">
        <w:t xml:space="preserve">jei dėl nenumatytų aplinkybių, kurių negalima buvo numatyti iki Sutarties pasirašymo, racionaliai naudojant Darbų vykdymui skirtas lėšas, būtina/tikslinga </w:t>
      </w:r>
      <w:r w:rsidR="003E6264" w:rsidRPr="00AB2495">
        <w:t>atsisakyti</w:t>
      </w:r>
      <w:r w:rsidR="003E6264" w:rsidRPr="003E6264">
        <w:rPr>
          <w:b/>
        </w:rPr>
        <w:t xml:space="preserve"> </w:t>
      </w:r>
      <w:r w:rsidR="003E6264" w:rsidRPr="003E6264">
        <w:t>atskiro Darbo, ar būtina/tikslinga mažinti Darbų apimtis, raštu pagrindžiamos aplinkybės, sąlygojančios būtinybę atlikti Darbų pakeitimus, Rangovas pateikia nevykdytinų Darbų lokalinę sąmatą, kurioje nurodo nevykdytinų Darbų kainas, apskaičiuotas pagal 9.11.1. punkte nurodytus Darbų kainų nustatymo būdus, ir, kurios pagrindu pagal 9.11.1. punk</w:t>
      </w:r>
      <w:r w:rsidR="006A5589">
        <w:t>tą koreguojama Sutarties kaina</w:t>
      </w:r>
      <w:r w:rsidR="006A5589" w:rsidRPr="00E86D16">
        <w:t xml:space="preserve">“. </w:t>
      </w:r>
      <w:r w:rsidR="00E86D16" w:rsidRPr="00E86D16">
        <w:t xml:space="preserve">Ši sąlyga </w:t>
      </w:r>
      <w:r w:rsidR="003F4D55" w:rsidRPr="00E86D16">
        <w:t xml:space="preserve">yra abstrakti ir nepakankama tam, kad pirkimo sutarties šalys galėtų atsisakyti darbų nesikreipiant į Tarnybą sutikimo. </w:t>
      </w:r>
      <w:r w:rsidR="00B66099">
        <w:t>N</w:t>
      </w:r>
      <w:r w:rsidR="00B66099" w:rsidRPr="00E86D16">
        <w:t xml:space="preserve">ors </w:t>
      </w:r>
      <w:r w:rsidR="00E86D16">
        <w:t>S</w:t>
      </w:r>
      <w:r w:rsidR="003F4D55" w:rsidRPr="00E86D16">
        <w:t xml:space="preserve">utartyje ir </w:t>
      </w:r>
      <w:r w:rsidR="00E86D16">
        <w:t xml:space="preserve">yra </w:t>
      </w:r>
      <w:r w:rsidR="003F4D55" w:rsidRPr="00E86D16">
        <w:t xml:space="preserve">numatyta galimybė atsisakyti dalies darbų, tačiau nenurodytos </w:t>
      </w:r>
      <w:r w:rsidR="003F4D55" w:rsidRPr="00E86D16">
        <w:rPr>
          <w:i/>
          <w:iCs/>
        </w:rPr>
        <w:t xml:space="preserve">atsisakomų darbų apimtys </w:t>
      </w:r>
      <w:r w:rsidR="003F4D55" w:rsidRPr="00E86D16">
        <w:t xml:space="preserve">ir neapibrėžtos </w:t>
      </w:r>
      <w:r w:rsidR="003F4D55" w:rsidRPr="00E86D16">
        <w:rPr>
          <w:i/>
          <w:iCs/>
        </w:rPr>
        <w:t>konkrečios aplinkybės</w:t>
      </w:r>
      <w:r w:rsidR="003F4D55" w:rsidRPr="00E86D16">
        <w:t xml:space="preserve">, kurioms esant </w:t>
      </w:r>
      <w:r w:rsidR="00E86D16">
        <w:t>S</w:t>
      </w:r>
      <w:r w:rsidR="003F4D55" w:rsidRPr="00E86D16">
        <w:t xml:space="preserve">utarties šalys galėtų atsisakyti darbų. </w:t>
      </w:r>
      <w:r w:rsidR="00C238B3">
        <w:t>T</w:t>
      </w:r>
      <w:r w:rsidR="003F4D55" w:rsidRPr="00E86D16">
        <w:t>am, kad perkančioji organizacija galėtų atsisakyti dalies pirkimo sutartyje numatytų darbų be Tarnybos sutikimo</w:t>
      </w:r>
      <w:r w:rsidR="00740B65">
        <w:t xml:space="preserve"> leisti keisti s</w:t>
      </w:r>
      <w:r w:rsidR="00C238B3">
        <w:t>utartį</w:t>
      </w:r>
      <w:r w:rsidR="003F4D55" w:rsidRPr="00E86D16">
        <w:t xml:space="preserve">, be aukščiau paminėtų nuostatų, pirkimo sutartyje turėtų būti nustatyta, pvz.: </w:t>
      </w:r>
      <w:r w:rsidR="003F4D55" w:rsidRPr="00AB4242">
        <w:rPr>
          <w:i/>
          <w:iCs/>
        </w:rPr>
        <w:t xml:space="preserve">Pirkimo sutarties vykdymo metu gali būti atsisakoma ne daugiau kaip 10 procentų pirkimo sutartyje numatytų darbų dėl nuo pirkimo sutarties šalių nepriklausančių aplinkybių, kurios atsiranda arba tampa žinomos po pirkimo sutarties sudarymo, kurių atsiradimo pasiūlymo pateikimo ar pirkimo sutarties sudarymo metu pirkimo sutarties šalys negalėjo protingai numatyti, negali kontroliuoti ir pirkimo sutarties šalys nebuvo prisiėmusios tų aplinkybių atsiradimo rizikos (pvz., esant aiškiai įrodomiems netikslumams ar klaidoms perkančiosios organizacijos pateiktame techniniame projekte, dėl kurių nebereikia atlikti darbų; dėl techninių sprendinių keitimo ar teisės aktų </w:t>
      </w:r>
      <w:r w:rsidR="003F4D55" w:rsidRPr="00AB4242">
        <w:rPr>
          <w:i/>
          <w:iCs/>
        </w:rPr>
        <w:lastRenderedPageBreak/>
        <w:t xml:space="preserve">pasikeitimo tam tikri darbai tampa nereikalingi; nėra pakankamai lėšų visiems pirkimo sutartyje numatytiems darbams apmokėti). </w:t>
      </w:r>
    </w:p>
    <w:p w:rsidR="008728AB" w:rsidRDefault="00424372" w:rsidP="00B66099">
      <w:pPr>
        <w:pStyle w:val="Default"/>
        <w:jc w:val="both"/>
      </w:pPr>
      <w:r>
        <w:tab/>
      </w:r>
      <w:r w:rsidR="001327CE">
        <w:t>6</w:t>
      </w:r>
      <w:r w:rsidR="000F54B8">
        <w:t xml:space="preserve">. </w:t>
      </w:r>
      <w:r w:rsidR="001327CE">
        <w:t xml:space="preserve">Sutarties </w:t>
      </w:r>
      <w:r w:rsidR="000F54B8">
        <w:t>10.6 punkto nuostata „j</w:t>
      </w:r>
      <w:r w:rsidR="003E6264" w:rsidRPr="003E6264">
        <w:t>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w:t>
      </w:r>
      <w:r w:rsidR="000F54B8">
        <w:t xml:space="preserve">ių papildomų Išlaidų apmokėjimo“. </w:t>
      </w:r>
    </w:p>
    <w:p w:rsidR="00D0605E" w:rsidRPr="00B66099" w:rsidRDefault="00C238B3" w:rsidP="00B66099">
      <w:pPr>
        <w:pStyle w:val="Default"/>
        <w:jc w:val="both"/>
      </w:pPr>
      <w:r>
        <w:tab/>
      </w:r>
      <w:r w:rsidR="00B66099">
        <w:t xml:space="preserve">Tarnyba pažymi, kad šios nuostatos yra abstrakčios, netikslios, neaiškios, todėl </w:t>
      </w:r>
      <w:r w:rsidR="00D0605E" w:rsidRPr="00B66099">
        <w:t>kiekvieną kartą priėmusi sprendimą atlikti šį pakeitimą</w:t>
      </w:r>
      <w:r w:rsidR="00B66099">
        <w:t>, P</w:t>
      </w:r>
      <w:r w:rsidR="00D0605E" w:rsidRPr="00B66099">
        <w:t xml:space="preserve">erkančioji organizacija </w:t>
      </w:r>
      <w:r>
        <w:t>privalo</w:t>
      </w:r>
      <w:r w:rsidR="00D0605E" w:rsidRPr="00B66099">
        <w:t xml:space="preserve"> </w:t>
      </w:r>
      <w:proofErr w:type="gramStart"/>
      <w:r w:rsidR="00D0605E" w:rsidRPr="00B66099">
        <w:t>kreiptis</w:t>
      </w:r>
      <w:proofErr w:type="gramEnd"/>
      <w:r w:rsidR="00D0605E" w:rsidRPr="00B66099">
        <w:t xml:space="preserve"> į Tarnybą dėl sutikimo</w:t>
      </w:r>
      <w:r>
        <w:t xml:space="preserve"> keisti pirkimo sutartį</w:t>
      </w:r>
      <w:r w:rsidR="00D0605E" w:rsidRPr="00B66099">
        <w:t xml:space="preserve">, pateikdama dokumentus, nurodytus Perkančiųjų organizacijų prašymų dėl Viešųjų pirkimų tarnybos sutikimų pateikimo ir nagrinėjimo ir pagrindimų Įstatymo 56 straipsnio 5 dalyje nustatytais atvejais teikimo Viešųjų pirkimų tarnybai taisyklėse, patvirtintose Viešųjų pirkimų tarnybos direktoriaus 2009 m. rugpjūčio 31 d. įsakymu Nr. 1S-90 „Dėl Perkančiųjų organizacijų prašymų dėl Viešųjų pirkimų tarnybos sutikimų pateikimo ir nagrinėjimo ir pagrindimų viešųjų pirkimų įstatymo 56 straipsnio 5 dalyje nustatytais atvejais teikimo Viešųjų pirkimų tarnybai taisyklių patvirtinimo“. </w:t>
      </w:r>
    </w:p>
    <w:p w:rsidR="0038188D" w:rsidRDefault="00AB4242" w:rsidP="00B66099">
      <w:pPr>
        <w:pStyle w:val="Default"/>
        <w:jc w:val="both"/>
      </w:pPr>
      <w:r>
        <w:tab/>
      </w:r>
      <w:r w:rsidR="0038188D">
        <w:t xml:space="preserve">Apibendrindama </w:t>
      </w:r>
      <w:r>
        <w:t>Tarnyb</w:t>
      </w:r>
      <w:r w:rsidR="0038188D">
        <w:t xml:space="preserve">a pažymi, kad Įstatymo pažeidimų, galėjusių turėti įtakos Pirkimo rezultatams, nenustatyta. </w:t>
      </w:r>
    </w:p>
    <w:p w:rsidR="007E35EF" w:rsidRPr="00B66099" w:rsidRDefault="0038188D" w:rsidP="00B66099">
      <w:pPr>
        <w:pStyle w:val="Default"/>
        <w:jc w:val="both"/>
      </w:pPr>
      <w:r>
        <w:tab/>
      </w:r>
      <w:r w:rsidR="007E35EF">
        <w:t>Vykdant kitus viešuosius pirkimus</w:t>
      </w:r>
      <w:r w:rsidR="00C238B3">
        <w:t xml:space="preserve">, </w:t>
      </w:r>
      <w:proofErr w:type="gramStart"/>
      <w:r w:rsidR="00C238B3">
        <w:t>prašome</w:t>
      </w:r>
      <w:proofErr w:type="gramEnd"/>
      <w:r w:rsidR="00C238B3">
        <w:t xml:space="preserve"> atsižvelgti į </w:t>
      </w:r>
      <w:r>
        <w:t xml:space="preserve">pateiktas Tarnybos </w:t>
      </w:r>
      <w:r w:rsidR="007E35EF">
        <w:t>pastabas.</w:t>
      </w:r>
    </w:p>
    <w:p w:rsidR="003E6264" w:rsidRPr="00B66099" w:rsidRDefault="003E6264" w:rsidP="00B66099">
      <w:pPr>
        <w:jc w:val="both"/>
      </w:pPr>
    </w:p>
    <w:p w:rsidR="00336A3F" w:rsidRDefault="00336A3F" w:rsidP="00532E8D">
      <w:pPr>
        <w:jc w:val="both"/>
      </w:pPr>
    </w:p>
    <w:p w:rsidR="007E35EF" w:rsidRDefault="007E35EF" w:rsidP="00532E8D">
      <w:pPr>
        <w:jc w:val="both"/>
      </w:pPr>
    </w:p>
    <w:p w:rsidR="002A5992" w:rsidRDefault="002A0939" w:rsidP="002A5992">
      <w:pPr>
        <w:jc w:val="both"/>
      </w:pPr>
      <w:r>
        <w:t>Direktori</w:t>
      </w:r>
      <w:r w:rsidR="002A5992">
        <w:t>a</w:t>
      </w:r>
      <w:r w:rsidRPr="004268A6">
        <w:t xml:space="preserve">us </w:t>
      </w:r>
      <w:r w:rsidR="002A5992">
        <w:t xml:space="preserve">pavaduotoja, </w:t>
      </w:r>
    </w:p>
    <w:p w:rsidR="002A5992" w:rsidRPr="004365B7" w:rsidRDefault="002A5992" w:rsidP="002A5992">
      <w:pPr>
        <w:ind w:right="-29"/>
        <w:jc w:val="both"/>
      </w:pPr>
      <w:r>
        <w:t>laikinai atliekanti direktoriaus funkcijas</w:t>
      </w:r>
      <w:r>
        <w:tab/>
      </w:r>
      <w:r>
        <w:tab/>
      </w:r>
      <w:r>
        <w:tab/>
      </w:r>
      <w:r>
        <w:tab/>
      </w:r>
      <w:r>
        <w:tab/>
      </w:r>
      <w:proofErr w:type="gramStart"/>
      <w:r>
        <w:t xml:space="preserve">   </w:t>
      </w:r>
      <w:proofErr w:type="gramEnd"/>
      <w:r>
        <w:t>Sigita Jurgelevičienė</w:t>
      </w:r>
    </w:p>
    <w:p w:rsidR="002A0939" w:rsidRPr="00EF6A3D" w:rsidRDefault="002A0939" w:rsidP="00AB4242">
      <w:pPr>
        <w:pStyle w:val="Header"/>
        <w:tabs>
          <w:tab w:val="clear" w:pos="900"/>
          <w:tab w:val="clear" w:pos="4320"/>
          <w:tab w:val="clear" w:pos="8640"/>
          <w:tab w:val="right" w:pos="680"/>
        </w:tabs>
        <w:jc w:val="both"/>
        <w:rPr>
          <w:color w:val="000000"/>
          <w:spacing w:val="-1"/>
        </w:rPr>
      </w:pPr>
    </w:p>
    <w:p w:rsidR="002A0939" w:rsidRDefault="002A0939" w:rsidP="00657129"/>
    <w:p w:rsidR="002A0939" w:rsidRDefault="002A0939" w:rsidP="00657129"/>
    <w:p w:rsidR="002A0939" w:rsidRDefault="002A0939" w:rsidP="00657129"/>
    <w:p w:rsidR="00CD5D3F" w:rsidRDefault="00CD5D3F" w:rsidP="00657129"/>
    <w:p w:rsidR="00CD5D3F" w:rsidRDefault="00CD5D3F" w:rsidP="00657129"/>
    <w:p w:rsidR="00CD5D3F" w:rsidRDefault="00CD5D3F" w:rsidP="00657129"/>
    <w:p w:rsidR="007E35EF" w:rsidRDefault="007E35EF" w:rsidP="00657129"/>
    <w:p w:rsidR="007E35EF" w:rsidRDefault="007E35EF" w:rsidP="00657129"/>
    <w:p w:rsidR="007E35EF" w:rsidRDefault="007E35EF" w:rsidP="00657129"/>
    <w:p w:rsidR="007E35EF" w:rsidRDefault="007E35EF" w:rsidP="00657129"/>
    <w:p w:rsidR="007E35EF" w:rsidRDefault="007E35EF" w:rsidP="00657129"/>
    <w:p w:rsidR="007E35EF" w:rsidRDefault="007E35EF" w:rsidP="00657129"/>
    <w:p w:rsidR="007E35EF" w:rsidRDefault="007E35EF" w:rsidP="00657129"/>
    <w:p w:rsidR="00CD5D3F" w:rsidRDefault="00CD5D3F" w:rsidP="00657129"/>
    <w:p w:rsidR="00CD5D3F" w:rsidRDefault="00CD5D3F" w:rsidP="00657129"/>
    <w:p w:rsidR="00CD5D3F" w:rsidRDefault="00CD5D3F" w:rsidP="00657129"/>
    <w:p w:rsidR="007E35EF" w:rsidRDefault="007E35EF" w:rsidP="00657129"/>
    <w:p w:rsidR="007E35EF" w:rsidRDefault="007E35EF" w:rsidP="00657129"/>
    <w:p w:rsidR="007E35EF" w:rsidRDefault="007E35EF" w:rsidP="00657129"/>
    <w:p w:rsidR="007E35EF" w:rsidRDefault="007E35EF" w:rsidP="00657129"/>
    <w:p w:rsidR="002A0939" w:rsidRDefault="002A0939" w:rsidP="00657129"/>
    <w:p w:rsidR="007F4768" w:rsidRDefault="007F4768" w:rsidP="00657129"/>
    <w:p w:rsidR="007F4768" w:rsidRDefault="007F4768" w:rsidP="00657129"/>
    <w:p w:rsidR="007F4768" w:rsidRDefault="007F4768" w:rsidP="00657129"/>
    <w:p w:rsidR="007F4768" w:rsidRDefault="007F4768" w:rsidP="00657129"/>
    <w:p w:rsidR="007F4768" w:rsidRDefault="007F4768" w:rsidP="00657129"/>
    <w:p w:rsidR="007F4768" w:rsidRDefault="007F4768" w:rsidP="00657129"/>
    <w:sectPr w:rsidR="007F4768" w:rsidSect="00CD5D3F">
      <w:headerReference w:type="even" r:id="rId10"/>
      <w:footerReference w:type="default" r:id="rId11"/>
      <w:footerReference w:type="first" r:id="rId12"/>
      <w:pgSz w:w="11907" w:h="16840" w:code="9"/>
      <w:pgMar w:top="709" w:right="567" w:bottom="992" w:left="1701" w:header="567" w:footer="176"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64" w:rsidRDefault="00A14164" w:rsidP="00657129">
      <w:r>
        <w:separator/>
      </w:r>
    </w:p>
  </w:endnote>
  <w:endnote w:type="continuationSeparator" w:id="0">
    <w:p w:rsidR="00A14164" w:rsidRDefault="00A14164" w:rsidP="00657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64" w:rsidRDefault="00A14164" w:rsidP="00657129">
    <w:pPr>
      <w:pStyle w:val="Footer"/>
    </w:pPr>
  </w:p>
  <w:p w:rsidR="00A14164" w:rsidRDefault="00A14164" w:rsidP="00657129">
    <w:pPr>
      <w:pStyle w:val="Footer"/>
    </w:pPr>
  </w:p>
  <w:p w:rsidR="00A14164" w:rsidRDefault="00A14164" w:rsidP="006571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A14164" w:rsidRPr="008F10BE" w:rsidTr="0048148B">
      <w:tc>
        <w:tcPr>
          <w:tcW w:w="3225" w:type="dxa"/>
        </w:tcPr>
        <w:p w:rsidR="00A14164" w:rsidRPr="008F10BE" w:rsidRDefault="00A14164" w:rsidP="00657129">
          <w:pPr>
            <w:pStyle w:val="Footer"/>
          </w:pPr>
          <w:r w:rsidRPr="008F10BE">
            <w:t>Biudžetinė įstaiga</w:t>
          </w:r>
        </w:p>
        <w:p w:rsidR="00A14164" w:rsidRPr="008F10BE" w:rsidRDefault="00A14164" w:rsidP="00657129">
          <w:pPr>
            <w:pStyle w:val="Footer"/>
          </w:pPr>
          <w:r w:rsidRPr="008F10BE">
            <w:t>Kareivių g. 1, 08221 Vilnius</w:t>
          </w:r>
        </w:p>
        <w:p w:rsidR="00A14164" w:rsidRPr="008F10BE" w:rsidRDefault="00A14164" w:rsidP="00657129">
          <w:pPr>
            <w:pStyle w:val="Footer"/>
          </w:pPr>
          <w:r w:rsidRPr="008F10BE">
            <w:t>http://www.vpt.lt</w:t>
          </w:r>
        </w:p>
      </w:tc>
      <w:tc>
        <w:tcPr>
          <w:tcW w:w="3225" w:type="dxa"/>
        </w:tcPr>
        <w:p w:rsidR="00A14164" w:rsidRPr="008F10BE" w:rsidRDefault="00A14164" w:rsidP="00657129">
          <w:pPr>
            <w:pStyle w:val="Footer"/>
          </w:pPr>
          <w:r w:rsidRPr="008F10BE">
            <w:t>Tel. (8 5) 219 7001</w:t>
          </w:r>
        </w:p>
        <w:p w:rsidR="00A14164" w:rsidRPr="008F10BE" w:rsidRDefault="00A14164" w:rsidP="00657129">
          <w:pPr>
            <w:pStyle w:val="Footer"/>
          </w:pPr>
          <w:r w:rsidRPr="008F10BE">
            <w:t>Faks. (8 5) 213 6213</w:t>
          </w:r>
        </w:p>
        <w:p w:rsidR="00A14164" w:rsidRPr="008F10BE" w:rsidRDefault="00A14164" w:rsidP="00657129">
          <w:pPr>
            <w:pStyle w:val="Footer"/>
          </w:pPr>
          <w:r w:rsidRPr="008F10BE">
            <w:t>El. p. info@vpt.lt</w:t>
          </w:r>
        </w:p>
      </w:tc>
      <w:tc>
        <w:tcPr>
          <w:tcW w:w="3225" w:type="dxa"/>
        </w:tcPr>
        <w:p w:rsidR="00A14164" w:rsidRPr="008F10BE" w:rsidRDefault="00A14164" w:rsidP="006E7EAE">
          <w:pPr>
            <w:pStyle w:val="Footer"/>
          </w:pPr>
          <w:r w:rsidRPr="008F10BE">
            <w:t>Duomenys kaupiami ir saugomi</w:t>
          </w:r>
          <w:r>
            <w:t xml:space="preserve"> </w:t>
          </w:r>
          <w:r w:rsidRPr="008F10BE">
            <w:t>Juridinių asmenų registre</w:t>
          </w:r>
          <w:r>
            <w:t xml:space="preserve"> </w:t>
          </w:r>
          <w:r w:rsidRPr="008F10BE">
            <w:t>Kodas 188656261</w:t>
          </w:r>
        </w:p>
      </w:tc>
    </w:tr>
  </w:tbl>
  <w:p w:rsidR="00A14164" w:rsidRPr="008F10BE" w:rsidRDefault="00A14164" w:rsidP="00657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64" w:rsidRDefault="00A14164" w:rsidP="00657129">
      <w:r>
        <w:separator/>
      </w:r>
    </w:p>
  </w:footnote>
  <w:footnote w:type="continuationSeparator" w:id="0">
    <w:p w:rsidR="00A14164" w:rsidRDefault="00A14164" w:rsidP="00657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64" w:rsidRDefault="005F4E90" w:rsidP="00657129">
    <w:pPr>
      <w:pStyle w:val="Header"/>
      <w:rPr>
        <w:rStyle w:val="PageNumber"/>
      </w:rPr>
    </w:pPr>
    <w:r>
      <w:rPr>
        <w:rStyle w:val="PageNumber"/>
      </w:rPr>
      <w:fldChar w:fldCharType="begin"/>
    </w:r>
    <w:r w:rsidR="00A14164">
      <w:rPr>
        <w:rStyle w:val="PageNumber"/>
      </w:rPr>
      <w:instrText xml:space="preserve">PAGE  </w:instrText>
    </w:r>
    <w:r>
      <w:rPr>
        <w:rStyle w:val="PageNumber"/>
      </w:rPr>
      <w:fldChar w:fldCharType="end"/>
    </w:r>
  </w:p>
  <w:p w:rsidR="00A14164" w:rsidRDefault="00A14164" w:rsidP="006571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D7F"/>
    <w:multiLevelType w:val="hybridMultilevel"/>
    <w:tmpl w:val="C044A974"/>
    <w:lvl w:ilvl="0" w:tplc="611CCF7C">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
    <w:nsid w:val="1D312585"/>
    <w:multiLevelType w:val="hybridMultilevel"/>
    <w:tmpl w:val="3880E498"/>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21AD29D3"/>
    <w:multiLevelType w:val="hybridMultilevel"/>
    <w:tmpl w:val="A0263C5C"/>
    <w:lvl w:ilvl="0" w:tplc="0427000F">
      <w:start w:val="1"/>
      <w:numFmt w:val="decimal"/>
      <w:lvlText w:val="%1."/>
      <w:lvlJc w:val="left"/>
      <w:pPr>
        <w:ind w:left="1545" w:hanging="360"/>
      </w:pPr>
    </w:lvl>
    <w:lvl w:ilvl="1" w:tplc="04270019" w:tentative="1">
      <w:start w:val="1"/>
      <w:numFmt w:val="lowerLetter"/>
      <w:lvlText w:val="%2."/>
      <w:lvlJc w:val="left"/>
      <w:pPr>
        <w:ind w:left="2265" w:hanging="360"/>
      </w:pPr>
    </w:lvl>
    <w:lvl w:ilvl="2" w:tplc="0427001B" w:tentative="1">
      <w:start w:val="1"/>
      <w:numFmt w:val="lowerRoman"/>
      <w:lvlText w:val="%3."/>
      <w:lvlJc w:val="right"/>
      <w:pPr>
        <w:ind w:left="2985" w:hanging="180"/>
      </w:pPr>
    </w:lvl>
    <w:lvl w:ilvl="3" w:tplc="0427000F" w:tentative="1">
      <w:start w:val="1"/>
      <w:numFmt w:val="decimal"/>
      <w:lvlText w:val="%4."/>
      <w:lvlJc w:val="left"/>
      <w:pPr>
        <w:ind w:left="3705" w:hanging="360"/>
      </w:pPr>
    </w:lvl>
    <w:lvl w:ilvl="4" w:tplc="04270019" w:tentative="1">
      <w:start w:val="1"/>
      <w:numFmt w:val="lowerLetter"/>
      <w:lvlText w:val="%5."/>
      <w:lvlJc w:val="left"/>
      <w:pPr>
        <w:ind w:left="4425" w:hanging="360"/>
      </w:pPr>
    </w:lvl>
    <w:lvl w:ilvl="5" w:tplc="0427001B" w:tentative="1">
      <w:start w:val="1"/>
      <w:numFmt w:val="lowerRoman"/>
      <w:lvlText w:val="%6."/>
      <w:lvlJc w:val="right"/>
      <w:pPr>
        <w:ind w:left="5145" w:hanging="180"/>
      </w:pPr>
    </w:lvl>
    <w:lvl w:ilvl="6" w:tplc="0427000F" w:tentative="1">
      <w:start w:val="1"/>
      <w:numFmt w:val="decimal"/>
      <w:lvlText w:val="%7."/>
      <w:lvlJc w:val="left"/>
      <w:pPr>
        <w:ind w:left="5865" w:hanging="360"/>
      </w:pPr>
    </w:lvl>
    <w:lvl w:ilvl="7" w:tplc="04270019" w:tentative="1">
      <w:start w:val="1"/>
      <w:numFmt w:val="lowerLetter"/>
      <w:lvlText w:val="%8."/>
      <w:lvlJc w:val="left"/>
      <w:pPr>
        <w:ind w:left="6585" w:hanging="360"/>
      </w:pPr>
    </w:lvl>
    <w:lvl w:ilvl="8" w:tplc="0427001B" w:tentative="1">
      <w:start w:val="1"/>
      <w:numFmt w:val="lowerRoman"/>
      <w:lvlText w:val="%9."/>
      <w:lvlJc w:val="right"/>
      <w:pPr>
        <w:ind w:left="7305" w:hanging="180"/>
      </w:pPr>
    </w:lvl>
  </w:abstractNum>
  <w:abstractNum w:abstractNumId="3">
    <w:nsid w:val="6F985C66"/>
    <w:multiLevelType w:val="hybridMultilevel"/>
    <w:tmpl w:val="6B307672"/>
    <w:lvl w:ilvl="0" w:tplc="FA6A641E">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mirrorMargins/>
  <w:proofState w:spelling="clean" w:grammar="clean"/>
  <w:attachedTemplate r:id="rId1"/>
  <w:stylePaneFormatFilter w:val="3F01"/>
  <w:defaultTabStop w:val="720"/>
  <w:hyphenationZone w:val="396"/>
  <w:characterSpacingControl w:val="doNotCompress"/>
  <w:hdrShapeDefaults>
    <o:shapedefaults v:ext="edit" spidmax="64513"/>
  </w:hdrShapeDefaults>
  <w:footnotePr>
    <w:footnote w:id="-1"/>
    <w:footnote w:id="0"/>
  </w:footnotePr>
  <w:endnotePr>
    <w:endnote w:id="-1"/>
    <w:endnote w:id="0"/>
  </w:endnotePr>
  <w:compat/>
  <w:rsids>
    <w:rsidRoot w:val="0017077F"/>
    <w:rsid w:val="00007372"/>
    <w:rsid w:val="0001185D"/>
    <w:rsid w:val="000129AE"/>
    <w:rsid w:val="00021053"/>
    <w:rsid w:val="00023B43"/>
    <w:rsid w:val="000327A3"/>
    <w:rsid w:val="00033CC7"/>
    <w:rsid w:val="00035EB7"/>
    <w:rsid w:val="00044AFE"/>
    <w:rsid w:val="000506A7"/>
    <w:rsid w:val="0005424E"/>
    <w:rsid w:val="00083078"/>
    <w:rsid w:val="00086D56"/>
    <w:rsid w:val="00091E89"/>
    <w:rsid w:val="00097A68"/>
    <w:rsid w:val="000A718B"/>
    <w:rsid w:val="000A739D"/>
    <w:rsid w:val="000C26FB"/>
    <w:rsid w:val="000C7812"/>
    <w:rsid w:val="000E55F0"/>
    <w:rsid w:val="000E5D45"/>
    <w:rsid w:val="000F24F2"/>
    <w:rsid w:val="000F3CA7"/>
    <w:rsid w:val="000F54B8"/>
    <w:rsid w:val="00103DFB"/>
    <w:rsid w:val="00117AAD"/>
    <w:rsid w:val="00120BEB"/>
    <w:rsid w:val="001327CE"/>
    <w:rsid w:val="0017077F"/>
    <w:rsid w:val="00187B6B"/>
    <w:rsid w:val="001947C6"/>
    <w:rsid w:val="00195E53"/>
    <w:rsid w:val="001A2A3C"/>
    <w:rsid w:val="001C5F47"/>
    <w:rsid w:val="001C64A9"/>
    <w:rsid w:val="001C76AC"/>
    <w:rsid w:val="001D1F5E"/>
    <w:rsid w:val="001D698A"/>
    <w:rsid w:val="001E5542"/>
    <w:rsid w:val="001E7F5F"/>
    <w:rsid w:val="001F4AA2"/>
    <w:rsid w:val="001F7D7A"/>
    <w:rsid w:val="00204B01"/>
    <w:rsid w:val="00223E47"/>
    <w:rsid w:val="00225780"/>
    <w:rsid w:val="002277C5"/>
    <w:rsid w:val="00256CEF"/>
    <w:rsid w:val="002571B3"/>
    <w:rsid w:val="00287365"/>
    <w:rsid w:val="002878B6"/>
    <w:rsid w:val="00297410"/>
    <w:rsid w:val="002A06B0"/>
    <w:rsid w:val="002A0939"/>
    <w:rsid w:val="002A5992"/>
    <w:rsid w:val="002B0D9C"/>
    <w:rsid w:val="002B5FFD"/>
    <w:rsid w:val="002B6A22"/>
    <w:rsid w:val="002C4A68"/>
    <w:rsid w:val="002D1F71"/>
    <w:rsid w:val="002F6A88"/>
    <w:rsid w:val="003028E9"/>
    <w:rsid w:val="00313FC6"/>
    <w:rsid w:val="003171AB"/>
    <w:rsid w:val="00326361"/>
    <w:rsid w:val="00334015"/>
    <w:rsid w:val="00336A3F"/>
    <w:rsid w:val="00346223"/>
    <w:rsid w:val="00351E8D"/>
    <w:rsid w:val="0035640A"/>
    <w:rsid w:val="00357A1F"/>
    <w:rsid w:val="00360937"/>
    <w:rsid w:val="00363575"/>
    <w:rsid w:val="00364784"/>
    <w:rsid w:val="0038188D"/>
    <w:rsid w:val="00396B0F"/>
    <w:rsid w:val="003B3873"/>
    <w:rsid w:val="003C37EB"/>
    <w:rsid w:val="003D3D13"/>
    <w:rsid w:val="003E37CA"/>
    <w:rsid w:val="003E6264"/>
    <w:rsid w:val="003F4D55"/>
    <w:rsid w:val="003F5351"/>
    <w:rsid w:val="004047F0"/>
    <w:rsid w:val="004067D0"/>
    <w:rsid w:val="00407574"/>
    <w:rsid w:val="00415D78"/>
    <w:rsid w:val="00415DE1"/>
    <w:rsid w:val="0041635D"/>
    <w:rsid w:val="00424372"/>
    <w:rsid w:val="00435089"/>
    <w:rsid w:val="00436C46"/>
    <w:rsid w:val="004434D2"/>
    <w:rsid w:val="00454D65"/>
    <w:rsid w:val="00462A10"/>
    <w:rsid w:val="00462B26"/>
    <w:rsid w:val="004637BD"/>
    <w:rsid w:val="0048148B"/>
    <w:rsid w:val="00482CD2"/>
    <w:rsid w:val="004A0E32"/>
    <w:rsid w:val="004A77E8"/>
    <w:rsid w:val="004A78DE"/>
    <w:rsid w:val="004D03A6"/>
    <w:rsid w:val="004D1BAD"/>
    <w:rsid w:val="00506B31"/>
    <w:rsid w:val="00510C55"/>
    <w:rsid w:val="0052061D"/>
    <w:rsid w:val="00531301"/>
    <w:rsid w:val="00532E8D"/>
    <w:rsid w:val="00542E23"/>
    <w:rsid w:val="00545669"/>
    <w:rsid w:val="00556DA1"/>
    <w:rsid w:val="005845FE"/>
    <w:rsid w:val="00585F4B"/>
    <w:rsid w:val="005A5287"/>
    <w:rsid w:val="005B17BF"/>
    <w:rsid w:val="005B6FCB"/>
    <w:rsid w:val="005C6D8D"/>
    <w:rsid w:val="005D13AA"/>
    <w:rsid w:val="005F4E90"/>
    <w:rsid w:val="005F5F70"/>
    <w:rsid w:val="00604645"/>
    <w:rsid w:val="00604679"/>
    <w:rsid w:val="00607186"/>
    <w:rsid w:val="00607EAB"/>
    <w:rsid w:val="00617673"/>
    <w:rsid w:val="00626943"/>
    <w:rsid w:val="006416BB"/>
    <w:rsid w:val="00647780"/>
    <w:rsid w:val="00653884"/>
    <w:rsid w:val="00654BAE"/>
    <w:rsid w:val="00657129"/>
    <w:rsid w:val="00663222"/>
    <w:rsid w:val="00664877"/>
    <w:rsid w:val="00691084"/>
    <w:rsid w:val="00692375"/>
    <w:rsid w:val="006928D0"/>
    <w:rsid w:val="00693D78"/>
    <w:rsid w:val="00693F43"/>
    <w:rsid w:val="006A299D"/>
    <w:rsid w:val="006A5589"/>
    <w:rsid w:val="006A5E6F"/>
    <w:rsid w:val="006A6E44"/>
    <w:rsid w:val="006D5F84"/>
    <w:rsid w:val="006D6F78"/>
    <w:rsid w:val="006E7EAE"/>
    <w:rsid w:val="006F7567"/>
    <w:rsid w:val="00702DFF"/>
    <w:rsid w:val="00703FFD"/>
    <w:rsid w:val="00727B6D"/>
    <w:rsid w:val="00727CA6"/>
    <w:rsid w:val="00740B65"/>
    <w:rsid w:val="00742EC2"/>
    <w:rsid w:val="00744E44"/>
    <w:rsid w:val="00767EAB"/>
    <w:rsid w:val="00777685"/>
    <w:rsid w:val="00793677"/>
    <w:rsid w:val="007A3192"/>
    <w:rsid w:val="007A7FEC"/>
    <w:rsid w:val="007B1E6E"/>
    <w:rsid w:val="007C0336"/>
    <w:rsid w:val="007E0E36"/>
    <w:rsid w:val="007E35EF"/>
    <w:rsid w:val="007F4768"/>
    <w:rsid w:val="007F62F4"/>
    <w:rsid w:val="00800498"/>
    <w:rsid w:val="00807035"/>
    <w:rsid w:val="00832DBE"/>
    <w:rsid w:val="008465EF"/>
    <w:rsid w:val="00854F66"/>
    <w:rsid w:val="008656CD"/>
    <w:rsid w:val="0086677B"/>
    <w:rsid w:val="008728AB"/>
    <w:rsid w:val="00877384"/>
    <w:rsid w:val="00880AC0"/>
    <w:rsid w:val="00881B96"/>
    <w:rsid w:val="00891B62"/>
    <w:rsid w:val="008A54B4"/>
    <w:rsid w:val="008A5A7B"/>
    <w:rsid w:val="008B369B"/>
    <w:rsid w:val="008B45C2"/>
    <w:rsid w:val="008C08DC"/>
    <w:rsid w:val="008E45ED"/>
    <w:rsid w:val="008E55C9"/>
    <w:rsid w:val="008F10BE"/>
    <w:rsid w:val="00900135"/>
    <w:rsid w:val="00903633"/>
    <w:rsid w:val="00907C82"/>
    <w:rsid w:val="00911B06"/>
    <w:rsid w:val="00921E93"/>
    <w:rsid w:val="009256DA"/>
    <w:rsid w:val="009310AB"/>
    <w:rsid w:val="00943DBD"/>
    <w:rsid w:val="009465D9"/>
    <w:rsid w:val="0095689C"/>
    <w:rsid w:val="0096059F"/>
    <w:rsid w:val="009607FC"/>
    <w:rsid w:val="00973CEE"/>
    <w:rsid w:val="009831BF"/>
    <w:rsid w:val="0098570E"/>
    <w:rsid w:val="00987111"/>
    <w:rsid w:val="009A7CC2"/>
    <w:rsid w:val="009C36D8"/>
    <w:rsid w:val="009C7E61"/>
    <w:rsid w:val="009F1576"/>
    <w:rsid w:val="00A07134"/>
    <w:rsid w:val="00A14164"/>
    <w:rsid w:val="00A26FAE"/>
    <w:rsid w:val="00A348BD"/>
    <w:rsid w:val="00A41F79"/>
    <w:rsid w:val="00A507F2"/>
    <w:rsid w:val="00A52218"/>
    <w:rsid w:val="00A55CB9"/>
    <w:rsid w:val="00A630A8"/>
    <w:rsid w:val="00A72804"/>
    <w:rsid w:val="00A748FA"/>
    <w:rsid w:val="00A77BDD"/>
    <w:rsid w:val="00A86961"/>
    <w:rsid w:val="00A9602E"/>
    <w:rsid w:val="00AB2495"/>
    <w:rsid w:val="00AB4242"/>
    <w:rsid w:val="00AC244A"/>
    <w:rsid w:val="00AC720E"/>
    <w:rsid w:val="00AD2878"/>
    <w:rsid w:val="00AD4FCC"/>
    <w:rsid w:val="00AD6B9F"/>
    <w:rsid w:val="00AE1A79"/>
    <w:rsid w:val="00AF0C70"/>
    <w:rsid w:val="00AF42CF"/>
    <w:rsid w:val="00AF5E62"/>
    <w:rsid w:val="00B02B94"/>
    <w:rsid w:val="00B04A83"/>
    <w:rsid w:val="00B06B4B"/>
    <w:rsid w:val="00B1182C"/>
    <w:rsid w:val="00B13C15"/>
    <w:rsid w:val="00B13D09"/>
    <w:rsid w:val="00B23540"/>
    <w:rsid w:val="00B36DDA"/>
    <w:rsid w:val="00B404AC"/>
    <w:rsid w:val="00B53DC4"/>
    <w:rsid w:val="00B56F74"/>
    <w:rsid w:val="00B64871"/>
    <w:rsid w:val="00B66099"/>
    <w:rsid w:val="00B67F07"/>
    <w:rsid w:val="00BB0636"/>
    <w:rsid w:val="00BB3371"/>
    <w:rsid w:val="00BB6D51"/>
    <w:rsid w:val="00BC2A65"/>
    <w:rsid w:val="00BC4AFD"/>
    <w:rsid w:val="00BE5F43"/>
    <w:rsid w:val="00C11535"/>
    <w:rsid w:val="00C238B3"/>
    <w:rsid w:val="00C267ED"/>
    <w:rsid w:val="00C3102D"/>
    <w:rsid w:val="00C43560"/>
    <w:rsid w:val="00C71B4A"/>
    <w:rsid w:val="00C81D37"/>
    <w:rsid w:val="00C81F93"/>
    <w:rsid w:val="00C87E82"/>
    <w:rsid w:val="00C91A1E"/>
    <w:rsid w:val="00C9438A"/>
    <w:rsid w:val="00C96CAB"/>
    <w:rsid w:val="00CD0D68"/>
    <w:rsid w:val="00CD5D3F"/>
    <w:rsid w:val="00CD7DCC"/>
    <w:rsid w:val="00D0605E"/>
    <w:rsid w:val="00D06684"/>
    <w:rsid w:val="00D07B5A"/>
    <w:rsid w:val="00D20C44"/>
    <w:rsid w:val="00D215F6"/>
    <w:rsid w:val="00D21DAD"/>
    <w:rsid w:val="00D26C7E"/>
    <w:rsid w:val="00D30739"/>
    <w:rsid w:val="00D37AE0"/>
    <w:rsid w:val="00D5057E"/>
    <w:rsid w:val="00D52EEE"/>
    <w:rsid w:val="00D73CF3"/>
    <w:rsid w:val="00D74661"/>
    <w:rsid w:val="00D84EE5"/>
    <w:rsid w:val="00D87661"/>
    <w:rsid w:val="00D917BE"/>
    <w:rsid w:val="00DB3D63"/>
    <w:rsid w:val="00DC2EFC"/>
    <w:rsid w:val="00DE7300"/>
    <w:rsid w:val="00E05024"/>
    <w:rsid w:val="00E10488"/>
    <w:rsid w:val="00E1788F"/>
    <w:rsid w:val="00E31947"/>
    <w:rsid w:val="00E4040C"/>
    <w:rsid w:val="00E43853"/>
    <w:rsid w:val="00E672A6"/>
    <w:rsid w:val="00E678D6"/>
    <w:rsid w:val="00E733AA"/>
    <w:rsid w:val="00E86D16"/>
    <w:rsid w:val="00E86F02"/>
    <w:rsid w:val="00E902D9"/>
    <w:rsid w:val="00E97C7D"/>
    <w:rsid w:val="00EA264A"/>
    <w:rsid w:val="00EB7EB2"/>
    <w:rsid w:val="00EC1185"/>
    <w:rsid w:val="00EC2B26"/>
    <w:rsid w:val="00EC3B31"/>
    <w:rsid w:val="00ED7BA3"/>
    <w:rsid w:val="00EE2BB9"/>
    <w:rsid w:val="00F17D9A"/>
    <w:rsid w:val="00F206D1"/>
    <w:rsid w:val="00F34035"/>
    <w:rsid w:val="00F606BC"/>
    <w:rsid w:val="00F8046F"/>
    <w:rsid w:val="00F84DE4"/>
    <w:rsid w:val="00F90553"/>
    <w:rsid w:val="00F90D16"/>
    <w:rsid w:val="00F94496"/>
    <w:rsid w:val="00FA4CD5"/>
    <w:rsid w:val="00FA76E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129"/>
    <w:pPr>
      <w:tabs>
        <w:tab w:val="left" w:pos="900"/>
      </w:tabs>
    </w:pPr>
    <w:rPr>
      <w:bCs/>
      <w:sz w:val="24"/>
      <w:szCs w:val="24"/>
      <w:lang w:eastAsia="en-US"/>
    </w:rPr>
  </w:style>
  <w:style w:type="paragraph" w:styleId="Heading1">
    <w:name w:val="heading 1"/>
    <w:basedOn w:val="Normal"/>
    <w:next w:val="Normal"/>
    <w:qFormat/>
    <w:rsid w:val="00351E8D"/>
    <w:pPr>
      <w:keepNext/>
      <w:outlineLvl w:val="0"/>
    </w:pPr>
    <w:rPr>
      <w:b/>
      <w:sz w:val="32"/>
      <w:szCs w:val="32"/>
    </w:rPr>
  </w:style>
  <w:style w:type="paragraph" w:styleId="Heading2">
    <w:name w:val="heading 2"/>
    <w:basedOn w:val="Normal"/>
    <w:next w:val="Normal"/>
    <w:qFormat/>
    <w:rsid w:val="00351E8D"/>
    <w:pPr>
      <w:keepNext/>
      <w:jc w:val="center"/>
      <w:outlineLvl w:val="1"/>
    </w:pPr>
    <w:rPr>
      <w:b/>
      <w:sz w:val="32"/>
      <w:szCs w:val="32"/>
    </w:rPr>
  </w:style>
  <w:style w:type="paragraph" w:styleId="Heading3">
    <w:name w:val="heading 3"/>
    <w:basedOn w:val="Normal"/>
    <w:next w:val="Normal"/>
    <w:qFormat/>
    <w:rsid w:val="00351E8D"/>
    <w:pPr>
      <w:keepNext/>
      <w:jc w:val="right"/>
      <w:outlineLvl w:val="2"/>
    </w:pPr>
  </w:style>
  <w:style w:type="paragraph" w:styleId="Heading4">
    <w:name w:val="heading 4"/>
    <w:basedOn w:val="Normal"/>
    <w:next w:val="Normal"/>
    <w:link w:val="Heading4Char"/>
    <w:semiHidden/>
    <w:unhideWhenUsed/>
    <w:qFormat/>
    <w:rsid w:val="00A52218"/>
    <w:pPr>
      <w:keepNext/>
      <w:keepLines/>
      <w:spacing w:before="200"/>
      <w:outlineLvl w:val="3"/>
    </w:pPr>
    <w:rPr>
      <w:rFonts w:asciiTheme="majorHAnsi" w:eastAsiaTheme="majorEastAsia" w:hAnsiTheme="majorHAnsi" w:cstheme="majorBidi"/>
      <w:b/>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character" w:styleId="Strong">
    <w:name w:val="Strong"/>
    <w:basedOn w:val="DefaultParagraphFont"/>
    <w:qFormat/>
    <w:rsid w:val="00346223"/>
    <w:rPr>
      <w:b/>
      <w:bCs/>
    </w:rPr>
  </w:style>
  <w:style w:type="character" w:customStyle="1" w:styleId="HeaderChar">
    <w:name w:val="Header Char"/>
    <w:basedOn w:val="DefaultParagraphFont"/>
    <w:link w:val="Header"/>
    <w:rsid w:val="002A0939"/>
    <w:rPr>
      <w:lang w:eastAsia="en-US"/>
    </w:rPr>
  </w:style>
  <w:style w:type="paragraph" w:customStyle="1" w:styleId="Normal12pt">
    <w:name w:val="Normal + 12 pt"/>
    <w:basedOn w:val="Normal"/>
    <w:link w:val="Normal12ptChar"/>
    <w:rsid w:val="002A0939"/>
    <w:pPr>
      <w:tabs>
        <w:tab w:val="left" w:pos="737"/>
      </w:tabs>
      <w:ind w:right="-283"/>
      <w:jc w:val="both"/>
    </w:pPr>
  </w:style>
  <w:style w:type="paragraph" w:customStyle="1" w:styleId="hyperlink0">
    <w:name w:val="hyperlink"/>
    <w:basedOn w:val="Normal"/>
    <w:rsid w:val="002A0939"/>
    <w:pPr>
      <w:spacing w:line="295" w:lineRule="auto"/>
      <w:ind w:firstLine="312"/>
      <w:jc w:val="both"/>
    </w:pPr>
    <w:rPr>
      <w:color w:val="000000"/>
      <w:lang w:eastAsia="lt-LT"/>
    </w:rPr>
  </w:style>
  <w:style w:type="paragraph" w:styleId="NormalWeb">
    <w:name w:val="Normal (Web)"/>
    <w:basedOn w:val="Normal"/>
    <w:uiPriority w:val="99"/>
    <w:unhideWhenUsed/>
    <w:rsid w:val="00435089"/>
    <w:pPr>
      <w:spacing w:before="100" w:beforeAutospacing="1" w:after="100" w:afterAutospacing="1"/>
    </w:pPr>
    <w:rPr>
      <w:lang w:eastAsia="lt-LT"/>
    </w:rPr>
  </w:style>
  <w:style w:type="paragraph" w:customStyle="1" w:styleId="bodytext">
    <w:name w:val="bodytext"/>
    <w:basedOn w:val="Normal"/>
    <w:rsid w:val="0001185D"/>
    <w:pPr>
      <w:spacing w:before="100" w:beforeAutospacing="1" w:after="100" w:afterAutospacing="1"/>
    </w:pPr>
    <w:rPr>
      <w:lang w:eastAsia="lt-LT"/>
    </w:rPr>
  </w:style>
  <w:style w:type="paragraph" w:customStyle="1" w:styleId="Patvirtinta">
    <w:name w:val="Patvirtinta"/>
    <w:basedOn w:val="Normal"/>
    <w:rsid w:val="008E45ED"/>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lang w:val="en-US"/>
    </w:rPr>
  </w:style>
  <w:style w:type="character" w:customStyle="1" w:styleId="Heading4Char">
    <w:name w:val="Heading 4 Char"/>
    <w:basedOn w:val="DefaultParagraphFont"/>
    <w:link w:val="Heading4"/>
    <w:semiHidden/>
    <w:rsid w:val="00A52218"/>
    <w:rPr>
      <w:rFonts w:asciiTheme="majorHAnsi" w:eastAsiaTheme="majorEastAsia" w:hAnsiTheme="majorHAnsi" w:cstheme="majorBidi"/>
      <w:b/>
      <w:bCs/>
      <w:i/>
      <w:iCs/>
      <w:color w:val="4F81BD" w:themeColor="accent1"/>
      <w:lang w:eastAsia="en-US"/>
    </w:rPr>
  </w:style>
  <w:style w:type="paragraph" w:customStyle="1" w:styleId="Hyperlink1">
    <w:name w:val="Hyperlink1"/>
    <w:basedOn w:val="Normal"/>
    <w:rsid w:val="00B06B4B"/>
    <w:pPr>
      <w:suppressAutoHyphens/>
      <w:autoSpaceDE w:val="0"/>
      <w:autoSpaceDN w:val="0"/>
      <w:adjustRightInd w:val="0"/>
      <w:spacing w:line="298" w:lineRule="auto"/>
      <w:ind w:firstLine="312"/>
      <w:jc w:val="both"/>
      <w:textAlignment w:val="center"/>
    </w:pPr>
    <w:rPr>
      <w:color w:val="000000"/>
      <w:lang w:val="en-US"/>
    </w:rPr>
  </w:style>
  <w:style w:type="paragraph" w:customStyle="1" w:styleId="Default">
    <w:name w:val="Default"/>
    <w:rsid w:val="003E6264"/>
    <w:pPr>
      <w:autoSpaceDE w:val="0"/>
      <w:autoSpaceDN w:val="0"/>
      <w:adjustRightInd w:val="0"/>
    </w:pPr>
    <w:rPr>
      <w:color w:val="000000"/>
      <w:sz w:val="24"/>
      <w:szCs w:val="24"/>
    </w:rPr>
  </w:style>
  <w:style w:type="paragraph" w:styleId="ListParagraph">
    <w:name w:val="List Paragraph"/>
    <w:basedOn w:val="Normal"/>
    <w:uiPriority w:val="34"/>
    <w:qFormat/>
    <w:rsid w:val="00973CEE"/>
    <w:pPr>
      <w:tabs>
        <w:tab w:val="clear" w:pos="900"/>
      </w:tabs>
      <w:ind w:left="720"/>
      <w:contextualSpacing/>
    </w:pPr>
    <w:rPr>
      <w:bCs w:val="0"/>
      <w:sz w:val="20"/>
      <w:szCs w:val="20"/>
      <w:lang w:val="en-US"/>
    </w:rPr>
  </w:style>
  <w:style w:type="character" w:customStyle="1" w:styleId="Normal12ptChar">
    <w:name w:val="Normal + 12 pt Char"/>
    <w:basedOn w:val="DefaultParagraphFont"/>
    <w:link w:val="Normal12pt"/>
    <w:locked/>
    <w:rsid w:val="00973CEE"/>
    <w:rPr>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313609699">
      <w:bodyDiv w:val="1"/>
      <w:marLeft w:val="0"/>
      <w:marRight w:val="0"/>
      <w:marTop w:val="0"/>
      <w:marBottom w:val="0"/>
      <w:divBdr>
        <w:top w:val="none" w:sz="0" w:space="0" w:color="auto"/>
        <w:left w:val="none" w:sz="0" w:space="0" w:color="auto"/>
        <w:bottom w:val="none" w:sz="0" w:space="0" w:color="auto"/>
        <w:right w:val="none" w:sz="0" w:space="0" w:color="auto"/>
      </w:divBdr>
      <w:divsChild>
        <w:div w:id="1177043006">
          <w:marLeft w:val="0"/>
          <w:marRight w:val="0"/>
          <w:marTop w:val="0"/>
          <w:marBottom w:val="0"/>
          <w:divBdr>
            <w:top w:val="none" w:sz="0" w:space="0" w:color="auto"/>
            <w:left w:val="none" w:sz="0" w:space="0" w:color="auto"/>
            <w:bottom w:val="none" w:sz="0" w:space="0" w:color="auto"/>
            <w:right w:val="none" w:sz="0" w:space="0" w:color="auto"/>
          </w:divBdr>
          <w:divsChild>
            <w:div w:id="7627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60716">
      <w:bodyDiv w:val="1"/>
      <w:marLeft w:val="0"/>
      <w:marRight w:val="0"/>
      <w:marTop w:val="0"/>
      <w:marBottom w:val="0"/>
      <w:divBdr>
        <w:top w:val="none" w:sz="0" w:space="0" w:color="auto"/>
        <w:left w:val="none" w:sz="0" w:space="0" w:color="auto"/>
        <w:bottom w:val="none" w:sz="0" w:space="0" w:color="auto"/>
        <w:right w:val="none" w:sz="0" w:space="0" w:color="auto"/>
      </w:divBdr>
      <w:divsChild>
        <w:div w:id="720666463">
          <w:marLeft w:val="0"/>
          <w:marRight w:val="0"/>
          <w:marTop w:val="0"/>
          <w:marBottom w:val="0"/>
          <w:divBdr>
            <w:top w:val="none" w:sz="0" w:space="0" w:color="auto"/>
            <w:left w:val="none" w:sz="0" w:space="0" w:color="auto"/>
            <w:bottom w:val="none" w:sz="0" w:space="0" w:color="auto"/>
            <w:right w:val="none" w:sz="0" w:space="0" w:color="auto"/>
          </w:divBdr>
          <w:divsChild>
            <w:div w:id="20125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99134">
      <w:bodyDiv w:val="1"/>
      <w:marLeft w:val="0"/>
      <w:marRight w:val="0"/>
      <w:marTop w:val="0"/>
      <w:marBottom w:val="0"/>
      <w:divBdr>
        <w:top w:val="none" w:sz="0" w:space="0" w:color="auto"/>
        <w:left w:val="none" w:sz="0" w:space="0" w:color="auto"/>
        <w:bottom w:val="none" w:sz="0" w:space="0" w:color="auto"/>
        <w:right w:val="none" w:sz="0" w:space="0" w:color="auto"/>
      </w:divBdr>
    </w:div>
    <w:div w:id="832989778">
      <w:bodyDiv w:val="1"/>
      <w:marLeft w:val="0"/>
      <w:marRight w:val="0"/>
      <w:marTop w:val="0"/>
      <w:marBottom w:val="0"/>
      <w:divBdr>
        <w:top w:val="none" w:sz="0" w:space="0" w:color="auto"/>
        <w:left w:val="none" w:sz="0" w:space="0" w:color="auto"/>
        <w:bottom w:val="none" w:sz="0" w:space="0" w:color="auto"/>
        <w:right w:val="none" w:sz="0" w:space="0" w:color="auto"/>
      </w:divBdr>
    </w:div>
    <w:div w:id="1000622813">
      <w:bodyDiv w:val="1"/>
      <w:marLeft w:val="0"/>
      <w:marRight w:val="0"/>
      <w:marTop w:val="0"/>
      <w:marBottom w:val="0"/>
      <w:divBdr>
        <w:top w:val="none" w:sz="0" w:space="0" w:color="auto"/>
        <w:left w:val="none" w:sz="0" w:space="0" w:color="auto"/>
        <w:bottom w:val="none" w:sz="0" w:space="0" w:color="auto"/>
        <w:right w:val="none" w:sz="0" w:space="0" w:color="auto"/>
      </w:divBdr>
    </w:div>
    <w:div w:id="1015963793">
      <w:bodyDiv w:val="1"/>
      <w:marLeft w:val="180"/>
      <w:marRight w:val="180"/>
      <w:marTop w:val="0"/>
      <w:marBottom w:val="0"/>
      <w:divBdr>
        <w:top w:val="none" w:sz="0" w:space="0" w:color="auto"/>
        <w:left w:val="none" w:sz="0" w:space="0" w:color="auto"/>
        <w:bottom w:val="none" w:sz="0" w:space="0" w:color="auto"/>
        <w:right w:val="none" w:sz="0" w:space="0" w:color="auto"/>
      </w:divBdr>
      <w:divsChild>
        <w:div w:id="2031176474">
          <w:marLeft w:val="0"/>
          <w:marRight w:val="0"/>
          <w:marTop w:val="0"/>
          <w:marBottom w:val="0"/>
          <w:divBdr>
            <w:top w:val="none" w:sz="0" w:space="0" w:color="auto"/>
            <w:left w:val="none" w:sz="0" w:space="0" w:color="auto"/>
            <w:bottom w:val="none" w:sz="0" w:space="0" w:color="auto"/>
            <w:right w:val="none" w:sz="0" w:space="0" w:color="auto"/>
          </w:divBdr>
        </w:div>
      </w:divsChild>
    </w:div>
    <w:div w:id="1114206899">
      <w:bodyDiv w:val="1"/>
      <w:marLeft w:val="0"/>
      <w:marRight w:val="0"/>
      <w:marTop w:val="0"/>
      <w:marBottom w:val="0"/>
      <w:divBdr>
        <w:top w:val="none" w:sz="0" w:space="0" w:color="auto"/>
        <w:left w:val="none" w:sz="0" w:space="0" w:color="auto"/>
        <w:bottom w:val="none" w:sz="0" w:space="0" w:color="auto"/>
        <w:right w:val="none" w:sz="0" w:space="0" w:color="auto"/>
      </w:divBdr>
    </w:div>
    <w:div w:id="1456555955">
      <w:bodyDiv w:val="1"/>
      <w:marLeft w:val="0"/>
      <w:marRight w:val="0"/>
      <w:marTop w:val="0"/>
      <w:marBottom w:val="0"/>
      <w:divBdr>
        <w:top w:val="none" w:sz="0" w:space="0" w:color="auto"/>
        <w:left w:val="none" w:sz="0" w:space="0" w:color="auto"/>
        <w:bottom w:val="none" w:sz="0" w:space="0" w:color="auto"/>
        <w:right w:val="none" w:sz="0" w:space="0" w:color="auto"/>
      </w:divBdr>
    </w:div>
    <w:div w:id="1481460104">
      <w:bodyDiv w:val="1"/>
      <w:marLeft w:val="0"/>
      <w:marRight w:val="0"/>
      <w:marTop w:val="0"/>
      <w:marBottom w:val="0"/>
      <w:divBdr>
        <w:top w:val="none" w:sz="0" w:space="0" w:color="auto"/>
        <w:left w:val="none" w:sz="0" w:space="0" w:color="auto"/>
        <w:bottom w:val="none" w:sz="0" w:space="0" w:color="auto"/>
        <w:right w:val="none" w:sz="0" w:space="0" w:color="auto"/>
      </w:divBdr>
    </w:div>
    <w:div w:id="1928296974">
      <w:bodyDiv w:val="1"/>
      <w:marLeft w:val="0"/>
      <w:marRight w:val="0"/>
      <w:marTop w:val="0"/>
      <w:marBottom w:val="0"/>
      <w:divBdr>
        <w:top w:val="none" w:sz="0" w:space="0" w:color="auto"/>
        <w:left w:val="none" w:sz="0" w:space="0" w:color="auto"/>
        <w:bottom w:val="none" w:sz="0" w:space="0" w:color="auto"/>
        <w:right w:val="none" w:sz="0" w:space="0" w:color="auto"/>
      </w:divBdr>
    </w:div>
    <w:div w:id="21058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1FB6B-2A3F-4F06-9FB5-7FC598F4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310</TotalTime>
  <Pages>3</Pages>
  <Words>1116</Words>
  <Characters>8285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37</cp:revision>
  <cp:lastPrinted>2014-08-07T11:46:00Z</cp:lastPrinted>
  <dcterms:created xsi:type="dcterms:W3CDTF">2014-08-04T12:31:00Z</dcterms:created>
  <dcterms:modified xsi:type="dcterms:W3CDTF">2014-08-07T11:48:00Z</dcterms:modified>
</cp:coreProperties>
</file>