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804EA1" w:rsidRPr="00255FBE" w:rsidRDefault="00804EA1" w:rsidP="00804EA1">
      <w:pPr>
        <w:pStyle w:val="Antrat1"/>
        <w:jc w:val="center"/>
      </w:pPr>
      <w:r w:rsidRPr="00255FBE"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pt;height:44.3pt" o:ole="" fillcolor="window">
            <v:imagedata r:id="rId8" o:title=""/>
          </v:shape>
          <o:OLEObject Type="Embed" ProgID="Word.Picture.8" ShapeID="_x0000_i1025" DrawAspect="Content" ObjectID="_1467460586" r:id="rId9"/>
        </w:object>
      </w:r>
    </w:p>
    <w:p w:rsidR="00804EA1" w:rsidRPr="00255FBE" w:rsidRDefault="00804EA1" w:rsidP="00804EA1">
      <w:pPr>
        <w:pStyle w:val="Antrat1"/>
        <w:jc w:val="center"/>
        <w:rPr>
          <w:sz w:val="24"/>
        </w:rPr>
      </w:pPr>
      <w:r w:rsidRPr="00255FBE">
        <w:rPr>
          <w:sz w:val="24"/>
        </w:rPr>
        <w:t>VIEŠŲJŲ PIRKIMŲ TARNYBA</w:t>
      </w:r>
    </w:p>
    <w:p w:rsidR="00804EA1" w:rsidRPr="00255FBE" w:rsidRDefault="00804EA1" w:rsidP="00804EA1">
      <w:pPr>
        <w:rPr>
          <w:b/>
        </w:rPr>
      </w:pPr>
    </w:p>
    <w:p w:rsidR="00804EA1" w:rsidRPr="00255FBE" w:rsidRDefault="00804EA1" w:rsidP="00804EA1">
      <w:pPr>
        <w:rPr>
          <w:b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236"/>
        <w:gridCol w:w="1390"/>
        <w:gridCol w:w="567"/>
        <w:gridCol w:w="1414"/>
      </w:tblGrid>
      <w:tr w:rsidR="00255FBE" w:rsidRPr="00255FBE" w:rsidTr="002B6999">
        <w:trPr>
          <w:cantSplit/>
        </w:trPr>
        <w:tc>
          <w:tcPr>
            <w:tcW w:w="5040" w:type="dxa"/>
          </w:tcPr>
          <w:p w:rsidR="00804EA1" w:rsidRPr="00255FBE" w:rsidRDefault="00804EA1" w:rsidP="00F47DE4"/>
          <w:p w:rsidR="00804EA1" w:rsidRPr="00255FBE" w:rsidRDefault="00804EA1" w:rsidP="00F47DE4">
            <w:r w:rsidRPr="00255FBE">
              <w:t>Žagarės regioninio parko direkcijai</w:t>
            </w:r>
          </w:p>
          <w:p w:rsidR="00804EA1" w:rsidRPr="00255FBE" w:rsidRDefault="00804EA1" w:rsidP="00F47DE4"/>
          <w:p w:rsidR="00804EA1" w:rsidRPr="00255FBE" w:rsidRDefault="00804EA1" w:rsidP="00F47DE4">
            <w:r w:rsidRPr="00255FBE">
              <w:t>Malūno g. 1</w:t>
            </w:r>
          </w:p>
          <w:p w:rsidR="00804EA1" w:rsidRPr="00255FBE" w:rsidRDefault="00804EA1" w:rsidP="00F47DE4">
            <w:pPr>
              <w:tabs>
                <w:tab w:val="left" w:pos="900"/>
              </w:tabs>
            </w:pPr>
            <w:r w:rsidRPr="00255FBE">
              <w:rPr>
                <w:rStyle w:val="st1"/>
              </w:rPr>
              <w:t>LT-84331, Žagarė</w:t>
            </w:r>
          </w:p>
        </w:tc>
        <w:tc>
          <w:tcPr>
            <w:tcW w:w="236" w:type="dxa"/>
          </w:tcPr>
          <w:p w:rsidR="00804EA1" w:rsidRPr="00255FBE" w:rsidRDefault="00804EA1" w:rsidP="00F47DE4"/>
          <w:p w:rsidR="00804EA1" w:rsidRPr="00255FBE" w:rsidRDefault="00804EA1" w:rsidP="00F47DE4"/>
          <w:p w:rsidR="00804EA1" w:rsidRPr="00255FBE" w:rsidRDefault="00804EA1" w:rsidP="00F47DE4">
            <w:r w:rsidRPr="00255FBE">
              <w:t>Į</w:t>
            </w:r>
          </w:p>
          <w:p w:rsidR="00804EA1" w:rsidRPr="00255FBE" w:rsidRDefault="00804EA1" w:rsidP="00F47DE4"/>
        </w:tc>
        <w:tc>
          <w:tcPr>
            <w:tcW w:w="1390" w:type="dxa"/>
          </w:tcPr>
          <w:p w:rsidR="00804EA1" w:rsidRPr="00255FBE" w:rsidRDefault="00804EA1" w:rsidP="00F47DE4"/>
          <w:p w:rsidR="00804EA1" w:rsidRPr="00255FBE" w:rsidRDefault="00804EA1" w:rsidP="00F47DE4">
            <w:r w:rsidRPr="00255FBE">
              <w:t>2014-07-</w:t>
            </w:r>
          </w:p>
          <w:p w:rsidR="00804EA1" w:rsidRPr="00255FBE" w:rsidRDefault="00804EA1" w:rsidP="00F47DE4">
            <w:r w:rsidRPr="00255FBE">
              <w:t>2014-06-18</w:t>
            </w:r>
          </w:p>
          <w:p w:rsidR="00804EA1" w:rsidRPr="00255FBE" w:rsidRDefault="00804EA1" w:rsidP="00F47DE4"/>
        </w:tc>
        <w:tc>
          <w:tcPr>
            <w:tcW w:w="567" w:type="dxa"/>
          </w:tcPr>
          <w:p w:rsidR="00804EA1" w:rsidRPr="00255FBE" w:rsidRDefault="00804EA1" w:rsidP="00F47DE4">
            <w:pPr>
              <w:jc w:val="center"/>
            </w:pPr>
          </w:p>
          <w:p w:rsidR="00804EA1" w:rsidRPr="00255FBE" w:rsidRDefault="00804EA1" w:rsidP="00F47DE4">
            <w:pPr>
              <w:jc w:val="center"/>
            </w:pPr>
            <w:r w:rsidRPr="00255FBE">
              <w:t>Nr.</w:t>
            </w:r>
          </w:p>
          <w:p w:rsidR="00804EA1" w:rsidRPr="00255FBE" w:rsidRDefault="00804EA1" w:rsidP="00F47DE4">
            <w:r w:rsidRPr="00255FBE">
              <w:t>Nr.</w:t>
            </w:r>
          </w:p>
          <w:p w:rsidR="00804EA1" w:rsidRPr="00255FBE" w:rsidRDefault="00804EA1" w:rsidP="00F47DE4"/>
        </w:tc>
        <w:tc>
          <w:tcPr>
            <w:tcW w:w="1414" w:type="dxa"/>
          </w:tcPr>
          <w:p w:rsidR="00804EA1" w:rsidRPr="00255FBE" w:rsidRDefault="00804EA1" w:rsidP="00F47DE4"/>
          <w:p w:rsidR="00804EA1" w:rsidRPr="00255FBE" w:rsidRDefault="00804EA1" w:rsidP="00F47DE4">
            <w:r w:rsidRPr="00255FBE">
              <w:t>4S-</w:t>
            </w:r>
          </w:p>
          <w:p w:rsidR="00804EA1" w:rsidRPr="00255FBE" w:rsidRDefault="00804EA1" w:rsidP="00F47DE4">
            <w:r w:rsidRPr="00255FBE">
              <w:t>4S-1446</w:t>
            </w:r>
          </w:p>
        </w:tc>
      </w:tr>
    </w:tbl>
    <w:p w:rsidR="00804EA1" w:rsidRPr="00255FBE" w:rsidRDefault="00804EA1" w:rsidP="00804EA1">
      <w:pPr>
        <w:jc w:val="right"/>
      </w:pPr>
    </w:p>
    <w:p w:rsidR="00804EA1" w:rsidRPr="00255FBE" w:rsidRDefault="00804EA1" w:rsidP="00804EA1">
      <w:pPr>
        <w:jc w:val="both"/>
        <w:rPr>
          <w:b/>
        </w:rPr>
      </w:pPr>
      <w:r w:rsidRPr="00255FBE">
        <w:rPr>
          <w:b/>
        </w:rPr>
        <w:t>DĖL VIEŠOJO PIRKIMO NR. 1</w:t>
      </w:r>
      <w:r w:rsidR="00C6679A" w:rsidRPr="00255FBE">
        <w:rPr>
          <w:b/>
        </w:rPr>
        <w:t>49107</w:t>
      </w:r>
      <w:r w:rsidRPr="00255FBE">
        <w:rPr>
          <w:b/>
        </w:rPr>
        <w:t xml:space="preserve"> VERTINIMO</w:t>
      </w:r>
    </w:p>
    <w:p w:rsidR="00804EA1" w:rsidRPr="00255FBE" w:rsidRDefault="00804EA1" w:rsidP="00804EA1">
      <w:pPr>
        <w:tabs>
          <w:tab w:val="left" w:pos="697"/>
        </w:tabs>
        <w:jc w:val="both"/>
      </w:pPr>
    </w:p>
    <w:p w:rsidR="00804EA1" w:rsidRPr="00255FBE" w:rsidRDefault="00804EA1" w:rsidP="00804EA1">
      <w:pPr>
        <w:tabs>
          <w:tab w:val="left" w:pos="1276"/>
        </w:tabs>
        <w:ind w:firstLine="709"/>
        <w:jc w:val="both"/>
      </w:pPr>
      <w:r w:rsidRPr="00255FBE">
        <w:t>Viešųjų pirkimų tarnyba (toliau – Tarnyba), vadovaudamasi Lietuvos Respublikos viešųjų pirkimų įstatymo 8² straipsnio 1 dalies 2 punktu, įvertino Žagarės regioninio parko direkcijos</w:t>
      </w:r>
      <w:r w:rsidR="0082414B" w:rsidRPr="00255FBE">
        <w:t xml:space="preserve"> (toliau – Perkančioji organizacija)</w:t>
      </w:r>
      <w:r w:rsidRPr="00255FBE">
        <w:t xml:space="preserve"> pateiktus dokumentus, susijusius su vykd</w:t>
      </w:r>
      <w:r w:rsidR="00AD6735">
        <w:t xml:space="preserve">ytu </w:t>
      </w:r>
      <w:r w:rsidRPr="00255FBE">
        <w:t>atviru</w:t>
      </w:r>
      <w:r w:rsidRPr="00255FBE">
        <w:rPr>
          <w:lang w:eastAsia="lt-LT"/>
        </w:rPr>
        <w:t xml:space="preserve"> konkursu </w:t>
      </w:r>
      <w:r w:rsidRPr="00255FBE">
        <w:t>„</w:t>
      </w:r>
      <w:r w:rsidRPr="00255FBE">
        <w:rPr>
          <w:i/>
        </w:rPr>
        <w:t>Žagarės dvaro parko tvarkymo darbai</w:t>
      </w:r>
      <w:r w:rsidRPr="00255FBE">
        <w:t xml:space="preserve">“ (Centrinėje viešųjų pirkimų informacinėje sistemoje skelbtas </w:t>
      </w:r>
      <w:r w:rsidR="002E6152">
        <w:t>2014-03-18</w:t>
      </w:r>
      <w:r w:rsidRPr="00255FBE">
        <w:t>, pirkimo Nr. 14</w:t>
      </w:r>
      <w:r w:rsidR="00124A4C" w:rsidRPr="00255FBE">
        <w:t>9107</w:t>
      </w:r>
      <w:r w:rsidR="00477EB7">
        <w:t>)</w:t>
      </w:r>
      <w:r w:rsidRPr="00255FBE">
        <w:t xml:space="preserve"> </w:t>
      </w:r>
      <w:r w:rsidR="00477EB7">
        <w:t>(</w:t>
      </w:r>
      <w:r w:rsidRPr="00255FBE">
        <w:t xml:space="preserve">toliau – Pirkimas). </w:t>
      </w:r>
    </w:p>
    <w:p w:rsidR="00804EA1" w:rsidRPr="00255FBE" w:rsidRDefault="00804EA1" w:rsidP="00804EA1">
      <w:pPr>
        <w:tabs>
          <w:tab w:val="left" w:pos="1276"/>
        </w:tabs>
        <w:ind w:firstLine="709"/>
        <w:jc w:val="both"/>
      </w:pPr>
      <w:r w:rsidRPr="00255FBE">
        <w:t>Pirkimas vykd</w:t>
      </w:r>
      <w:r w:rsidR="00AD6735">
        <w:t>ytas</w:t>
      </w:r>
      <w:r w:rsidRPr="00255FBE">
        <w:t xml:space="preserve"> Centrinės viešųjų pirkimų informacinės sistemos (toliau – CVP IS) priemonėmis. Pirkimui, atsižvelgiant į jo pradžios datą, taikomos Lietuvos Respublikos viešųjų pirkimų įstatymo (redakcija nuo </w:t>
      </w:r>
      <w:r w:rsidR="002E6152">
        <w:t>2014-01-01)</w:t>
      </w:r>
      <w:r w:rsidRPr="00255FBE">
        <w:t xml:space="preserve"> (toliau – Įstatymas) nuostatos.</w:t>
      </w:r>
    </w:p>
    <w:p w:rsidR="009E6036" w:rsidRDefault="009E6036" w:rsidP="00804EA1">
      <w:pPr>
        <w:tabs>
          <w:tab w:val="left" w:pos="1276"/>
        </w:tabs>
        <w:ind w:firstLine="709"/>
        <w:jc w:val="both"/>
      </w:pPr>
      <w:r>
        <w:t xml:space="preserve">Pirkimas, vadovaujantis Įstatymo 7 straipsnio 4 dalies 3 punktu, yra pasibaigęs, perkančiajai organizacijai įvykdžius Šiaulių apygardos teismo </w:t>
      </w:r>
      <w:r w:rsidR="00B21E64">
        <w:t>2014-06-19</w:t>
      </w:r>
      <w:r>
        <w:t xml:space="preserve"> sprendimą civilinėje byloje Nr. 2-830-440/2</w:t>
      </w:r>
      <w:r w:rsidR="00572562">
        <w:t>014:</w:t>
      </w:r>
      <w:r>
        <w:t xml:space="preserve"> „</w:t>
      </w:r>
      <w:r w:rsidRPr="00E66B21">
        <w:t>Pripažinti neteisėta Žagarės regioninio parko direkcijos paskelbto supaprastinto atviro viešojo pirkimo „Žagarės dvaro parko tvarkymo darbai“, konkurso sąlygų reikalavimą, kuriuo reikalaujama tiekėjams per pastaruosius 5 metus arba per laiką nuo tiekėjo įregistravimo dienos (jei tiekėjas vykdė veiklą mažiau nei 5 metus), būti tinkamai įvykdžius bent 1 ypatingo statinio kultūros paveldo objekto statybos darbų sutartį, kurios kaina yra ne mažesnė kaip 20</w:t>
      </w:r>
      <w:r w:rsidR="00572562">
        <w:t>.</w:t>
      </w:r>
      <w:r w:rsidRPr="00E66B21">
        <w:t>000</w:t>
      </w:r>
      <w:r w:rsidR="00572562">
        <w:t>.0</w:t>
      </w:r>
      <w:r w:rsidRPr="00E66B21">
        <w:t>00,00 Lt</w:t>
      </w:r>
      <w:r>
        <w:t>.</w:t>
      </w:r>
      <w:r w:rsidR="00572562">
        <w:t xml:space="preserve"> &lt;...&gt; </w:t>
      </w:r>
      <w:r w:rsidRPr="00E66B21">
        <w:t>Nutraukti atsakovės Žagarės regioninio parko direkcijos paskelbtą supaprastintą atvirą viešąjį pirkimą „Žagarės dvaro parko tvarkymo darbai“, paskelbtą Centrinėje viešųjų pirkimų informacinėje sistemoje</w:t>
      </w:r>
      <w:r w:rsidR="00977D30">
        <w:t xml:space="preserve"> 2014-03-18, pirkimo Nr. 149107</w:t>
      </w:r>
      <w:r>
        <w:t>“</w:t>
      </w:r>
      <w:r w:rsidR="00977D30">
        <w:t>.</w:t>
      </w:r>
    </w:p>
    <w:p w:rsidR="00804EA1" w:rsidRPr="00255FBE" w:rsidRDefault="00804EA1" w:rsidP="00804EA1">
      <w:pPr>
        <w:tabs>
          <w:tab w:val="left" w:pos="1276"/>
        </w:tabs>
        <w:ind w:firstLine="709"/>
        <w:jc w:val="both"/>
      </w:pPr>
      <w:r w:rsidRPr="00255FBE">
        <w:t>Tarnyba, įvertinusi Pirkimo dokumentus ir vykdytas procedūras bei CVP IS esančią informaciją</w:t>
      </w:r>
      <w:r w:rsidR="00907943" w:rsidRPr="00255FBE">
        <w:t xml:space="preserve">, </w:t>
      </w:r>
      <w:r w:rsidRPr="00255FBE">
        <w:t xml:space="preserve">nustatė, kad: </w:t>
      </w:r>
    </w:p>
    <w:p w:rsidR="00BD5EE5" w:rsidRDefault="00BD5EE5" w:rsidP="00164405">
      <w:pPr>
        <w:tabs>
          <w:tab w:val="left" w:pos="993"/>
          <w:tab w:val="left" w:pos="1276"/>
        </w:tabs>
        <w:ind w:firstLine="709"/>
        <w:jc w:val="both"/>
      </w:pPr>
      <w:r w:rsidRPr="00F81811">
        <w:lastRenderedPageBreak/>
        <w:t xml:space="preserve">1. </w:t>
      </w:r>
      <w:r w:rsidR="00164405" w:rsidRPr="00F81811">
        <w:t xml:space="preserve">Perkančioji organizacija </w:t>
      </w:r>
      <w:r w:rsidR="00215253" w:rsidRPr="00F81811">
        <w:t>neužtikrino</w:t>
      </w:r>
      <w:r w:rsidR="00164405" w:rsidRPr="00F81811">
        <w:t xml:space="preserve"> </w:t>
      </w:r>
      <w:r w:rsidRPr="00F81811">
        <w:t xml:space="preserve">Įstatymo </w:t>
      </w:r>
      <w:r w:rsidR="007A2AB8" w:rsidRPr="00F81811">
        <w:t xml:space="preserve">24 </w:t>
      </w:r>
      <w:r w:rsidR="006D7BCC" w:rsidRPr="00F81811">
        <w:t>straipsnio 9</w:t>
      </w:r>
      <w:r w:rsidR="00164405" w:rsidRPr="00F81811">
        <w:t xml:space="preserve"> dalies </w:t>
      </w:r>
      <w:r w:rsidR="00572562" w:rsidRPr="00F81811">
        <w:t>nuostatos</w:t>
      </w:r>
      <w:r w:rsidRPr="00F81811">
        <w:t>,</w:t>
      </w:r>
      <w:r w:rsidRPr="00255FBE">
        <w:t xml:space="preserve"> kad </w:t>
      </w:r>
      <w:r w:rsidRPr="00CC4177">
        <w:rPr>
          <w:i/>
        </w:rPr>
        <w:t>„Perkančioji organizacija pirkimo dokumentus rengia vadovaudamasi šio įstatymo nuostatomis. Pirkimo dokumentai turi būti tikslūs, aiškūs, be dviprasmybių, kad tiekėjai galėtų pateikti pasiūlymus, o perkančioji organizac</w:t>
      </w:r>
      <w:r w:rsidR="007A2AB8" w:rsidRPr="00CC4177">
        <w:rPr>
          <w:i/>
        </w:rPr>
        <w:t>ija nusipirkti tai, ko reikia“</w:t>
      </w:r>
      <w:r w:rsidR="007A2AB8" w:rsidRPr="00255FBE">
        <w:t xml:space="preserve">, </w:t>
      </w:r>
      <w:r w:rsidR="00477EB7" w:rsidRPr="00477EB7">
        <w:t>kadangi</w:t>
      </w:r>
      <w:r w:rsidRPr="00477EB7">
        <w:t>:</w:t>
      </w:r>
    </w:p>
    <w:p w:rsidR="00215253" w:rsidRPr="00215253" w:rsidRDefault="00477EB7" w:rsidP="005F6564">
      <w:pPr>
        <w:ind w:firstLine="709"/>
        <w:jc w:val="both"/>
        <w:rPr>
          <w:color w:val="000000" w:themeColor="text1"/>
        </w:rPr>
      </w:pPr>
      <w:r w:rsidRPr="00F628B8">
        <w:t>1.1</w:t>
      </w:r>
      <w:r w:rsidRPr="00215253">
        <w:t xml:space="preserve">. </w:t>
      </w:r>
      <w:r w:rsidRPr="00215253">
        <w:rPr>
          <w:color w:val="000000" w:themeColor="text1"/>
        </w:rPr>
        <w:t xml:space="preserve">Perkančioji organizacija 64.12 punkte nustatė, jog pasiūlymas bus atmestas, </w:t>
      </w:r>
      <w:r w:rsidRPr="00215253">
        <w:rPr>
          <w:i/>
          <w:color w:val="000000" w:themeColor="text1"/>
        </w:rPr>
        <w:t xml:space="preserve">„jei tiekėjas pateikia daugiau kaip vieną pasiūlymą arba ūkio subjektų grupės narys, </w:t>
      </w:r>
      <w:r w:rsidRPr="00215253">
        <w:rPr>
          <w:i/>
          <w:color w:val="000000" w:themeColor="text1"/>
          <w:u w:val="single"/>
        </w:rPr>
        <w:t>subrangovas (subteikėjas) ir/ar specialistas dalyvauja teikiant kelis pasiūlymus</w:t>
      </w:r>
      <w:r w:rsidRPr="00215253">
        <w:rPr>
          <w:i/>
          <w:color w:val="000000" w:themeColor="text1"/>
        </w:rPr>
        <w:t>. &lt;...&gt;“</w:t>
      </w:r>
      <w:r w:rsidRPr="00215253">
        <w:rPr>
          <w:color w:val="000000" w:themeColor="text1"/>
        </w:rPr>
        <w:t>, tačiau Pirkimo sąlygų 32 punkte nenustatė ribojančių sąlygų dėl subrangovų pasitelkimo</w:t>
      </w:r>
      <w:r w:rsidR="00215253" w:rsidRPr="00215253">
        <w:rPr>
          <w:color w:val="000000" w:themeColor="text1"/>
        </w:rPr>
        <w:t xml:space="preserve"> kelių tiekėjų pasiūlym</w:t>
      </w:r>
      <w:r w:rsidR="00215253">
        <w:rPr>
          <w:color w:val="000000" w:themeColor="text1"/>
        </w:rPr>
        <w:t>uose</w:t>
      </w:r>
      <w:r w:rsidR="00215253" w:rsidRPr="00215253">
        <w:rPr>
          <w:color w:val="000000" w:themeColor="text1"/>
        </w:rPr>
        <w:t>.</w:t>
      </w:r>
      <w:r w:rsidR="00F628B8" w:rsidRPr="00215253">
        <w:rPr>
          <w:color w:val="000000" w:themeColor="text1"/>
        </w:rPr>
        <w:t xml:space="preserve"> </w:t>
      </w:r>
    </w:p>
    <w:p w:rsidR="005F6564" w:rsidRPr="00215253" w:rsidRDefault="005F6564" w:rsidP="005F6564">
      <w:pPr>
        <w:ind w:firstLine="709"/>
        <w:jc w:val="both"/>
      </w:pPr>
      <w:r w:rsidRPr="00215253">
        <w:rPr>
          <w:color w:val="000000" w:themeColor="text1"/>
        </w:rPr>
        <w:t xml:space="preserve">Tarnyba atkreipia dėmesį, kad </w:t>
      </w:r>
      <w:r w:rsidRPr="00215253">
        <w:rPr>
          <w:color w:val="000000"/>
        </w:rPr>
        <w:t xml:space="preserve">perkančioji organizacija neturėtų viešojo pirkimo dokumentuose numatyti, jog tas pats subrangovas negali būti nurodytas kelių tiekėjų pasiūlymuose, kadangi </w:t>
      </w:r>
      <w:r w:rsidR="00215253" w:rsidRPr="00215253">
        <w:rPr>
          <w:color w:val="000000"/>
        </w:rPr>
        <w:t>Į</w:t>
      </w:r>
      <w:r w:rsidRPr="00215253">
        <w:rPr>
          <w:color w:val="000000"/>
        </w:rPr>
        <w:t>statymas</w:t>
      </w:r>
      <w:r w:rsidR="00215253" w:rsidRPr="00215253">
        <w:rPr>
          <w:color w:val="000000"/>
        </w:rPr>
        <w:t xml:space="preserve"> </w:t>
      </w:r>
      <w:r w:rsidRPr="00215253">
        <w:rPr>
          <w:color w:val="000000"/>
        </w:rPr>
        <w:t xml:space="preserve">numato tik tiekėjo, t. y. ūkio subjekto, galinčio pasiūlyti ar siūlantį prekes, paslaugas ar darbus, galimybę teikti ne daugiau nei vieną pasiūlymą tam pačiam pirkimui (išskyrus </w:t>
      </w:r>
      <w:r w:rsidR="00215253">
        <w:rPr>
          <w:color w:val="000000"/>
        </w:rPr>
        <w:t>Į</w:t>
      </w:r>
      <w:r w:rsidRPr="00215253">
        <w:rPr>
          <w:color w:val="000000"/>
        </w:rPr>
        <w:t>statymo 26 straipsnyje numatytą atvejį).</w:t>
      </w:r>
    </w:p>
    <w:p w:rsidR="00F628B8" w:rsidRDefault="00F628B8" w:rsidP="00164405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 w:rsidRPr="00215253">
        <w:rPr>
          <w:color w:val="000000" w:themeColor="text1"/>
        </w:rPr>
        <w:t xml:space="preserve">Tarnyba </w:t>
      </w:r>
      <w:r w:rsidR="005F6564" w:rsidRPr="00215253">
        <w:rPr>
          <w:color w:val="000000" w:themeColor="text1"/>
        </w:rPr>
        <w:t xml:space="preserve">taip pat </w:t>
      </w:r>
      <w:r w:rsidRPr="00215253">
        <w:rPr>
          <w:color w:val="000000" w:themeColor="text1"/>
        </w:rPr>
        <w:t>atkreipia dėmesį, kad jeigu perkančioji organizacija numato galimybę riboti subrangovų</w:t>
      </w:r>
      <w:r w:rsidRPr="00F628B8">
        <w:rPr>
          <w:color w:val="000000" w:themeColor="text1"/>
        </w:rPr>
        <w:t xml:space="preserve"> pasitelkimą</w:t>
      </w:r>
      <w:r w:rsidR="0057080F">
        <w:rPr>
          <w:color w:val="000000" w:themeColor="text1"/>
        </w:rPr>
        <w:t xml:space="preserve"> kelių tiekėjų pasiūlymuose</w:t>
      </w:r>
      <w:r w:rsidRPr="00F628B8">
        <w:rPr>
          <w:color w:val="000000" w:themeColor="text1"/>
        </w:rPr>
        <w:t xml:space="preserve">, tokiu atveju </w:t>
      </w:r>
      <w:r>
        <w:rPr>
          <w:color w:val="000000" w:themeColor="text1"/>
        </w:rPr>
        <w:t>ji</w:t>
      </w:r>
      <w:r w:rsidRPr="00F628B8">
        <w:rPr>
          <w:color w:val="000000" w:themeColor="text1"/>
        </w:rPr>
        <w:t xml:space="preserve"> turėtų nustatyti reikalavimą, kad </w:t>
      </w:r>
      <w:r>
        <w:rPr>
          <w:color w:val="000000" w:themeColor="text1"/>
        </w:rPr>
        <w:t>tiekėjo pasitelkiami</w:t>
      </w:r>
      <w:r w:rsidRPr="00F628B8">
        <w:rPr>
          <w:color w:val="000000" w:themeColor="text1"/>
        </w:rPr>
        <w:t xml:space="preserve"> subrangovai pateiktų pasižadėjimą, pavyzdžiui, kaip nustatyta Pirkimo dokumentų 4 </w:t>
      </w:r>
      <w:r w:rsidR="00977D30">
        <w:rPr>
          <w:color w:val="000000" w:themeColor="text1"/>
        </w:rPr>
        <w:t>p</w:t>
      </w:r>
      <w:r w:rsidRPr="00F628B8">
        <w:rPr>
          <w:color w:val="000000" w:themeColor="text1"/>
        </w:rPr>
        <w:t>riede.</w:t>
      </w:r>
    </w:p>
    <w:p w:rsidR="00CC4177" w:rsidRDefault="00CC4177" w:rsidP="00CC4177">
      <w:pPr>
        <w:tabs>
          <w:tab w:val="left" w:pos="993"/>
          <w:tab w:val="left" w:pos="1276"/>
        </w:tabs>
        <w:ind w:firstLine="709"/>
        <w:jc w:val="both"/>
      </w:pPr>
      <w:r>
        <w:rPr>
          <w:color w:val="000000" w:themeColor="text1"/>
        </w:rPr>
        <w:t xml:space="preserve">1.2. Perkančioji organizacija </w:t>
      </w:r>
      <w:r w:rsidRPr="00255FBE">
        <w:t xml:space="preserve">skelbimo apie </w:t>
      </w:r>
      <w:r>
        <w:t>Pirkimą 3.1.2)</w:t>
      </w:r>
      <w:r w:rsidRPr="00255FBE">
        <w:t xml:space="preserve"> punkte nurod</w:t>
      </w:r>
      <w:r>
        <w:t>ė</w:t>
      </w:r>
      <w:r w:rsidRPr="00255FBE">
        <w:t xml:space="preserve">, jog „&lt;...&gt; Pateiktos sąskaitos apmokamos </w:t>
      </w:r>
      <w:r w:rsidRPr="00255FBE">
        <w:rPr>
          <w:u w:val="single"/>
        </w:rPr>
        <w:t xml:space="preserve">ne vėliau kaip per 30 (trisdešimt) kalendorinių dienų </w:t>
      </w:r>
      <w:r w:rsidRPr="00255FBE">
        <w:t>nuo jų pate</w:t>
      </w:r>
      <w:r>
        <w:t>ikimo“, o Pirkimo</w:t>
      </w:r>
      <w:r w:rsidRPr="00255FBE">
        <w:t xml:space="preserve"> sąlygų 5 priedo</w:t>
      </w:r>
      <w:r>
        <w:t xml:space="preserve"> „Žagarės dvaro parko tvarkymo darbai“</w:t>
      </w:r>
      <w:r w:rsidRPr="00255FBE">
        <w:t xml:space="preserve"> 12 punkte nurod</w:t>
      </w:r>
      <w:r>
        <w:t>ė</w:t>
      </w:r>
      <w:r w:rsidRPr="00255FBE">
        <w:t xml:space="preserve">, kad „&lt;...&gt; Pateiktos sąskaitos apmokamos </w:t>
      </w:r>
      <w:r w:rsidRPr="00255FBE">
        <w:rPr>
          <w:u w:val="single"/>
        </w:rPr>
        <w:t>ne vėliau kaip per 40 (keturiasdešimt) kalendorinių dienų</w:t>
      </w:r>
      <w:r>
        <w:t xml:space="preserve"> nuo jų pateikimo“.</w:t>
      </w:r>
    </w:p>
    <w:p w:rsidR="00427D78" w:rsidRPr="00427D78" w:rsidRDefault="00427D78" w:rsidP="00427D78">
      <w:pPr>
        <w:tabs>
          <w:tab w:val="left" w:pos="993"/>
          <w:tab w:val="left" w:pos="1276"/>
        </w:tabs>
        <w:ind w:firstLine="709"/>
        <w:jc w:val="both"/>
        <w:rPr>
          <w:highlight w:val="yellow"/>
        </w:rPr>
      </w:pPr>
      <w:r>
        <w:t>1.3. Perkančioji organizacija Pirkimo</w:t>
      </w:r>
      <w:r w:rsidRPr="005F6564">
        <w:t xml:space="preserve"> sąlygų 10.6. </w:t>
      </w:r>
      <w:r>
        <w:t>punkte</w:t>
      </w:r>
      <w:r w:rsidRPr="005F6564">
        <w:t xml:space="preserve"> </w:t>
      </w:r>
      <w:r>
        <w:t>nustatė</w:t>
      </w:r>
      <w:r w:rsidRPr="005F6564">
        <w:t xml:space="preserve">, kad </w:t>
      </w:r>
      <w:r w:rsidRPr="005F6564">
        <w:rPr>
          <w:i/>
        </w:rPr>
        <w:t xml:space="preserve">„Pasiūlymas turi galioti ne trumpiau kaip </w:t>
      </w:r>
      <w:r w:rsidRPr="005F6564">
        <w:rPr>
          <w:i/>
          <w:u w:val="single"/>
        </w:rPr>
        <w:t>120 dienų</w:t>
      </w:r>
      <w:r w:rsidRPr="005F6564">
        <w:rPr>
          <w:i/>
        </w:rPr>
        <w:t xml:space="preserve"> nuo pasiūlymų pateikimo termino pabaigos“</w:t>
      </w:r>
      <w:r>
        <w:t>,</w:t>
      </w:r>
      <w:r w:rsidRPr="005F6564">
        <w:t xml:space="preserve"> </w:t>
      </w:r>
      <w:r>
        <w:t xml:space="preserve">Pirkimo sąlygų </w:t>
      </w:r>
      <w:r w:rsidRPr="005F6564">
        <w:t xml:space="preserve">37 punkte </w:t>
      </w:r>
      <w:r>
        <w:t>nustatė</w:t>
      </w:r>
      <w:r w:rsidRPr="005F6564">
        <w:t xml:space="preserve">, </w:t>
      </w:r>
      <w:r>
        <w:t>kad</w:t>
      </w:r>
      <w:r w:rsidRPr="005F6564">
        <w:t xml:space="preserve"> </w:t>
      </w:r>
      <w:r w:rsidRPr="00713E12">
        <w:rPr>
          <w:i/>
        </w:rPr>
        <w:t xml:space="preserve">„&lt;...&gt; Pasiūlymas turi galioti ne trumpiau nei </w:t>
      </w:r>
      <w:r w:rsidRPr="00713E12">
        <w:rPr>
          <w:i/>
          <w:u w:val="single"/>
        </w:rPr>
        <w:t>90 dienų</w:t>
      </w:r>
      <w:r w:rsidRPr="00713E12">
        <w:rPr>
          <w:i/>
        </w:rPr>
        <w:t xml:space="preserve"> nuo pasiūlymo pateikimo termino pabaigos. &lt;...&gt;“</w:t>
      </w:r>
      <w:r w:rsidRPr="005F6564">
        <w:t xml:space="preserve">, </w:t>
      </w:r>
      <w:r>
        <w:t>ir</w:t>
      </w:r>
      <w:r w:rsidRPr="005F6564">
        <w:t xml:space="preserve"> </w:t>
      </w:r>
      <w:r>
        <w:t>Pirkimo</w:t>
      </w:r>
      <w:r w:rsidRPr="005F6564">
        <w:t xml:space="preserve"> sąlygų  41 punkte </w:t>
      </w:r>
      <w:r>
        <w:t>nustatė</w:t>
      </w:r>
      <w:r w:rsidRPr="005F6564">
        <w:t xml:space="preserve">, kad </w:t>
      </w:r>
      <w:r w:rsidRPr="00713E12">
        <w:rPr>
          <w:i/>
        </w:rPr>
        <w:t xml:space="preserve">„&lt;...&gt; Pasiūlymo galiojimą užtikrinantis dokumentas turi galioti </w:t>
      </w:r>
      <w:r w:rsidRPr="00713E12">
        <w:rPr>
          <w:i/>
          <w:u w:val="single"/>
        </w:rPr>
        <w:t>ne trumpiau nei 90 dienų</w:t>
      </w:r>
      <w:r w:rsidRPr="00713E12">
        <w:rPr>
          <w:i/>
        </w:rPr>
        <w:t xml:space="preserve"> nuo pasiūlymo pateikimo termino pabaigos“</w:t>
      </w:r>
      <w:r w:rsidRPr="005F6564">
        <w:t xml:space="preserve">, </w:t>
      </w:r>
      <w:r>
        <w:t>tačiau tiekėjams paklausus dėl šių nuostatų neaiškumo,</w:t>
      </w:r>
      <w:r w:rsidRPr="005F6564">
        <w:t xml:space="preserve"> Perkančio</w:t>
      </w:r>
      <w:r>
        <w:t xml:space="preserve">ji </w:t>
      </w:r>
      <w:r w:rsidRPr="005F6564">
        <w:t>organizacij</w:t>
      </w:r>
      <w:r>
        <w:t>a</w:t>
      </w:r>
      <w:r w:rsidRPr="005F6564">
        <w:t xml:space="preserve"> </w:t>
      </w:r>
      <w:r w:rsidR="00E351F3">
        <w:t>2014-04-11</w:t>
      </w:r>
      <w:r w:rsidRPr="005F6564">
        <w:t xml:space="preserve"> rašte </w:t>
      </w:r>
      <w:r>
        <w:t>Nr. S-125 (</w:t>
      </w:r>
      <w:r w:rsidRPr="005F6564">
        <w:t xml:space="preserve">2 </w:t>
      </w:r>
      <w:r>
        <w:t>atsakymas)</w:t>
      </w:r>
      <w:r w:rsidRPr="005F6564">
        <w:t xml:space="preserve"> nurod</w:t>
      </w:r>
      <w:r>
        <w:t>ydama</w:t>
      </w:r>
      <w:r w:rsidRPr="005F6564">
        <w:t xml:space="preserve">, kad </w:t>
      </w:r>
      <w:r w:rsidRPr="00713E12">
        <w:rPr>
          <w:i/>
        </w:rPr>
        <w:t xml:space="preserve">„Patiksliname – pasiūlymas turi galioti </w:t>
      </w:r>
      <w:r w:rsidRPr="00427D78">
        <w:rPr>
          <w:i/>
        </w:rPr>
        <w:t xml:space="preserve">ne trumpiau kaip 120 dienų nuo </w:t>
      </w:r>
      <w:r w:rsidRPr="00427D78">
        <w:rPr>
          <w:i/>
          <w:u w:val="single"/>
        </w:rPr>
        <w:t>pasiūlymo galiojimo pateikimo termino pabaigos</w:t>
      </w:r>
      <w:r w:rsidRPr="00427D78">
        <w:rPr>
          <w:i/>
        </w:rPr>
        <w:t>. Tiek pat turi galioti ir pateikiamas pasiūlymo galiojimo</w:t>
      </w:r>
      <w:r w:rsidRPr="00713E12">
        <w:rPr>
          <w:i/>
        </w:rPr>
        <w:t xml:space="preserve"> užtikrinimas.“</w:t>
      </w:r>
      <w:r>
        <w:t>, pateikė netikslų, neaiškų ir dviprasmišką atsakymą.</w:t>
      </w:r>
    </w:p>
    <w:p w:rsidR="00427D78" w:rsidRDefault="005D21C3" w:rsidP="005D21C3">
      <w:pPr>
        <w:tabs>
          <w:tab w:val="left" w:pos="993"/>
          <w:tab w:val="left" w:pos="1276"/>
        </w:tabs>
        <w:ind w:firstLine="709"/>
        <w:jc w:val="both"/>
      </w:pPr>
      <w:r>
        <w:lastRenderedPageBreak/>
        <w:t xml:space="preserve">1.4. </w:t>
      </w:r>
      <w:r w:rsidRPr="005D21C3">
        <w:t>Perkančio</w:t>
      </w:r>
      <w:r w:rsidR="00267CFF">
        <w:t>ji</w:t>
      </w:r>
      <w:r w:rsidRPr="005D21C3">
        <w:t xml:space="preserve"> organizacij</w:t>
      </w:r>
      <w:r w:rsidR="00267CFF">
        <w:t xml:space="preserve">a, tiekėjams paklausus, ar reikės pagrindinių sutarčių įvykdymo užtikrinimo, </w:t>
      </w:r>
      <w:r w:rsidR="00E351F3">
        <w:t>2014-04-11</w:t>
      </w:r>
      <w:r w:rsidRPr="005D21C3">
        <w:t xml:space="preserve"> rašte Nr. S-125 </w:t>
      </w:r>
      <w:r w:rsidR="00267CFF">
        <w:t>(</w:t>
      </w:r>
      <w:r w:rsidRPr="005D21C3">
        <w:t xml:space="preserve">8 </w:t>
      </w:r>
      <w:r w:rsidR="00267CFF">
        <w:t>atsakymas)</w:t>
      </w:r>
      <w:r w:rsidRPr="005D21C3">
        <w:t xml:space="preserve"> nurod</w:t>
      </w:r>
      <w:r w:rsidR="00267CFF">
        <w:t>ydama</w:t>
      </w:r>
      <w:r w:rsidRPr="005D21C3">
        <w:t xml:space="preserve">, kad </w:t>
      </w:r>
      <w:r w:rsidRPr="00267CFF">
        <w:rPr>
          <w:i/>
        </w:rPr>
        <w:t>„</w:t>
      </w:r>
      <w:r w:rsidRPr="00267CFF">
        <w:rPr>
          <w:i/>
          <w:u w:val="single"/>
        </w:rPr>
        <w:t>Preliminariosios sutarties įvykdymo užtikrinimas kartu yra ir pagrindinės sutarties įvykdymo užtikrinimu</w:t>
      </w:r>
      <w:r w:rsidRPr="00267CFF">
        <w:rPr>
          <w:i/>
        </w:rPr>
        <w:t xml:space="preserve"> ir juo gali būti pasinaudojama sutarties projekte numatytais atvejais. </w:t>
      </w:r>
      <w:r w:rsidRPr="00267CFF">
        <w:rPr>
          <w:i/>
          <w:u w:val="single"/>
        </w:rPr>
        <w:t>Sudarant Pirkimo sutartis gali būti pasirašomas atskiras konkrečios pirkimo sutarties įvykdymas</w:t>
      </w:r>
      <w:r w:rsidR="00267CFF">
        <w:rPr>
          <w:i/>
          <w:u w:val="single"/>
        </w:rPr>
        <w:t xml:space="preserve"> &lt;...&gt; Sudarant Pirkimo sutartis gali būti prašomas atskiras konkrečios pirkimo sutarties įvykdymas</w:t>
      </w:r>
      <w:r w:rsidRPr="00267CFF">
        <w:rPr>
          <w:i/>
          <w:u w:val="single"/>
        </w:rPr>
        <w:t>“</w:t>
      </w:r>
      <w:r w:rsidR="00267CFF">
        <w:t>, pateikė dviprasmiškus ir neaiškius paaiškinimus dėl pagrindinių sutarčių įvykdymo užtikrinimo sąlygų.</w:t>
      </w:r>
      <w:r w:rsidR="00F27A72">
        <w:t xml:space="preserve"> Tarnyba primena, kad vadovaujantis Įstatymo 24 straipsnio 2 dalie 13 punktu, perkančioji organizacija pri</w:t>
      </w:r>
      <w:r w:rsidR="00B12F61">
        <w:t>valo pateikti aiškią informaciją</w:t>
      </w:r>
      <w:r w:rsidR="00F27A72">
        <w:t xml:space="preserve"> dėl sutarties įvykdymo užtikrinimo.</w:t>
      </w:r>
    </w:p>
    <w:p w:rsidR="008C4E72" w:rsidRDefault="008C4E72" w:rsidP="008C4E72">
      <w:pPr>
        <w:tabs>
          <w:tab w:val="left" w:pos="993"/>
          <w:tab w:val="left" w:pos="1276"/>
        </w:tabs>
        <w:ind w:firstLine="709"/>
        <w:jc w:val="both"/>
      </w:pPr>
      <w:r>
        <w:t xml:space="preserve">1.5. </w:t>
      </w:r>
      <w:r w:rsidR="00B93D20">
        <w:t>Pirkimo</w:t>
      </w:r>
      <w:r w:rsidRPr="00255FBE">
        <w:t xml:space="preserve"> sąlygų 5 priedo 8 dalies (Įsipareigojimų pagal sutartį perleidimas ir subtiekėjų pasitelkimas) 34 punkte nustatyta sąlyga, kad „</w:t>
      </w:r>
      <w:r w:rsidRPr="008C4E72">
        <w:rPr>
          <w:i/>
        </w:rPr>
        <w:t xml:space="preserve">Tiekėjas Pirkimo sutarties vykdymui turi teisę be jokio papildomo derinimo pasitelkti pasiūlyme nurodytus subrangovus. Pasiūlyme nurodyti subrangovai sutarties vykdymo metu gali būti keičiami </w:t>
      </w:r>
      <w:bookmarkStart w:id="1" w:name="_GoBack"/>
      <w:r w:rsidRPr="008C4E72">
        <w:rPr>
          <w:i/>
        </w:rPr>
        <w:t>ir pasitelkiami nauji subtiekėjai tik iš anksto suderinus su perkančiąja organizacija</w:t>
      </w:r>
      <w:r w:rsidR="00BE7B42">
        <w:t xml:space="preserve">“, yra </w:t>
      </w:r>
      <w:bookmarkEnd w:id="1"/>
      <w:r w:rsidR="00BE7B42">
        <w:t xml:space="preserve">abstrakti ir nepakankama tam, </w:t>
      </w:r>
      <w:r w:rsidR="00BE7B42" w:rsidRPr="00BE7B42">
        <w:t>kad pakeisti sutartį be Tarnybos sutikimo</w:t>
      </w:r>
      <w:r w:rsidR="00BE7B42">
        <w:t>,</w:t>
      </w:r>
      <w:r w:rsidRPr="00255FBE">
        <w:t xml:space="preserve"> atsižvelgiant į tai, kad Perkančioji organizacija numato galimybę sutarties vykdymo metu keisti tiekėjo pasirinktus subrangovus, tačiau konkrečiai neįvardi</w:t>
      </w:r>
      <w:r w:rsidR="00BE7B42">
        <w:t>ja</w:t>
      </w:r>
      <w:r w:rsidRPr="00255FBE">
        <w:t xml:space="preserve"> keitimo sąlyg</w:t>
      </w:r>
      <w:r w:rsidR="00BE7B42">
        <w:t>ų</w:t>
      </w:r>
      <w:r w:rsidRPr="00255FBE">
        <w:t xml:space="preserve"> ir pagrind</w:t>
      </w:r>
      <w:r w:rsidR="00BE7B42">
        <w:t>ų</w:t>
      </w:r>
      <w:r w:rsidRPr="00255FBE">
        <w:t xml:space="preserve">, kuriais remiantis galima būtų pakeisti subrangovus. Siekiant aiškumo, Tarnyba rekomenduoja </w:t>
      </w:r>
      <w:r w:rsidR="00B93D20">
        <w:t>Pirkimo</w:t>
      </w:r>
      <w:r w:rsidRPr="00255FBE">
        <w:t xml:space="preserve"> sąlygose ir preliminarios</w:t>
      </w:r>
      <w:r w:rsidR="00BE7B42">
        <w:t>ios</w:t>
      </w:r>
      <w:r w:rsidRPr="00255FBE">
        <w:t xml:space="preserve"> sutarties projekte papildyti subrangovų ir/ar subteikėjų keitimo sąlygas (aplinkybes), tiksliai ir aiškiai nurodant pagrindus, kuriais remiantis užsakovas galėtų keisti sutartyje numatytus subrangovus ir/ar subteikėjus. Pažymėtina, kad jeigu sutartyje numatytos aiškios ir nedviprasmiškos subrangovų ir/ar subteikėjų keitimo sąlygos ir tvarka, tuomet, vykdant sutartį ir esant poreikiui juos keisti, tai daroma taip, kaip nustatyta sutartyje, ir tam nereikia Tarnybos sutikimo. Jeigu pirkimo dokumentuose ir pirkimo s</w:t>
      </w:r>
      <w:r>
        <w:t>utartyje nebuvo numatyta tam ti</w:t>
      </w:r>
      <w:r w:rsidRPr="00255FBE">
        <w:t>k</w:t>
      </w:r>
      <w:r>
        <w:t>r</w:t>
      </w:r>
      <w:r w:rsidRPr="00255FBE">
        <w:t>ų sutarties sąlygų keitimo galimybė ir pagrindai, tokiu atveju, vadovaujantis Įstatymo 18 straipsnio 8 dalimi, norint pakeisti sutarties sąlygas privaloma kreiptis į Tarnybą dėl sutikimo.</w:t>
      </w:r>
    </w:p>
    <w:p w:rsidR="00351E8B" w:rsidRDefault="00351E8B" w:rsidP="00351E8B">
      <w:pPr>
        <w:tabs>
          <w:tab w:val="left" w:pos="993"/>
          <w:tab w:val="left" w:pos="1276"/>
        </w:tabs>
        <w:ind w:firstLine="709"/>
        <w:jc w:val="both"/>
      </w:pPr>
      <w:r>
        <w:t xml:space="preserve">1.6. 4. </w:t>
      </w:r>
      <w:r w:rsidR="00B93D20">
        <w:t>Pirkimo</w:t>
      </w:r>
      <w:r w:rsidRPr="00255FBE">
        <w:t xml:space="preserve"> sąlygų 2 dalies (Pirkimo objektas) 13 punkt</w:t>
      </w:r>
      <w:r>
        <w:t>e nustatyta, kad</w:t>
      </w:r>
      <w:r w:rsidRPr="00255FBE">
        <w:t xml:space="preserve"> „</w:t>
      </w:r>
      <w:r w:rsidRPr="007E79CA">
        <w:rPr>
          <w:i/>
        </w:rPr>
        <w:t>Preliminari sutartis bus sudaroma 4 metams. Konkretus darbų (etapo) atlikimo terminas bus nurodytas pagrindinėje sutartyje. &lt;...&gt;</w:t>
      </w:r>
      <w:r w:rsidRPr="00255FBE">
        <w:t>“</w:t>
      </w:r>
      <w:r>
        <w:t xml:space="preserve"> ir </w:t>
      </w:r>
      <w:r w:rsidRPr="00255FBE">
        <w:t>Konkurso sąlygų 5 priedo 2 dalies (Sutarties galiojimas, vykdymo pradžia, trukmė ir terminai) 7 punkt</w:t>
      </w:r>
      <w:r>
        <w:t>e nustatyta, kad</w:t>
      </w:r>
      <w:r w:rsidRPr="00255FBE">
        <w:t xml:space="preserve"> „</w:t>
      </w:r>
      <w:r w:rsidRPr="007E79CA">
        <w:rPr>
          <w:i/>
        </w:rPr>
        <w:t>Konkurso Darbų etapo (-ų) atlikimo terminas, numatomas Pirkimo sutartyje</w:t>
      </w:r>
      <w:r w:rsidRPr="00255FBE">
        <w:t>“</w:t>
      </w:r>
      <w:r>
        <w:t xml:space="preserve">, todėl tampa neaiški pagrindinės sutarties ir/ar sutarčių trukmė, atitinkami darbų atlikimo terminai. Tarnyba pažymi, kad Perkančioji organizacija Pirkimo dokumentuose turi nustatyti bendruosius darbų atlikimo </w:t>
      </w:r>
      <w:r>
        <w:lastRenderedPageBreak/>
        <w:t>terminų nustatymo principus (kriterijus), kurie užtikrintų realias tiekėjo galimybes įvykdyti sutartinius įsipareigojimus.</w:t>
      </w:r>
    </w:p>
    <w:p w:rsidR="00DA6F8C" w:rsidRDefault="00DA6F8C" w:rsidP="00FD580B">
      <w:pPr>
        <w:tabs>
          <w:tab w:val="left" w:pos="993"/>
          <w:tab w:val="left" w:pos="1276"/>
        </w:tabs>
        <w:ind w:firstLine="709"/>
        <w:jc w:val="both"/>
      </w:pPr>
      <w:r>
        <w:t>2.</w:t>
      </w:r>
      <w:r w:rsidR="0099632E" w:rsidRPr="0099632E">
        <w:t xml:space="preserve"> </w:t>
      </w:r>
      <w:r w:rsidR="0099632E">
        <w:t xml:space="preserve">Perkančioji organizacija neužtikrino Įstatymo 27 straipsnio 1 dalies nuostatos, jog </w:t>
      </w:r>
      <w:r w:rsidR="0099632E" w:rsidRPr="0099632E">
        <w:rPr>
          <w:i/>
        </w:rPr>
        <w:t>„Perkančioji organizacija pirkimo dokumentus, kuriuos įmanoma pateikti elektroninėmis priemonėmis įskaitant technines specifikacijas, dokumentų paaiškinimus (patikslinimus), taip pat atsakymus į tiekėjų klausimus, skelbia CVP IS kartu su skelbimu apie pirkimą &lt;...&gt;“</w:t>
      </w:r>
      <w:r w:rsidR="0099632E">
        <w:t xml:space="preserve">, laikymosi, nes tiekėjui 2014-04-14 CVP IS priemonėmis (pranešimo Nr. 2709300), paprašius pateikti </w:t>
      </w:r>
      <w:r w:rsidR="005D21C3">
        <w:t xml:space="preserve">Viešojo </w:t>
      </w:r>
      <w:r w:rsidR="005D21C3" w:rsidRPr="005D21C3">
        <w:t>pirkimo k</w:t>
      </w:r>
      <w:r w:rsidR="0099632E" w:rsidRPr="005D21C3">
        <w:t>omisijos priimto</w:t>
      </w:r>
      <w:r w:rsidR="0099632E">
        <w:t xml:space="preserve"> sprendimo dėl pretenzijos atmetimo motyvus, perkančioji organizacija 2014-04-15 CVP IS priemonėmis (pranešimo Nr. 2710323) pateikė šiam tiekėjui išsamius pretenzijos atmetimo motyvus dėl kvalifikacijos reikalavimų, tačiau tokios informacijos </w:t>
      </w:r>
      <w:r w:rsidR="00FD580B">
        <w:t xml:space="preserve">CVP IS priemonėmis </w:t>
      </w:r>
      <w:r w:rsidR="0099632E">
        <w:t>nepateik</w:t>
      </w:r>
      <w:r w:rsidR="00BC4E1B">
        <w:t>ė</w:t>
      </w:r>
      <w:r w:rsidR="0099632E">
        <w:t xml:space="preserve"> kitiems</w:t>
      </w:r>
      <w:r w:rsidR="00FD580B">
        <w:t xml:space="preserve"> tiekėjams.</w:t>
      </w:r>
      <w:r w:rsidR="0099632E">
        <w:t xml:space="preserve"> </w:t>
      </w:r>
    </w:p>
    <w:p w:rsidR="00CC4177" w:rsidRDefault="00DA6F8C" w:rsidP="00CC4177">
      <w:pPr>
        <w:tabs>
          <w:tab w:val="left" w:pos="993"/>
          <w:tab w:val="left" w:pos="1276"/>
        </w:tabs>
        <w:ind w:firstLine="709"/>
        <w:jc w:val="both"/>
      </w:pPr>
      <w:r>
        <w:t>3</w:t>
      </w:r>
      <w:r w:rsidR="00CC4177">
        <w:t xml:space="preserve">. Perkančioji </w:t>
      </w:r>
      <w:r w:rsidR="00651304">
        <w:t xml:space="preserve">organizacija neužtikrino 27 straipsnio 5 dalies nuostatų, nes 2014-04-11 raštu Nr. S-125 atsakiusi tiekėjams į paklausimus dėl Pirkimo sąlygų, kad </w:t>
      </w:r>
      <w:r w:rsidR="00651304" w:rsidRPr="00651304">
        <w:rPr>
          <w:i/>
        </w:rPr>
        <w:t>„&lt;...&gt; tiekėjas gali pateikti ir trumpesnio galiojimo užtikrinimą (tačiau ne trumpesnio nei 12 mėn.) ir vykdant sutartį iki pateikto užtikrinimo galiojimo pabaigos pateikti užtikrinimo pratęsimą ar naują užtikrinimą &lt;...&gt; “</w:t>
      </w:r>
      <w:r w:rsidR="00651304">
        <w:t>, nepatikslino skelbimo apie Pirkimą, atsižvelgiant į tai, kad skelbimo apie Pirkimą III.1.1) punkte nustatyta sąlyga dėl sutarties įvykdymo užtikrinimo galiojimo nenutrūkstamai visą Pirkimo sutarties galiojimo laikotarpį.</w:t>
      </w:r>
    </w:p>
    <w:p w:rsidR="00204687" w:rsidRPr="00267CFF" w:rsidRDefault="00351E8B" w:rsidP="00204687">
      <w:pPr>
        <w:tabs>
          <w:tab w:val="left" w:pos="993"/>
          <w:tab w:val="left" w:pos="1276"/>
        </w:tabs>
        <w:ind w:firstLine="709"/>
        <w:jc w:val="both"/>
      </w:pPr>
      <w:r>
        <w:t xml:space="preserve">4. </w:t>
      </w:r>
      <w:r w:rsidRPr="009B7327">
        <w:t xml:space="preserve">Perkančioji organizacija </w:t>
      </w:r>
      <w:r>
        <w:t xml:space="preserve">Pirkimo sąlygų </w:t>
      </w:r>
      <w:r w:rsidR="00AF2602">
        <w:t xml:space="preserve">VII skyriuje </w:t>
      </w:r>
      <w:r w:rsidRPr="009B7327">
        <w:t>„Konkurso sąlygų paaiškinimas ir patikslinimas“, nenurodydama termino, per kurį atsakys į tiekėjo prašymą paaiškinti (patikslinti) pirkimo dokumentus, nesudaro galimybės tiekėjams tinkamai išnaudoti Įstatymo 28 straipsnyje nustatyto termino pasiūlymų parengimui. Tarnyba pažymi, kad aiškaus termino, per kurį Perkančioji organizacija atsakys į tiekėjo paklausimą nustatymas, garantuotų tinkamą Įstatymo 3 straipsnio 1 dalyje nustatyto skaidrumo principo užtikrinimą, t. y. sudarytų galimybes tiekėjams turėti pakankamai laiko susipažinti su Pirkimo objektu ir pateikti tinkamus pasiūlymus, o perkančiajai organizacijai nesilaikant Pirkimo sąlygose ir Įstatyme nustatytų reikalavimų, ginti savo teisėtus interesus Įstatymo V skyriaus nustatyta tvarka.</w:t>
      </w:r>
    </w:p>
    <w:p w:rsidR="00F27A72" w:rsidRDefault="00F27A72" w:rsidP="00164405">
      <w:pPr>
        <w:tabs>
          <w:tab w:val="left" w:pos="993"/>
          <w:tab w:val="left" w:pos="1276"/>
        </w:tabs>
        <w:ind w:firstLine="709"/>
        <w:jc w:val="both"/>
      </w:pPr>
      <w:r>
        <w:t>Tarnyba atkreipia dėmesį, kad perkančioji organizacija tikslindama Pirkimo sąlygas turėtų aiškia</w:t>
      </w:r>
      <w:r w:rsidR="00BE7B42">
        <w:t>i</w:t>
      </w:r>
      <w:r>
        <w:t xml:space="preserve"> nurodyti kurį</w:t>
      </w:r>
      <w:r w:rsidR="00BE7B42">
        <w:t>,</w:t>
      </w:r>
      <w:r>
        <w:t xml:space="preserve"> konkre</w:t>
      </w:r>
      <w:r w:rsidR="00F81811">
        <w:t>tų</w:t>
      </w:r>
      <w:r>
        <w:t xml:space="preserve"> punktą </w:t>
      </w:r>
      <w:r w:rsidR="00F81811">
        <w:t xml:space="preserve">(lentelę, dalį ar kt.) </w:t>
      </w:r>
      <w:r>
        <w:t xml:space="preserve">tikslina ir pateikti konkretaus punkto </w:t>
      </w:r>
      <w:r w:rsidR="00F81811">
        <w:t xml:space="preserve">(lentelės, dalies ar kt.) </w:t>
      </w:r>
      <w:r>
        <w:t xml:space="preserve">aktualią </w:t>
      </w:r>
      <w:r w:rsidR="002B6999">
        <w:t>redakciją</w:t>
      </w:r>
      <w:r>
        <w:t xml:space="preserve">, kad tiekėjai </w:t>
      </w:r>
      <w:r w:rsidR="00F81811">
        <w:t>galėtų pateikti tinkamus, pirkimo dokumentų (su paaiškinimais, patikslinimais) reikalavimus atitinkančius pasiūlymus, o perkančioji organizacija nusipirkti tai, ko reikia.</w:t>
      </w:r>
    </w:p>
    <w:p w:rsidR="00CC4177" w:rsidRDefault="00572562" w:rsidP="00164405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lastRenderedPageBreak/>
        <w:t xml:space="preserve">Vykdant kitus viešuosius pirkimus prašome atsižvelgti į nurodytus Įstatymo pažeidimus ir pastabas. </w:t>
      </w:r>
    </w:p>
    <w:p w:rsidR="003031F9" w:rsidRDefault="003031F9" w:rsidP="000162F8">
      <w:pPr>
        <w:tabs>
          <w:tab w:val="left" w:pos="993"/>
          <w:tab w:val="left" w:pos="1276"/>
        </w:tabs>
        <w:jc w:val="both"/>
        <w:rPr>
          <w:lang w:eastAsia="lt-LT"/>
        </w:rPr>
      </w:pPr>
    </w:p>
    <w:p w:rsidR="00E351F3" w:rsidRPr="00255FBE" w:rsidRDefault="00E351F3" w:rsidP="00804EA1">
      <w:pPr>
        <w:jc w:val="both"/>
        <w:rPr>
          <w:lang w:eastAsia="lt-LT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704"/>
        <w:gridCol w:w="4051"/>
      </w:tblGrid>
      <w:tr w:rsidR="00255FBE" w:rsidRPr="00255FBE" w:rsidTr="002B6999">
        <w:tc>
          <w:tcPr>
            <w:tcW w:w="4704" w:type="dxa"/>
          </w:tcPr>
          <w:p w:rsidR="006305E5" w:rsidRPr="000D160C" w:rsidRDefault="006305E5" w:rsidP="006305E5">
            <w:pPr>
              <w:pStyle w:val="Pagrindinistekstas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0D160C">
              <w:rPr>
                <w:sz w:val="24"/>
                <w:szCs w:val="24"/>
              </w:rPr>
              <w:t xml:space="preserve">Direktoriaus pavaduotoja, </w:t>
            </w:r>
          </w:p>
          <w:p w:rsidR="00804EA1" w:rsidRPr="00255FBE" w:rsidRDefault="006305E5" w:rsidP="006305E5">
            <w:pPr>
              <w:pStyle w:val="Pagrindinistekstas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0D160C">
              <w:rPr>
                <w:sz w:val="24"/>
                <w:szCs w:val="24"/>
              </w:rPr>
              <w:t>laikinai atliekanti direktoriaus funkcijas</w:t>
            </w:r>
          </w:p>
        </w:tc>
        <w:tc>
          <w:tcPr>
            <w:tcW w:w="4051" w:type="dxa"/>
          </w:tcPr>
          <w:p w:rsidR="006305E5" w:rsidRDefault="006305E5" w:rsidP="002B6999">
            <w:pPr>
              <w:pStyle w:val="Pagrindinistekstas"/>
              <w:tabs>
                <w:tab w:val="left" w:pos="720"/>
              </w:tabs>
              <w:jc w:val="right"/>
              <w:rPr>
                <w:sz w:val="24"/>
                <w:szCs w:val="24"/>
              </w:rPr>
            </w:pPr>
          </w:p>
          <w:p w:rsidR="00804EA1" w:rsidRPr="00255FBE" w:rsidRDefault="006305E5" w:rsidP="002B6999">
            <w:pPr>
              <w:pStyle w:val="Pagrindinistekstas"/>
              <w:tabs>
                <w:tab w:val="left" w:pos="7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Sigita Jurgelevičienė</w:t>
            </w:r>
          </w:p>
        </w:tc>
      </w:tr>
    </w:tbl>
    <w:p w:rsidR="00130F60" w:rsidRDefault="00130F60"/>
    <w:p w:rsidR="00AF2602" w:rsidRDefault="00AF2602"/>
    <w:p w:rsidR="00AF2602" w:rsidRDefault="00AF2602"/>
    <w:p w:rsidR="00E351F3" w:rsidRDefault="00E351F3"/>
    <w:p w:rsidR="006305E5" w:rsidRPr="00255FBE" w:rsidRDefault="006305E5"/>
    <w:p w:rsidR="007A2AB8" w:rsidRPr="00255FBE" w:rsidRDefault="007A2AB8" w:rsidP="007A2AB8">
      <w:pPr>
        <w:jc w:val="both"/>
      </w:pPr>
      <w:r w:rsidRPr="00255FBE">
        <w:t xml:space="preserve">Justina Juškauskaitė, tel. (8 5) 219 7014, el. p. </w:t>
      </w:r>
      <w:bookmarkStart w:id="2" w:name="_Hlt75580842"/>
      <w:r w:rsidRPr="00255FBE">
        <w:t>Ju</w:t>
      </w:r>
      <w:bookmarkEnd w:id="2"/>
      <w:r w:rsidRPr="00255FBE">
        <w:t>stina.Juskauskaite@vpt.lt</w:t>
      </w:r>
    </w:p>
    <w:sectPr w:rsidR="007A2AB8" w:rsidRPr="00255FBE" w:rsidSect="001364F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800" w:header="567" w:footer="454" w:gutter="0"/>
      <w:cols w:space="28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72" w:rsidRDefault="00C52972">
      <w:r>
        <w:separator/>
      </w:r>
    </w:p>
  </w:endnote>
  <w:endnote w:type="continuationSeparator" w:id="0">
    <w:p w:rsidR="00C52972" w:rsidRDefault="00C5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158" w:rsidRDefault="00BE7B42">
    <w:pPr>
      <w:pStyle w:val="Porat"/>
    </w:pPr>
  </w:p>
  <w:p w:rsidR="00C92158" w:rsidRDefault="00BE7B42">
    <w:pPr>
      <w:pStyle w:val="Porat"/>
    </w:pPr>
  </w:p>
  <w:p w:rsidR="00C92158" w:rsidRDefault="00BE7B4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158" w:rsidRPr="00B20F3B" w:rsidRDefault="00CA348E" w:rsidP="00156705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>B</w:t>
    </w:r>
    <w:r w:rsidRPr="00B20F3B">
      <w:rPr>
        <w:sz w:val="18"/>
      </w:rPr>
      <w:t xml:space="preserve">iudžetinė įstaiga                                            </w:t>
    </w:r>
    <w:r>
      <w:rPr>
        <w:sz w:val="18"/>
      </w:rPr>
      <w:t xml:space="preserve">                </w:t>
    </w:r>
    <w:r w:rsidRPr="00B20F3B">
      <w:rPr>
        <w:sz w:val="18"/>
      </w:rPr>
      <w:t xml:space="preserve">  Tel.  (8 5) 219 7001                </w:t>
    </w:r>
    <w:r w:rsidR="00156705">
      <w:rPr>
        <w:sz w:val="18"/>
      </w:rPr>
      <w:t xml:space="preserve">    Duomenys kaupiami ir saugomi </w:t>
    </w:r>
  </w:p>
  <w:p w:rsidR="00C92158" w:rsidRPr="00B20F3B" w:rsidRDefault="00CA348E" w:rsidP="00156705">
    <w:pPr>
      <w:pBdr>
        <w:top w:val="single" w:sz="4" w:space="1" w:color="auto"/>
      </w:pBdr>
      <w:jc w:val="both"/>
      <w:rPr>
        <w:sz w:val="18"/>
      </w:rPr>
    </w:pPr>
    <w:r w:rsidRPr="00B20F3B">
      <w:rPr>
        <w:sz w:val="18"/>
      </w:rPr>
      <w:t xml:space="preserve">Kareivių g. 1, LT-08221 Vilnius                                      Faks. (8 5) 213 6213              </w:t>
    </w:r>
    <w:r w:rsidR="00156705">
      <w:rPr>
        <w:sz w:val="18"/>
      </w:rPr>
      <w:t xml:space="preserve">   </w:t>
    </w:r>
    <w:r w:rsidRPr="00B20F3B">
      <w:rPr>
        <w:sz w:val="18"/>
      </w:rPr>
      <w:t xml:space="preserve">Juridinių asmenų registre </w:t>
    </w:r>
  </w:p>
  <w:p w:rsidR="00C92158" w:rsidRDefault="00CA348E" w:rsidP="00156705">
    <w:pPr>
      <w:pBdr>
        <w:top w:val="single" w:sz="4" w:space="1" w:color="auto"/>
      </w:pBdr>
      <w:jc w:val="both"/>
      <w:rPr>
        <w:sz w:val="18"/>
      </w:rPr>
    </w:pPr>
    <w:r w:rsidRPr="00B20F3B">
      <w:rPr>
        <w:sz w:val="18"/>
      </w:rPr>
      <w:t xml:space="preserve">http://www.vpt.lt                              </w:t>
    </w:r>
    <w:r w:rsidR="00156705">
      <w:rPr>
        <w:sz w:val="18"/>
      </w:rPr>
      <w:t xml:space="preserve">                               </w:t>
    </w:r>
    <w:r w:rsidRPr="00B20F3B">
      <w:rPr>
        <w:sz w:val="18"/>
      </w:rPr>
      <w:t xml:space="preserve"> El.p. info@vpt.lt                     </w:t>
    </w:r>
    <w:r w:rsidR="00156705">
      <w:rPr>
        <w:sz w:val="18"/>
      </w:rPr>
      <w:t xml:space="preserve">   </w:t>
    </w:r>
    <w:r>
      <w:rPr>
        <w:sz w:val="18"/>
      </w:rPr>
      <w:t>Kodas 188656261</w:t>
    </w:r>
  </w:p>
  <w:p w:rsidR="00C92158" w:rsidRPr="00B20F3B" w:rsidRDefault="00BE7B42" w:rsidP="009A2591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72" w:rsidRDefault="00C52972">
      <w:r>
        <w:separator/>
      </w:r>
    </w:p>
  </w:footnote>
  <w:footnote w:type="continuationSeparator" w:id="0">
    <w:p w:rsidR="00C52972" w:rsidRDefault="00C52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158" w:rsidRDefault="00F212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A348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92158" w:rsidRDefault="00BE7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158" w:rsidRDefault="00F212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A348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7B42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92158" w:rsidRDefault="00BE7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E6ED9"/>
    <w:multiLevelType w:val="hybridMultilevel"/>
    <w:tmpl w:val="7B0E5178"/>
    <w:lvl w:ilvl="0" w:tplc="E8E8957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B76D7"/>
    <w:multiLevelType w:val="multilevel"/>
    <w:tmpl w:val="4CD03A54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decimal"/>
      <w:isLgl/>
      <w:lvlText w:val="%1.%2.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  <w:rPr>
        <w:rFonts w:hint="default"/>
      </w:rPr>
    </w:lvl>
  </w:abstractNum>
  <w:abstractNum w:abstractNumId="2">
    <w:nsid w:val="468B7CD1"/>
    <w:multiLevelType w:val="hybridMultilevel"/>
    <w:tmpl w:val="2660A004"/>
    <w:lvl w:ilvl="0" w:tplc="9064C6AC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A1"/>
    <w:rsid w:val="000162F8"/>
    <w:rsid w:val="00022E09"/>
    <w:rsid w:val="00050D31"/>
    <w:rsid w:val="00082697"/>
    <w:rsid w:val="000B6D99"/>
    <w:rsid w:val="000F1C50"/>
    <w:rsid w:val="00124A4C"/>
    <w:rsid w:val="00130F60"/>
    <w:rsid w:val="001364F2"/>
    <w:rsid w:val="00143404"/>
    <w:rsid w:val="00156705"/>
    <w:rsid w:val="00164405"/>
    <w:rsid w:val="00171FC8"/>
    <w:rsid w:val="001759E9"/>
    <w:rsid w:val="001C5A9F"/>
    <w:rsid w:val="001F1CC5"/>
    <w:rsid w:val="00203B99"/>
    <w:rsid w:val="00204687"/>
    <w:rsid w:val="00215253"/>
    <w:rsid w:val="002330F0"/>
    <w:rsid w:val="00242488"/>
    <w:rsid w:val="00255FBE"/>
    <w:rsid w:val="00267CFF"/>
    <w:rsid w:val="002B6999"/>
    <w:rsid w:val="002C647D"/>
    <w:rsid w:val="002E6152"/>
    <w:rsid w:val="002E7A3D"/>
    <w:rsid w:val="003031F9"/>
    <w:rsid w:val="00351E8B"/>
    <w:rsid w:val="00357758"/>
    <w:rsid w:val="0036653E"/>
    <w:rsid w:val="003D03D4"/>
    <w:rsid w:val="003E697C"/>
    <w:rsid w:val="003F72E5"/>
    <w:rsid w:val="00427D78"/>
    <w:rsid w:val="00477EB7"/>
    <w:rsid w:val="0049576F"/>
    <w:rsid w:val="004A69A5"/>
    <w:rsid w:val="00523497"/>
    <w:rsid w:val="0057080F"/>
    <w:rsid w:val="00572562"/>
    <w:rsid w:val="00580317"/>
    <w:rsid w:val="005921CD"/>
    <w:rsid w:val="005D21C3"/>
    <w:rsid w:val="005F6564"/>
    <w:rsid w:val="00606B85"/>
    <w:rsid w:val="00622E45"/>
    <w:rsid w:val="006305E5"/>
    <w:rsid w:val="00651304"/>
    <w:rsid w:val="00653DFB"/>
    <w:rsid w:val="006C11D0"/>
    <w:rsid w:val="006D22F3"/>
    <w:rsid w:val="006D7BCC"/>
    <w:rsid w:val="006F5DD9"/>
    <w:rsid w:val="006F6242"/>
    <w:rsid w:val="00713E12"/>
    <w:rsid w:val="00727278"/>
    <w:rsid w:val="0074778F"/>
    <w:rsid w:val="0078730B"/>
    <w:rsid w:val="007A2AB8"/>
    <w:rsid w:val="007A5B45"/>
    <w:rsid w:val="007C0D6F"/>
    <w:rsid w:val="007C1426"/>
    <w:rsid w:val="007D3259"/>
    <w:rsid w:val="007E79CA"/>
    <w:rsid w:val="00804EA1"/>
    <w:rsid w:val="0082414B"/>
    <w:rsid w:val="00855695"/>
    <w:rsid w:val="008606AC"/>
    <w:rsid w:val="00895462"/>
    <w:rsid w:val="008B6E70"/>
    <w:rsid w:val="008B79F1"/>
    <w:rsid w:val="008C4E72"/>
    <w:rsid w:val="008F5784"/>
    <w:rsid w:val="00902937"/>
    <w:rsid w:val="00907943"/>
    <w:rsid w:val="00937C63"/>
    <w:rsid w:val="0096753D"/>
    <w:rsid w:val="009773FA"/>
    <w:rsid w:val="00977D30"/>
    <w:rsid w:val="0099632E"/>
    <w:rsid w:val="009A6402"/>
    <w:rsid w:val="009A7D42"/>
    <w:rsid w:val="009C3858"/>
    <w:rsid w:val="009E6036"/>
    <w:rsid w:val="00A32D02"/>
    <w:rsid w:val="00A82C85"/>
    <w:rsid w:val="00A90764"/>
    <w:rsid w:val="00A9402B"/>
    <w:rsid w:val="00AD6735"/>
    <w:rsid w:val="00AF2602"/>
    <w:rsid w:val="00B12F61"/>
    <w:rsid w:val="00B21E64"/>
    <w:rsid w:val="00B50448"/>
    <w:rsid w:val="00B56616"/>
    <w:rsid w:val="00B6680D"/>
    <w:rsid w:val="00B93D20"/>
    <w:rsid w:val="00BC12DD"/>
    <w:rsid w:val="00BC4E1B"/>
    <w:rsid w:val="00BD5EE5"/>
    <w:rsid w:val="00BE7B42"/>
    <w:rsid w:val="00C20A86"/>
    <w:rsid w:val="00C52972"/>
    <w:rsid w:val="00C6679A"/>
    <w:rsid w:val="00C70E66"/>
    <w:rsid w:val="00CA348E"/>
    <w:rsid w:val="00CC4177"/>
    <w:rsid w:val="00CE34C6"/>
    <w:rsid w:val="00CE78F6"/>
    <w:rsid w:val="00D92098"/>
    <w:rsid w:val="00D95653"/>
    <w:rsid w:val="00DA6F8C"/>
    <w:rsid w:val="00DC43B8"/>
    <w:rsid w:val="00E03303"/>
    <w:rsid w:val="00E15C03"/>
    <w:rsid w:val="00E179E4"/>
    <w:rsid w:val="00E23DE7"/>
    <w:rsid w:val="00E3107C"/>
    <w:rsid w:val="00E351F3"/>
    <w:rsid w:val="00E517B0"/>
    <w:rsid w:val="00E902A4"/>
    <w:rsid w:val="00EB0473"/>
    <w:rsid w:val="00F13C77"/>
    <w:rsid w:val="00F212F1"/>
    <w:rsid w:val="00F27A72"/>
    <w:rsid w:val="00F30A41"/>
    <w:rsid w:val="00F628B8"/>
    <w:rsid w:val="00F65AD3"/>
    <w:rsid w:val="00F67B2D"/>
    <w:rsid w:val="00F81811"/>
    <w:rsid w:val="00F83F74"/>
    <w:rsid w:val="00FA7C82"/>
    <w:rsid w:val="00FC2B76"/>
    <w:rsid w:val="00FD580B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1F27411-4A4C-4598-8643-0AF96132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4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04EA1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04EA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804E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804EA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804EA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04E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04EA1"/>
  </w:style>
  <w:style w:type="character" w:customStyle="1" w:styleId="st1">
    <w:name w:val="st1"/>
    <w:basedOn w:val="Numatytasispastraiposriftas"/>
    <w:rsid w:val="00804EA1"/>
  </w:style>
  <w:style w:type="paragraph" w:styleId="Pagrindinistekstas">
    <w:name w:val="Body Text"/>
    <w:basedOn w:val="prastasis"/>
    <w:link w:val="PagrindinistekstasDiagrama"/>
    <w:rsid w:val="00804EA1"/>
    <w:pPr>
      <w:jc w:val="center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04EA1"/>
    <w:rPr>
      <w:rFonts w:ascii="Times New Roman" w:eastAsia="Times New Roman" w:hAnsi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4A69A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7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79A"/>
    <w:rPr>
      <w:rFonts w:ascii="Segoe UI" w:eastAsia="Times New Roman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6305E5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305E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DB78-4031-4352-8F0D-C26D6AA5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6759</Words>
  <Characters>3854</Characters>
  <Application>Microsoft Office Word</Application>
  <DocSecurity>4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Justina Juškauskaitė</cp:lastModifiedBy>
  <cp:revision>2</cp:revision>
  <cp:lastPrinted>2014-07-18T11:05:00Z</cp:lastPrinted>
  <dcterms:created xsi:type="dcterms:W3CDTF">2014-07-21T12:10:00Z</dcterms:created>
  <dcterms:modified xsi:type="dcterms:W3CDTF">2014-07-21T12:10:00Z</dcterms:modified>
</cp:coreProperties>
</file>