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AB" w:rsidRDefault="00B207E7">
      <w:pPr>
        <w:keepNext/>
        <w:widowControl w:val="0"/>
        <w:autoSpaceDE w:val="0"/>
        <w:autoSpaceDN w:val="0"/>
        <w:adjustRightInd w:val="0"/>
        <w:jc w:val="center"/>
        <w:rPr>
          <w:b/>
          <w:bCs/>
          <w:lang w:val="en"/>
        </w:rPr>
      </w:pPr>
      <w:r>
        <w:rPr>
          <w:rFonts w:ascii="Calibri" w:hAnsi="Calibri" w:cs="Calibri"/>
          <w:sz w:val="22"/>
          <w:szCs w:val="22"/>
          <w:lang w:val="en"/>
        </w:rPr>
        <w:object w:dxaOrig="891" w:dyaOrig="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75pt" o:ole="">
            <v:imagedata r:id="rId7" o:title=""/>
          </v:shape>
          <o:OLEObject Type="Embed" ProgID="Word.Picture.8" ShapeID="_x0000_i1025" DrawAspect="Content" ObjectID="_1447763051" r:id="rId8"/>
        </w:object>
      </w:r>
    </w:p>
    <w:p w:rsidR="00FD63AB" w:rsidRDefault="00FD63AB">
      <w:pPr>
        <w:widowControl w:val="0"/>
        <w:autoSpaceDE w:val="0"/>
        <w:autoSpaceDN w:val="0"/>
        <w:adjustRightInd w:val="0"/>
        <w:rPr>
          <w:lang w:val="en"/>
        </w:rPr>
      </w:pPr>
    </w:p>
    <w:p w:rsidR="00FD63AB" w:rsidRDefault="00FD63AB">
      <w:pPr>
        <w:keepNext/>
        <w:widowControl w:val="0"/>
        <w:autoSpaceDE w:val="0"/>
        <w:autoSpaceDN w:val="0"/>
        <w:adjustRightInd w:val="0"/>
        <w:jc w:val="center"/>
        <w:rPr>
          <w:b/>
          <w:bCs/>
        </w:rPr>
      </w:pPr>
      <w:r>
        <w:rPr>
          <w:b/>
          <w:bCs/>
          <w:lang w:val="en"/>
        </w:rPr>
        <w:t>VIEŠ</w:t>
      </w:r>
      <w:r>
        <w:rPr>
          <w:b/>
          <w:bCs/>
        </w:rPr>
        <w:t>ŲJŲ PIRKIMŲ TARNYBA</w:t>
      </w:r>
    </w:p>
    <w:p w:rsidR="00FD63AB" w:rsidRDefault="00FD63AB">
      <w:pPr>
        <w:widowControl w:val="0"/>
        <w:autoSpaceDE w:val="0"/>
        <w:autoSpaceDN w:val="0"/>
        <w:adjustRightInd w:val="0"/>
        <w:rPr>
          <w:b/>
          <w:bCs/>
          <w:lang w:val="en"/>
        </w:rPr>
      </w:pPr>
    </w:p>
    <w:p w:rsidR="00FD63AB" w:rsidRDefault="00FD63AB">
      <w:pPr>
        <w:widowControl w:val="0"/>
        <w:autoSpaceDE w:val="0"/>
        <w:autoSpaceDN w:val="0"/>
        <w:adjustRightInd w:val="0"/>
        <w:rPr>
          <w:b/>
          <w:bCs/>
          <w:lang w:val="en"/>
        </w:rPr>
      </w:pPr>
    </w:p>
    <w:tbl>
      <w:tblPr>
        <w:tblW w:w="0" w:type="auto"/>
        <w:tblInd w:w="195" w:type="dxa"/>
        <w:tblLayout w:type="fixed"/>
        <w:tblLook w:val="0000" w:firstRow="0" w:lastRow="0" w:firstColumn="0" w:lastColumn="0" w:noHBand="0" w:noVBand="0"/>
      </w:tblPr>
      <w:tblGrid>
        <w:gridCol w:w="5266"/>
        <w:gridCol w:w="425"/>
        <w:gridCol w:w="1418"/>
        <w:gridCol w:w="567"/>
        <w:gridCol w:w="1876"/>
      </w:tblGrid>
      <w:tr w:rsidR="00FD63AB" w:rsidRPr="00E23CFC" w:rsidTr="009B4ACE">
        <w:trPr>
          <w:trHeight w:val="1845"/>
        </w:trPr>
        <w:tc>
          <w:tcPr>
            <w:tcW w:w="5266" w:type="dxa"/>
            <w:tcBorders>
              <w:top w:val="nil"/>
              <w:left w:val="nil"/>
              <w:bottom w:val="nil"/>
              <w:right w:val="nil"/>
            </w:tcBorders>
            <w:shd w:val="clear" w:color="000000" w:fill="FFFFFF"/>
          </w:tcPr>
          <w:p w:rsidR="00FD63AB" w:rsidRPr="00E23CFC" w:rsidRDefault="00A47C94">
            <w:pPr>
              <w:widowControl w:val="0"/>
              <w:autoSpaceDE w:val="0"/>
              <w:autoSpaceDN w:val="0"/>
              <w:adjustRightInd w:val="0"/>
            </w:pPr>
            <w:r>
              <w:t>VĮ Vidaus vandens kelių direkcijai</w:t>
            </w:r>
          </w:p>
          <w:p w:rsidR="00FD63AB" w:rsidRPr="00E23CFC" w:rsidRDefault="00FD63AB">
            <w:pPr>
              <w:widowControl w:val="0"/>
              <w:autoSpaceDE w:val="0"/>
              <w:autoSpaceDN w:val="0"/>
              <w:adjustRightInd w:val="0"/>
            </w:pPr>
          </w:p>
          <w:p w:rsidR="00FD63AB" w:rsidRPr="00E23CFC" w:rsidRDefault="00A47C94">
            <w:pPr>
              <w:widowControl w:val="0"/>
              <w:autoSpaceDE w:val="0"/>
              <w:autoSpaceDN w:val="0"/>
              <w:adjustRightInd w:val="0"/>
            </w:pPr>
            <w:r>
              <w:t>Raudondvario</w:t>
            </w:r>
            <w:r w:rsidR="00FD63AB" w:rsidRPr="00E23CFC">
              <w:t xml:space="preserve"> </w:t>
            </w:r>
            <w:proofErr w:type="spellStart"/>
            <w:r>
              <w:t>pl</w:t>
            </w:r>
            <w:proofErr w:type="spellEnd"/>
            <w:r w:rsidR="00FD63AB" w:rsidRPr="00E23CFC">
              <w:t>. 11</w:t>
            </w:r>
            <w:r>
              <w:t>3</w:t>
            </w:r>
          </w:p>
          <w:p w:rsidR="00FD63AB" w:rsidRPr="00A13BBA" w:rsidRDefault="00FD63AB">
            <w:pPr>
              <w:widowControl w:val="0"/>
              <w:autoSpaceDE w:val="0"/>
              <w:autoSpaceDN w:val="0"/>
              <w:adjustRightInd w:val="0"/>
            </w:pPr>
            <w:r w:rsidRPr="00E23CFC">
              <w:t>LT-</w:t>
            </w:r>
            <w:r w:rsidR="00A47C94">
              <w:t>47186</w:t>
            </w:r>
            <w:r w:rsidRPr="00E23CFC">
              <w:t xml:space="preserve"> K</w:t>
            </w:r>
            <w:r w:rsidR="00A47C94">
              <w:t>aunas</w:t>
            </w:r>
          </w:p>
        </w:tc>
        <w:tc>
          <w:tcPr>
            <w:tcW w:w="425" w:type="dxa"/>
            <w:tcBorders>
              <w:top w:val="nil"/>
              <w:left w:val="nil"/>
              <w:bottom w:val="nil"/>
              <w:right w:val="nil"/>
            </w:tcBorders>
            <w:shd w:val="clear" w:color="000000" w:fill="FFFFFF"/>
          </w:tcPr>
          <w:p w:rsidR="00FD63AB" w:rsidRPr="00E23CFC" w:rsidRDefault="00FD63AB">
            <w:pPr>
              <w:widowControl w:val="0"/>
              <w:tabs>
                <w:tab w:val="left" w:pos="176"/>
                <w:tab w:val="left" w:pos="900"/>
              </w:tabs>
              <w:autoSpaceDE w:val="0"/>
              <w:autoSpaceDN w:val="0"/>
              <w:adjustRightInd w:val="0"/>
              <w:jc w:val="both"/>
            </w:pPr>
          </w:p>
          <w:p w:rsidR="00FD63AB" w:rsidRPr="00E23CFC" w:rsidRDefault="00FD63AB">
            <w:pPr>
              <w:widowControl w:val="0"/>
              <w:tabs>
                <w:tab w:val="left" w:pos="176"/>
                <w:tab w:val="left" w:pos="900"/>
              </w:tabs>
              <w:autoSpaceDE w:val="0"/>
              <w:autoSpaceDN w:val="0"/>
              <w:adjustRightInd w:val="0"/>
              <w:jc w:val="both"/>
            </w:pPr>
            <w:r w:rsidRPr="00E23CFC">
              <w:t>Į</w:t>
            </w:r>
          </w:p>
          <w:p w:rsidR="00FD63AB" w:rsidRPr="00E23CFC" w:rsidRDefault="00FD63AB">
            <w:pPr>
              <w:widowControl w:val="0"/>
              <w:tabs>
                <w:tab w:val="left" w:pos="900"/>
              </w:tabs>
              <w:autoSpaceDE w:val="0"/>
              <w:autoSpaceDN w:val="0"/>
              <w:adjustRightInd w:val="0"/>
              <w:jc w:val="both"/>
              <w:rPr>
                <w:rFonts w:ascii="Calibri" w:hAnsi="Calibri" w:cs="Calibri"/>
                <w:sz w:val="22"/>
                <w:szCs w:val="22"/>
              </w:rPr>
            </w:pPr>
          </w:p>
        </w:tc>
        <w:tc>
          <w:tcPr>
            <w:tcW w:w="1418" w:type="dxa"/>
            <w:tcBorders>
              <w:top w:val="nil"/>
              <w:left w:val="nil"/>
              <w:bottom w:val="nil"/>
              <w:right w:val="nil"/>
            </w:tcBorders>
            <w:shd w:val="clear" w:color="000000" w:fill="FFFFFF"/>
          </w:tcPr>
          <w:p w:rsidR="00FD63AB" w:rsidRPr="00E23CFC" w:rsidRDefault="00FD63AB">
            <w:pPr>
              <w:widowControl w:val="0"/>
              <w:tabs>
                <w:tab w:val="left" w:pos="900"/>
              </w:tabs>
              <w:autoSpaceDE w:val="0"/>
              <w:autoSpaceDN w:val="0"/>
              <w:adjustRightInd w:val="0"/>
              <w:jc w:val="both"/>
            </w:pPr>
            <w:r w:rsidRPr="00E23CFC">
              <w:t>2013-</w:t>
            </w:r>
            <w:r w:rsidR="00A47C94">
              <w:t>1</w:t>
            </w:r>
            <w:r w:rsidR="0084557D">
              <w:t>2</w:t>
            </w:r>
            <w:r w:rsidRPr="00E23CFC">
              <w:t>-</w:t>
            </w:r>
          </w:p>
          <w:p w:rsidR="002300AF" w:rsidRDefault="002300AF">
            <w:pPr>
              <w:widowControl w:val="0"/>
              <w:tabs>
                <w:tab w:val="left" w:pos="900"/>
              </w:tabs>
              <w:autoSpaceDE w:val="0"/>
              <w:autoSpaceDN w:val="0"/>
              <w:adjustRightInd w:val="0"/>
              <w:jc w:val="both"/>
            </w:pPr>
            <w:r>
              <w:t>2013-11-07</w:t>
            </w:r>
          </w:p>
          <w:p w:rsidR="00FD63AB" w:rsidRPr="00E23CFC" w:rsidRDefault="00FD63AB">
            <w:pPr>
              <w:widowControl w:val="0"/>
              <w:tabs>
                <w:tab w:val="left" w:pos="900"/>
              </w:tabs>
              <w:autoSpaceDE w:val="0"/>
              <w:autoSpaceDN w:val="0"/>
              <w:adjustRightInd w:val="0"/>
              <w:jc w:val="both"/>
            </w:pPr>
            <w:r w:rsidRPr="00E23CFC">
              <w:t>2013-</w:t>
            </w:r>
            <w:r w:rsidR="00A47C94">
              <w:t>10-24</w:t>
            </w:r>
          </w:p>
          <w:p w:rsidR="00FD63AB" w:rsidRPr="00E23CFC" w:rsidRDefault="00FD63AB">
            <w:pPr>
              <w:widowControl w:val="0"/>
              <w:tabs>
                <w:tab w:val="left" w:pos="900"/>
              </w:tabs>
              <w:autoSpaceDE w:val="0"/>
              <w:autoSpaceDN w:val="0"/>
              <w:adjustRightInd w:val="0"/>
              <w:jc w:val="both"/>
              <w:rPr>
                <w:rFonts w:ascii="Calibri" w:hAnsi="Calibri" w:cs="Calibri"/>
                <w:sz w:val="22"/>
                <w:szCs w:val="22"/>
              </w:rPr>
            </w:pPr>
          </w:p>
        </w:tc>
        <w:tc>
          <w:tcPr>
            <w:tcW w:w="567" w:type="dxa"/>
            <w:tcBorders>
              <w:top w:val="nil"/>
              <w:left w:val="nil"/>
              <w:bottom w:val="nil"/>
              <w:right w:val="nil"/>
            </w:tcBorders>
            <w:shd w:val="clear" w:color="000000" w:fill="FFFFFF"/>
          </w:tcPr>
          <w:p w:rsidR="00FD63AB" w:rsidRPr="00E23CFC" w:rsidRDefault="00FD63AB">
            <w:pPr>
              <w:widowControl w:val="0"/>
              <w:tabs>
                <w:tab w:val="left" w:pos="900"/>
              </w:tabs>
              <w:autoSpaceDE w:val="0"/>
              <w:autoSpaceDN w:val="0"/>
              <w:adjustRightInd w:val="0"/>
              <w:jc w:val="both"/>
            </w:pPr>
            <w:r w:rsidRPr="00E23CFC">
              <w:t>Nr.</w:t>
            </w:r>
          </w:p>
          <w:p w:rsidR="00FD63AB" w:rsidRPr="00E23CFC" w:rsidRDefault="00FD63AB">
            <w:pPr>
              <w:widowControl w:val="0"/>
              <w:tabs>
                <w:tab w:val="left" w:pos="900"/>
              </w:tabs>
              <w:autoSpaceDE w:val="0"/>
              <w:autoSpaceDN w:val="0"/>
              <w:adjustRightInd w:val="0"/>
              <w:jc w:val="both"/>
            </w:pPr>
            <w:r w:rsidRPr="00E23CFC">
              <w:t>Nr.</w:t>
            </w:r>
          </w:p>
          <w:p w:rsidR="00FD63AB" w:rsidRPr="00E23CFC" w:rsidRDefault="00FD63AB">
            <w:pPr>
              <w:widowControl w:val="0"/>
              <w:tabs>
                <w:tab w:val="left" w:pos="900"/>
              </w:tabs>
              <w:autoSpaceDE w:val="0"/>
              <w:autoSpaceDN w:val="0"/>
              <w:adjustRightInd w:val="0"/>
              <w:jc w:val="both"/>
              <w:rPr>
                <w:rFonts w:ascii="Calibri" w:hAnsi="Calibri" w:cs="Calibri"/>
                <w:sz w:val="22"/>
                <w:szCs w:val="22"/>
              </w:rPr>
            </w:pPr>
          </w:p>
        </w:tc>
        <w:tc>
          <w:tcPr>
            <w:tcW w:w="1876" w:type="dxa"/>
            <w:tcBorders>
              <w:top w:val="nil"/>
              <w:left w:val="nil"/>
              <w:bottom w:val="nil"/>
              <w:right w:val="nil"/>
            </w:tcBorders>
            <w:shd w:val="clear" w:color="000000" w:fill="FFFFFF"/>
          </w:tcPr>
          <w:p w:rsidR="00FD63AB" w:rsidRPr="00E23CFC" w:rsidRDefault="00FD63AB">
            <w:pPr>
              <w:widowControl w:val="0"/>
              <w:tabs>
                <w:tab w:val="left" w:pos="900"/>
              </w:tabs>
              <w:autoSpaceDE w:val="0"/>
              <w:autoSpaceDN w:val="0"/>
              <w:adjustRightInd w:val="0"/>
              <w:jc w:val="both"/>
            </w:pPr>
            <w:r w:rsidRPr="00E23CFC">
              <w:t>4S-</w:t>
            </w:r>
          </w:p>
          <w:p w:rsidR="002300AF" w:rsidRDefault="002300AF">
            <w:pPr>
              <w:widowControl w:val="0"/>
              <w:tabs>
                <w:tab w:val="left" w:pos="900"/>
              </w:tabs>
              <w:autoSpaceDE w:val="0"/>
              <w:autoSpaceDN w:val="0"/>
              <w:adjustRightInd w:val="0"/>
              <w:jc w:val="both"/>
            </w:pPr>
            <w:r>
              <w:t>2S-604</w:t>
            </w:r>
          </w:p>
          <w:p w:rsidR="00FD63AB" w:rsidRPr="00E23CFC" w:rsidRDefault="00A47C94">
            <w:pPr>
              <w:widowControl w:val="0"/>
              <w:tabs>
                <w:tab w:val="left" w:pos="900"/>
              </w:tabs>
              <w:autoSpaceDE w:val="0"/>
              <w:autoSpaceDN w:val="0"/>
              <w:adjustRightInd w:val="0"/>
              <w:jc w:val="both"/>
            </w:pPr>
            <w:r>
              <w:t>2S-585</w:t>
            </w:r>
          </w:p>
          <w:p w:rsidR="00FD63AB" w:rsidRPr="00E23CFC" w:rsidRDefault="00FD63AB">
            <w:pPr>
              <w:widowControl w:val="0"/>
              <w:tabs>
                <w:tab w:val="left" w:pos="900"/>
              </w:tabs>
              <w:autoSpaceDE w:val="0"/>
              <w:autoSpaceDN w:val="0"/>
              <w:adjustRightInd w:val="0"/>
              <w:jc w:val="both"/>
              <w:rPr>
                <w:rFonts w:ascii="Calibri" w:hAnsi="Calibri" w:cs="Calibri"/>
                <w:sz w:val="22"/>
                <w:szCs w:val="22"/>
              </w:rPr>
            </w:pPr>
          </w:p>
        </w:tc>
      </w:tr>
    </w:tbl>
    <w:p w:rsidR="00FD63AB" w:rsidRPr="00E23CFC" w:rsidRDefault="00FD63AB">
      <w:pPr>
        <w:widowControl w:val="0"/>
        <w:autoSpaceDE w:val="0"/>
        <w:autoSpaceDN w:val="0"/>
        <w:adjustRightInd w:val="0"/>
        <w:jc w:val="both"/>
        <w:rPr>
          <w:b/>
          <w:bCs/>
        </w:rPr>
      </w:pPr>
    </w:p>
    <w:p w:rsidR="00FD63AB" w:rsidRPr="00E23CFC" w:rsidRDefault="00FD63AB">
      <w:pPr>
        <w:widowControl w:val="0"/>
        <w:autoSpaceDE w:val="0"/>
        <w:autoSpaceDN w:val="0"/>
        <w:adjustRightInd w:val="0"/>
        <w:jc w:val="both"/>
        <w:rPr>
          <w:b/>
          <w:bCs/>
        </w:rPr>
      </w:pPr>
    </w:p>
    <w:p w:rsidR="00FD63AB" w:rsidRPr="00E23CFC" w:rsidRDefault="00FD63AB">
      <w:pPr>
        <w:widowControl w:val="0"/>
        <w:autoSpaceDE w:val="0"/>
        <w:autoSpaceDN w:val="0"/>
        <w:adjustRightInd w:val="0"/>
        <w:jc w:val="both"/>
        <w:rPr>
          <w:b/>
          <w:bCs/>
        </w:rPr>
      </w:pPr>
      <w:r w:rsidRPr="00E23CFC">
        <w:rPr>
          <w:b/>
          <w:bCs/>
        </w:rPr>
        <w:t xml:space="preserve">DĖL PIRKIMO NR. </w:t>
      </w:r>
      <w:r w:rsidR="007A3570">
        <w:rPr>
          <w:b/>
          <w:bCs/>
        </w:rPr>
        <w:t>143345</w:t>
      </w:r>
      <w:r w:rsidRPr="00E23CFC">
        <w:rPr>
          <w:b/>
          <w:bCs/>
        </w:rPr>
        <w:t xml:space="preserve"> VERTINIMO</w:t>
      </w:r>
    </w:p>
    <w:p w:rsidR="00FD63AB" w:rsidRPr="00E23CFC" w:rsidRDefault="00FD63AB">
      <w:pPr>
        <w:widowControl w:val="0"/>
        <w:autoSpaceDE w:val="0"/>
        <w:autoSpaceDN w:val="0"/>
        <w:adjustRightInd w:val="0"/>
        <w:jc w:val="both"/>
      </w:pPr>
    </w:p>
    <w:p w:rsidR="00FD63AB" w:rsidRPr="00E23CFC" w:rsidRDefault="00FD63AB">
      <w:pPr>
        <w:widowControl w:val="0"/>
        <w:tabs>
          <w:tab w:val="left" w:pos="900"/>
        </w:tabs>
        <w:autoSpaceDE w:val="0"/>
        <w:autoSpaceDN w:val="0"/>
        <w:adjustRightInd w:val="0"/>
        <w:ind w:firstLine="540"/>
        <w:jc w:val="both"/>
      </w:pPr>
    </w:p>
    <w:p w:rsidR="00FD63AB" w:rsidRPr="00E23CFC" w:rsidRDefault="00FD63AB">
      <w:pPr>
        <w:widowControl w:val="0"/>
        <w:autoSpaceDE w:val="0"/>
        <w:autoSpaceDN w:val="0"/>
        <w:adjustRightInd w:val="0"/>
        <w:ind w:firstLine="709"/>
        <w:jc w:val="both"/>
      </w:pPr>
      <w:r w:rsidRPr="00E23CFC">
        <w:t>Viešųjų pirkimų tarnyba (toliau – Tarnyba), vadovaudamasi Lietuvos Respublikos viešųjų pirkimų įstatymo (</w:t>
      </w:r>
      <w:proofErr w:type="spellStart"/>
      <w:r w:rsidRPr="00E23CFC">
        <w:t>Žin</w:t>
      </w:r>
      <w:proofErr w:type="spellEnd"/>
      <w:r w:rsidRPr="00E23CFC">
        <w:t>., 1996, Nr. 84-2000; 2006, Nr. 4-102; 2008, Nr. 81-3179; 2010, Nr. 25-1174; 2011, Nr. 2-36; Nr. 123-5813; 2012, Nr. 82-4264) (toliau – Įstatymas) 8</w:t>
      </w:r>
      <w:r w:rsidRPr="00E23CFC">
        <w:rPr>
          <w:vertAlign w:val="superscript"/>
        </w:rPr>
        <w:t xml:space="preserve">2 </w:t>
      </w:r>
      <w:r w:rsidRPr="00E23CFC">
        <w:t xml:space="preserve">straipsnio 1 dalies 2 punktu, atliko </w:t>
      </w:r>
      <w:r w:rsidR="00B73F78">
        <w:t>VĮ Vidaus vandens kelių direkcijos</w:t>
      </w:r>
      <w:r w:rsidRPr="00E23CFC">
        <w:t xml:space="preserve"> (toliau – perkančioji organizacija) </w:t>
      </w:r>
      <w:r w:rsidR="00B73F78">
        <w:t>atviro</w:t>
      </w:r>
      <w:r w:rsidRPr="00E23CFC">
        <w:t xml:space="preserve"> konkurso būdu vykd</w:t>
      </w:r>
      <w:r w:rsidR="00B73F78">
        <w:t>omo</w:t>
      </w:r>
      <w:r w:rsidRPr="00E23CFC">
        <w:t xml:space="preserve"> viešojo pirkimo „</w:t>
      </w:r>
      <w:r w:rsidR="00B73F78">
        <w:t>Plaukiojančio krano modernizavimo paslaugos</w:t>
      </w:r>
      <w:r w:rsidRPr="00E23CFC">
        <w:t>“ (Centrinėje viešųjų pirkimų informacinėje sistemoje skelbtas 2013-</w:t>
      </w:r>
      <w:r w:rsidR="00B73F78">
        <w:t>10-03</w:t>
      </w:r>
      <w:r w:rsidRPr="00E23CFC">
        <w:t>, pirkimo Nr. 1</w:t>
      </w:r>
      <w:r w:rsidR="00B73F78">
        <w:t>43345</w:t>
      </w:r>
      <w:r w:rsidRPr="00E23CFC">
        <w:t xml:space="preserve">) (toliau – Pirkimas) vertinimą. </w:t>
      </w:r>
    </w:p>
    <w:p w:rsidR="00FD63AB" w:rsidRPr="00BC7BAA" w:rsidRDefault="00FD63AB">
      <w:pPr>
        <w:widowControl w:val="0"/>
        <w:autoSpaceDE w:val="0"/>
        <w:autoSpaceDN w:val="0"/>
        <w:adjustRightInd w:val="0"/>
        <w:ind w:firstLine="737"/>
        <w:jc w:val="both"/>
      </w:pPr>
      <w:r w:rsidRPr="00BC7BAA">
        <w:t xml:space="preserve">Įvertinusi perkančiosios organizacijos pateiktus Pirkimo dokumentus, </w:t>
      </w:r>
      <w:r w:rsidR="00BB4750" w:rsidRPr="00BC7BAA">
        <w:t xml:space="preserve">Tarnyba </w:t>
      </w:r>
      <w:r w:rsidRPr="00BC7BAA">
        <w:t>nustat</w:t>
      </w:r>
      <w:r w:rsidR="00BB4750" w:rsidRPr="00BC7BAA">
        <w:t>ė</w:t>
      </w:r>
      <w:r w:rsidRPr="00BC7BAA">
        <w:t>, kad:</w:t>
      </w:r>
    </w:p>
    <w:p w:rsidR="008E7F55" w:rsidRPr="00F958AC" w:rsidRDefault="00FD63AB" w:rsidP="006408AC">
      <w:pPr>
        <w:widowControl w:val="0"/>
        <w:autoSpaceDE w:val="0"/>
        <w:autoSpaceDN w:val="0"/>
        <w:adjustRightInd w:val="0"/>
        <w:ind w:firstLine="737"/>
        <w:jc w:val="both"/>
        <w:rPr>
          <w:i/>
          <w:color w:val="C00000"/>
        </w:rPr>
      </w:pPr>
      <w:r w:rsidRPr="00BC7BAA">
        <w:t xml:space="preserve">1. </w:t>
      </w:r>
      <w:r w:rsidR="00896CCC" w:rsidRPr="00BC7BAA">
        <w:t>Skelbimo apie Pirkimą III.2.3 punkte „Techniniai pajėgumai“</w:t>
      </w:r>
      <w:r w:rsidR="00FE1913" w:rsidRPr="00BC7BAA">
        <w:t xml:space="preserve"> ir Pirkimo sąlygų 12.</w:t>
      </w:r>
      <w:r w:rsidR="00817882">
        <w:t>8</w:t>
      </w:r>
      <w:r w:rsidR="00FE1913" w:rsidRPr="00BC7BAA">
        <w:t xml:space="preserve"> punkte</w:t>
      </w:r>
      <w:r w:rsidR="00896CCC" w:rsidRPr="00BC7BAA">
        <w:t xml:space="preserve"> nustatytas kvalifikacijos reikalavimas, kad „Tiekėjo per paskutinius 3 metus arba per laiką nuo tiekėjo registravimo dienos (jeigu tiekėjas vykdė veiklą mažiau nei 3 metus) </w:t>
      </w:r>
      <w:r w:rsidR="00896CCC" w:rsidRPr="00817882">
        <w:rPr>
          <w:b/>
        </w:rPr>
        <w:t>įvykdyta</w:t>
      </w:r>
      <w:r w:rsidR="00896CCC" w:rsidRPr="00BC7BAA">
        <w:t xml:space="preserve"> bent viena vidaus</w:t>
      </w:r>
      <w:r w:rsidR="00896CCC">
        <w:t xml:space="preserve"> vandenų laivo (-ų) </w:t>
      </w:r>
      <w:r w:rsidR="00896CCC" w:rsidRPr="00BC7BAA">
        <w:t>modernizavimo ar statybos ir projekto parengimo paslaugų</w:t>
      </w:r>
      <w:r w:rsidR="00896CCC">
        <w:t xml:space="preserve"> sutartis, kurios bendra vertė sudaro ne mažiau kaip 4 454 800,00 Lt be PVM. </w:t>
      </w:r>
      <w:r w:rsidR="00896CCC" w:rsidRPr="00BC7BAA">
        <w:rPr>
          <w:b/>
        </w:rPr>
        <w:t>Pateikiama:</w:t>
      </w:r>
      <w:r w:rsidR="00896CCC">
        <w:t xml:space="preserve"> per paskutinius 3 metus arba per laiką nuo tiekėjo įregistravimo dienos (jei tiekėjas veiklą vykdė mažiau nei 3 metus) </w:t>
      </w:r>
      <w:r w:rsidR="00896CCC" w:rsidRPr="00A13BBA">
        <w:rPr>
          <w:b/>
          <w:u w:val="single"/>
        </w:rPr>
        <w:t>įvykdytų (ir) ar vykdomų</w:t>
      </w:r>
      <w:r w:rsidR="00896CCC">
        <w:t xml:space="preserve"> vidaus vandenų laivų modernizavimo ir/ar statybos ir projekto parengimo paslaugų sutarčių sąrašas, kuriame nurodomi užsakovai, sutarčių objektai, sutarčių sudarymo ir įvykdymo datos ir sutarčių vertės (be PVM) kartu su paslaugų perdavimo – priėmimo aktų kopijomis arba užsakovų patvirtinimais, kad paslaugos atliktos (nurodant atliktų paslaugų kainą be PVM) tinkamai (pateikiamas laisvos formos tiekėjo ar jo įgalioto asmens pasirašytas dokumentas, kuriame nurodoma reikalaujama informacija)“</w:t>
      </w:r>
      <w:r w:rsidR="00FE1913">
        <w:t xml:space="preserve">, </w:t>
      </w:r>
      <w:r w:rsidR="00FE1913" w:rsidRPr="00817882">
        <w:t xml:space="preserve">neužtikrina </w:t>
      </w:r>
      <w:r w:rsidR="00BC7BAA" w:rsidRPr="00817882">
        <w:t xml:space="preserve">Įstatymo 76 straipsnio 1 dalies, kad „&lt;...&gt; Kvalifikacijos reikalavimai nustatomi vadovaujantis šio įstatymo 32, 33, 34, 35, 36, 37 straipsnių nuostatomis &lt;...&gt;“ ir </w:t>
      </w:r>
      <w:r w:rsidR="00FE1913" w:rsidRPr="00817882">
        <w:t xml:space="preserve">Įstatymo </w:t>
      </w:r>
      <w:r w:rsidR="002E40B5" w:rsidRPr="00817882">
        <w:t>32</w:t>
      </w:r>
      <w:r w:rsidR="00FE1913" w:rsidRPr="00817882">
        <w:t xml:space="preserve"> straipsnio </w:t>
      </w:r>
      <w:r w:rsidR="002E40B5" w:rsidRPr="00817882">
        <w:t>2</w:t>
      </w:r>
      <w:r w:rsidR="00FE1913" w:rsidRPr="00817882">
        <w:t xml:space="preserve"> dalies</w:t>
      </w:r>
      <w:r w:rsidR="002E40B5" w:rsidRPr="00817882">
        <w:t>, kad „Perkančiosios organizacijos nustatyti minimalūs kandidatų ar dalyvių kvalifikacijos reikalavimai negali dirbtinai riboti konkurencijos. Jie turi būti pagrįsti ir proporcingi pi</w:t>
      </w:r>
      <w:r w:rsidR="002E40B5">
        <w:t>rkimo objektui, tikslūs ir aiškūs &lt;...&gt;“</w:t>
      </w:r>
      <w:r w:rsidR="007C6F86">
        <w:t xml:space="preserve"> nuostatos laikymosi</w:t>
      </w:r>
      <w:r w:rsidR="00817882">
        <w:t xml:space="preserve">. </w:t>
      </w:r>
      <w:r w:rsidR="006408AC">
        <w:t>Tarnyba pažymi, kad j</w:t>
      </w:r>
      <w:r w:rsidR="006408AC" w:rsidRPr="006408AC">
        <w:t>ei perkančioji organizacija</w:t>
      </w:r>
      <w:r w:rsidR="006408AC">
        <w:t xml:space="preserve"> </w:t>
      </w:r>
      <w:r w:rsidR="006408AC" w:rsidRPr="006408AC">
        <w:t xml:space="preserve">mano, kad tiekėjas kvalifikacijos reikalavimo atitikties įrodymui gali pateikti ir įvykdytą, ir vykdomą sutartį, ji turėtų pirkimo dokumentuose kelti kvalifikacijos reikalavimą, kad tiekėjas per paskutinius 3 metus turi būtų įvykdęs ir (ar) vykdyti panašią pirkimo sutartį, kurios vertė ne mažesnė nei </w:t>
      </w:r>
      <w:r w:rsidR="006408AC">
        <w:t>4.454.800,00 Lt be PVM</w:t>
      </w:r>
      <w:r w:rsidR="006408AC" w:rsidRPr="006408AC">
        <w:t xml:space="preserve"> ir nurodyti, kad jei tiekėjas teikia informaciją apie vykdomą sutartį, laikoma, kad jo patirtis </w:t>
      </w:r>
      <w:r w:rsidR="006408AC" w:rsidRPr="006408AC">
        <w:lastRenderedPageBreak/>
        <w:t xml:space="preserve">atitinka keliamą reikalavimą, jei vykdomos sutarties įvykdyta dalis yra ne mažesnė nei </w:t>
      </w:r>
      <w:r w:rsidR="006408AC">
        <w:t xml:space="preserve">4.454.800,00 </w:t>
      </w:r>
      <w:r w:rsidR="006408AC" w:rsidRPr="006408AC">
        <w:t xml:space="preserve"> Lt </w:t>
      </w:r>
      <w:r w:rsidR="006408AC">
        <w:t>be PVM</w:t>
      </w:r>
      <w:r w:rsidR="006408AC" w:rsidRPr="006408AC">
        <w:t xml:space="preserve">. </w:t>
      </w:r>
    </w:p>
    <w:p w:rsidR="00F958AC" w:rsidRPr="00F958AC" w:rsidRDefault="00BC7BAA" w:rsidP="00F958AC">
      <w:pPr>
        <w:widowControl w:val="0"/>
        <w:autoSpaceDE w:val="0"/>
        <w:autoSpaceDN w:val="0"/>
        <w:adjustRightInd w:val="0"/>
        <w:ind w:firstLine="737"/>
        <w:jc w:val="both"/>
      </w:pPr>
      <w:r>
        <w:t>2</w:t>
      </w:r>
      <w:r w:rsidR="008E7F55">
        <w:t xml:space="preserve">. </w:t>
      </w:r>
      <w:r w:rsidR="006408AC">
        <w:t>P</w:t>
      </w:r>
      <w:r w:rsidR="00D107F9">
        <w:t xml:space="preserve">irkimo sąlygų 15 punkto nuostata, kad </w:t>
      </w:r>
      <w:r w:rsidR="00D107F9" w:rsidRPr="00D107F9">
        <w:t>jei bendrą pasiūlymą pateikia ūkio subjektų grupė</w:t>
      </w:r>
      <w:r w:rsidR="00D107F9">
        <w:t xml:space="preserve"> 12.8 punkte nustatytą kvalifikacijos reikalavimą – įvykdyta bent viena vidaus vandenų laivo (-ų) modernizavimo ar statybos ir projekto parengimo paslaugų sutartis, turi atitikti atsakingas partneris, </w:t>
      </w:r>
      <w:r w:rsidR="00381447">
        <w:t xml:space="preserve"> </w:t>
      </w:r>
      <w:r w:rsidR="00F958AC" w:rsidRPr="00F958AC">
        <w:t>neproporcingas Lietuvos Respublikos civilinio kodekso (</w:t>
      </w:r>
      <w:proofErr w:type="spellStart"/>
      <w:r w:rsidR="00F958AC" w:rsidRPr="00F958AC">
        <w:t>Žin</w:t>
      </w:r>
      <w:proofErr w:type="spellEnd"/>
      <w:r w:rsidR="00F958AC" w:rsidRPr="00F958AC">
        <w:t xml:space="preserve">., 2000, Nr. 74-2262) 6.969 straipsnyje nustatytai jungtinės veiklos sutarties sampratai, kad jungtinės veiklos sutartimi du ar daugiau asmenų, kooperuodami savo turtą, darbą ar žinias, įsipareigoja veikti bendrai tam tikram, neprieštaraujančiam įstatymui tikslui arba tam tikrai veiklai pasiekti. </w:t>
      </w:r>
    </w:p>
    <w:p w:rsidR="00F958AC" w:rsidRDefault="002A1344" w:rsidP="00F958AC">
      <w:pPr>
        <w:widowControl w:val="0"/>
        <w:autoSpaceDE w:val="0"/>
        <w:autoSpaceDN w:val="0"/>
        <w:adjustRightInd w:val="0"/>
        <w:ind w:firstLine="737"/>
        <w:jc w:val="both"/>
      </w:pPr>
      <w:r>
        <w:t xml:space="preserve">Tarnyba atkreipia dėmesį, kad Pirkimo sąlygų 12 punkte nustatyta, kad tiekėjas gali samdyti </w:t>
      </w:r>
      <w:proofErr w:type="spellStart"/>
      <w:r>
        <w:t>subtiekėjus</w:t>
      </w:r>
      <w:proofErr w:type="spellEnd"/>
      <w:r>
        <w:t xml:space="preserve"> ir </w:t>
      </w:r>
      <w:proofErr w:type="spellStart"/>
      <w:r>
        <w:t>subtiekimo</w:t>
      </w:r>
      <w:proofErr w:type="spellEnd"/>
      <w:r>
        <w:t xml:space="preserve"> mastai nėra ribojami, todėl </w:t>
      </w:r>
      <w:r w:rsidR="00F958AC" w:rsidRPr="00F958AC">
        <w:t xml:space="preserve">Tarnybos nuomone, </w:t>
      </w:r>
      <w:r w:rsidR="00F958AC">
        <w:t xml:space="preserve">atsakingajam partneriui </w:t>
      </w:r>
      <w:r w:rsidR="00F958AC" w:rsidRPr="00F958AC">
        <w:t>keliam</w:t>
      </w:r>
      <w:r w:rsidR="00F958AC">
        <w:t>as</w:t>
      </w:r>
      <w:r w:rsidR="00F958AC" w:rsidRPr="00F958AC">
        <w:t xml:space="preserve"> aukščiau paminėt</w:t>
      </w:r>
      <w:r w:rsidR="00F958AC">
        <w:t>as</w:t>
      </w:r>
      <w:r w:rsidR="00F958AC" w:rsidRPr="00F958AC">
        <w:t xml:space="preserve"> kvalifikacijos reikalavima</w:t>
      </w:r>
      <w:r w:rsidR="00F958AC">
        <w:t>s</w:t>
      </w:r>
      <w:r w:rsidR="00F958AC" w:rsidRPr="00F958AC">
        <w:t xml:space="preserve"> </w:t>
      </w:r>
      <w:r w:rsidR="00F958AC">
        <w:t>gali dirbtinai apriboti</w:t>
      </w:r>
      <w:r w:rsidR="00F958AC" w:rsidRPr="00F958AC">
        <w:t xml:space="preserve"> jungtinės veiklos sutarties šalių galimybes laisvai veikti, t. y. patiems priimti sprendimus, susijusius su jų bendra veikla. </w:t>
      </w:r>
      <w:r w:rsidR="00B05254" w:rsidRPr="00F958AC">
        <w:t>T</w:t>
      </w:r>
      <w:r w:rsidR="00B05254">
        <w:t>oks reikalavimas</w:t>
      </w:r>
      <w:r w:rsidR="00B05254" w:rsidRPr="00F958AC">
        <w:t xml:space="preserve"> </w:t>
      </w:r>
      <w:r w:rsidR="00F958AC">
        <w:t>neužtikrina</w:t>
      </w:r>
      <w:r w:rsidR="00F958AC" w:rsidRPr="00F958AC">
        <w:t xml:space="preserve"> Įstatymo 32 straipsnio </w:t>
      </w:r>
      <w:r>
        <w:t xml:space="preserve">2 dalies, kad nustatyti kvalifikacijos reikalavimai negali dirbtinai riboti konkurencijos, jie turi būti pagrįsti ir proporcingi pirkimo objektui, tikslūs ir aiškūs ir </w:t>
      </w:r>
      <w:r w:rsidR="00F958AC" w:rsidRPr="00F958AC">
        <w:t>3 dalies, kad tiekėjas gali remtis kitų ūkio subjektų pajėgumais</w:t>
      </w:r>
      <w:r w:rsidR="00A65759">
        <w:t>,</w:t>
      </w:r>
      <w:r w:rsidR="00A65759" w:rsidRPr="00F958AC">
        <w:t xml:space="preserve"> </w:t>
      </w:r>
      <w:r w:rsidR="00B05254">
        <w:t>nuostatų laikymosi</w:t>
      </w:r>
      <w:r w:rsidR="0091769F">
        <w:t>.</w:t>
      </w:r>
    </w:p>
    <w:p w:rsidR="006408AC" w:rsidRPr="00F958AC" w:rsidRDefault="006408AC" w:rsidP="00F958AC">
      <w:pPr>
        <w:widowControl w:val="0"/>
        <w:autoSpaceDE w:val="0"/>
        <w:autoSpaceDN w:val="0"/>
        <w:adjustRightInd w:val="0"/>
        <w:ind w:firstLine="737"/>
        <w:jc w:val="both"/>
      </w:pPr>
      <w:r>
        <w:t xml:space="preserve">3. </w:t>
      </w:r>
      <w:r w:rsidRPr="006408AC">
        <w:t xml:space="preserve">Pirkimo sąlygų 15 punkto nuostata, kad jei bendrą pasiūlymą pateikia ūkio subjektų grupė 12.11 punkte nustatytą kvalifikacijos reikalavimą - tiekėjo paskutinių finansinių metų kritinio likvidumo koeficientas turi būti nemažesnis kaip 1, turi atitikti ir pateikti nurodytus dokumentus </w:t>
      </w:r>
      <w:r w:rsidRPr="006408AC">
        <w:rPr>
          <w:u w:val="single"/>
        </w:rPr>
        <w:t>bent vienas ūkio subjektų grupės narys</w:t>
      </w:r>
      <w:r w:rsidRPr="006408AC">
        <w:t>, neužtikrina Įstatymo 32 straipsnio 1 dalies nuostatų laikymosi, atsižvelgiant į tai, kad perkančiosios organizacijos pareiga užtikrinti, kad parinktas tiekėjas yra pajėgus vykdyti pirkimo sutartį. Tarnyba pažymi, kad Viešųjų pirkimų tarnybos direktoriaus 2009 m. kovo 30 d. įsakymu patvirtintų Tiekėjų kvalifikacijos vertinimo metodinių rekomendacijų (</w:t>
      </w:r>
      <w:proofErr w:type="spellStart"/>
      <w:r w:rsidRPr="006408AC">
        <w:t>Žin</w:t>
      </w:r>
      <w:proofErr w:type="spellEnd"/>
      <w:r w:rsidRPr="006408AC">
        <w:t>., 2003, Nr. 103-4623; 2009, Nr. 39-1505; 2012, Nr. 5-163) 21 punkte nustatyta, jog kvalifikacinis reikalavimas dėl kritinio likvidumo rodiklio turi būti taikomas kiekvienam ūkio subjektų grupės nariui atskirai.</w:t>
      </w:r>
    </w:p>
    <w:p w:rsidR="00B05254" w:rsidRPr="00B05254" w:rsidRDefault="00BC7BAA" w:rsidP="00F20010">
      <w:pPr>
        <w:widowControl w:val="0"/>
        <w:autoSpaceDE w:val="0"/>
        <w:autoSpaceDN w:val="0"/>
        <w:adjustRightInd w:val="0"/>
        <w:ind w:firstLine="737"/>
        <w:jc w:val="both"/>
      </w:pPr>
      <w:r>
        <w:t>4</w:t>
      </w:r>
      <w:r w:rsidR="00381447">
        <w:t>.</w:t>
      </w:r>
      <w:r>
        <w:t xml:space="preserve"> </w:t>
      </w:r>
      <w:r w:rsidR="00B05254" w:rsidRPr="00B05254">
        <w:t xml:space="preserve">Pirkimo sąlygų </w:t>
      </w:r>
      <w:r w:rsidR="00B05254">
        <w:t>29</w:t>
      </w:r>
      <w:r w:rsidR="00B05254" w:rsidRPr="00B05254">
        <w:t xml:space="preserve"> punkte (minėtos nuostatos perkeltos ir į </w:t>
      </w:r>
      <w:r w:rsidR="00B05254">
        <w:t>Pirkimo sąlygų priedo Nr. 4 Specialiųjų sąlygų 7.5 punktą</w:t>
      </w:r>
      <w:r w:rsidR="00B05254" w:rsidRPr="00B05254">
        <w:t xml:space="preserve">) yra numatyta galimybė sutarties vykdymo metu keisti tiekėjo </w:t>
      </w:r>
      <w:r w:rsidR="00B05254">
        <w:t xml:space="preserve">pasiūlyme nurodytus </w:t>
      </w:r>
      <w:proofErr w:type="spellStart"/>
      <w:r w:rsidR="00B05254" w:rsidRPr="00B05254">
        <w:t>subteikėjus</w:t>
      </w:r>
      <w:proofErr w:type="spellEnd"/>
      <w:r w:rsidR="00B05254" w:rsidRPr="00B05254">
        <w:t>, tačiau nėra įvardinamos keitimo sąlygos ir pagrindai</w:t>
      </w:r>
      <w:r w:rsidR="00F20010">
        <w:t xml:space="preserve">. Tai neužtikrina Įstatymo 24 straipsnio 8 dalies nuostatos laikymosi, atsižvelgiant į tai, kad </w:t>
      </w:r>
      <w:r w:rsidR="00B05254" w:rsidRPr="00B05254">
        <w:t xml:space="preserve">nėra tiksliai ir aiškiai nurodyti objektyvūs pagrindai, kuriais remiantis galima būti pakeisti esamą </w:t>
      </w:r>
      <w:proofErr w:type="spellStart"/>
      <w:r w:rsidR="00B05254" w:rsidRPr="00B05254">
        <w:t>subteikėją</w:t>
      </w:r>
      <w:proofErr w:type="spellEnd"/>
      <w:r w:rsidR="00B05254" w:rsidRPr="00B05254">
        <w:t>.</w:t>
      </w:r>
    </w:p>
    <w:p w:rsidR="00B05254" w:rsidRPr="00B05254" w:rsidRDefault="00B05254" w:rsidP="00B05254">
      <w:pPr>
        <w:widowControl w:val="0"/>
        <w:autoSpaceDE w:val="0"/>
        <w:autoSpaceDN w:val="0"/>
        <w:adjustRightInd w:val="0"/>
        <w:ind w:firstLine="737"/>
        <w:jc w:val="both"/>
      </w:pPr>
      <w:r w:rsidRPr="00B05254">
        <w:t xml:space="preserve">Siekiant aiškumo, Tarnyba rekomenduoja Pirkimo sąlygose ir sutarties projekte papildyti </w:t>
      </w:r>
      <w:proofErr w:type="spellStart"/>
      <w:r w:rsidRPr="00B05254">
        <w:t>subteikėjų</w:t>
      </w:r>
      <w:proofErr w:type="spellEnd"/>
      <w:r w:rsidRPr="00B05254">
        <w:t xml:space="preserve"> keitimo sąlygas (aplinkybes), tiksliai ir aiškiai nurodant pagrindus, kuriais remiantis užsakovas galėtų keisti sutartyje numatytus </w:t>
      </w:r>
      <w:proofErr w:type="spellStart"/>
      <w:r w:rsidRPr="00B05254">
        <w:t>subteikėjus</w:t>
      </w:r>
      <w:proofErr w:type="spellEnd"/>
      <w:r w:rsidRPr="00B05254">
        <w:t xml:space="preserve">. Pažymėtina, kad jeigu sutartyje numatytos aiškios, tikslios ir nedviprasmiškos </w:t>
      </w:r>
      <w:proofErr w:type="spellStart"/>
      <w:r w:rsidRPr="00B05254">
        <w:t>subteikėjų</w:t>
      </w:r>
      <w:proofErr w:type="spellEnd"/>
      <w:r w:rsidRPr="00B05254">
        <w:t xml:space="preserve"> keitimo sąlygos ir tvarka, tuomet, vykdant sutartį ir esant poreikiui keisti </w:t>
      </w:r>
      <w:proofErr w:type="spellStart"/>
      <w:r w:rsidRPr="00B05254">
        <w:t>subteikėjus</w:t>
      </w:r>
      <w:proofErr w:type="spellEnd"/>
      <w:r w:rsidRPr="00B05254">
        <w:t>, tai daroma taip, kaip nustatyta sutartyje, ir tam nereikia Tarnybos sutikimo. Jeigu pirkimo dokumentuose ir pirkimo sutartyje nebuvo numatyta tam tikrų sutarties sąlygų keitimo galimybė ir pagrindai, tokiu atveju, vadovaujantis Įstatymo 18 straipsnio 8 dalimi, norint pakeisti sutarties sąlygas privaloma kreiptis į Tarnybą dėl sutikimo.</w:t>
      </w:r>
    </w:p>
    <w:p w:rsidR="00D37DAB" w:rsidRDefault="00D37DAB" w:rsidP="00D107F9">
      <w:pPr>
        <w:widowControl w:val="0"/>
        <w:autoSpaceDE w:val="0"/>
        <w:autoSpaceDN w:val="0"/>
        <w:adjustRightInd w:val="0"/>
        <w:ind w:firstLine="737"/>
        <w:jc w:val="both"/>
      </w:pPr>
      <w:r>
        <w:t xml:space="preserve">5. </w:t>
      </w:r>
      <w:r w:rsidR="00E53651">
        <w:t>Atsižvelgiant į tai, kad Pirkimo sąlygų 25.1 punkte nustatyta, kad Pasiūlymą sudaro „užpildyta pasiūlymo forma, parengta pagal šių konkurso sąlygų 1 priedą“, 25.8 punkte nustatyta, kad „&lt;...&gt; Paslaugų kaina, kuri apskaičiuojama susumavus visų žiniaraštyje nurodytų paslaugų kainas, yra sudėtinė pasiūlymo kainos dalis ir turi būti įrašoma į pasiūlymo formos (1 priedas)</w:t>
      </w:r>
      <w:r w:rsidR="0008689A">
        <w:t xml:space="preserve"> lentelės 1-ą eilutę“ ir</w:t>
      </w:r>
      <w:r w:rsidR="00CC76DC">
        <w:t xml:space="preserve"> į tai, kad</w:t>
      </w:r>
      <w:r w:rsidR="0008689A">
        <w:t xml:space="preserve"> Pirkimo sąlygų priedo Nr. 1</w:t>
      </w:r>
      <w:r w:rsidR="006D508C">
        <w:t xml:space="preserve"> </w:t>
      </w:r>
      <w:r w:rsidR="00CC76DC">
        <w:t xml:space="preserve">2 </w:t>
      </w:r>
      <w:r w:rsidR="006D508C">
        <w:t>lentelėje</w:t>
      </w:r>
      <w:r w:rsidR="00CC76DC">
        <w:t xml:space="preserve"> nustatytas reikalavimas nurodyti bendrą pasiūlymo kainą žodžiais,</w:t>
      </w:r>
      <w:r w:rsidR="00E53651">
        <w:t xml:space="preserve"> </w:t>
      </w:r>
      <w:r>
        <w:t>Pirkimo sąlygų 52 punkto</w:t>
      </w:r>
      <w:r w:rsidR="0034007E">
        <w:t xml:space="preserve"> nuostata, kad „&lt;...&gt; Pasiūlymo kaina laikoma tik ta kaina, kurią tiekėjas nurodė CVP IS lange „Mano pasiūlymas“ lentelės dalyje (nuorodoje) „Siūloma kaina“ &lt;...&gt;“</w:t>
      </w:r>
      <w:r w:rsidR="00A65759">
        <w:t>,</w:t>
      </w:r>
      <w:r w:rsidR="0034007E">
        <w:t xml:space="preserve"> neužtikrina Įstatymo </w:t>
      </w:r>
      <w:r w:rsidR="00E53651">
        <w:t>31 straipsnio</w:t>
      </w:r>
      <w:r w:rsidR="00D336E5">
        <w:t xml:space="preserve"> 7 dalies nuostatos,  kad „Tuo </w:t>
      </w:r>
      <w:r w:rsidR="00D336E5">
        <w:lastRenderedPageBreak/>
        <w:t>atveju, kai pasiūlyme nurodyta kaina, išreikšta skaičiais, neatitinka kainos, nurodytos žodžiais, teisinga laikoma kaina, nurodyta žodžiais“</w:t>
      </w:r>
      <w:r w:rsidR="0091769F">
        <w:t>,</w:t>
      </w:r>
      <w:r w:rsidR="00D336E5">
        <w:t xml:space="preserve"> laikymosi. </w:t>
      </w:r>
      <w:r w:rsidR="00E53651">
        <w:t xml:space="preserve"> </w:t>
      </w:r>
    </w:p>
    <w:p w:rsidR="00BC7BAA" w:rsidRDefault="0051484C" w:rsidP="00D107F9">
      <w:pPr>
        <w:widowControl w:val="0"/>
        <w:autoSpaceDE w:val="0"/>
        <w:autoSpaceDN w:val="0"/>
        <w:adjustRightInd w:val="0"/>
        <w:ind w:firstLine="737"/>
        <w:jc w:val="both"/>
      </w:pPr>
      <w:r>
        <w:t xml:space="preserve">6. </w:t>
      </w:r>
      <w:r w:rsidR="00BC7BAA">
        <w:t xml:space="preserve">Pirkimo sąlygų 59 punkto nuostata, kad „Kai pateiktame pasiūlyme nurodoma neįprastai maža kaina, Komisija turi teisę, o ketindama atmesti pasiūlymą privalo tiekėjo CVP IS susirašinėjimo priemonėmis paprašyti per Komisijos nurodytą terminą pateikti neįprastai mažos kainos pagrindimą &lt;...&gt;“, neatitinka Įstatymo 40 straipsnio 1 dalies nuostatos, kad „Jeigu pateiktame pasiūlyme nurodyta prekių, paslaugų ar darbų kaina yra neįprastai maža, perkančioji organizacija </w:t>
      </w:r>
      <w:r w:rsidR="00BC7BAA" w:rsidRPr="006408AC">
        <w:rPr>
          <w:u w:val="single"/>
        </w:rPr>
        <w:t>privalo</w:t>
      </w:r>
      <w:r w:rsidR="00BC7BAA">
        <w:t xml:space="preserve"> pareikalauti, kad dalyvis pagrįstų siūlomą kainą, o jeigu dalyvis nepateikia tinkamų kainos pagrįstumo įrodymų, pasiūlymą privalo atmesti &lt;...&gt;“.</w:t>
      </w:r>
    </w:p>
    <w:p w:rsidR="00BC7BAA" w:rsidRDefault="0051484C" w:rsidP="00D107F9">
      <w:pPr>
        <w:widowControl w:val="0"/>
        <w:autoSpaceDE w:val="0"/>
        <w:autoSpaceDN w:val="0"/>
        <w:adjustRightInd w:val="0"/>
        <w:ind w:firstLine="737"/>
        <w:jc w:val="both"/>
      </w:pPr>
      <w:r>
        <w:t>7</w:t>
      </w:r>
      <w:r w:rsidR="00BC7BAA">
        <w:t xml:space="preserve">. Pirkimo sąlygų 71 punkto nuostata, kad „&lt;...&gt; Pretenzija pateikiama CVP IS priemonėmis“ neatitinka Įstatymo 93 straipsnio 3 dalies nuostatų, kad „&lt;...&gt; Pretenzija turi būti pateikta faksu, elektroninėmis priemonėmis ar pasirašytinai per kurjerį &lt;...&gt;“. Tarnyba pažymi, kad perkančioji organizacija negali riboti pirkimo dalyvių </w:t>
      </w:r>
      <w:r w:rsidR="001B2FC3">
        <w:t>teisių dėl pretenzijos pateikimo būdo, ir privalo išnagrinėti ir priimti motyvuotus sprendimus dėl visų gautų pretenzijų.</w:t>
      </w:r>
    </w:p>
    <w:p w:rsidR="0091769F" w:rsidRDefault="0051484C" w:rsidP="00D107F9">
      <w:pPr>
        <w:widowControl w:val="0"/>
        <w:autoSpaceDE w:val="0"/>
        <w:autoSpaceDN w:val="0"/>
        <w:adjustRightInd w:val="0"/>
        <w:ind w:firstLine="737"/>
        <w:jc w:val="both"/>
      </w:pPr>
      <w:r>
        <w:t>8</w:t>
      </w:r>
      <w:r w:rsidR="001B2FC3">
        <w:t xml:space="preserve">. </w:t>
      </w:r>
      <w:r w:rsidR="00970A1F">
        <w:t xml:space="preserve">Atsižvelgdama į tai, kad </w:t>
      </w:r>
      <w:r w:rsidR="00970A1F" w:rsidRPr="00970A1F">
        <w:t>Skelbimo apie Pirkimą II.3 punkte nustatyta, kad sutarties trukmė 36 mėnesiai, Pirkimo sąlygų 10 punkte nustatyta, kad paslaugos turi būti suteiktos per 35 mėnesius nuo sutarties pasirašymo,</w:t>
      </w:r>
      <w:r w:rsidR="00970A1F">
        <w:t xml:space="preserve"> ir Skelbimo apie Pirkimą II.2 punkte, Pirkimo sąlygų 11 ir 86 punktuose nustatyta, kad</w:t>
      </w:r>
      <w:r w:rsidR="00970A1F" w:rsidRPr="00970A1F">
        <w:t xml:space="preserve"> viešojo pirkimo sutartis negali būti pratęst</w:t>
      </w:r>
      <w:r w:rsidR="00970A1F">
        <w:t xml:space="preserve">a, Tarnyba konstatuoja, kad </w:t>
      </w:r>
      <w:r w:rsidR="000E559F">
        <w:t>Pirkimo sąlygų priedo Nr. 4 „Paslaugų viešojo pirkimo-pardavimo sutartis“</w:t>
      </w:r>
      <w:r w:rsidR="00970A1F">
        <w:t xml:space="preserve"> Specialiųjų sąlygų 2.2 punkto nuostata, kad „Esant nenumatytoms aplinkybėms, Sutarties vykdymo terminas gali būti stabdomas ir vėliau pratęsiamas sustabdymo laikotarpiui“ ir</w:t>
      </w:r>
      <w:r w:rsidR="000E559F">
        <w:t xml:space="preserve"> Bendrųjų sąlygų 16.2 punkto nuostata, kad „Jei paslaugų teikimas stabdomas daugiau nei 90 (devyniasdešimt) dienų, ir stabdoma ne dėl Tiekėjo kaltės, Tiekėjas gali rašytiniu pranešimu Pirkėjui pareikalauti atnaujinti Paslaugų teikimą per 30 (trisdešimt) dienų arba nutraukti Sutartį. Tokiu atveju Paslaugų sutarties galiojimo terminas nukeliamas Sutarties stabdymo terminui“ neužtikrina Įstatymo 18 straipsnio 7 dalies, kad „Pirkimo sutarčių, sudaromų ilgiau kaip 3 metams, terminų nustatymo kriterijus ir atvejus, kuriais gali būti sudaromos tokios sutartys, nustato Lietuvos Respublikos Vyriausybė“</w:t>
      </w:r>
      <w:r w:rsidR="0091769F">
        <w:t>,</w:t>
      </w:r>
      <w:r w:rsidR="000E559F">
        <w:t xml:space="preserve"> nuostatos laikymosi</w:t>
      </w:r>
      <w:r w:rsidR="00970A1F">
        <w:t>.</w:t>
      </w:r>
    </w:p>
    <w:p w:rsidR="00970A1F" w:rsidRDefault="0051484C" w:rsidP="00D107F9">
      <w:pPr>
        <w:widowControl w:val="0"/>
        <w:autoSpaceDE w:val="0"/>
        <w:autoSpaceDN w:val="0"/>
        <w:adjustRightInd w:val="0"/>
        <w:ind w:firstLine="737"/>
        <w:jc w:val="both"/>
      </w:pPr>
      <w:r>
        <w:t>9</w:t>
      </w:r>
      <w:r w:rsidR="00970A1F">
        <w:t xml:space="preserve">. </w:t>
      </w:r>
      <w:r w:rsidR="00970A1F" w:rsidRPr="00970A1F">
        <w:t>Pirkimo sąlygų priedo Nr. 4 „Paslaugų viešojo pirkimo-pardavimo sutartis“ Specialiųjų sąlygų 2.2 punkto nuostata, kad „Esant nenumatytoms aplinkybėms, Sutarties vykdymo terminas gali būti stabdomas ir vėliau pratęsiamas sustabdymo laikotarpiui“</w:t>
      </w:r>
      <w:r w:rsidR="00970A1F">
        <w:t xml:space="preserve"> neužtikrina Įstatymo 24 straipsnio 8 dalies nuostatos</w:t>
      </w:r>
      <w:r w:rsidR="00D37DAB">
        <w:t>, kad Pirkimo dokumentai turi būti tikslūs ir aiškūs,</w:t>
      </w:r>
      <w:r w:rsidR="00970A1F">
        <w:t xml:space="preserve"> laikymosi, atsižvelgiant į tai, kad n</w:t>
      </w:r>
      <w:r w:rsidR="00D37DAB">
        <w:t>enurodyti</w:t>
      </w:r>
      <w:r w:rsidRPr="0051484C">
        <w:t xml:space="preserve"> </w:t>
      </w:r>
      <w:r>
        <w:t>aiškūs</w:t>
      </w:r>
      <w:r w:rsidRPr="0051484C">
        <w:t xml:space="preserve"> pagrindai, kuriais remiantis galima būti </w:t>
      </w:r>
      <w:r>
        <w:t xml:space="preserve">sustabdyti sutarties vykdymą.  </w:t>
      </w:r>
      <w:r w:rsidR="00D37DAB">
        <w:t xml:space="preserve"> </w:t>
      </w:r>
    </w:p>
    <w:p w:rsidR="006408AC" w:rsidRDefault="0091769F" w:rsidP="00D107F9">
      <w:pPr>
        <w:widowControl w:val="0"/>
        <w:autoSpaceDE w:val="0"/>
        <w:autoSpaceDN w:val="0"/>
        <w:adjustRightInd w:val="0"/>
        <w:ind w:firstLine="737"/>
        <w:jc w:val="both"/>
      </w:pPr>
      <w:r>
        <w:t>10</w:t>
      </w:r>
      <w:r w:rsidR="006408AC" w:rsidRPr="006408AC">
        <w:t>. Pirkimo sąlygų priedo Nr. 4 „Paslaugų viešojo pirkimo-pardavimo sutarties projektas“</w:t>
      </w:r>
      <w:r w:rsidR="006408AC" w:rsidRPr="006408AC">
        <w:rPr>
          <w:color w:val="FF0000"/>
        </w:rPr>
        <w:t xml:space="preserve"> </w:t>
      </w:r>
      <w:r w:rsidR="006408AC" w:rsidRPr="0068747F">
        <w:t>Specialiųjų sąlygų 3</w:t>
      </w:r>
      <w:r w:rsidR="002F7275" w:rsidRPr="0068747F">
        <w:t xml:space="preserve"> </w:t>
      </w:r>
      <w:r w:rsidR="006408AC" w:rsidRPr="0068747F">
        <w:t xml:space="preserve">punkto ir Bendrųjų sąlygų </w:t>
      </w:r>
      <w:r w:rsidR="002F7275" w:rsidRPr="0068747F">
        <w:t>5</w:t>
      </w:r>
      <w:r w:rsidR="006408AC" w:rsidRPr="0068747F">
        <w:t xml:space="preserve"> punkto nuostatos ne</w:t>
      </w:r>
      <w:r w:rsidR="0068747F" w:rsidRPr="0068747F">
        <w:t>užtikrina</w:t>
      </w:r>
      <w:r w:rsidR="006408AC" w:rsidRPr="006408AC">
        <w:t xml:space="preserve"> Tarnybos direktoriaus 2003 m. vasario 25 d. įsakymu Nr. 1S-21 patvirtintos Viešojo pirkimo-pardavimo sutarčių kainos ir kainodaros taisyklių nustatymo metodikos (</w:t>
      </w:r>
      <w:proofErr w:type="spellStart"/>
      <w:r w:rsidR="006408AC" w:rsidRPr="006408AC">
        <w:t>Žin</w:t>
      </w:r>
      <w:proofErr w:type="spellEnd"/>
      <w:r w:rsidR="006408AC" w:rsidRPr="006408AC">
        <w:t>., 2003, Nr. 22-944; 2006, Nr. 16-576; 2008, Nr. 105-4042</w:t>
      </w:r>
      <w:r w:rsidR="002F7275">
        <w:t>; 2011, Nr. 101-4768</w:t>
      </w:r>
      <w:r w:rsidR="006408AC" w:rsidRPr="006408AC">
        <w:t xml:space="preserve">) </w:t>
      </w:r>
      <w:r w:rsidR="002F7275">
        <w:t>33</w:t>
      </w:r>
      <w:r w:rsidR="006408AC" w:rsidRPr="006408AC">
        <w:t xml:space="preserve"> punkto, kad „Kainodaros taisyklėse turi būti nurodoma, ar sutarties kaina ar įkainiai bus perskaičiuojami pagal bendrą kainų lygio kitimą &lt;...&gt;“ ir </w:t>
      </w:r>
      <w:r w:rsidR="0068747F">
        <w:t>33.2</w:t>
      </w:r>
      <w:r w:rsidR="006408AC" w:rsidRPr="006408AC">
        <w:t xml:space="preserve"> punkto, kad „</w:t>
      </w:r>
      <w:r w:rsidR="0068747F">
        <w:t>Kainodaros taisyklėse nustatant fiksuotos kainos ar fiksuoto įkainio perskaičiavimą turi būti nustatyta, kokiais duomenimis remiamasi vertinant kainų lygio kitimą, kada vykdomas perskaičiavimas, kokia yra šio perskaičiavimo formulė</w:t>
      </w:r>
      <w:r w:rsidR="006408AC" w:rsidRPr="006408AC">
        <w:t>“, nuostatų, ir neužtikrina Įstatymo 18 straipsnio 6 dalies 3 punkto nuostatų, kad Pirkimo sutartyje, turi būti nustatyta „kaina arba kainodaros taisyklės, nustatytos pagal Lietuvos Respublikos Vyriausybės arba jos įgaliotos institucijos patvirtintą metodiką“, laikymosi.</w:t>
      </w:r>
    </w:p>
    <w:p w:rsidR="00935F8B" w:rsidRDefault="0091769F" w:rsidP="00D107F9">
      <w:pPr>
        <w:widowControl w:val="0"/>
        <w:autoSpaceDE w:val="0"/>
        <w:autoSpaceDN w:val="0"/>
        <w:adjustRightInd w:val="0"/>
        <w:ind w:firstLine="737"/>
        <w:jc w:val="both"/>
      </w:pPr>
      <w:r>
        <w:t>11</w:t>
      </w:r>
      <w:r w:rsidR="0051484C">
        <w:t xml:space="preserve">. </w:t>
      </w:r>
      <w:r w:rsidR="0051484C" w:rsidRPr="0051484C">
        <w:t xml:space="preserve">Pirkimo sąlygų priedo Nr. 4 „Paslaugų viešojo pirkimo-pardavimo sutartis“ </w:t>
      </w:r>
      <w:r w:rsidR="0051484C">
        <w:t>Bendrųjų sąlygų 6.6 punkto nuostat</w:t>
      </w:r>
      <w:r w:rsidR="00935F8B">
        <w:t>a</w:t>
      </w:r>
      <w:r w:rsidR="0051484C">
        <w:t xml:space="preserve">, kad „Jei Tiekėjas nevykdo savo sutartinių įsipareigojimų ar vykdo juos netinkamai, Pirkėjas pareikalauja sumokėti visą sumą ar jos dalį priklausomai nuo neįvykdytos </w:t>
      </w:r>
      <w:r w:rsidR="0051484C">
        <w:lastRenderedPageBreak/>
        <w:t>Sutarties dalies vertės, kurią užtikrinimą išdavęs juridinis asmuo (garantas, laiduotojas) įsipareigojo sumokėti &lt;...&gt;</w:t>
      </w:r>
      <w:r w:rsidR="00935F8B">
        <w:t>“</w:t>
      </w:r>
      <w:r w:rsidR="0051484C">
        <w:t xml:space="preserve"> nesuderint</w:t>
      </w:r>
      <w:r w:rsidR="00935F8B">
        <w:t>a</w:t>
      </w:r>
      <w:r w:rsidR="0051484C">
        <w:t xml:space="preserve"> su </w:t>
      </w:r>
      <w:r w:rsidR="0051484C" w:rsidRPr="0051484C">
        <w:t>Pirkimo sąlygų priedo Nr. 4 „Paslaugų viešojo pirkimo-pardavimo sutartis“ Specialiųjų sąlygų</w:t>
      </w:r>
      <w:r w:rsidR="0051484C">
        <w:t xml:space="preserve"> 5.3 punkto nuostatomis</w:t>
      </w:r>
      <w:r w:rsidR="00935F8B">
        <w:t xml:space="preserve">, tai neužtikrina Įstatymo 24 straipsnio 8 dalies nuostatų laikymosi, kad Pirkimo dokumentai turi būti tikslūs ir aiškūs. </w:t>
      </w:r>
    </w:p>
    <w:p w:rsidR="00C065A7" w:rsidRDefault="00935F8B" w:rsidP="00D107F9">
      <w:pPr>
        <w:widowControl w:val="0"/>
        <w:autoSpaceDE w:val="0"/>
        <w:autoSpaceDN w:val="0"/>
        <w:adjustRightInd w:val="0"/>
        <w:ind w:firstLine="737"/>
        <w:jc w:val="both"/>
      </w:pPr>
      <w:r>
        <w:t>Tarnyba atkreipia dėmesį, kad 5.</w:t>
      </w:r>
      <w:r w:rsidR="004257AC">
        <w:t>2 punkte nustatyta, kad „Jei Tiekėjas dėl savo kaltės neatlieka Paslaugų nustatytu terminu, Pirkėjas turi teisę &lt;...&gt; skaičiuoti 0,02</w:t>
      </w:r>
      <w:r w:rsidR="004257AC" w:rsidRPr="004257AC">
        <w:t>%</w:t>
      </w:r>
      <w:r w:rsidR="004257AC">
        <w:t xml:space="preserve"> dydžio delspinigius nuo neatliktų Paslaugų kainos &lt;...&gt; neviršijant 10 </w:t>
      </w:r>
      <w:r w:rsidR="004257AC" w:rsidRPr="004257AC">
        <w:t>%</w:t>
      </w:r>
      <w:r w:rsidR="004257AC">
        <w:t xml:space="preserve"> bendros Sutarties kainos.“ ir 5.3 punkte nustatyta, kad jeigu apskaičiuoti delspinigiai viršija 10 </w:t>
      </w:r>
      <w:r w:rsidR="004257AC" w:rsidRPr="004257AC">
        <w:t>% bendros</w:t>
      </w:r>
      <w:r w:rsidR="004257AC">
        <w:t xml:space="preserve"> sutarties kainos perkančioji organizacija gali išskaičiuoti delspinigių sumą iš mokėtinų sumų, pasinaudoti sutarties įvykdymo užtikrinimu arba nutraukti sutarti, tačiau Sutarties įvykdymo užtikrinimo vertė yra 250.000,00 lt, o apskaičiuotų 10</w:t>
      </w:r>
      <w:r w:rsidR="004257AC" w:rsidRPr="004257AC">
        <w:t>%</w:t>
      </w:r>
      <w:r w:rsidR="004257AC">
        <w:t xml:space="preserve"> delspinigių vertė 2,5 karto viršija sutarties įvykdymo užtikrinimo vertę. </w:t>
      </w:r>
    </w:p>
    <w:p w:rsidR="007A3B2A" w:rsidRPr="007A3B2A" w:rsidRDefault="0091769F" w:rsidP="007A3B2A">
      <w:pPr>
        <w:widowControl w:val="0"/>
        <w:autoSpaceDE w:val="0"/>
        <w:autoSpaceDN w:val="0"/>
        <w:adjustRightInd w:val="0"/>
        <w:ind w:firstLine="737"/>
        <w:jc w:val="both"/>
      </w:pPr>
      <w:r>
        <w:t>12</w:t>
      </w:r>
      <w:r w:rsidR="00C065A7">
        <w:t xml:space="preserve">. </w:t>
      </w:r>
      <w:r w:rsidR="00C065A7" w:rsidRPr="00C065A7">
        <w:t>Pirkimo sąlygų priedo Nr. 4 „Paslaugų viešojo pirkimo-pardavimo sutartis“ Bendrųjų sąlygų</w:t>
      </w:r>
      <w:r w:rsidR="00C065A7">
        <w:t xml:space="preserve"> 14</w:t>
      </w:r>
      <w:r w:rsidR="007A3B2A">
        <w:t xml:space="preserve"> punkte nustatyta sutarties sąlygų keitimo tvarka, atsižvelgdama į tai, </w:t>
      </w:r>
      <w:r w:rsidR="007A3B2A" w:rsidRPr="007A3B2A">
        <w:t xml:space="preserve">Tarnyba rekomenduoja Pirkimo sąlygose ir sutarties projekte papildyti </w:t>
      </w:r>
      <w:r w:rsidR="007A3B2A">
        <w:t>sutarties</w:t>
      </w:r>
      <w:r w:rsidR="007A3B2A" w:rsidRPr="007A3B2A">
        <w:t xml:space="preserve"> keitimo sąlygas (aplinkybes), tiksliai ir aiškiai nurodant pagrindus, kuriais remiantis </w:t>
      </w:r>
      <w:r w:rsidR="007A3B2A">
        <w:t>perkančioji organizacija</w:t>
      </w:r>
      <w:r w:rsidR="007A3B2A" w:rsidRPr="007A3B2A">
        <w:t xml:space="preserve"> galėtų keisti sutartyje numatyt</w:t>
      </w:r>
      <w:r w:rsidR="007A3B2A">
        <w:t>a</w:t>
      </w:r>
      <w:r w:rsidR="007A3B2A" w:rsidRPr="007A3B2A">
        <w:t xml:space="preserve">s </w:t>
      </w:r>
      <w:r w:rsidR="007A3B2A">
        <w:t>sąlygas</w:t>
      </w:r>
      <w:r w:rsidR="007A3B2A" w:rsidRPr="007A3B2A">
        <w:t xml:space="preserve">. Pažymėtina, kad jeigu sutartyje numatytos aiškios, tikslios ir nedviprasmiškos keitimo sąlygos ir tvarka, tuomet, vykdant sutartį ir esant poreikiui keisti </w:t>
      </w:r>
      <w:r w:rsidR="007A3B2A">
        <w:t>sutarties nuostatas</w:t>
      </w:r>
      <w:r w:rsidR="007A3B2A" w:rsidRPr="007A3B2A">
        <w:t>, tai daroma taip, kaip nustatyta sutartyje, ir tam nereikia Tarnybos sutikimo. Jeigu pirkimo dokumentuose ir pirkimo sutartyje nebuvo numatyta tam tikrų sutarties sąlygų keitimo galimybė ir pagrindai, tokiu atveju, vadovaujantis Įstatymo 18 straipsnio 8 dalimi, norint pakeisti sutarties sąlygas privaloma kreiptis į Tarnybą dėl sutikimo.</w:t>
      </w:r>
    </w:p>
    <w:p w:rsidR="000E559F" w:rsidRDefault="0091769F" w:rsidP="00D107F9">
      <w:pPr>
        <w:widowControl w:val="0"/>
        <w:autoSpaceDE w:val="0"/>
        <w:autoSpaceDN w:val="0"/>
        <w:adjustRightInd w:val="0"/>
        <w:ind w:firstLine="737"/>
        <w:jc w:val="both"/>
      </w:pPr>
      <w:r>
        <w:t>13</w:t>
      </w:r>
      <w:r w:rsidR="004257AC">
        <w:t xml:space="preserve">. </w:t>
      </w:r>
      <w:r w:rsidR="00BD139D">
        <w:t xml:space="preserve">Pirkimo sąlygų priedo Nr. 5 „Plaukiojančio krano „PK-10“ modernizavimo paslaugų žiniaraštis“ </w:t>
      </w:r>
      <w:r w:rsidR="004927DD">
        <w:t>esančios lentelės eilutėse Nr. 37, 40, 41, 42, 43, 44 ir pogrup</w:t>
      </w:r>
      <w:r w:rsidR="005D6949">
        <w:t>yje</w:t>
      </w:r>
      <w:r w:rsidR="004927DD">
        <w:t xml:space="preserve"> „Kabeliai LKM-HF (HELKAMA) 0,6/1kV“ </w:t>
      </w:r>
      <w:r w:rsidR="005D6949">
        <w:t xml:space="preserve">nurodyti </w:t>
      </w:r>
      <w:r w:rsidR="0098191E">
        <w:t xml:space="preserve">konkretus prekių modeliai ir gamintojai, </w:t>
      </w:r>
      <w:r w:rsidR="0098191E" w:rsidRPr="0098191E">
        <w:t>tai pažeidžia Įstatymo 25 straipsnio 2 dalies nuostat</w:t>
      </w:r>
      <w:r w:rsidR="0098191E">
        <w:t>ą, kad</w:t>
      </w:r>
      <w:r w:rsidR="0098191E" w:rsidRPr="0098191E">
        <w:t xml:space="preserve"> „Techninė specifikacija turi užtikrinti konkurenciją ir nediskriminuoti tiekėjų“ bei Įstatymo 25 straipsnio 8 dalies nuostat</w:t>
      </w:r>
      <w:r w:rsidR="0098191E">
        <w:t>ą, kad</w:t>
      </w:r>
      <w:r w:rsidR="0098191E" w:rsidRPr="0098191E">
        <w:t xml:space="preserve"> „Apibūdinant pirkimo objektą, techninėje specifikacijoje negali būti nurodytas konkretus modelis ar šaltinis, konkretus procesas ar prekės ženklas, patentai, tipai, konkreti kilmė ar gamyba, dėl kurių tam tikroms įmonėms ar tam tikriems produktams būtų sudarytos palankesnės</w:t>
      </w:r>
      <w:r w:rsidR="008E7F55">
        <w:t xml:space="preserve"> sąlygos arba jie būtų atmesti“.</w:t>
      </w:r>
    </w:p>
    <w:p w:rsidR="00C065A7" w:rsidRDefault="0091769F" w:rsidP="00D107F9">
      <w:pPr>
        <w:widowControl w:val="0"/>
        <w:autoSpaceDE w:val="0"/>
        <w:autoSpaceDN w:val="0"/>
        <w:adjustRightInd w:val="0"/>
        <w:ind w:firstLine="737"/>
        <w:jc w:val="both"/>
      </w:pPr>
      <w:r>
        <w:t>14</w:t>
      </w:r>
      <w:r w:rsidR="00D37DAB">
        <w:t xml:space="preserve">. </w:t>
      </w:r>
      <w:r w:rsidR="004257AC">
        <w:t>Perkančiosios organizacijos CVP IS priemonėmis</w:t>
      </w:r>
      <w:r w:rsidR="009B4ACE">
        <w:t xml:space="preserve"> kartu su Konkurso sąlygomis</w:t>
      </w:r>
      <w:r w:rsidR="004257AC">
        <w:t xml:space="preserve"> paskelbt</w:t>
      </w:r>
      <w:r w:rsidR="00C065A7">
        <w:t>a Pirkimo objekto techninė specifikacija (CVP IS byl</w:t>
      </w:r>
      <w:r w:rsidR="007107FB">
        <w:t>os</w:t>
      </w:r>
      <w:r w:rsidR="00C065A7">
        <w:t xml:space="preserve"> „</w:t>
      </w:r>
      <w:r w:rsidR="00D37DAB">
        <w:t>Techninė specifikacij</w:t>
      </w:r>
      <w:r w:rsidR="00C065A7">
        <w:t>a“</w:t>
      </w:r>
      <w:r w:rsidR="007107FB">
        <w:t xml:space="preserve"> vidinėje</w:t>
      </w:r>
      <w:r w:rsidR="00C065A7">
        <w:t xml:space="preserve"> byl</w:t>
      </w:r>
      <w:r w:rsidR="007107FB">
        <w:t>oje</w:t>
      </w:r>
      <w:r w:rsidR="00C065A7">
        <w:t xml:space="preserve"> „krano modernizacija“ </w:t>
      </w:r>
      <w:r w:rsidR="00987F4C">
        <w:t xml:space="preserve">esantys dokumentai </w:t>
      </w:r>
      <w:r w:rsidR="00C065A7">
        <w:t>„</w:t>
      </w:r>
      <w:proofErr w:type="spellStart"/>
      <w:r w:rsidR="00C065A7">
        <w:t>Kelimo</w:t>
      </w:r>
      <w:proofErr w:type="spellEnd"/>
      <w:r w:rsidR="00C065A7">
        <w:t xml:space="preserve"> gerve.doc“</w:t>
      </w:r>
      <w:r w:rsidR="00987F4C">
        <w:t>, „scen24.pdf“</w:t>
      </w:r>
      <w:r w:rsidR="00C065A7">
        <w:t>) pažeidžia Įstatymo 24 straipsnio 9 dalies, kad „Pirkimo dokumentai rengiami lietuvių kalba. Papildomai pirkimo dokumentai gali būti rengiami ir kitomis kalbomis“, nuostatas.</w:t>
      </w:r>
      <w:r w:rsidR="009B4ACE">
        <w:t xml:space="preserve"> Tarnyba pažymi, kad visi Pirkimo dokumentai privalo būti parengti lietuvių kalba, todėl Techninės specifikacijos </w:t>
      </w:r>
      <w:r w:rsidR="00987F4C">
        <w:t xml:space="preserve">bylos </w:t>
      </w:r>
      <w:r w:rsidR="009B4ACE">
        <w:t>„</w:t>
      </w:r>
      <w:proofErr w:type="spellStart"/>
      <w:r w:rsidR="009B4ACE">
        <w:t>Kelimo</w:t>
      </w:r>
      <w:proofErr w:type="spellEnd"/>
      <w:r w:rsidR="009B4ACE">
        <w:t xml:space="preserve"> gerve“</w:t>
      </w:r>
      <w:r w:rsidR="00987F4C">
        <w:t xml:space="preserve"> ir „scen24.pdf“</w:t>
      </w:r>
      <w:r w:rsidR="009B4ACE">
        <w:t xml:space="preserve"> turi būti </w:t>
      </w:r>
      <w:r w:rsidR="00987F4C">
        <w:t xml:space="preserve">išverstos </w:t>
      </w:r>
      <w:r w:rsidR="009B4ACE">
        <w:t xml:space="preserve">į lietuvių kalbą ir tinkamai </w:t>
      </w:r>
      <w:r w:rsidR="00987F4C">
        <w:t>paskelbtos</w:t>
      </w:r>
      <w:r w:rsidR="009B4ACE">
        <w:t>.</w:t>
      </w:r>
    </w:p>
    <w:p w:rsidR="00D37DAB" w:rsidRDefault="0091769F" w:rsidP="00987F4C">
      <w:pPr>
        <w:widowControl w:val="0"/>
        <w:autoSpaceDE w:val="0"/>
        <w:autoSpaceDN w:val="0"/>
        <w:adjustRightInd w:val="0"/>
        <w:ind w:firstLine="737"/>
        <w:jc w:val="both"/>
      </w:pPr>
      <w:r>
        <w:t>15</w:t>
      </w:r>
      <w:r w:rsidR="009B4ACE">
        <w:t xml:space="preserve">. Atsižvelgiant į tai, kad </w:t>
      </w:r>
      <w:r w:rsidR="009B4ACE" w:rsidRPr="009B4ACE">
        <w:t>CVP IS priemonėmis kartu su Konkurso sąlygomis paskelbt</w:t>
      </w:r>
      <w:r w:rsidR="009B4ACE">
        <w:t>oje</w:t>
      </w:r>
      <w:r w:rsidR="009B4ACE" w:rsidRPr="009B4ACE">
        <w:t xml:space="preserve"> Pirkimo objekto techninė</w:t>
      </w:r>
      <w:r w:rsidR="009B4ACE">
        <w:t>je</w:t>
      </w:r>
      <w:r w:rsidR="009B4ACE" w:rsidRPr="009B4ACE">
        <w:t xml:space="preserve"> specifikacij</w:t>
      </w:r>
      <w:r w:rsidR="009B4ACE">
        <w:t>oje</w:t>
      </w:r>
      <w:r w:rsidR="009B4ACE" w:rsidRPr="009B4ACE">
        <w:t xml:space="preserve"> (</w:t>
      </w:r>
      <w:r w:rsidR="009B4ACE">
        <w:t>bylos</w:t>
      </w:r>
      <w:r w:rsidR="009B4ACE" w:rsidRPr="009B4ACE">
        <w:t xml:space="preserve"> „</w:t>
      </w:r>
      <w:proofErr w:type="spellStart"/>
      <w:r w:rsidR="009B4ACE" w:rsidRPr="009B4ACE">
        <w:t>Kelimo</w:t>
      </w:r>
      <w:proofErr w:type="spellEnd"/>
      <w:r w:rsidR="009B4ACE" w:rsidRPr="009B4ACE">
        <w:t xml:space="preserve"> gerve.doc“</w:t>
      </w:r>
      <w:r w:rsidR="009B4ACE">
        <w:t xml:space="preserve"> ir „metalas kranui be kainos.xls</w:t>
      </w:r>
      <w:r w:rsidR="009B4ACE" w:rsidRPr="009B4ACE">
        <w:t>)</w:t>
      </w:r>
      <w:r w:rsidR="00987F4C">
        <w:t xml:space="preserve"> nurodytos preliminarios kainos, tai neužtikrina Įstatymo 25 straipsnio 8 dalies nuostatos, laikymosi. Tarnyba pažymi, kad</w:t>
      </w:r>
      <w:r w:rsidR="00C065A7">
        <w:t xml:space="preserve"> </w:t>
      </w:r>
      <w:r w:rsidR="007A3B2A">
        <w:t>perkančio</w:t>
      </w:r>
      <w:r w:rsidR="00987F4C">
        <w:t>sios</w:t>
      </w:r>
      <w:r w:rsidR="007A3B2A">
        <w:t xml:space="preserve"> </w:t>
      </w:r>
      <w:r w:rsidR="00987F4C">
        <w:t xml:space="preserve">organizacijos </w:t>
      </w:r>
      <w:r w:rsidR="007A3B2A">
        <w:t>Pirkimo</w:t>
      </w:r>
      <w:r w:rsidR="00987F4C">
        <w:t xml:space="preserve"> objekto</w:t>
      </w:r>
      <w:r w:rsidR="007A3B2A">
        <w:t xml:space="preserve"> techninę specifikaciją privalo rengti vadovau</w:t>
      </w:r>
      <w:r w:rsidR="007107FB">
        <w:t>damasi</w:t>
      </w:r>
      <w:r w:rsidR="007A3B2A">
        <w:t xml:space="preserve"> </w:t>
      </w:r>
      <w:r w:rsidR="00C065A7">
        <w:t xml:space="preserve">Įstatymo 25 straipsnio </w:t>
      </w:r>
      <w:r w:rsidR="007A3B2A">
        <w:t xml:space="preserve">nuostatomis, todėl </w:t>
      </w:r>
      <w:r w:rsidR="00C065A7">
        <w:t>Pirkimo dokumentuose perkančioji organizacija negali nurodyti</w:t>
      </w:r>
      <w:r w:rsidR="007A3B2A">
        <w:t xml:space="preserve"> </w:t>
      </w:r>
      <w:r w:rsidR="007107FB">
        <w:t>konkrečių modelių, prekių ženklų, nuorodų į prekių gamintojų atstovus ar preliminarių tų prekių kainų.</w:t>
      </w:r>
      <w:r w:rsidR="00C065A7">
        <w:t xml:space="preserve"> </w:t>
      </w:r>
      <w:r w:rsidR="00987F4C">
        <w:t>Tokie nurodymai yra leistini išimties tvarka, kai pirkimo objekto yra neįmanoma tiksliai ir suprantamai apibūdinti, tačiau prie tokių nurodymų privalo būti įrašyti žodžiai „arba lygiavertis“.</w:t>
      </w:r>
    </w:p>
    <w:p w:rsidR="0064710C" w:rsidRDefault="0064710C" w:rsidP="00987F4C">
      <w:pPr>
        <w:widowControl w:val="0"/>
        <w:autoSpaceDE w:val="0"/>
        <w:autoSpaceDN w:val="0"/>
        <w:adjustRightInd w:val="0"/>
        <w:ind w:firstLine="737"/>
        <w:jc w:val="both"/>
      </w:pPr>
      <w:r>
        <w:t xml:space="preserve">16. </w:t>
      </w:r>
      <w:r w:rsidR="0046543A">
        <w:t xml:space="preserve">Atsižvelgdama į tai, kad CVP IS priemonėmis perkančioji organizacija paskelbė patikslintas Pirkimo sąlygas, tačiau Tarnybai nepateikė perkančiosios organizacijos viešojo pirkimo komisijos posėdžio protokolo kuriame viešojo pirkimo komisija </w:t>
      </w:r>
      <w:r w:rsidR="0046543A">
        <w:t>nagrinėt</w:t>
      </w:r>
      <w:r w:rsidR="0046543A">
        <w:t>ų</w:t>
      </w:r>
      <w:r w:rsidR="0046543A">
        <w:t xml:space="preserve"> </w:t>
      </w:r>
      <w:r w:rsidR="0046543A">
        <w:t xml:space="preserve">ir </w:t>
      </w:r>
      <w:r w:rsidR="0046543A">
        <w:t>priimt</w:t>
      </w:r>
      <w:r w:rsidR="0046543A">
        <w:t>ų</w:t>
      </w:r>
      <w:r w:rsidR="0046543A">
        <w:t xml:space="preserve"> </w:t>
      </w:r>
      <w:r w:rsidR="0046543A">
        <w:t xml:space="preserve">motyvuotus </w:t>
      </w:r>
      <w:r w:rsidR="0046543A">
        <w:lastRenderedPageBreak/>
        <w:t xml:space="preserve">sprendimus dėl poreikio tikslinti Pirkimo sąlygas, Tarnyba konstatuoja, kad perkančioji organizacija neužtikrino Įstatymo 16 straipsnio 3 dalies nuostatų laikymosi. Tarnyba pažymi, kad </w:t>
      </w:r>
      <w:r w:rsidR="0046543A" w:rsidRPr="0046543A">
        <w:t xml:space="preserve">Pirkimo komisijos posėdžių protokolai yra pagrindinis perkančiosios organizacijos dokumentas, pagrindžiantis jos priimtų sprendimų atitiktį Įstatymo reikalavimams, todėl </w:t>
      </w:r>
      <w:r w:rsidR="0046543A">
        <w:t>protokolai</w:t>
      </w:r>
      <w:r w:rsidR="0046543A" w:rsidRPr="0046543A">
        <w:t xml:space="preserve"> turėtų būti surašomi </w:t>
      </w:r>
      <w:r w:rsidR="0046543A">
        <w:t>dėl kiekvieno viešojo pirkimo komisijos priimto sprendimo.</w:t>
      </w:r>
      <w:r w:rsidR="0046543A" w:rsidRPr="0046543A">
        <w:t xml:space="preserve"> </w:t>
      </w:r>
      <w:r w:rsidR="0046543A">
        <w:t xml:space="preserve"> </w:t>
      </w:r>
    </w:p>
    <w:p w:rsidR="00817882" w:rsidRPr="00817882" w:rsidRDefault="00817882" w:rsidP="00817882">
      <w:pPr>
        <w:widowControl w:val="0"/>
        <w:tabs>
          <w:tab w:val="left" w:pos="900"/>
        </w:tabs>
        <w:autoSpaceDE w:val="0"/>
        <w:autoSpaceDN w:val="0"/>
        <w:adjustRightInd w:val="0"/>
        <w:ind w:firstLine="709"/>
        <w:jc w:val="both"/>
      </w:pPr>
      <w:r w:rsidRPr="00817882">
        <w:t xml:space="preserve">Atsižvelgdama į nustatytus Įstatymo reikalavimų </w:t>
      </w:r>
      <w:r w:rsidR="0068747F">
        <w:t>neatitikimus</w:t>
      </w:r>
      <w:r w:rsidRPr="00817882">
        <w:t>, Tarnyba, vadovaudamasi Įstatymo 8</w:t>
      </w:r>
      <w:r w:rsidRPr="00817882">
        <w:rPr>
          <w:vertAlign w:val="superscript"/>
        </w:rPr>
        <w:t>2</w:t>
      </w:r>
      <w:r w:rsidRPr="00817882">
        <w:t xml:space="preserve"> straipsnio 2 dalies 6 punktu, </w:t>
      </w:r>
      <w:r w:rsidRPr="00817882">
        <w:rPr>
          <w:b/>
        </w:rPr>
        <w:t>įpareigoja</w:t>
      </w:r>
      <w:r w:rsidRPr="00817882">
        <w:t xml:space="preserve"> perkančiąją organizaciją:</w:t>
      </w:r>
    </w:p>
    <w:p w:rsidR="00817882" w:rsidRPr="00817882" w:rsidRDefault="00817882" w:rsidP="00817882">
      <w:pPr>
        <w:widowControl w:val="0"/>
        <w:tabs>
          <w:tab w:val="left" w:pos="900"/>
        </w:tabs>
        <w:autoSpaceDE w:val="0"/>
        <w:autoSpaceDN w:val="0"/>
        <w:adjustRightInd w:val="0"/>
        <w:ind w:firstLine="709"/>
        <w:jc w:val="both"/>
        <w:rPr>
          <w:iCs/>
        </w:rPr>
      </w:pPr>
      <w:r w:rsidRPr="00817882">
        <w:t xml:space="preserve">1. pakeisti </w:t>
      </w:r>
      <w:r w:rsidRPr="00817882">
        <w:rPr>
          <w:iCs/>
        </w:rPr>
        <w:t>Pirkimo dokumentų nuostatas, neatitinkančias Įstatymo reikalavimų;</w:t>
      </w:r>
    </w:p>
    <w:p w:rsidR="00817882" w:rsidRPr="00817882" w:rsidRDefault="00817882" w:rsidP="00817882">
      <w:pPr>
        <w:widowControl w:val="0"/>
        <w:tabs>
          <w:tab w:val="left" w:pos="900"/>
        </w:tabs>
        <w:autoSpaceDE w:val="0"/>
        <w:autoSpaceDN w:val="0"/>
        <w:adjustRightInd w:val="0"/>
        <w:ind w:firstLine="709"/>
        <w:jc w:val="both"/>
      </w:pPr>
      <w:r w:rsidRPr="00817882">
        <w:rPr>
          <w:iCs/>
        </w:rPr>
        <w:t>2</w:t>
      </w:r>
      <w:r w:rsidRPr="00817882">
        <w:t xml:space="preserve">. Įstatymo 27 straipsnio nustatyta tvarka </w:t>
      </w:r>
      <w:r w:rsidRPr="00817882">
        <w:rPr>
          <w:bCs/>
        </w:rPr>
        <w:t xml:space="preserve">patikslinti </w:t>
      </w:r>
      <w:r w:rsidRPr="00817882">
        <w:t>Pirkimo sąlygas;</w:t>
      </w:r>
    </w:p>
    <w:p w:rsidR="00817882" w:rsidRPr="00817882" w:rsidRDefault="00817882" w:rsidP="00817882">
      <w:pPr>
        <w:widowControl w:val="0"/>
        <w:tabs>
          <w:tab w:val="left" w:pos="900"/>
        </w:tabs>
        <w:autoSpaceDE w:val="0"/>
        <w:autoSpaceDN w:val="0"/>
        <w:adjustRightInd w:val="0"/>
        <w:ind w:firstLine="709"/>
        <w:jc w:val="both"/>
      </w:pPr>
      <w:r w:rsidRPr="00817882">
        <w:t>3. raštu i</w:t>
      </w:r>
      <w:r w:rsidRPr="00817882">
        <w:rPr>
          <w:bCs/>
        </w:rPr>
        <w:t>nformuoti</w:t>
      </w:r>
      <w:r w:rsidRPr="00817882">
        <w:t xml:space="preserve"> Tarnybą apie įpareigojimo įvykdymą ir pateikti tai įrodančius dokumentus.</w:t>
      </w:r>
    </w:p>
    <w:p w:rsidR="00817882" w:rsidRPr="00817882" w:rsidRDefault="00817882" w:rsidP="00817882">
      <w:pPr>
        <w:widowControl w:val="0"/>
        <w:tabs>
          <w:tab w:val="left" w:pos="900"/>
        </w:tabs>
        <w:autoSpaceDE w:val="0"/>
        <w:autoSpaceDN w:val="0"/>
        <w:adjustRightInd w:val="0"/>
        <w:ind w:firstLine="709"/>
        <w:jc w:val="both"/>
        <w:rPr>
          <w:bCs/>
        </w:rPr>
      </w:pPr>
      <w:r w:rsidRPr="00817882">
        <w:rPr>
          <w:bCs/>
        </w:rPr>
        <w:t>Vadovaujantis Lietuvos Respublikos administracinių bylų teisenos įstatymo (</w:t>
      </w:r>
      <w:proofErr w:type="spellStart"/>
      <w:r w:rsidRPr="00817882">
        <w:rPr>
          <w:bCs/>
        </w:rPr>
        <w:t>Žin</w:t>
      </w:r>
      <w:proofErr w:type="spellEnd"/>
      <w:r w:rsidRPr="00817882">
        <w:rPr>
          <w:bCs/>
        </w:rPr>
        <w:t>., 1999, Nr. 13-308; 2000, Nr. 85-2566; 2004, Nr. 171-6320; 2007, Nr. 72-2830; 2010, Nr. 142-7258) 5 ir 15 straipsniais, nesutikę su Tarnybos įpareigojimu, Jūs galite jį apskųsti teismui šio įstatymo nustatyta tvarka.</w:t>
      </w:r>
    </w:p>
    <w:p w:rsidR="00FD63AB" w:rsidRPr="00A65759" w:rsidRDefault="00A65759">
      <w:pPr>
        <w:widowControl w:val="0"/>
        <w:tabs>
          <w:tab w:val="left" w:pos="900"/>
        </w:tabs>
        <w:autoSpaceDE w:val="0"/>
        <w:autoSpaceDN w:val="0"/>
        <w:adjustRightInd w:val="0"/>
        <w:ind w:firstLine="709"/>
        <w:jc w:val="both"/>
      </w:pPr>
      <w:r w:rsidRPr="00A65759">
        <w:t>    Viešųjų pirkimų tarnyba, atsižvelgdama į Įstatymo 3 straipsnio 1 dalyje įtvirtintus pagrindinius pirkimų principus ir 2 dalyje nurodytą pirkimo tikslą rekomenduoja perkančiajai organizacijai, siekiant išvengti</w:t>
      </w:r>
      <w:r w:rsidRPr="00A65759">
        <w:rPr>
          <w:b/>
          <w:bCs/>
        </w:rPr>
        <w:t xml:space="preserve"> </w:t>
      </w:r>
      <w:r w:rsidR="0064710C">
        <w:rPr>
          <w:b/>
          <w:bCs/>
        </w:rPr>
        <w:t>nepagrįsto konkurencinio pranašumo</w:t>
      </w:r>
      <w:r w:rsidRPr="00A65759">
        <w:rPr>
          <w:b/>
          <w:bCs/>
        </w:rPr>
        <w:t>, svarstyti galimybę pirkimo dokumentuose numatyti ribojimą tiekėjui, kuris rengė techninį projektą, dalyvauti Pirkime.</w:t>
      </w:r>
    </w:p>
    <w:p w:rsidR="003A00FF" w:rsidRDefault="003A00FF">
      <w:pPr>
        <w:widowControl w:val="0"/>
        <w:tabs>
          <w:tab w:val="left" w:pos="900"/>
        </w:tabs>
        <w:autoSpaceDE w:val="0"/>
        <w:autoSpaceDN w:val="0"/>
        <w:adjustRightInd w:val="0"/>
        <w:ind w:firstLine="709"/>
        <w:jc w:val="both"/>
      </w:pPr>
    </w:p>
    <w:p w:rsidR="003A00FF" w:rsidRPr="00E23CFC" w:rsidRDefault="003A00FF">
      <w:pPr>
        <w:widowControl w:val="0"/>
        <w:tabs>
          <w:tab w:val="left" w:pos="900"/>
        </w:tabs>
        <w:autoSpaceDE w:val="0"/>
        <w:autoSpaceDN w:val="0"/>
        <w:adjustRightInd w:val="0"/>
        <w:ind w:firstLine="709"/>
        <w:jc w:val="both"/>
      </w:pPr>
    </w:p>
    <w:p w:rsidR="00FD63AB" w:rsidRPr="00E23CFC" w:rsidRDefault="00FD63AB">
      <w:pPr>
        <w:widowControl w:val="0"/>
        <w:tabs>
          <w:tab w:val="left" w:pos="900"/>
        </w:tabs>
        <w:autoSpaceDE w:val="0"/>
        <w:autoSpaceDN w:val="0"/>
        <w:adjustRightInd w:val="0"/>
        <w:jc w:val="both"/>
      </w:pPr>
    </w:p>
    <w:p w:rsidR="00FD63AB" w:rsidRPr="00E23CFC" w:rsidRDefault="00FD63AB">
      <w:pPr>
        <w:widowControl w:val="0"/>
        <w:autoSpaceDE w:val="0"/>
        <w:autoSpaceDN w:val="0"/>
        <w:adjustRightInd w:val="0"/>
      </w:pPr>
    </w:p>
    <w:tbl>
      <w:tblPr>
        <w:tblW w:w="0" w:type="auto"/>
        <w:tblInd w:w="108" w:type="dxa"/>
        <w:tblLayout w:type="fixed"/>
        <w:tblLook w:val="0000" w:firstRow="0" w:lastRow="0" w:firstColumn="0" w:lastColumn="0" w:noHBand="0" w:noVBand="0"/>
      </w:tblPr>
      <w:tblGrid>
        <w:gridCol w:w="4704"/>
        <w:gridCol w:w="5124"/>
      </w:tblGrid>
      <w:tr w:rsidR="00FD63AB" w:rsidRPr="00E23CFC">
        <w:trPr>
          <w:trHeight w:val="1"/>
        </w:trPr>
        <w:tc>
          <w:tcPr>
            <w:tcW w:w="4704" w:type="dxa"/>
            <w:tcBorders>
              <w:top w:val="nil"/>
              <w:left w:val="nil"/>
              <w:bottom w:val="nil"/>
              <w:right w:val="nil"/>
            </w:tcBorders>
            <w:shd w:val="clear" w:color="000000" w:fill="FFFFFF"/>
          </w:tcPr>
          <w:p w:rsidR="00FD63AB" w:rsidRPr="00E23CFC" w:rsidRDefault="00FD63AB">
            <w:pPr>
              <w:widowControl w:val="0"/>
              <w:autoSpaceDE w:val="0"/>
              <w:autoSpaceDN w:val="0"/>
              <w:adjustRightInd w:val="0"/>
              <w:rPr>
                <w:rFonts w:ascii="Calibri" w:hAnsi="Calibri" w:cs="Calibri"/>
                <w:sz w:val="22"/>
                <w:szCs w:val="22"/>
              </w:rPr>
            </w:pPr>
            <w:r w:rsidRPr="00E23CFC">
              <w:t xml:space="preserve">Direktorius </w:t>
            </w:r>
          </w:p>
        </w:tc>
        <w:tc>
          <w:tcPr>
            <w:tcW w:w="5124" w:type="dxa"/>
            <w:tcBorders>
              <w:top w:val="nil"/>
              <w:left w:val="nil"/>
              <w:bottom w:val="nil"/>
              <w:right w:val="nil"/>
            </w:tcBorders>
            <w:shd w:val="clear" w:color="000000" w:fill="FFFFFF"/>
          </w:tcPr>
          <w:p w:rsidR="00FD63AB" w:rsidRPr="00E23CFC" w:rsidRDefault="00FD63AB">
            <w:pPr>
              <w:widowControl w:val="0"/>
              <w:autoSpaceDE w:val="0"/>
              <w:autoSpaceDN w:val="0"/>
              <w:adjustRightInd w:val="0"/>
              <w:jc w:val="right"/>
              <w:rPr>
                <w:rFonts w:ascii="Calibri" w:hAnsi="Calibri" w:cs="Calibri"/>
                <w:sz w:val="22"/>
                <w:szCs w:val="22"/>
              </w:rPr>
            </w:pPr>
            <w:r w:rsidRPr="00E23CFC">
              <w:t xml:space="preserve">Žydrūnas </w:t>
            </w:r>
            <w:proofErr w:type="spellStart"/>
            <w:r w:rsidRPr="00E23CFC">
              <w:t>Plytnikas</w:t>
            </w:r>
            <w:proofErr w:type="spellEnd"/>
          </w:p>
        </w:tc>
      </w:tr>
    </w:tbl>
    <w:p w:rsidR="00FD63AB" w:rsidRPr="00E23CFC" w:rsidRDefault="00FD63AB">
      <w:pPr>
        <w:widowControl w:val="0"/>
        <w:autoSpaceDE w:val="0"/>
        <w:autoSpaceDN w:val="0"/>
        <w:adjustRightInd w:val="0"/>
      </w:pPr>
    </w:p>
    <w:p w:rsidR="00FD63AB" w:rsidRDefault="00FD63AB">
      <w:pPr>
        <w:widowControl w:val="0"/>
        <w:autoSpaceDE w:val="0"/>
        <w:autoSpaceDN w:val="0"/>
        <w:adjustRightInd w:val="0"/>
      </w:pPr>
    </w:p>
    <w:p w:rsidR="000E61AF" w:rsidRDefault="000E61AF">
      <w:pPr>
        <w:widowControl w:val="0"/>
        <w:autoSpaceDE w:val="0"/>
        <w:autoSpaceDN w:val="0"/>
        <w:adjustRightInd w:val="0"/>
      </w:pPr>
    </w:p>
    <w:p w:rsidR="000E61AF" w:rsidRDefault="000E61AF">
      <w:pPr>
        <w:widowControl w:val="0"/>
        <w:autoSpaceDE w:val="0"/>
        <w:autoSpaceDN w:val="0"/>
        <w:adjustRightInd w:val="0"/>
      </w:pPr>
    </w:p>
    <w:p w:rsidR="000E61AF" w:rsidRDefault="000E61AF">
      <w:pPr>
        <w:widowControl w:val="0"/>
        <w:autoSpaceDE w:val="0"/>
        <w:autoSpaceDN w:val="0"/>
        <w:adjustRightInd w:val="0"/>
      </w:pPr>
    </w:p>
    <w:p w:rsidR="000E61AF" w:rsidRDefault="000E61AF">
      <w:pPr>
        <w:widowControl w:val="0"/>
        <w:autoSpaceDE w:val="0"/>
        <w:autoSpaceDN w:val="0"/>
        <w:adjustRightInd w:val="0"/>
      </w:pPr>
    </w:p>
    <w:p w:rsidR="003A00FF" w:rsidRDefault="003A00FF">
      <w:pPr>
        <w:widowControl w:val="0"/>
        <w:autoSpaceDE w:val="0"/>
        <w:autoSpaceDN w:val="0"/>
        <w:adjustRightInd w:val="0"/>
      </w:pPr>
    </w:p>
    <w:p w:rsidR="003A00FF" w:rsidRDefault="003A00FF">
      <w:pPr>
        <w:widowControl w:val="0"/>
        <w:autoSpaceDE w:val="0"/>
        <w:autoSpaceDN w:val="0"/>
        <w:adjustRightInd w:val="0"/>
      </w:pPr>
    </w:p>
    <w:p w:rsidR="0068747F" w:rsidRDefault="0068747F">
      <w:pPr>
        <w:widowControl w:val="0"/>
        <w:autoSpaceDE w:val="0"/>
        <w:autoSpaceDN w:val="0"/>
        <w:adjustRightInd w:val="0"/>
      </w:pPr>
    </w:p>
    <w:p w:rsidR="0068747F" w:rsidRDefault="0068747F">
      <w:pPr>
        <w:widowControl w:val="0"/>
        <w:autoSpaceDE w:val="0"/>
        <w:autoSpaceDN w:val="0"/>
        <w:adjustRightInd w:val="0"/>
      </w:pPr>
    </w:p>
    <w:p w:rsidR="0068747F" w:rsidRDefault="0068747F">
      <w:pPr>
        <w:widowControl w:val="0"/>
        <w:autoSpaceDE w:val="0"/>
        <w:autoSpaceDN w:val="0"/>
        <w:adjustRightInd w:val="0"/>
      </w:pPr>
    </w:p>
    <w:p w:rsidR="0068747F" w:rsidRDefault="0068747F">
      <w:pPr>
        <w:widowControl w:val="0"/>
        <w:autoSpaceDE w:val="0"/>
        <w:autoSpaceDN w:val="0"/>
        <w:adjustRightInd w:val="0"/>
      </w:pPr>
    </w:p>
    <w:p w:rsidR="0068747F" w:rsidRDefault="0068747F">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987F4C" w:rsidRDefault="00987F4C">
      <w:pPr>
        <w:widowControl w:val="0"/>
        <w:autoSpaceDE w:val="0"/>
        <w:autoSpaceDN w:val="0"/>
        <w:adjustRightInd w:val="0"/>
      </w:pPr>
    </w:p>
    <w:p w:rsidR="0046543A" w:rsidRDefault="0046543A">
      <w:pPr>
        <w:widowControl w:val="0"/>
        <w:autoSpaceDE w:val="0"/>
        <w:autoSpaceDN w:val="0"/>
        <w:adjustRightInd w:val="0"/>
      </w:pPr>
    </w:p>
    <w:p w:rsidR="00FD63AB" w:rsidRPr="00E23CFC" w:rsidRDefault="00FD63AB">
      <w:pPr>
        <w:widowControl w:val="0"/>
        <w:autoSpaceDE w:val="0"/>
        <w:autoSpaceDN w:val="0"/>
        <w:adjustRightInd w:val="0"/>
      </w:pPr>
      <w:r w:rsidRPr="00E23CFC">
        <w:t>J. Grudinkė, tel.: (8 5) 219 7030, el.</w:t>
      </w:r>
      <w:bookmarkStart w:id="0" w:name="_GoBack"/>
      <w:bookmarkEnd w:id="0"/>
      <w:r w:rsidRPr="00E23CFC">
        <w:t xml:space="preserve"> p.: Julija.Grudinke@vpt.lt</w:t>
      </w:r>
    </w:p>
    <w:sectPr w:rsidR="00FD63AB" w:rsidRPr="00E23CFC" w:rsidSect="00D8007E">
      <w:headerReference w:type="default" r:id="rId9"/>
      <w:pgSz w:w="12240" w:h="15840"/>
      <w:pgMar w:top="993" w:right="758" w:bottom="1440" w:left="1800" w:header="567" w:footer="567" w:gutter="0"/>
      <w:pgNumType w:start="1"/>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60" w:rsidRDefault="007B2360" w:rsidP="00100E1E">
      <w:r>
        <w:separator/>
      </w:r>
    </w:p>
  </w:endnote>
  <w:endnote w:type="continuationSeparator" w:id="0">
    <w:p w:rsidR="007B2360" w:rsidRDefault="007B2360" w:rsidP="0010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60" w:rsidRDefault="007B2360" w:rsidP="00100E1E">
      <w:r>
        <w:separator/>
      </w:r>
    </w:p>
  </w:footnote>
  <w:footnote w:type="continuationSeparator" w:id="0">
    <w:p w:rsidR="007B2360" w:rsidRDefault="007B2360" w:rsidP="00100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E1E" w:rsidRDefault="00100E1E">
    <w:pPr>
      <w:pStyle w:val="Antrats"/>
      <w:jc w:val="center"/>
    </w:pPr>
    <w:r>
      <w:fldChar w:fldCharType="begin"/>
    </w:r>
    <w:r>
      <w:instrText>PAGE   \* MERGEFORMAT</w:instrText>
    </w:r>
    <w:r>
      <w:fldChar w:fldCharType="separate"/>
    </w:r>
    <w:r w:rsidR="0046543A">
      <w:rPr>
        <w:noProof/>
      </w:rPr>
      <w:t>4</w:t>
    </w:r>
    <w:r>
      <w:fldChar w:fldCharType="end"/>
    </w:r>
  </w:p>
  <w:p w:rsidR="00100E1E" w:rsidRDefault="00100E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trackRevisions/>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7"/>
    <w:rsid w:val="000131E6"/>
    <w:rsid w:val="00025BE3"/>
    <w:rsid w:val="00040C0F"/>
    <w:rsid w:val="00047391"/>
    <w:rsid w:val="000474BE"/>
    <w:rsid w:val="000646A4"/>
    <w:rsid w:val="00082ECE"/>
    <w:rsid w:val="0008689A"/>
    <w:rsid w:val="000E559F"/>
    <w:rsid w:val="000E61AF"/>
    <w:rsid w:val="000E7E77"/>
    <w:rsid w:val="000F0C0A"/>
    <w:rsid w:val="000F728F"/>
    <w:rsid w:val="00100E1E"/>
    <w:rsid w:val="001532BA"/>
    <w:rsid w:val="00163E84"/>
    <w:rsid w:val="00182568"/>
    <w:rsid w:val="001B2FC3"/>
    <w:rsid w:val="001C4917"/>
    <w:rsid w:val="001E1F59"/>
    <w:rsid w:val="001F50B2"/>
    <w:rsid w:val="00227C4A"/>
    <w:rsid w:val="002300AF"/>
    <w:rsid w:val="002426A3"/>
    <w:rsid w:val="00261E1D"/>
    <w:rsid w:val="002A1344"/>
    <w:rsid w:val="002D3F3B"/>
    <w:rsid w:val="002E40B5"/>
    <w:rsid w:val="002E5C58"/>
    <w:rsid w:val="002F0298"/>
    <w:rsid w:val="002F7275"/>
    <w:rsid w:val="00304785"/>
    <w:rsid w:val="00311F31"/>
    <w:rsid w:val="00333DA4"/>
    <w:rsid w:val="0034007E"/>
    <w:rsid w:val="00344A2F"/>
    <w:rsid w:val="003500FB"/>
    <w:rsid w:val="00357B71"/>
    <w:rsid w:val="00381447"/>
    <w:rsid w:val="003A00FF"/>
    <w:rsid w:val="003D66AC"/>
    <w:rsid w:val="003E7619"/>
    <w:rsid w:val="003F601F"/>
    <w:rsid w:val="00400094"/>
    <w:rsid w:val="004257AC"/>
    <w:rsid w:val="00440DD9"/>
    <w:rsid w:val="00453EC0"/>
    <w:rsid w:val="0046543A"/>
    <w:rsid w:val="00487310"/>
    <w:rsid w:val="004873D9"/>
    <w:rsid w:val="00487B4D"/>
    <w:rsid w:val="004920CB"/>
    <w:rsid w:val="004927DD"/>
    <w:rsid w:val="004F06AB"/>
    <w:rsid w:val="00502D27"/>
    <w:rsid w:val="0051484C"/>
    <w:rsid w:val="00534FBC"/>
    <w:rsid w:val="00540FF3"/>
    <w:rsid w:val="005775E2"/>
    <w:rsid w:val="005779E7"/>
    <w:rsid w:val="00583FED"/>
    <w:rsid w:val="005B159F"/>
    <w:rsid w:val="005D6949"/>
    <w:rsid w:val="005E37A7"/>
    <w:rsid w:val="005F6A75"/>
    <w:rsid w:val="00625A04"/>
    <w:rsid w:val="00635B35"/>
    <w:rsid w:val="006408AC"/>
    <w:rsid w:val="0064710C"/>
    <w:rsid w:val="0065230D"/>
    <w:rsid w:val="0068636C"/>
    <w:rsid w:val="0068747F"/>
    <w:rsid w:val="006D508C"/>
    <w:rsid w:val="006D508F"/>
    <w:rsid w:val="007107FB"/>
    <w:rsid w:val="00717994"/>
    <w:rsid w:val="007A3570"/>
    <w:rsid w:val="007A3B2A"/>
    <w:rsid w:val="007B2360"/>
    <w:rsid w:val="007C6F86"/>
    <w:rsid w:val="007E2518"/>
    <w:rsid w:val="00817882"/>
    <w:rsid w:val="0084557D"/>
    <w:rsid w:val="0084561D"/>
    <w:rsid w:val="00896CCC"/>
    <w:rsid w:val="008D60D2"/>
    <w:rsid w:val="008E7F55"/>
    <w:rsid w:val="0091769F"/>
    <w:rsid w:val="00935F8B"/>
    <w:rsid w:val="00966CDF"/>
    <w:rsid w:val="00970A1F"/>
    <w:rsid w:val="00970AE7"/>
    <w:rsid w:val="0098191E"/>
    <w:rsid w:val="00987F4C"/>
    <w:rsid w:val="009A2410"/>
    <w:rsid w:val="009B4ACE"/>
    <w:rsid w:val="009D34C1"/>
    <w:rsid w:val="009E2B04"/>
    <w:rsid w:val="00A13BBA"/>
    <w:rsid w:val="00A335FC"/>
    <w:rsid w:val="00A46B39"/>
    <w:rsid w:val="00A47C94"/>
    <w:rsid w:val="00A65759"/>
    <w:rsid w:val="00A74543"/>
    <w:rsid w:val="00AA2ACC"/>
    <w:rsid w:val="00B05254"/>
    <w:rsid w:val="00B15A34"/>
    <w:rsid w:val="00B207E7"/>
    <w:rsid w:val="00B26F43"/>
    <w:rsid w:val="00B73F78"/>
    <w:rsid w:val="00BB39C3"/>
    <w:rsid w:val="00BB4750"/>
    <w:rsid w:val="00BC7BAA"/>
    <w:rsid w:val="00BD139D"/>
    <w:rsid w:val="00BD181C"/>
    <w:rsid w:val="00BF6EDD"/>
    <w:rsid w:val="00C056F8"/>
    <w:rsid w:val="00C065A7"/>
    <w:rsid w:val="00C913AD"/>
    <w:rsid w:val="00CA52A7"/>
    <w:rsid w:val="00CB6644"/>
    <w:rsid w:val="00CC76DC"/>
    <w:rsid w:val="00CD0F73"/>
    <w:rsid w:val="00CD2FC8"/>
    <w:rsid w:val="00CD3691"/>
    <w:rsid w:val="00CE4160"/>
    <w:rsid w:val="00CE7FDE"/>
    <w:rsid w:val="00D107F9"/>
    <w:rsid w:val="00D321D0"/>
    <w:rsid w:val="00D336E5"/>
    <w:rsid w:val="00D34D11"/>
    <w:rsid w:val="00D37DAB"/>
    <w:rsid w:val="00D471D0"/>
    <w:rsid w:val="00D5412A"/>
    <w:rsid w:val="00D8007E"/>
    <w:rsid w:val="00DA5C36"/>
    <w:rsid w:val="00DC33F3"/>
    <w:rsid w:val="00DD03EF"/>
    <w:rsid w:val="00E20FE7"/>
    <w:rsid w:val="00E23CFC"/>
    <w:rsid w:val="00E401ED"/>
    <w:rsid w:val="00E53651"/>
    <w:rsid w:val="00E843CB"/>
    <w:rsid w:val="00EC1F4C"/>
    <w:rsid w:val="00EF661C"/>
    <w:rsid w:val="00F20010"/>
    <w:rsid w:val="00F201C8"/>
    <w:rsid w:val="00F3031D"/>
    <w:rsid w:val="00F82AC1"/>
    <w:rsid w:val="00F958AC"/>
    <w:rsid w:val="00FC7163"/>
    <w:rsid w:val="00FD63AB"/>
    <w:rsid w:val="00FE1913"/>
    <w:rsid w:val="00FF7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sz w:val="24"/>
      <w:szCs w:val="24"/>
    </w:rPr>
  </w:style>
  <w:style w:type="paragraph" w:styleId="Antrat3">
    <w:name w:val="heading 3"/>
    <w:basedOn w:val="prastasis"/>
    <w:link w:val="Antrat3Diagrama"/>
    <w:uiPriority w:val="99"/>
    <w:qFormat/>
    <w:rsid w:val="00EF661C"/>
    <w:pPr>
      <w:spacing w:before="100" w:beforeAutospacing="1" w:after="100" w:afterAutospacing="1"/>
      <w:outlineLvl w:val="2"/>
    </w:pPr>
    <w:rPr>
      <w:b/>
      <w:bCs/>
      <w:sz w:val="27"/>
      <w:szCs w:val="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rPr>
  </w:style>
  <w:style w:type="character" w:customStyle="1" w:styleId="apple-converted-space">
    <w:name w:val="apple-converted-space"/>
    <w:basedOn w:val="Numatytasispastraiposriftas"/>
    <w:uiPriority w:val="99"/>
    <w:rsid w:val="00EF661C"/>
    <w:rPr>
      <w:rFonts w:cs="Times New Roman"/>
    </w:rPr>
  </w:style>
  <w:style w:type="character" w:styleId="Hipersaitas">
    <w:name w:val="Hyperlink"/>
    <w:basedOn w:val="Numatytasispastraiposriftas"/>
    <w:uiPriority w:val="99"/>
    <w:rsid w:val="00333DA4"/>
    <w:rPr>
      <w:rFonts w:cs="Times New Roman"/>
      <w:color w:val="0000FF"/>
      <w:u w:val="single"/>
    </w:rPr>
  </w:style>
  <w:style w:type="paragraph" w:styleId="Antrats">
    <w:name w:val="header"/>
    <w:basedOn w:val="prastasis"/>
    <w:link w:val="AntratsDiagrama"/>
    <w:uiPriority w:val="99"/>
    <w:unhideWhenUsed/>
    <w:rsid w:val="00100E1E"/>
    <w:pPr>
      <w:tabs>
        <w:tab w:val="center" w:pos="4819"/>
        <w:tab w:val="right" w:pos="9638"/>
      </w:tabs>
    </w:pPr>
  </w:style>
  <w:style w:type="character" w:customStyle="1" w:styleId="AntratsDiagrama">
    <w:name w:val="Antraštės Diagrama"/>
    <w:basedOn w:val="Numatytasispastraiposriftas"/>
    <w:link w:val="Antrats"/>
    <w:uiPriority w:val="99"/>
    <w:locked/>
    <w:rsid w:val="00100E1E"/>
    <w:rPr>
      <w:rFonts w:cs="Times New Roman"/>
      <w:sz w:val="24"/>
      <w:szCs w:val="24"/>
    </w:rPr>
  </w:style>
  <w:style w:type="paragraph" w:styleId="Porat">
    <w:name w:val="footer"/>
    <w:basedOn w:val="prastasis"/>
    <w:link w:val="PoratDiagrama"/>
    <w:uiPriority w:val="99"/>
    <w:unhideWhenUsed/>
    <w:rsid w:val="00100E1E"/>
    <w:pPr>
      <w:tabs>
        <w:tab w:val="center" w:pos="4819"/>
        <w:tab w:val="right" w:pos="9638"/>
      </w:tabs>
    </w:pPr>
  </w:style>
  <w:style w:type="character" w:customStyle="1" w:styleId="PoratDiagrama">
    <w:name w:val="Poraštė Diagrama"/>
    <w:basedOn w:val="Numatytasispastraiposriftas"/>
    <w:link w:val="Porat"/>
    <w:uiPriority w:val="99"/>
    <w:locked/>
    <w:rsid w:val="00100E1E"/>
    <w:rPr>
      <w:rFonts w:cs="Times New Roman"/>
      <w:sz w:val="24"/>
      <w:szCs w:val="24"/>
    </w:rPr>
  </w:style>
  <w:style w:type="paragraph" w:styleId="Debesliotekstas">
    <w:name w:val="Balloon Text"/>
    <w:basedOn w:val="prastasis"/>
    <w:link w:val="DebesliotekstasDiagrama"/>
    <w:uiPriority w:val="99"/>
    <w:semiHidden/>
    <w:unhideWhenUsed/>
    <w:rsid w:val="00F200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20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sz w:val="24"/>
      <w:szCs w:val="24"/>
    </w:rPr>
  </w:style>
  <w:style w:type="paragraph" w:styleId="Antrat3">
    <w:name w:val="heading 3"/>
    <w:basedOn w:val="prastasis"/>
    <w:link w:val="Antrat3Diagrama"/>
    <w:uiPriority w:val="99"/>
    <w:qFormat/>
    <w:rsid w:val="00EF661C"/>
    <w:pPr>
      <w:spacing w:before="100" w:beforeAutospacing="1" w:after="100" w:afterAutospacing="1"/>
      <w:outlineLvl w:val="2"/>
    </w:pPr>
    <w:rPr>
      <w:b/>
      <w:bCs/>
      <w:sz w:val="27"/>
      <w:szCs w:val="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rPr>
  </w:style>
  <w:style w:type="character" w:customStyle="1" w:styleId="apple-converted-space">
    <w:name w:val="apple-converted-space"/>
    <w:basedOn w:val="Numatytasispastraiposriftas"/>
    <w:uiPriority w:val="99"/>
    <w:rsid w:val="00EF661C"/>
    <w:rPr>
      <w:rFonts w:cs="Times New Roman"/>
    </w:rPr>
  </w:style>
  <w:style w:type="character" w:styleId="Hipersaitas">
    <w:name w:val="Hyperlink"/>
    <w:basedOn w:val="Numatytasispastraiposriftas"/>
    <w:uiPriority w:val="99"/>
    <w:rsid w:val="00333DA4"/>
    <w:rPr>
      <w:rFonts w:cs="Times New Roman"/>
      <w:color w:val="0000FF"/>
      <w:u w:val="single"/>
    </w:rPr>
  </w:style>
  <w:style w:type="paragraph" w:styleId="Antrats">
    <w:name w:val="header"/>
    <w:basedOn w:val="prastasis"/>
    <w:link w:val="AntratsDiagrama"/>
    <w:uiPriority w:val="99"/>
    <w:unhideWhenUsed/>
    <w:rsid w:val="00100E1E"/>
    <w:pPr>
      <w:tabs>
        <w:tab w:val="center" w:pos="4819"/>
        <w:tab w:val="right" w:pos="9638"/>
      </w:tabs>
    </w:pPr>
  </w:style>
  <w:style w:type="character" w:customStyle="1" w:styleId="AntratsDiagrama">
    <w:name w:val="Antraštės Diagrama"/>
    <w:basedOn w:val="Numatytasispastraiposriftas"/>
    <w:link w:val="Antrats"/>
    <w:uiPriority w:val="99"/>
    <w:locked/>
    <w:rsid w:val="00100E1E"/>
    <w:rPr>
      <w:rFonts w:cs="Times New Roman"/>
      <w:sz w:val="24"/>
      <w:szCs w:val="24"/>
    </w:rPr>
  </w:style>
  <w:style w:type="paragraph" w:styleId="Porat">
    <w:name w:val="footer"/>
    <w:basedOn w:val="prastasis"/>
    <w:link w:val="PoratDiagrama"/>
    <w:uiPriority w:val="99"/>
    <w:unhideWhenUsed/>
    <w:rsid w:val="00100E1E"/>
    <w:pPr>
      <w:tabs>
        <w:tab w:val="center" w:pos="4819"/>
        <w:tab w:val="right" w:pos="9638"/>
      </w:tabs>
    </w:pPr>
  </w:style>
  <w:style w:type="character" w:customStyle="1" w:styleId="PoratDiagrama">
    <w:name w:val="Poraštė Diagrama"/>
    <w:basedOn w:val="Numatytasispastraiposriftas"/>
    <w:link w:val="Porat"/>
    <w:uiPriority w:val="99"/>
    <w:locked/>
    <w:rsid w:val="00100E1E"/>
    <w:rPr>
      <w:rFonts w:cs="Times New Roman"/>
      <w:sz w:val="24"/>
      <w:szCs w:val="24"/>
    </w:rPr>
  </w:style>
  <w:style w:type="paragraph" w:styleId="Debesliotekstas">
    <w:name w:val="Balloon Text"/>
    <w:basedOn w:val="prastasis"/>
    <w:link w:val="DebesliotekstasDiagrama"/>
    <w:uiPriority w:val="99"/>
    <w:semiHidden/>
    <w:unhideWhenUsed/>
    <w:rsid w:val="00F200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20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064534">
      <w:marLeft w:val="225"/>
      <w:marRight w:val="225"/>
      <w:marTop w:val="0"/>
      <w:marBottom w:val="0"/>
      <w:divBdr>
        <w:top w:val="none" w:sz="0" w:space="0" w:color="auto"/>
        <w:left w:val="none" w:sz="0" w:space="0" w:color="auto"/>
        <w:bottom w:val="none" w:sz="0" w:space="0" w:color="auto"/>
        <w:right w:val="none" w:sz="0" w:space="0" w:color="auto"/>
      </w:divBdr>
      <w:divsChild>
        <w:div w:id="1995064535">
          <w:marLeft w:val="0"/>
          <w:marRight w:val="0"/>
          <w:marTop w:val="0"/>
          <w:marBottom w:val="0"/>
          <w:divBdr>
            <w:top w:val="none" w:sz="0" w:space="0" w:color="auto"/>
            <w:left w:val="none" w:sz="0" w:space="0" w:color="auto"/>
            <w:bottom w:val="none" w:sz="0" w:space="0" w:color="auto"/>
            <w:right w:val="none" w:sz="0" w:space="0" w:color="auto"/>
          </w:divBdr>
        </w:div>
      </w:divsChild>
    </w:div>
    <w:div w:id="1995064536">
      <w:marLeft w:val="0"/>
      <w:marRight w:val="0"/>
      <w:marTop w:val="0"/>
      <w:marBottom w:val="0"/>
      <w:divBdr>
        <w:top w:val="none" w:sz="0" w:space="0" w:color="auto"/>
        <w:left w:val="none" w:sz="0" w:space="0" w:color="auto"/>
        <w:bottom w:val="none" w:sz="0" w:space="0" w:color="auto"/>
        <w:right w:val="none" w:sz="0" w:space="0" w:color="auto"/>
      </w:divBdr>
    </w:div>
    <w:div w:id="1995064537">
      <w:marLeft w:val="0"/>
      <w:marRight w:val="0"/>
      <w:marTop w:val="0"/>
      <w:marBottom w:val="0"/>
      <w:divBdr>
        <w:top w:val="none" w:sz="0" w:space="0" w:color="auto"/>
        <w:left w:val="none" w:sz="0" w:space="0" w:color="auto"/>
        <w:bottom w:val="none" w:sz="0" w:space="0" w:color="auto"/>
        <w:right w:val="none" w:sz="0" w:space="0" w:color="auto"/>
      </w:divBdr>
    </w:div>
    <w:div w:id="1995064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2251</Words>
  <Characters>15436</Characters>
  <Application>Microsoft Office Word</Application>
  <DocSecurity>0</DocSecurity>
  <Lines>128</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Julija Grudinkė</cp:lastModifiedBy>
  <cp:revision>3</cp:revision>
  <cp:lastPrinted>2013-12-05T11:59:00Z</cp:lastPrinted>
  <dcterms:created xsi:type="dcterms:W3CDTF">2013-12-05T12:31:00Z</dcterms:created>
  <dcterms:modified xsi:type="dcterms:W3CDTF">2013-12-05T13:38:00Z</dcterms:modified>
</cp:coreProperties>
</file>