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907C82" w:rsidRPr="008678FF" w:rsidRDefault="00364784" w:rsidP="008678FF">
      <w:pPr>
        <w:jc w:val="center"/>
        <w:rPr>
          <w:sz w:val="24"/>
          <w:szCs w:val="24"/>
        </w:rPr>
      </w:pPr>
      <w:r w:rsidRPr="008678FF">
        <w:rPr>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5pt;height:47.8pt" o:ole="" fillcolor="window">
            <v:imagedata r:id="rId8" o:title=""/>
          </v:shape>
          <o:OLEObject Type="Embed" ProgID="Word.Picture.8" ShapeID="_x0000_i1025" DrawAspect="Content" ObjectID="_1446014186" r:id="rId9"/>
        </w:object>
      </w:r>
    </w:p>
    <w:p w:rsidR="00CD0D68" w:rsidRPr="008678FF" w:rsidRDefault="00CD0D68" w:rsidP="008678FF">
      <w:pPr>
        <w:jc w:val="center"/>
        <w:rPr>
          <w:sz w:val="24"/>
          <w:szCs w:val="24"/>
        </w:rPr>
      </w:pPr>
    </w:p>
    <w:p w:rsidR="00351E8D" w:rsidRPr="008678FF" w:rsidRDefault="00351E8D" w:rsidP="008678FF">
      <w:pPr>
        <w:pStyle w:val="Heading1"/>
        <w:tabs>
          <w:tab w:val="left" w:pos="900"/>
        </w:tabs>
        <w:jc w:val="center"/>
        <w:rPr>
          <w:sz w:val="24"/>
          <w:szCs w:val="24"/>
        </w:rPr>
      </w:pPr>
      <w:r w:rsidRPr="008678FF">
        <w:rPr>
          <w:sz w:val="24"/>
          <w:szCs w:val="24"/>
        </w:rPr>
        <w:t>VIEŠŲJŲ PIRKIMŲ TARNYBA</w:t>
      </w:r>
    </w:p>
    <w:p w:rsidR="00351E8D" w:rsidRPr="008678FF" w:rsidRDefault="00351E8D" w:rsidP="008678FF">
      <w:pPr>
        <w:tabs>
          <w:tab w:val="left" w:pos="900"/>
        </w:tabs>
        <w:rPr>
          <w:bCs/>
          <w:sz w:val="24"/>
          <w:szCs w:val="24"/>
        </w:rPr>
      </w:pPr>
    </w:p>
    <w:p w:rsidR="00F90553" w:rsidRPr="008678FF" w:rsidRDefault="00F90553" w:rsidP="008678FF">
      <w:pPr>
        <w:tabs>
          <w:tab w:val="left" w:pos="900"/>
        </w:tabs>
        <w:rPr>
          <w:bCs/>
          <w:sz w:val="24"/>
          <w:szCs w:val="24"/>
        </w:rPr>
      </w:pPr>
    </w:p>
    <w:tbl>
      <w:tblPr>
        <w:tblW w:w="9356" w:type="dxa"/>
        <w:tblInd w:w="108" w:type="dxa"/>
        <w:tblLayout w:type="fixed"/>
        <w:tblLook w:val="0000"/>
      </w:tblPr>
      <w:tblGrid>
        <w:gridCol w:w="5040"/>
        <w:gridCol w:w="236"/>
        <w:gridCol w:w="1390"/>
        <w:gridCol w:w="567"/>
        <w:gridCol w:w="2123"/>
      </w:tblGrid>
      <w:tr w:rsidR="004007F8" w:rsidRPr="008678FF" w:rsidTr="004007F8">
        <w:trPr>
          <w:cantSplit/>
        </w:trPr>
        <w:tc>
          <w:tcPr>
            <w:tcW w:w="5040" w:type="dxa"/>
          </w:tcPr>
          <w:p w:rsidR="004007F8" w:rsidRPr="008678FF" w:rsidRDefault="004007F8" w:rsidP="008678FF">
            <w:pPr>
              <w:tabs>
                <w:tab w:val="left" w:pos="900"/>
              </w:tabs>
              <w:rPr>
                <w:bCs/>
                <w:sz w:val="24"/>
                <w:szCs w:val="24"/>
              </w:rPr>
            </w:pPr>
          </w:p>
          <w:p w:rsidR="004007F8" w:rsidRPr="008678FF" w:rsidRDefault="0051166A" w:rsidP="008678FF">
            <w:pPr>
              <w:tabs>
                <w:tab w:val="left" w:pos="900"/>
              </w:tabs>
              <w:rPr>
                <w:bCs/>
                <w:sz w:val="24"/>
                <w:szCs w:val="24"/>
              </w:rPr>
            </w:pPr>
            <w:r w:rsidRPr="008678FF">
              <w:rPr>
                <w:bCs/>
                <w:sz w:val="24"/>
                <w:szCs w:val="24"/>
              </w:rPr>
              <w:t>Panevėžio miesto savivaldybės administracijai</w:t>
            </w:r>
          </w:p>
          <w:p w:rsidR="004007F8" w:rsidRPr="008678FF" w:rsidRDefault="004007F8" w:rsidP="008678FF">
            <w:pPr>
              <w:tabs>
                <w:tab w:val="left" w:pos="900"/>
              </w:tabs>
              <w:rPr>
                <w:bCs/>
                <w:sz w:val="24"/>
                <w:szCs w:val="24"/>
              </w:rPr>
            </w:pPr>
          </w:p>
          <w:p w:rsidR="004007F8" w:rsidRPr="008678FF" w:rsidRDefault="0051166A" w:rsidP="008678FF">
            <w:pPr>
              <w:tabs>
                <w:tab w:val="left" w:pos="900"/>
              </w:tabs>
              <w:rPr>
                <w:bCs/>
                <w:sz w:val="24"/>
                <w:szCs w:val="24"/>
              </w:rPr>
            </w:pPr>
            <w:r w:rsidRPr="008678FF">
              <w:rPr>
                <w:bCs/>
                <w:sz w:val="24"/>
                <w:szCs w:val="24"/>
              </w:rPr>
              <w:t>Laisvės a. 20</w:t>
            </w:r>
          </w:p>
          <w:p w:rsidR="004007F8" w:rsidRPr="008678FF" w:rsidRDefault="004007F8" w:rsidP="008678FF">
            <w:pPr>
              <w:tabs>
                <w:tab w:val="left" w:pos="900"/>
              </w:tabs>
              <w:rPr>
                <w:bCs/>
                <w:sz w:val="24"/>
                <w:szCs w:val="24"/>
              </w:rPr>
            </w:pPr>
            <w:r w:rsidRPr="008678FF">
              <w:rPr>
                <w:bCs/>
                <w:sz w:val="24"/>
                <w:szCs w:val="24"/>
              </w:rPr>
              <w:t>LT-</w:t>
            </w:r>
            <w:r w:rsidR="0051166A" w:rsidRPr="008678FF">
              <w:rPr>
                <w:bCs/>
                <w:sz w:val="24"/>
                <w:szCs w:val="24"/>
              </w:rPr>
              <w:t>35200</w:t>
            </w:r>
            <w:r w:rsidRPr="008678FF">
              <w:rPr>
                <w:bCs/>
                <w:sz w:val="24"/>
                <w:szCs w:val="24"/>
              </w:rPr>
              <w:t xml:space="preserve"> </w:t>
            </w:r>
            <w:r w:rsidR="0051166A" w:rsidRPr="008678FF">
              <w:rPr>
                <w:bCs/>
                <w:sz w:val="24"/>
                <w:szCs w:val="24"/>
              </w:rPr>
              <w:t>Panevėžys</w:t>
            </w:r>
          </w:p>
        </w:tc>
        <w:tc>
          <w:tcPr>
            <w:tcW w:w="236" w:type="dxa"/>
          </w:tcPr>
          <w:p w:rsidR="004007F8" w:rsidRPr="008678FF" w:rsidRDefault="004007F8" w:rsidP="008678FF">
            <w:pPr>
              <w:tabs>
                <w:tab w:val="left" w:pos="900"/>
              </w:tabs>
              <w:rPr>
                <w:bCs/>
                <w:sz w:val="24"/>
                <w:szCs w:val="24"/>
              </w:rPr>
            </w:pPr>
          </w:p>
          <w:p w:rsidR="004007F8" w:rsidRPr="008678FF" w:rsidRDefault="004007F8" w:rsidP="008678FF">
            <w:pPr>
              <w:tabs>
                <w:tab w:val="left" w:pos="900"/>
              </w:tabs>
              <w:rPr>
                <w:bCs/>
                <w:sz w:val="24"/>
                <w:szCs w:val="24"/>
              </w:rPr>
            </w:pPr>
          </w:p>
          <w:p w:rsidR="004007F8" w:rsidRPr="008678FF" w:rsidRDefault="004007F8" w:rsidP="008678FF">
            <w:pPr>
              <w:tabs>
                <w:tab w:val="left" w:pos="900"/>
              </w:tabs>
              <w:rPr>
                <w:bCs/>
                <w:sz w:val="24"/>
                <w:szCs w:val="24"/>
              </w:rPr>
            </w:pPr>
            <w:r w:rsidRPr="008678FF">
              <w:rPr>
                <w:bCs/>
                <w:sz w:val="24"/>
                <w:szCs w:val="24"/>
              </w:rPr>
              <w:t>Į</w:t>
            </w:r>
          </w:p>
          <w:p w:rsidR="004007F8" w:rsidRPr="008678FF" w:rsidRDefault="004007F8" w:rsidP="008678FF">
            <w:pPr>
              <w:tabs>
                <w:tab w:val="left" w:pos="900"/>
              </w:tabs>
              <w:rPr>
                <w:bCs/>
                <w:sz w:val="24"/>
                <w:szCs w:val="24"/>
              </w:rPr>
            </w:pPr>
          </w:p>
          <w:p w:rsidR="004007F8" w:rsidRPr="008678FF" w:rsidRDefault="004007F8" w:rsidP="008678FF">
            <w:pPr>
              <w:tabs>
                <w:tab w:val="left" w:pos="900"/>
              </w:tabs>
              <w:rPr>
                <w:bCs/>
                <w:sz w:val="24"/>
                <w:szCs w:val="24"/>
              </w:rPr>
            </w:pPr>
          </w:p>
        </w:tc>
        <w:tc>
          <w:tcPr>
            <w:tcW w:w="1390" w:type="dxa"/>
          </w:tcPr>
          <w:p w:rsidR="004007F8" w:rsidRPr="008678FF" w:rsidRDefault="004007F8" w:rsidP="008678FF">
            <w:pPr>
              <w:tabs>
                <w:tab w:val="left" w:pos="900"/>
              </w:tabs>
              <w:rPr>
                <w:bCs/>
                <w:sz w:val="24"/>
                <w:szCs w:val="24"/>
              </w:rPr>
            </w:pPr>
          </w:p>
          <w:p w:rsidR="004007F8" w:rsidRPr="008678FF" w:rsidRDefault="005049EB" w:rsidP="008678FF">
            <w:pPr>
              <w:tabs>
                <w:tab w:val="left" w:pos="900"/>
              </w:tabs>
              <w:rPr>
                <w:bCs/>
                <w:sz w:val="24"/>
                <w:szCs w:val="24"/>
              </w:rPr>
            </w:pPr>
            <w:r w:rsidRPr="008678FF">
              <w:rPr>
                <w:bCs/>
                <w:sz w:val="24"/>
                <w:szCs w:val="24"/>
              </w:rPr>
              <w:t>2013-1</w:t>
            </w:r>
            <w:r w:rsidR="0051166A" w:rsidRPr="008678FF">
              <w:rPr>
                <w:bCs/>
                <w:sz w:val="24"/>
                <w:szCs w:val="24"/>
              </w:rPr>
              <w:t>1</w:t>
            </w:r>
            <w:r w:rsidR="004007F8" w:rsidRPr="008678FF">
              <w:rPr>
                <w:bCs/>
                <w:sz w:val="24"/>
                <w:szCs w:val="24"/>
              </w:rPr>
              <w:t>-</w:t>
            </w:r>
          </w:p>
          <w:p w:rsidR="004007F8" w:rsidRPr="008678FF" w:rsidRDefault="005049EB" w:rsidP="008678FF">
            <w:pPr>
              <w:tabs>
                <w:tab w:val="left" w:pos="900"/>
              </w:tabs>
              <w:rPr>
                <w:bCs/>
                <w:sz w:val="24"/>
                <w:szCs w:val="24"/>
              </w:rPr>
            </w:pPr>
            <w:r w:rsidRPr="008678FF">
              <w:rPr>
                <w:bCs/>
                <w:sz w:val="24"/>
                <w:szCs w:val="24"/>
              </w:rPr>
              <w:t>2013-10</w:t>
            </w:r>
            <w:r w:rsidR="004007F8" w:rsidRPr="008678FF">
              <w:rPr>
                <w:bCs/>
                <w:sz w:val="24"/>
                <w:szCs w:val="24"/>
              </w:rPr>
              <w:t>-</w:t>
            </w:r>
            <w:r w:rsidR="0051166A" w:rsidRPr="008678FF">
              <w:rPr>
                <w:bCs/>
                <w:sz w:val="24"/>
                <w:szCs w:val="24"/>
              </w:rPr>
              <w:t>17</w:t>
            </w:r>
          </w:p>
          <w:p w:rsidR="004007F8" w:rsidRPr="008678FF" w:rsidRDefault="004007F8" w:rsidP="008678FF">
            <w:pPr>
              <w:tabs>
                <w:tab w:val="left" w:pos="900"/>
              </w:tabs>
              <w:rPr>
                <w:bCs/>
                <w:sz w:val="24"/>
                <w:szCs w:val="24"/>
              </w:rPr>
            </w:pPr>
          </w:p>
        </w:tc>
        <w:tc>
          <w:tcPr>
            <w:tcW w:w="567" w:type="dxa"/>
          </w:tcPr>
          <w:p w:rsidR="004007F8" w:rsidRPr="008678FF" w:rsidRDefault="004007F8" w:rsidP="008678FF">
            <w:pPr>
              <w:tabs>
                <w:tab w:val="left" w:pos="900"/>
              </w:tabs>
              <w:rPr>
                <w:bCs/>
                <w:sz w:val="24"/>
                <w:szCs w:val="24"/>
              </w:rPr>
            </w:pPr>
          </w:p>
          <w:p w:rsidR="004007F8" w:rsidRPr="008678FF" w:rsidRDefault="004007F8" w:rsidP="008678FF">
            <w:pPr>
              <w:tabs>
                <w:tab w:val="left" w:pos="900"/>
              </w:tabs>
              <w:rPr>
                <w:bCs/>
                <w:sz w:val="24"/>
                <w:szCs w:val="24"/>
              </w:rPr>
            </w:pPr>
            <w:r w:rsidRPr="008678FF">
              <w:rPr>
                <w:bCs/>
                <w:sz w:val="24"/>
                <w:szCs w:val="24"/>
              </w:rPr>
              <w:t>Nr.</w:t>
            </w:r>
          </w:p>
          <w:p w:rsidR="004007F8" w:rsidRPr="008678FF" w:rsidRDefault="004007F8" w:rsidP="008678FF">
            <w:pPr>
              <w:tabs>
                <w:tab w:val="left" w:pos="900"/>
              </w:tabs>
              <w:rPr>
                <w:bCs/>
                <w:sz w:val="24"/>
                <w:szCs w:val="24"/>
              </w:rPr>
            </w:pPr>
            <w:r w:rsidRPr="008678FF">
              <w:rPr>
                <w:bCs/>
                <w:sz w:val="24"/>
                <w:szCs w:val="24"/>
              </w:rPr>
              <w:t>Nr.</w:t>
            </w:r>
          </w:p>
          <w:p w:rsidR="004007F8" w:rsidRPr="008678FF" w:rsidRDefault="004007F8" w:rsidP="008678FF">
            <w:pPr>
              <w:tabs>
                <w:tab w:val="left" w:pos="900"/>
              </w:tabs>
              <w:rPr>
                <w:bCs/>
                <w:sz w:val="24"/>
                <w:szCs w:val="24"/>
              </w:rPr>
            </w:pPr>
          </w:p>
        </w:tc>
        <w:tc>
          <w:tcPr>
            <w:tcW w:w="2123" w:type="dxa"/>
          </w:tcPr>
          <w:p w:rsidR="004007F8" w:rsidRPr="008678FF" w:rsidRDefault="004007F8" w:rsidP="008678FF">
            <w:pPr>
              <w:tabs>
                <w:tab w:val="left" w:pos="900"/>
              </w:tabs>
              <w:rPr>
                <w:bCs/>
                <w:sz w:val="24"/>
                <w:szCs w:val="24"/>
              </w:rPr>
            </w:pPr>
          </w:p>
          <w:p w:rsidR="004007F8" w:rsidRPr="008678FF" w:rsidRDefault="004007F8" w:rsidP="008678FF">
            <w:pPr>
              <w:tabs>
                <w:tab w:val="left" w:pos="900"/>
              </w:tabs>
              <w:rPr>
                <w:bCs/>
                <w:sz w:val="24"/>
                <w:szCs w:val="24"/>
              </w:rPr>
            </w:pPr>
            <w:r w:rsidRPr="008678FF">
              <w:rPr>
                <w:bCs/>
                <w:sz w:val="24"/>
                <w:szCs w:val="24"/>
              </w:rPr>
              <w:t>4S-</w:t>
            </w:r>
          </w:p>
          <w:p w:rsidR="004007F8" w:rsidRPr="008678FF" w:rsidRDefault="0051166A" w:rsidP="008678FF">
            <w:pPr>
              <w:tabs>
                <w:tab w:val="left" w:pos="900"/>
              </w:tabs>
              <w:rPr>
                <w:bCs/>
                <w:sz w:val="24"/>
                <w:szCs w:val="24"/>
              </w:rPr>
            </w:pPr>
            <w:r w:rsidRPr="008678FF">
              <w:rPr>
                <w:bCs/>
                <w:sz w:val="24"/>
                <w:szCs w:val="24"/>
              </w:rPr>
              <w:t>19-4.8.-2372</w:t>
            </w:r>
          </w:p>
          <w:p w:rsidR="004007F8" w:rsidRPr="008678FF" w:rsidRDefault="004007F8" w:rsidP="008678FF">
            <w:pPr>
              <w:tabs>
                <w:tab w:val="left" w:pos="900"/>
              </w:tabs>
              <w:rPr>
                <w:bCs/>
                <w:sz w:val="24"/>
                <w:szCs w:val="24"/>
              </w:rPr>
            </w:pPr>
          </w:p>
        </w:tc>
      </w:tr>
    </w:tbl>
    <w:p w:rsidR="00396B0F" w:rsidRPr="008678FF" w:rsidRDefault="00396B0F" w:rsidP="008678FF">
      <w:pPr>
        <w:tabs>
          <w:tab w:val="left" w:pos="900"/>
        </w:tabs>
        <w:rPr>
          <w:bCs/>
          <w:sz w:val="24"/>
          <w:szCs w:val="24"/>
        </w:rPr>
      </w:pPr>
    </w:p>
    <w:p w:rsidR="00396B0F" w:rsidRPr="008678FF" w:rsidRDefault="00396B0F" w:rsidP="008678FF">
      <w:pPr>
        <w:shd w:val="clear" w:color="auto" w:fill="FFFFFF"/>
        <w:tabs>
          <w:tab w:val="left" w:pos="900"/>
        </w:tabs>
        <w:rPr>
          <w:color w:val="000000"/>
          <w:sz w:val="24"/>
          <w:szCs w:val="24"/>
          <w:lang w:eastAsia="lt-LT"/>
        </w:rPr>
      </w:pPr>
    </w:p>
    <w:p w:rsidR="00CF00EC" w:rsidRPr="008678FF" w:rsidRDefault="00CF00EC" w:rsidP="008678FF">
      <w:pPr>
        <w:shd w:val="clear" w:color="auto" w:fill="FFFFFF"/>
        <w:tabs>
          <w:tab w:val="left" w:pos="900"/>
        </w:tabs>
        <w:rPr>
          <w:b/>
          <w:color w:val="000000"/>
          <w:sz w:val="24"/>
          <w:szCs w:val="24"/>
          <w:lang w:eastAsia="lt-LT"/>
        </w:rPr>
      </w:pPr>
      <w:r w:rsidRPr="008678FF">
        <w:rPr>
          <w:b/>
          <w:color w:val="000000"/>
          <w:sz w:val="24"/>
          <w:szCs w:val="24"/>
          <w:lang w:eastAsia="lt-LT"/>
        </w:rPr>
        <w:t xml:space="preserve">DĖL </w:t>
      </w:r>
      <w:r w:rsidR="0063107D" w:rsidRPr="008678FF">
        <w:rPr>
          <w:b/>
          <w:color w:val="000000"/>
          <w:sz w:val="24"/>
          <w:szCs w:val="24"/>
          <w:lang w:eastAsia="lt-LT"/>
        </w:rPr>
        <w:t xml:space="preserve">VIEŠOJO PIRKIMO NR. </w:t>
      </w:r>
      <w:r w:rsidR="0051166A" w:rsidRPr="008678FF">
        <w:rPr>
          <w:b/>
          <w:color w:val="000000"/>
          <w:sz w:val="24"/>
          <w:szCs w:val="24"/>
          <w:lang w:eastAsia="lt-LT"/>
        </w:rPr>
        <w:t>142295</w:t>
      </w:r>
      <w:r w:rsidR="00540EC2" w:rsidRPr="008678FF">
        <w:rPr>
          <w:b/>
          <w:color w:val="000000"/>
          <w:sz w:val="24"/>
          <w:szCs w:val="24"/>
          <w:lang w:eastAsia="lt-LT"/>
        </w:rPr>
        <w:t xml:space="preserve"> </w:t>
      </w:r>
      <w:r w:rsidR="005049EB" w:rsidRPr="008678FF">
        <w:rPr>
          <w:b/>
          <w:color w:val="000000"/>
          <w:sz w:val="24"/>
          <w:szCs w:val="24"/>
          <w:lang w:eastAsia="lt-LT"/>
        </w:rPr>
        <w:t>Į</w:t>
      </w:r>
      <w:r w:rsidRPr="008678FF">
        <w:rPr>
          <w:b/>
          <w:color w:val="000000"/>
          <w:sz w:val="24"/>
          <w:szCs w:val="24"/>
          <w:lang w:eastAsia="lt-LT"/>
        </w:rPr>
        <w:t>VERTINIMO</w:t>
      </w:r>
    </w:p>
    <w:p w:rsidR="00CF00EC" w:rsidRPr="008678FF" w:rsidRDefault="00CF00EC" w:rsidP="008678FF">
      <w:pPr>
        <w:tabs>
          <w:tab w:val="left" w:pos="900"/>
        </w:tabs>
        <w:rPr>
          <w:sz w:val="24"/>
          <w:szCs w:val="24"/>
        </w:rPr>
      </w:pPr>
    </w:p>
    <w:p w:rsidR="00CF00EC" w:rsidRPr="008678FF" w:rsidRDefault="00CF00EC" w:rsidP="008678FF">
      <w:pPr>
        <w:tabs>
          <w:tab w:val="left" w:pos="900"/>
        </w:tabs>
        <w:rPr>
          <w:sz w:val="24"/>
          <w:szCs w:val="24"/>
        </w:rPr>
      </w:pPr>
    </w:p>
    <w:p w:rsidR="004007F8" w:rsidRPr="008678FF" w:rsidRDefault="004007F8" w:rsidP="008678FF">
      <w:pPr>
        <w:tabs>
          <w:tab w:val="left" w:pos="900"/>
        </w:tabs>
        <w:ind w:firstLine="709"/>
        <w:jc w:val="both"/>
        <w:rPr>
          <w:i/>
          <w:sz w:val="24"/>
          <w:szCs w:val="24"/>
        </w:rPr>
      </w:pPr>
      <w:r w:rsidRPr="008678FF">
        <w:rPr>
          <w:sz w:val="24"/>
          <w:szCs w:val="24"/>
        </w:rPr>
        <w:t>Viešųjų pirkimų tarnyba (toliau – Tarnyba), vadovaudamasi Lietuvos Respublikos viešųjų pirkimų įstatymo (</w:t>
      </w:r>
      <w:proofErr w:type="spellStart"/>
      <w:r w:rsidRPr="008678FF">
        <w:rPr>
          <w:sz w:val="24"/>
          <w:szCs w:val="24"/>
        </w:rPr>
        <w:t>Žin</w:t>
      </w:r>
      <w:proofErr w:type="spellEnd"/>
      <w:r w:rsidRPr="008678FF">
        <w:rPr>
          <w:sz w:val="24"/>
          <w:szCs w:val="24"/>
        </w:rPr>
        <w:t>., 1996, Nr. 84-2000; 2006, Nr. 4-102; 2011, Nr. 123-5813) 8² straipsnio</w:t>
      </w:r>
      <w:proofErr w:type="gramStart"/>
      <w:r w:rsidRPr="008678FF">
        <w:rPr>
          <w:sz w:val="24"/>
          <w:szCs w:val="24"/>
        </w:rPr>
        <w:t xml:space="preserve"> </w:t>
      </w:r>
      <w:r w:rsidR="00CC7A5D" w:rsidRPr="008678FF">
        <w:rPr>
          <w:sz w:val="24"/>
          <w:szCs w:val="24"/>
        </w:rPr>
        <w:t xml:space="preserve">         </w:t>
      </w:r>
      <w:proofErr w:type="gramEnd"/>
      <w:r w:rsidRPr="008678FF">
        <w:rPr>
          <w:sz w:val="24"/>
          <w:szCs w:val="24"/>
        </w:rPr>
        <w:t xml:space="preserve">1 dalies 2 punktu, įvertino </w:t>
      </w:r>
      <w:r w:rsidR="0051166A" w:rsidRPr="008678FF">
        <w:rPr>
          <w:sz w:val="24"/>
          <w:szCs w:val="24"/>
        </w:rPr>
        <w:t>Panevėžio miesto savivaldybės administracijos</w:t>
      </w:r>
      <w:r w:rsidRPr="008678FF">
        <w:rPr>
          <w:sz w:val="24"/>
          <w:szCs w:val="24"/>
        </w:rPr>
        <w:t xml:space="preserve"> (toliau – Perkančioji organizacija) pateiktus dokumentus, susijusius su vykdomu atviru konkursu „</w:t>
      </w:r>
      <w:r w:rsidR="0051166A" w:rsidRPr="008678FF">
        <w:rPr>
          <w:sz w:val="24"/>
          <w:szCs w:val="24"/>
        </w:rPr>
        <w:t xml:space="preserve">Panevėžio miesto infrastruktūros objektų priežiūros paslaugos ir remonto darbai“ </w:t>
      </w:r>
      <w:r w:rsidRPr="008678FF">
        <w:rPr>
          <w:sz w:val="24"/>
          <w:szCs w:val="24"/>
        </w:rPr>
        <w:t>(Centrinėje viešųjų pirkimų informacinėje sistemoje skelbtas 201</w:t>
      </w:r>
      <w:r w:rsidR="003D08E4" w:rsidRPr="008678FF">
        <w:rPr>
          <w:sz w:val="24"/>
          <w:szCs w:val="24"/>
        </w:rPr>
        <w:t>3</w:t>
      </w:r>
      <w:r w:rsidRPr="008678FF">
        <w:rPr>
          <w:sz w:val="24"/>
          <w:szCs w:val="24"/>
        </w:rPr>
        <w:t xml:space="preserve"> m. </w:t>
      </w:r>
      <w:r w:rsidR="003D08E4" w:rsidRPr="008678FF">
        <w:rPr>
          <w:sz w:val="24"/>
          <w:szCs w:val="24"/>
        </w:rPr>
        <w:t>rug</w:t>
      </w:r>
      <w:r w:rsidR="0051166A" w:rsidRPr="008678FF">
        <w:rPr>
          <w:sz w:val="24"/>
          <w:szCs w:val="24"/>
        </w:rPr>
        <w:t>sėjo 10</w:t>
      </w:r>
      <w:r w:rsidRPr="008678FF">
        <w:rPr>
          <w:sz w:val="24"/>
          <w:szCs w:val="24"/>
        </w:rPr>
        <w:t xml:space="preserve"> d., pirkimo Nr. </w:t>
      </w:r>
      <w:r w:rsidR="00A81973" w:rsidRPr="008678FF">
        <w:rPr>
          <w:sz w:val="24"/>
          <w:szCs w:val="24"/>
        </w:rPr>
        <w:t>14</w:t>
      </w:r>
      <w:r w:rsidR="0051166A" w:rsidRPr="008678FF">
        <w:rPr>
          <w:sz w:val="24"/>
          <w:szCs w:val="24"/>
        </w:rPr>
        <w:t>2295</w:t>
      </w:r>
      <w:r w:rsidR="00A81973" w:rsidRPr="008678FF">
        <w:rPr>
          <w:sz w:val="24"/>
          <w:szCs w:val="24"/>
        </w:rPr>
        <w:t>,</w:t>
      </w:r>
      <w:r w:rsidRPr="008678FF">
        <w:rPr>
          <w:sz w:val="24"/>
          <w:szCs w:val="24"/>
        </w:rPr>
        <w:t xml:space="preserve"> toliau</w:t>
      </w:r>
      <w:r w:rsidR="003D08E4" w:rsidRPr="008678FF">
        <w:rPr>
          <w:sz w:val="24"/>
          <w:szCs w:val="24"/>
        </w:rPr>
        <w:t xml:space="preserve"> – Pirkimas)</w:t>
      </w:r>
      <w:r w:rsidRPr="008678FF">
        <w:rPr>
          <w:sz w:val="24"/>
          <w:szCs w:val="24"/>
        </w:rPr>
        <w:t>.</w:t>
      </w:r>
    </w:p>
    <w:p w:rsidR="004007F8" w:rsidRPr="008678FF" w:rsidRDefault="003D08E4" w:rsidP="008678FF">
      <w:pPr>
        <w:tabs>
          <w:tab w:val="left" w:pos="900"/>
        </w:tabs>
        <w:ind w:firstLine="709"/>
        <w:jc w:val="both"/>
        <w:rPr>
          <w:sz w:val="24"/>
          <w:szCs w:val="24"/>
        </w:rPr>
      </w:pPr>
      <w:r w:rsidRPr="008678FF">
        <w:rPr>
          <w:sz w:val="24"/>
          <w:szCs w:val="24"/>
        </w:rPr>
        <w:t xml:space="preserve">Pirkimas vykdomas Centrinės viešųjų pirkimų informacinės sistemos (toliau – CVP IS) priemonėmis. </w:t>
      </w:r>
      <w:r w:rsidR="004007F8" w:rsidRPr="008678FF">
        <w:rPr>
          <w:sz w:val="24"/>
          <w:szCs w:val="24"/>
        </w:rPr>
        <w:t>Pirkimui, atsižvelgiant į jo pradžios datą, taikomos Lietuvos Respublikos viešųjų pirkimų įstatymo (</w:t>
      </w:r>
      <w:proofErr w:type="spellStart"/>
      <w:r w:rsidR="004007F8" w:rsidRPr="008678FF">
        <w:rPr>
          <w:sz w:val="24"/>
          <w:szCs w:val="24"/>
        </w:rPr>
        <w:t>Žin</w:t>
      </w:r>
      <w:proofErr w:type="spellEnd"/>
      <w:r w:rsidR="004007F8" w:rsidRPr="008678FF">
        <w:rPr>
          <w:sz w:val="24"/>
          <w:szCs w:val="24"/>
        </w:rPr>
        <w:t>., 1996, Nr. 84-2000; 2006, Nr. 4-102; 2008, Nr. 81-3179; 2009, Nr. 93-3986; 2010, Nr. 25-1174; 2011, Nr. 2-36, 123-5813</w:t>
      </w:r>
      <w:r w:rsidRPr="008678FF">
        <w:rPr>
          <w:sz w:val="24"/>
          <w:szCs w:val="24"/>
        </w:rPr>
        <w:t>; 2012, Nr. 82-4264</w:t>
      </w:r>
      <w:r w:rsidR="004007F8" w:rsidRPr="008678FF">
        <w:rPr>
          <w:sz w:val="24"/>
          <w:szCs w:val="24"/>
        </w:rPr>
        <w:t>) (toliau – Įstatymas) nuostatos.</w:t>
      </w:r>
    </w:p>
    <w:p w:rsidR="00183961" w:rsidRPr="008678FF" w:rsidRDefault="00825C63" w:rsidP="008678FF">
      <w:pPr>
        <w:tabs>
          <w:tab w:val="left" w:pos="900"/>
        </w:tabs>
        <w:ind w:firstLine="709"/>
        <w:jc w:val="both"/>
        <w:rPr>
          <w:sz w:val="24"/>
          <w:szCs w:val="24"/>
        </w:rPr>
      </w:pPr>
      <w:r w:rsidRPr="008678FF">
        <w:rPr>
          <w:sz w:val="24"/>
          <w:szCs w:val="24"/>
        </w:rPr>
        <w:t>Tarnyba, įvertinusi Perkančiosios organizacijos pateikt</w:t>
      </w:r>
      <w:r w:rsidR="00485FF8" w:rsidRPr="008678FF">
        <w:rPr>
          <w:sz w:val="24"/>
          <w:szCs w:val="24"/>
        </w:rPr>
        <w:t xml:space="preserve">us dokumentus bei </w:t>
      </w:r>
      <w:r w:rsidRPr="008678FF">
        <w:rPr>
          <w:sz w:val="24"/>
          <w:szCs w:val="24"/>
        </w:rPr>
        <w:t xml:space="preserve">CVP IS esančią Pirkimo informaciją, </w:t>
      </w:r>
      <w:r w:rsidR="00697B76" w:rsidRPr="008678FF">
        <w:rPr>
          <w:sz w:val="24"/>
          <w:szCs w:val="24"/>
        </w:rPr>
        <w:t>nustatė, kad</w:t>
      </w:r>
      <w:r w:rsidR="00183961" w:rsidRPr="008678FF">
        <w:rPr>
          <w:sz w:val="24"/>
          <w:szCs w:val="24"/>
        </w:rPr>
        <w:t>:</w:t>
      </w:r>
    </w:p>
    <w:p w:rsidR="00193A76" w:rsidRPr="008678FF" w:rsidRDefault="00B45C07" w:rsidP="008678FF">
      <w:pPr>
        <w:ind w:firstLine="840"/>
        <w:jc w:val="both"/>
        <w:rPr>
          <w:color w:val="000000"/>
          <w:spacing w:val="-1"/>
          <w:sz w:val="24"/>
          <w:szCs w:val="24"/>
        </w:rPr>
      </w:pPr>
      <w:r w:rsidRPr="008678FF">
        <w:rPr>
          <w:sz w:val="24"/>
          <w:szCs w:val="24"/>
        </w:rPr>
        <w:t xml:space="preserve">1. Pirkimo </w:t>
      </w:r>
      <w:r w:rsidR="005F21D3" w:rsidRPr="008678FF">
        <w:rPr>
          <w:sz w:val="24"/>
          <w:szCs w:val="24"/>
        </w:rPr>
        <w:t>sąlygų 3.6 punkte nustatytas reikalavimas</w:t>
      </w:r>
      <w:r w:rsidRPr="008678FF">
        <w:rPr>
          <w:sz w:val="24"/>
          <w:szCs w:val="24"/>
        </w:rPr>
        <w:t xml:space="preserve"> „Jei bendrą pasiūlymą pateikia ūkio subjektų grupė, šių konkurso sąlygų 1, 2, 3, 4, 5, 6, 7 punktuose nustatytus kvalifikacijos reikalavimus turi atitikti ir pateikti nurodytus dokumentus kiekvienas ūkio subjektų grupės narys atskirai, o šių konkurso sąlygų </w:t>
      </w:r>
      <w:r w:rsidRPr="008678FF">
        <w:rPr>
          <w:b/>
          <w:sz w:val="24"/>
          <w:szCs w:val="24"/>
        </w:rPr>
        <w:t>8, 9</w:t>
      </w:r>
      <w:r w:rsidRPr="008678FF">
        <w:rPr>
          <w:sz w:val="24"/>
          <w:szCs w:val="24"/>
        </w:rPr>
        <w:t>, 10 punktuose nustatytus kvalifikacijos reikalavimus turi atitikti ir pateikti nurodytus dokumentus bent vienas ūkio subjektų grupės narys arba visi ūkio subjektų grupės nariai kartu</w:t>
      </w:r>
      <w:r w:rsidRPr="008678FF">
        <w:rPr>
          <w:rFonts w:eastAsia="Calibri"/>
          <w:sz w:val="24"/>
          <w:szCs w:val="24"/>
        </w:rPr>
        <w:t xml:space="preserve"> &lt;...&gt;“</w:t>
      </w:r>
      <w:r w:rsidR="007D3E68" w:rsidRPr="008678FF">
        <w:rPr>
          <w:rFonts w:eastAsia="Calibri"/>
          <w:sz w:val="24"/>
          <w:szCs w:val="24"/>
        </w:rPr>
        <w:t xml:space="preserve"> neužtikrina Įstatymo 32 straipsnio 1 ir 2 dalių nuostatų laikymosi</w:t>
      </w:r>
      <w:r w:rsidR="006320A5" w:rsidRPr="008678FF">
        <w:rPr>
          <w:rFonts w:eastAsia="Calibri"/>
          <w:sz w:val="24"/>
          <w:szCs w:val="24"/>
        </w:rPr>
        <w:t>.</w:t>
      </w:r>
      <w:r w:rsidRPr="008678FF">
        <w:rPr>
          <w:rFonts w:eastAsia="Calibri"/>
          <w:sz w:val="24"/>
          <w:szCs w:val="24"/>
        </w:rPr>
        <w:t xml:space="preserve"> </w:t>
      </w:r>
      <w:r w:rsidR="00871F8F" w:rsidRPr="008678FF">
        <w:rPr>
          <w:color w:val="000000"/>
          <w:spacing w:val="-1"/>
          <w:sz w:val="24"/>
          <w:szCs w:val="24"/>
        </w:rPr>
        <w:t>Atsižvelgiant į Tiekėjų kvalifikacijos vertinimo metodinių rekomendacijų (toliau – Rekomendacijos), patvirtintų Tarnybos direktoriaus 2003 m. spalio 20 d. įsakymu Nr. 1S-100 (</w:t>
      </w:r>
      <w:proofErr w:type="spellStart"/>
      <w:r w:rsidR="00871F8F" w:rsidRPr="008678FF">
        <w:rPr>
          <w:color w:val="000000"/>
          <w:spacing w:val="-1"/>
          <w:sz w:val="24"/>
          <w:szCs w:val="24"/>
        </w:rPr>
        <w:t>Žin</w:t>
      </w:r>
      <w:proofErr w:type="spellEnd"/>
      <w:r w:rsidR="00871F8F" w:rsidRPr="008678FF">
        <w:rPr>
          <w:color w:val="000000"/>
          <w:spacing w:val="-1"/>
          <w:sz w:val="24"/>
          <w:szCs w:val="24"/>
        </w:rPr>
        <w:t xml:space="preserve">., 2003, Nr. 103-4623; 2009, 2012, 5-163) 21 punkto nuostatą „&lt;...&gt; </w:t>
      </w:r>
      <w:r w:rsidR="00871F8F" w:rsidRPr="008678FF">
        <w:rPr>
          <w:sz w:val="24"/>
          <w:szCs w:val="24"/>
        </w:rPr>
        <w:t xml:space="preserve">Rekomendacijų 18, 19.1 ir 26.1 punktų reikalavimus – tie ūkio subjektų grupės nariai, kurių prisiimtoms prievolėms pagal pirkimo sutartį vykdyti reikia turėti profesinį civilinės atsakomybės draudimą </w:t>
      </w:r>
      <w:r w:rsidR="00871F8F" w:rsidRPr="008678FF">
        <w:rPr>
          <w:bCs/>
          <w:sz w:val="24"/>
          <w:szCs w:val="24"/>
        </w:rPr>
        <w:t xml:space="preserve">bei atitinkamus dokumentus verstis ta veikla, kuri reikalinga pirkimo sutarčiai įvykdyti“, </w:t>
      </w:r>
      <w:r w:rsidR="005F21D3" w:rsidRPr="008678FF">
        <w:rPr>
          <w:color w:val="000000"/>
          <w:spacing w:val="-1"/>
          <w:sz w:val="24"/>
          <w:szCs w:val="24"/>
        </w:rPr>
        <w:t>Pirkimo sąlygų</w:t>
      </w:r>
      <w:r w:rsidR="006320A5" w:rsidRPr="008678FF">
        <w:rPr>
          <w:color w:val="000000"/>
          <w:spacing w:val="-1"/>
          <w:sz w:val="24"/>
          <w:szCs w:val="24"/>
        </w:rPr>
        <w:t xml:space="preserve"> </w:t>
      </w:r>
      <w:r w:rsidR="007D3E68" w:rsidRPr="008678FF">
        <w:rPr>
          <w:color w:val="000000"/>
          <w:spacing w:val="-1"/>
          <w:sz w:val="24"/>
          <w:szCs w:val="24"/>
        </w:rPr>
        <w:t xml:space="preserve">3.1 punkto 1 lentelės </w:t>
      </w:r>
      <w:r w:rsidR="005F21D3" w:rsidRPr="008678FF">
        <w:rPr>
          <w:color w:val="000000"/>
          <w:spacing w:val="-1"/>
          <w:sz w:val="24"/>
          <w:szCs w:val="24"/>
        </w:rPr>
        <w:t xml:space="preserve">8 punkte nustatytą kvalifikacijos reikalavimą („Tiekėjas </w:t>
      </w:r>
      <w:r w:rsidR="00193A76" w:rsidRPr="008678FF">
        <w:rPr>
          <w:color w:val="000000"/>
          <w:spacing w:val="-1"/>
          <w:sz w:val="24"/>
          <w:szCs w:val="24"/>
        </w:rPr>
        <w:t>&lt;...&gt;</w:t>
      </w:r>
      <w:r w:rsidR="006320A5" w:rsidRPr="008678FF">
        <w:rPr>
          <w:color w:val="000000"/>
          <w:spacing w:val="-1"/>
          <w:sz w:val="24"/>
          <w:szCs w:val="24"/>
        </w:rPr>
        <w:t xml:space="preserve"> </w:t>
      </w:r>
      <w:r w:rsidR="005F21D3" w:rsidRPr="008678FF">
        <w:rPr>
          <w:color w:val="000000"/>
          <w:spacing w:val="-1"/>
          <w:sz w:val="24"/>
          <w:szCs w:val="24"/>
        </w:rPr>
        <w:t xml:space="preserve">turi turėti teisę verstis </w:t>
      </w:r>
      <w:r w:rsidR="00193A76" w:rsidRPr="008678FF">
        <w:rPr>
          <w:color w:val="000000"/>
          <w:spacing w:val="-1"/>
          <w:sz w:val="24"/>
          <w:szCs w:val="24"/>
        </w:rPr>
        <w:t>ta</w:t>
      </w:r>
      <w:r w:rsidR="005F21D3" w:rsidRPr="008678FF">
        <w:rPr>
          <w:color w:val="000000"/>
          <w:spacing w:val="-1"/>
          <w:sz w:val="24"/>
          <w:szCs w:val="24"/>
        </w:rPr>
        <w:t xml:space="preserve"> veikla</w:t>
      </w:r>
      <w:r w:rsidR="00193A76" w:rsidRPr="008678FF">
        <w:rPr>
          <w:color w:val="000000"/>
          <w:spacing w:val="-1"/>
          <w:sz w:val="24"/>
          <w:szCs w:val="24"/>
        </w:rPr>
        <w:t>, kuri reikalinga pirkimo sutarčiai įvykdyti“)</w:t>
      </w:r>
      <w:r w:rsidR="00871F8F" w:rsidRPr="008678FF">
        <w:rPr>
          <w:color w:val="000000"/>
          <w:spacing w:val="-1"/>
          <w:sz w:val="24"/>
          <w:szCs w:val="24"/>
        </w:rPr>
        <w:t>,</w:t>
      </w:r>
      <w:r w:rsidR="00193A76" w:rsidRPr="008678FF">
        <w:rPr>
          <w:color w:val="000000"/>
          <w:spacing w:val="-1"/>
          <w:sz w:val="24"/>
          <w:szCs w:val="24"/>
        </w:rPr>
        <w:t xml:space="preserve"> </w:t>
      </w:r>
      <w:r w:rsidR="005F21D3" w:rsidRPr="008678FF">
        <w:rPr>
          <w:color w:val="000000"/>
          <w:spacing w:val="-1"/>
          <w:sz w:val="24"/>
          <w:szCs w:val="24"/>
        </w:rPr>
        <w:t xml:space="preserve">turėtų atitikti tos ūkio subjektų grupės šalys, kurios prisiims </w:t>
      </w:r>
      <w:r w:rsidR="00871F8F" w:rsidRPr="008678FF">
        <w:rPr>
          <w:color w:val="000000"/>
          <w:spacing w:val="-1"/>
          <w:sz w:val="24"/>
          <w:szCs w:val="24"/>
        </w:rPr>
        <w:t>prievoles pagal pirkimo sutartį. Taip pat, Tarnybos nuomone,</w:t>
      </w:r>
      <w:r w:rsidR="005F21D3" w:rsidRPr="008678FF">
        <w:rPr>
          <w:color w:val="000000"/>
          <w:spacing w:val="-1"/>
          <w:sz w:val="24"/>
          <w:szCs w:val="24"/>
        </w:rPr>
        <w:t xml:space="preserve"> </w:t>
      </w:r>
      <w:r w:rsidR="007D3E68" w:rsidRPr="008678FF">
        <w:rPr>
          <w:color w:val="000000"/>
          <w:spacing w:val="-1"/>
          <w:sz w:val="24"/>
          <w:szCs w:val="24"/>
        </w:rPr>
        <w:t xml:space="preserve">Pirkimo sąlygų 3.1 punkto 2 lentelės 9 punkte nustatytą kvalifikacijos reikalavimą „Tiekėjas privalo turėti bent vieną atestuotą ypatingo statinio statybos vadovą, kuris bus skiriamas statybos vadovu pirkime numatytuose objektuose &lt;...&gt;“, </w:t>
      </w:r>
      <w:r w:rsidR="00F01792" w:rsidRPr="008678FF">
        <w:rPr>
          <w:color w:val="000000"/>
          <w:spacing w:val="-1"/>
          <w:sz w:val="24"/>
          <w:szCs w:val="24"/>
        </w:rPr>
        <w:t>turėtų atitikti tos ūkio subjektų grupės šalys, kurios prisiims prievoles pagal pirkimo sutartį, atsižvelgiant į Pirkimo sąlygų 6 priedo „Techninė specifikacija“ nurodytą darbų ir paslaugų įvairovę</w:t>
      </w:r>
      <w:r w:rsidR="00193A76" w:rsidRPr="008678FF">
        <w:rPr>
          <w:color w:val="000000"/>
          <w:spacing w:val="-1"/>
          <w:sz w:val="24"/>
          <w:szCs w:val="24"/>
        </w:rPr>
        <w:t>.</w:t>
      </w:r>
    </w:p>
    <w:p w:rsidR="001E0EF3" w:rsidRPr="008678FF" w:rsidRDefault="0055407C" w:rsidP="008678FF">
      <w:pPr>
        <w:tabs>
          <w:tab w:val="left" w:pos="900"/>
        </w:tabs>
        <w:ind w:firstLine="709"/>
        <w:jc w:val="both"/>
        <w:rPr>
          <w:sz w:val="24"/>
          <w:szCs w:val="24"/>
        </w:rPr>
      </w:pPr>
      <w:r w:rsidRPr="008678FF">
        <w:rPr>
          <w:sz w:val="24"/>
          <w:szCs w:val="24"/>
        </w:rPr>
        <w:lastRenderedPageBreak/>
        <w:t>2</w:t>
      </w:r>
      <w:r w:rsidR="00BB1C7D" w:rsidRPr="008678FF">
        <w:rPr>
          <w:sz w:val="24"/>
          <w:szCs w:val="24"/>
        </w:rPr>
        <w:t xml:space="preserve">. </w:t>
      </w:r>
      <w:r w:rsidR="00F01792" w:rsidRPr="008678FF">
        <w:rPr>
          <w:sz w:val="24"/>
          <w:szCs w:val="24"/>
        </w:rPr>
        <w:t>V</w:t>
      </w:r>
      <w:r w:rsidR="003E0A9C" w:rsidRPr="008678FF">
        <w:rPr>
          <w:sz w:val="24"/>
          <w:szCs w:val="24"/>
        </w:rPr>
        <w:t>iešųjų pirkimų komisij</w:t>
      </w:r>
      <w:r w:rsidR="00F01792" w:rsidRPr="008678FF">
        <w:rPr>
          <w:sz w:val="24"/>
          <w:szCs w:val="24"/>
        </w:rPr>
        <w:t>a</w:t>
      </w:r>
      <w:r w:rsidR="003E0A9C" w:rsidRPr="008678FF">
        <w:rPr>
          <w:sz w:val="24"/>
          <w:szCs w:val="24"/>
        </w:rPr>
        <w:t xml:space="preserve"> </w:t>
      </w:r>
      <w:r w:rsidR="00F01792" w:rsidRPr="008678FF">
        <w:rPr>
          <w:sz w:val="24"/>
          <w:szCs w:val="24"/>
        </w:rPr>
        <w:t xml:space="preserve">2013-10-01 </w:t>
      </w:r>
      <w:r w:rsidR="003E0A9C" w:rsidRPr="008678FF">
        <w:rPr>
          <w:sz w:val="24"/>
          <w:szCs w:val="24"/>
        </w:rPr>
        <w:t xml:space="preserve">posėdžio metu (posėdžio protokolas Nr. 271) nutarė pakoreguoti Pirkimo sąlygas ir pakeitė 2 priedo „Panevėžio miesto </w:t>
      </w:r>
      <w:r w:rsidR="001E0EF3" w:rsidRPr="008678FF">
        <w:rPr>
          <w:sz w:val="24"/>
          <w:szCs w:val="24"/>
        </w:rPr>
        <w:t xml:space="preserve">infrastruktūros objektų priežiūros paslaugos ir remonto darbų įkainiai“ po lentele esantį įrašą „PASTABOS“ vietoje perkamų darbų kiekių paklaida-30 proc., vietoje skaičiaus „30“ įrašant skaičių „50“, tačiau atitinkamai nepataisė Pirkimo sąlygų 5 priedo „Panevėžio miesto infrastruktūros objektų priežiūros paslaugos ir remonto darbų sutartis Nr.“ </w:t>
      </w:r>
      <w:r w:rsidR="00B46EBE" w:rsidRPr="008678FF">
        <w:rPr>
          <w:sz w:val="24"/>
          <w:szCs w:val="24"/>
        </w:rPr>
        <w:t xml:space="preserve">(toliau – Sutarties projektas) </w:t>
      </w:r>
      <w:r w:rsidR="001E0EF3" w:rsidRPr="008678FF">
        <w:rPr>
          <w:sz w:val="24"/>
          <w:szCs w:val="24"/>
        </w:rPr>
        <w:t>2.2 punkte nustatytos sąlygos „&lt;...&gt;</w:t>
      </w:r>
      <w:r w:rsidR="001E0EF3" w:rsidRPr="008678FF">
        <w:rPr>
          <w:sz w:val="24"/>
          <w:szCs w:val="24"/>
          <w:lang w:eastAsia="ar-SA"/>
        </w:rPr>
        <w:t>Preliminarus Darbų, Paslaugų kiekis pirkimo sutarties vykdymo laikotarpiu gali būti keičiamas (didinamas arba mažinamas) iki 30 proc.</w:t>
      </w:r>
      <w:r w:rsidR="00697B76" w:rsidRPr="008678FF">
        <w:rPr>
          <w:sz w:val="24"/>
          <w:szCs w:val="24"/>
          <w:lang w:eastAsia="ar-SA"/>
        </w:rPr>
        <w:t>&lt;...&gt;“. T</w:t>
      </w:r>
      <w:r w:rsidR="001E0EF3" w:rsidRPr="008678FF">
        <w:rPr>
          <w:sz w:val="24"/>
          <w:szCs w:val="24"/>
          <w:lang w:eastAsia="ar-SA"/>
        </w:rPr>
        <w:t xml:space="preserve">uo neužtikrinta Įstatymo </w:t>
      </w:r>
      <w:r w:rsidR="00697B76" w:rsidRPr="008678FF">
        <w:rPr>
          <w:sz w:val="24"/>
          <w:szCs w:val="24"/>
          <w:lang w:eastAsia="ar-SA"/>
        </w:rPr>
        <w:t>24 straipsnio 8 dalies nuostata, kad „pirkimo dokumentai turi būti tikslūs, aiškūs, be dviprasmybių</w:t>
      </w:r>
      <w:r w:rsidR="00697B76" w:rsidRPr="008678FF">
        <w:rPr>
          <w:sz w:val="24"/>
          <w:szCs w:val="24"/>
        </w:rPr>
        <w:t>, kad tiekėjai galėtų pateikti pasiūlymus, o perkančioji organizacija nupirkti tai, ko reikia“.</w:t>
      </w:r>
    </w:p>
    <w:p w:rsidR="008B5A4E" w:rsidRPr="008678FF" w:rsidRDefault="0055407C" w:rsidP="008678FF">
      <w:pPr>
        <w:suppressAutoHyphens/>
        <w:ind w:firstLine="709"/>
        <w:jc w:val="both"/>
        <w:rPr>
          <w:sz w:val="24"/>
          <w:szCs w:val="24"/>
          <w:lang w:eastAsia="ar-SA"/>
        </w:rPr>
      </w:pPr>
      <w:r w:rsidRPr="008678FF">
        <w:rPr>
          <w:sz w:val="24"/>
          <w:szCs w:val="24"/>
        </w:rPr>
        <w:t xml:space="preserve">3. </w:t>
      </w:r>
      <w:r w:rsidR="00B46EBE" w:rsidRPr="008678FF">
        <w:rPr>
          <w:sz w:val="24"/>
          <w:szCs w:val="24"/>
        </w:rPr>
        <w:t>Sutarties projekto</w:t>
      </w:r>
      <w:r w:rsidR="00D00FA4" w:rsidRPr="008678FF">
        <w:rPr>
          <w:sz w:val="24"/>
          <w:szCs w:val="24"/>
        </w:rPr>
        <w:t xml:space="preserve"> </w:t>
      </w:r>
      <w:r w:rsidR="00BB1C7D" w:rsidRPr="008678FF">
        <w:rPr>
          <w:sz w:val="24"/>
          <w:szCs w:val="24"/>
        </w:rPr>
        <w:t>2.9 punkte nustatyta, kad „</w:t>
      </w:r>
      <w:r w:rsidR="00BB1C7D" w:rsidRPr="008678FF">
        <w:rPr>
          <w:sz w:val="24"/>
          <w:szCs w:val="24"/>
          <w:lang w:eastAsia="ar-SA"/>
        </w:rPr>
        <w:t>Už elektros energiją, suvartotą gatvių ir viešųjų erdvių apšvietimui, Užsakovas su Rangovu atsiskaito pagal teisės aktų numatyta tvarka Rangovo nupirktą elektros energijos įkainį iš nepriklausomo tiekėjo ir elektros energijos persiuntimo įkainį iš AB „Lesto“. Pasikeitus iš nepriklausomo elektros energijos tiekėjo perkamos elektros energijos ar persiuntimo įkainiams, Sutarties Šalys per 3 (tris) darbo dienas elektros energijos tiekimo ir persiuntimo įkainių pasikeitimus įformina papildomu susitarimu ir patvirtina parašais</w:t>
      </w:r>
      <w:r w:rsidR="00C93BAE" w:rsidRPr="008678FF">
        <w:rPr>
          <w:sz w:val="24"/>
          <w:szCs w:val="24"/>
          <w:lang w:eastAsia="ar-SA"/>
        </w:rPr>
        <w:t>“</w:t>
      </w:r>
      <w:r w:rsidR="00BB1C7D" w:rsidRPr="008678FF">
        <w:rPr>
          <w:sz w:val="24"/>
          <w:szCs w:val="24"/>
          <w:lang w:eastAsia="ar-SA"/>
        </w:rPr>
        <w:t>.</w:t>
      </w:r>
      <w:r w:rsidR="00F01792" w:rsidRPr="008678FF">
        <w:rPr>
          <w:sz w:val="24"/>
          <w:szCs w:val="24"/>
          <w:lang w:eastAsia="ar-SA"/>
        </w:rPr>
        <w:t xml:space="preserve"> Tai</w:t>
      </w:r>
      <w:r w:rsidR="00C93BAE" w:rsidRPr="008678FF">
        <w:rPr>
          <w:sz w:val="24"/>
          <w:szCs w:val="24"/>
          <w:lang w:eastAsia="ar-SA"/>
        </w:rPr>
        <w:t xml:space="preserve"> neužtikrin</w:t>
      </w:r>
      <w:r w:rsidR="00F01792" w:rsidRPr="008678FF">
        <w:rPr>
          <w:sz w:val="24"/>
          <w:szCs w:val="24"/>
          <w:lang w:eastAsia="ar-SA"/>
        </w:rPr>
        <w:t>a</w:t>
      </w:r>
      <w:r w:rsidR="00C93BAE" w:rsidRPr="008678FF">
        <w:rPr>
          <w:sz w:val="24"/>
          <w:szCs w:val="24"/>
          <w:lang w:eastAsia="ar-SA"/>
        </w:rPr>
        <w:t xml:space="preserve"> </w:t>
      </w:r>
      <w:r w:rsidR="00F01792" w:rsidRPr="008678FF">
        <w:rPr>
          <w:sz w:val="24"/>
          <w:szCs w:val="24"/>
          <w:lang w:eastAsia="ar-SA"/>
        </w:rPr>
        <w:t xml:space="preserve">Įstatymo 3 straipsnio 2 dalyje nustatyto pirkimų tikslo siekimo ir </w:t>
      </w:r>
      <w:r w:rsidR="00C93BAE" w:rsidRPr="008678FF">
        <w:rPr>
          <w:sz w:val="24"/>
          <w:szCs w:val="24"/>
          <w:lang w:eastAsia="ar-SA"/>
        </w:rPr>
        <w:t xml:space="preserve">Įstatymo 24 straipsnio 8 dalies nuostatos, kad pirkimo dokumentai turi būti tikslūs, aiškūs, be dviprasmybių, </w:t>
      </w:r>
      <w:r w:rsidR="00F01792" w:rsidRPr="008678FF">
        <w:rPr>
          <w:sz w:val="24"/>
          <w:szCs w:val="24"/>
          <w:lang w:eastAsia="ar-SA"/>
        </w:rPr>
        <w:t xml:space="preserve">laikymosi, </w:t>
      </w:r>
      <w:r w:rsidR="00923B40" w:rsidRPr="008678FF">
        <w:rPr>
          <w:sz w:val="24"/>
          <w:szCs w:val="24"/>
          <w:lang w:eastAsia="ar-SA"/>
        </w:rPr>
        <w:t xml:space="preserve">atsižvelgiant į Pirkimo objektą, nustatytą Pirkimo sąlygų 2.1 punkte „Panevėžio miesto savivaldybės administracija </w:t>
      </w:r>
      <w:proofErr w:type="gramStart"/>
      <w:r w:rsidR="00923B40" w:rsidRPr="008678FF">
        <w:rPr>
          <w:sz w:val="24"/>
          <w:szCs w:val="24"/>
          <w:lang w:eastAsia="ar-SA"/>
        </w:rPr>
        <w:t>perka</w:t>
      </w:r>
      <w:proofErr w:type="gramEnd"/>
      <w:r w:rsidR="00923B40" w:rsidRPr="008678FF">
        <w:rPr>
          <w:sz w:val="24"/>
          <w:szCs w:val="24"/>
          <w:lang w:eastAsia="ar-SA"/>
        </w:rPr>
        <w:t xml:space="preserve"> Panevėžio miesto infrastruktūros objektų priežiūros paslaugas ir remonto darbus pagal pridedamą techninę užduotį (6 priedas)“, ir į</w:t>
      </w:r>
      <w:r w:rsidR="00C93BAE" w:rsidRPr="008678FF">
        <w:rPr>
          <w:sz w:val="24"/>
          <w:szCs w:val="24"/>
          <w:lang w:eastAsia="ar-SA"/>
        </w:rPr>
        <w:t xml:space="preserve"> Pirkimo sąlygų 6 priede „Techninė specifikacija“ </w:t>
      </w:r>
      <w:r w:rsidR="00923B40" w:rsidRPr="008678FF">
        <w:rPr>
          <w:sz w:val="24"/>
          <w:szCs w:val="24"/>
          <w:lang w:eastAsia="ar-SA"/>
        </w:rPr>
        <w:t xml:space="preserve">nurodytus darbus ir paslaugas, t.y. </w:t>
      </w:r>
      <w:r w:rsidR="00C93BAE" w:rsidRPr="008678FF">
        <w:rPr>
          <w:sz w:val="24"/>
          <w:szCs w:val="24"/>
          <w:lang w:eastAsia="ar-SA"/>
        </w:rPr>
        <w:t xml:space="preserve">9 skyriuje „Gatvių ir viešųjų erdvių apšvietimo tinklų priežiūra ir remontas“ nurodytos tik remonto paslaugos, profilaktinė priežiūra bei apšvietimo įrengimas, </w:t>
      </w:r>
      <w:r w:rsidR="008B5A4E" w:rsidRPr="008678FF">
        <w:rPr>
          <w:sz w:val="24"/>
          <w:szCs w:val="24"/>
          <w:lang w:eastAsia="ar-SA"/>
        </w:rPr>
        <w:t xml:space="preserve">tačiau elektros </w:t>
      </w:r>
      <w:r w:rsidR="00C93BAE" w:rsidRPr="008678FF">
        <w:rPr>
          <w:sz w:val="24"/>
          <w:szCs w:val="24"/>
          <w:lang w:eastAsia="ar-SA"/>
        </w:rPr>
        <w:t>energijos įsigijim</w:t>
      </w:r>
      <w:r w:rsidR="008B5A4E" w:rsidRPr="008678FF">
        <w:rPr>
          <w:sz w:val="24"/>
          <w:szCs w:val="24"/>
          <w:lang w:eastAsia="ar-SA"/>
        </w:rPr>
        <w:t>as nenumatytas.</w:t>
      </w:r>
      <w:r w:rsidR="00D00FA4" w:rsidRPr="008678FF">
        <w:rPr>
          <w:sz w:val="24"/>
          <w:szCs w:val="24"/>
          <w:lang w:eastAsia="ar-SA"/>
        </w:rPr>
        <w:t xml:space="preserve"> Tarnyba primena, kad elektros energija yra prekė, kuriai priskirtas BVPŽ kodas yra - </w:t>
      </w:r>
      <w:r w:rsidR="00D00FA4" w:rsidRPr="008678FF">
        <w:rPr>
          <w:sz w:val="24"/>
          <w:szCs w:val="24"/>
          <w:lang w:eastAsia="lt-LT"/>
        </w:rPr>
        <w:t>09310000-5.</w:t>
      </w:r>
    </w:p>
    <w:p w:rsidR="001A57EF" w:rsidRPr="008678FF" w:rsidRDefault="0055407C" w:rsidP="008678FF">
      <w:pPr>
        <w:tabs>
          <w:tab w:val="left" w:pos="900"/>
        </w:tabs>
        <w:ind w:firstLine="709"/>
        <w:jc w:val="both"/>
        <w:rPr>
          <w:sz w:val="24"/>
          <w:szCs w:val="24"/>
          <w:lang w:eastAsia="ar-SA"/>
        </w:rPr>
      </w:pPr>
      <w:r w:rsidRPr="008678FF">
        <w:rPr>
          <w:sz w:val="24"/>
          <w:szCs w:val="24"/>
        </w:rPr>
        <w:t>4</w:t>
      </w:r>
      <w:r w:rsidR="001A57EF" w:rsidRPr="008678FF">
        <w:rPr>
          <w:sz w:val="24"/>
          <w:szCs w:val="24"/>
        </w:rPr>
        <w:t xml:space="preserve">. </w:t>
      </w:r>
      <w:r w:rsidR="00C43CB2" w:rsidRPr="008678FF">
        <w:rPr>
          <w:sz w:val="24"/>
          <w:szCs w:val="24"/>
        </w:rPr>
        <w:t>Sutarties projekto</w:t>
      </w:r>
      <w:r w:rsidR="001A57EF" w:rsidRPr="008678FF">
        <w:rPr>
          <w:sz w:val="24"/>
          <w:szCs w:val="24"/>
        </w:rPr>
        <w:t xml:space="preserve"> 2.12 punkt</w:t>
      </w:r>
      <w:r w:rsidR="00C51DB4" w:rsidRPr="008678FF">
        <w:rPr>
          <w:sz w:val="24"/>
          <w:szCs w:val="24"/>
        </w:rPr>
        <w:t>e nu</w:t>
      </w:r>
      <w:r w:rsidR="00193A76" w:rsidRPr="008678FF">
        <w:rPr>
          <w:sz w:val="24"/>
          <w:szCs w:val="24"/>
        </w:rPr>
        <w:t>stat</w:t>
      </w:r>
      <w:r w:rsidR="00C51DB4" w:rsidRPr="008678FF">
        <w:rPr>
          <w:sz w:val="24"/>
          <w:szCs w:val="24"/>
        </w:rPr>
        <w:t>yta</w:t>
      </w:r>
      <w:r w:rsidR="001A57EF" w:rsidRPr="008678FF">
        <w:rPr>
          <w:sz w:val="24"/>
          <w:szCs w:val="24"/>
        </w:rPr>
        <w:t>, kad „</w:t>
      </w:r>
      <w:r w:rsidR="001A57EF" w:rsidRPr="008678FF">
        <w:rPr>
          <w:sz w:val="24"/>
          <w:szCs w:val="24"/>
          <w:lang w:eastAsia="ar-SA"/>
        </w:rPr>
        <w:t xml:space="preserve">Sutartyje nustatyti atsiskaitymų terminai gali būti </w:t>
      </w:r>
      <w:r w:rsidR="001A57EF" w:rsidRPr="008678FF">
        <w:rPr>
          <w:sz w:val="24"/>
          <w:szCs w:val="24"/>
          <w:u w:val="single"/>
          <w:lang w:eastAsia="ar-SA"/>
        </w:rPr>
        <w:t>koreguojami</w:t>
      </w:r>
      <w:r w:rsidR="001A57EF" w:rsidRPr="008678FF">
        <w:rPr>
          <w:sz w:val="24"/>
          <w:szCs w:val="24"/>
          <w:lang w:eastAsia="ar-SA"/>
        </w:rPr>
        <w:t>, priklausomai nuo Užsakovo gaunamo finansavimo“</w:t>
      </w:r>
      <w:r w:rsidR="00D00FA4" w:rsidRPr="008678FF">
        <w:rPr>
          <w:sz w:val="24"/>
          <w:szCs w:val="24"/>
          <w:lang w:eastAsia="ar-SA"/>
        </w:rPr>
        <w:t xml:space="preserve">. </w:t>
      </w:r>
      <w:r w:rsidR="00C51DB4" w:rsidRPr="008678FF">
        <w:rPr>
          <w:sz w:val="24"/>
          <w:szCs w:val="24"/>
          <w:lang w:eastAsia="ar-SA"/>
        </w:rPr>
        <w:t>Tai neužtikrina Įstatymo 24 straipsnio 8 dalies nuostatų laikymosi, atsižvelgiant į tai, kad Lietuvos Respublikos mokėjimų, atliekamų pagal komercines sutartis, vėlavimo prevencijos įstatymas (</w:t>
      </w:r>
      <w:proofErr w:type="spellStart"/>
      <w:r w:rsidR="00C51DB4" w:rsidRPr="008678FF">
        <w:rPr>
          <w:sz w:val="24"/>
          <w:szCs w:val="24"/>
          <w:lang w:eastAsia="ar-SA"/>
        </w:rPr>
        <w:t>Žin</w:t>
      </w:r>
      <w:proofErr w:type="spellEnd"/>
      <w:r w:rsidR="00C51DB4" w:rsidRPr="008678FF">
        <w:rPr>
          <w:sz w:val="24"/>
          <w:szCs w:val="24"/>
          <w:lang w:eastAsia="ar-SA"/>
        </w:rPr>
        <w:t xml:space="preserve">., 2003, Nr. 123-5571; 2012, Nr. 127-6389), nustato </w:t>
      </w:r>
      <w:r w:rsidR="008E6743" w:rsidRPr="008678FF">
        <w:rPr>
          <w:sz w:val="24"/>
          <w:szCs w:val="24"/>
          <w:lang w:eastAsia="ar-SA"/>
        </w:rPr>
        <w:t>maksimalius atsiskaitymo pagal viešojo pirkimo – pradavimo sutartis terminus (5 straipsnis).</w:t>
      </w:r>
    </w:p>
    <w:p w:rsidR="007857B1" w:rsidRPr="008678FF" w:rsidRDefault="0055407C" w:rsidP="008678FF">
      <w:pPr>
        <w:pStyle w:val="ListParagraph"/>
        <w:tabs>
          <w:tab w:val="left" w:pos="0"/>
          <w:tab w:val="left" w:pos="1134"/>
          <w:tab w:val="right" w:pos="1276"/>
        </w:tabs>
        <w:ind w:left="0" w:firstLine="709"/>
        <w:jc w:val="both"/>
        <w:rPr>
          <w:color w:val="000000" w:themeColor="text1"/>
          <w:sz w:val="24"/>
          <w:szCs w:val="24"/>
          <w:lang w:val="lt-LT"/>
        </w:rPr>
      </w:pPr>
      <w:r w:rsidRPr="008678FF">
        <w:rPr>
          <w:sz w:val="24"/>
          <w:szCs w:val="24"/>
          <w:lang w:val="lt-LT"/>
        </w:rPr>
        <w:t>5</w:t>
      </w:r>
      <w:r w:rsidR="001A57EF" w:rsidRPr="008678FF">
        <w:rPr>
          <w:sz w:val="24"/>
          <w:szCs w:val="24"/>
          <w:lang w:val="lt-LT"/>
        </w:rPr>
        <w:t xml:space="preserve">. </w:t>
      </w:r>
      <w:r w:rsidR="00C43CB2" w:rsidRPr="008678FF">
        <w:rPr>
          <w:sz w:val="24"/>
          <w:szCs w:val="24"/>
          <w:lang w:val="lt-LT"/>
        </w:rPr>
        <w:t>Sutarties projekto</w:t>
      </w:r>
      <w:r w:rsidR="007857B1" w:rsidRPr="008678FF">
        <w:rPr>
          <w:sz w:val="24"/>
          <w:szCs w:val="24"/>
          <w:lang w:val="lt-LT"/>
        </w:rPr>
        <w:t xml:space="preserve"> </w:t>
      </w:r>
      <w:r w:rsidR="001A57EF" w:rsidRPr="008678FF">
        <w:rPr>
          <w:color w:val="000000" w:themeColor="text1"/>
          <w:sz w:val="24"/>
          <w:szCs w:val="24"/>
          <w:lang w:val="lt-LT"/>
        </w:rPr>
        <w:t>6.5</w:t>
      </w:r>
      <w:r w:rsidR="007857B1" w:rsidRPr="008678FF">
        <w:rPr>
          <w:color w:val="000000" w:themeColor="text1"/>
          <w:sz w:val="24"/>
          <w:szCs w:val="24"/>
          <w:lang w:val="lt-LT"/>
        </w:rPr>
        <w:t xml:space="preserve"> punkte nustatyta, kad „Sutarties įvykdymo užtikrinimu garantuojama, kad užsakovui bus atlyginti nuostoliai, atsiradę rangovui </w:t>
      </w:r>
      <w:r w:rsidR="001A57EF" w:rsidRPr="008678FF">
        <w:rPr>
          <w:color w:val="000000" w:themeColor="text1"/>
          <w:sz w:val="24"/>
          <w:szCs w:val="24"/>
          <w:lang w:val="lt-LT"/>
        </w:rPr>
        <w:t>dėl jo kaltės pažeidus sutartį“. T</w:t>
      </w:r>
      <w:r w:rsidR="007857B1" w:rsidRPr="008678FF">
        <w:rPr>
          <w:color w:val="000000" w:themeColor="text1"/>
          <w:sz w:val="24"/>
          <w:szCs w:val="24"/>
          <w:lang w:val="lt-LT"/>
        </w:rPr>
        <w:t xml:space="preserve">okia nuostata </w:t>
      </w:r>
      <w:r w:rsidR="001A57EF" w:rsidRPr="008678FF">
        <w:rPr>
          <w:color w:val="000000" w:themeColor="text1"/>
          <w:sz w:val="24"/>
          <w:szCs w:val="24"/>
          <w:lang w:val="lt-LT"/>
        </w:rPr>
        <w:t>neužtikrina</w:t>
      </w:r>
      <w:r w:rsidR="007857B1" w:rsidRPr="008678FF">
        <w:rPr>
          <w:color w:val="000000" w:themeColor="text1"/>
          <w:sz w:val="24"/>
          <w:szCs w:val="24"/>
          <w:lang w:val="lt-LT"/>
        </w:rPr>
        <w:t xml:space="preserve"> Įstatymo 18 straipsnio 6 dalies 6 punkto ir 30 straipsnio 1 dalies nuostatos „</w:t>
      </w:r>
      <w:r w:rsidR="007857B1" w:rsidRPr="008678FF">
        <w:rPr>
          <w:sz w:val="24"/>
          <w:szCs w:val="24"/>
          <w:lang w:val="lt-LT"/>
        </w:rPr>
        <w:t>Perkančioji organizacija &lt;...&gt; privalo pareikalauti, kad pirkimo sutarties įvykdymas būtų užtikrinamas Lietuvos Respublikos civilinio kodekso nustatytais prievolių įvykdymo užtikrinimo būdais&lt;...&gt;“, tinkamo taikymo, nes tiekėjas yra įpareigotas pateikti sutarties įvykdymo užtikrinimą tik dėl atsiradusių nuostolių, tačiau jei tiekėjas nevykdys savo sutartinių įsipareigojimų, tačiau perkančioji organizacija nepatirs nuostolių, arba nuostolių negalės įrodyti, sutarties įvykdymo užtikrinimu negalės pasinaudoti nors tiekėjas ir pažeistų esmines sutarties nuostatas.</w:t>
      </w:r>
      <w:r w:rsidR="007857B1" w:rsidRPr="008678FF">
        <w:rPr>
          <w:color w:val="000000" w:themeColor="text1"/>
          <w:sz w:val="24"/>
          <w:szCs w:val="24"/>
          <w:lang w:val="lt-LT"/>
        </w:rPr>
        <w:t xml:space="preserve"> Pažymėtina, kad prievolių užtikrinimo būdais laikomos specialios priemonės, garantuojančios pagrindinės prievolės įvykdymą ir skatinančios skolininką tinkamai vykdyti savo prievolę.</w:t>
      </w:r>
      <w:r w:rsidR="008E6743" w:rsidRPr="008678FF">
        <w:rPr>
          <w:color w:val="000000" w:themeColor="text1"/>
          <w:sz w:val="24"/>
          <w:szCs w:val="24"/>
          <w:lang w:val="lt-LT"/>
        </w:rPr>
        <w:t xml:space="preserve"> Be to, minėta nuostata nesuderinta su </w:t>
      </w:r>
      <w:r w:rsidR="00C43CB2" w:rsidRPr="008678FF">
        <w:rPr>
          <w:sz w:val="24"/>
          <w:szCs w:val="24"/>
          <w:lang w:val="lt-LT"/>
        </w:rPr>
        <w:t>Sutarties projekto</w:t>
      </w:r>
      <w:r w:rsidR="008E6743" w:rsidRPr="008678FF">
        <w:rPr>
          <w:sz w:val="24"/>
          <w:szCs w:val="24"/>
          <w:lang w:val="lt-LT"/>
        </w:rPr>
        <w:t xml:space="preserve"> 6.2</w:t>
      </w:r>
      <w:r w:rsidR="00904F64" w:rsidRPr="008678FF">
        <w:rPr>
          <w:sz w:val="24"/>
          <w:szCs w:val="24"/>
          <w:lang w:val="lt-LT"/>
        </w:rPr>
        <w:t>,</w:t>
      </w:r>
      <w:r w:rsidR="008E6743" w:rsidRPr="008678FF">
        <w:rPr>
          <w:sz w:val="24"/>
          <w:szCs w:val="24"/>
          <w:lang w:val="lt-LT"/>
        </w:rPr>
        <w:t xml:space="preserve"> </w:t>
      </w:r>
      <w:r w:rsidR="00904F64" w:rsidRPr="008678FF">
        <w:rPr>
          <w:sz w:val="24"/>
          <w:szCs w:val="24"/>
          <w:lang w:val="lt-LT"/>
        </w:rPr>
        <w:t xml:space="preserve">6.6 </w:t>
      </w:r>
      <w:r w:rsidR="008E6743" w:rsidRPr="008678FF">
        <w:rPr>
          <w:sz w:val="24"/>
          <w:szCs w:val="24"/>
          <w:lang w:val="lt-LT"/>
        </w:rPr>
        <w:t>ir 6.8 punktų nuostatomis</w:t>
      </w:r>
      <w:r w:rsidR="00C43CB2" w:rsidRPr="008678FF">
        <w:rPr>
          <w:sz w:val="24"/>
          <w:szCs w:val="24"/>
          <w:lang w:val="lt-LT"/>
        </w:rPr>
        <w:t>.</w:t>
      </w:r>
    </w:p>
    <w:p w:rsidR="00BB1C7D" w:rsidRPr="008678FF" w:rsidRDefault="0055407C" w:rsidP="008678FF">
      <w:pPr>
        <w:tabs>
          <w:tab w:val="left" w:pos="900"/>
        </w:tabs>
        <w:ind w:firstLine="709"/>
        <w:jc w:val="both"/>
        <w:rPr>
          <w:sz w:val="24"/>
          <w:szCs w:val="24"/>
          <w:lang w:eastAsia="ar-SA"/>
        </w:rPr>
      </w:pPr>
      <w:r w:rsidRPr="008678FF">
        <w:rPr>
          <w:sz w:val="24"/>
          <w:szCs w:val="24"/>
        </w:rPr>
        <w:t>6</w:t>
      </w:r>
      <w:r w:rsidR="00BB1C7D" w:rsidRPr="008678FF">
        <w:rPr>
          <w:sz w:val="24"/>
          <w:szCs w:val="24"/>
        </w:rPr>
        <w:t xml:space="preserve">. </w:t>
      </w:r>
      <w:r w:rsidR="00C43CB2" w:rsidRPr="008678FF">
        <w:rPr>
          <w:sz w:val="24"/>
          <w:szCs w:val="24"/>
        </w:rPr>
        <w:t>Sutarties projekto</w:t>
      </w:r>
      <w:r w:rsidR="00BB1C7D" w:rsidRPr="008678FF">
        <w:rPr>
          <w:sz w:val="24"/>
          <w:szCs w:val="24"/>
        </w:rPr>
        <w:t xml:space="preserve"> </w:t>
      </w:r>
      <w:r w:rsidR="00BB1C7D" w:rsidRPr="008678FF">
        <w:rPr>
          <w:sz w:val="24"/>
          <w:szCs w:val="24"/>
          <w:lang w:eastAsia="ar-SA"/>
        </w:rPr>
        <w:t>8.2 punkto nuostata „Rangovui nepradėjus taisyti defektų pagal Užsakovo raštiškus reikalavimus dėl atliktų Darbų, Paslaugų kokybės ilgiau nei per tris darbo dienas, Užsakovui pareikalavus, Rangovas moka 0,02 (dviejų šimtųjų) procento dydžio delspinigius už kiekvieną pavėluotą dieną nuo netinkamai įvykdytų pagal Sutartį Darbų ir/ar Paslaugų vertės iki bus ištaisyti defektai“, Tarnybos nuomone</w:t>
      </w:r>
      <w:r w:rsidR="00C0303B" w:rsidRPr="008678FF">
        <w:rPr>
          <w:sz w:val="24"/>
          <w:szCs w:val="24"/>
          <w:lang w:eastAsia="ar-SA"/>
        </w:rPr>
        <w:t xml:space="preserve">, </w:t>
      </w:r>
      <w:r w:rsidR="00C0303B" w:rsidRPr="008678FF">
        <w:rPr>
          <w:color w:val="000000" w:themeColor="text1"/>
          <w:sz w:val="24"/>
          <w:szCs w:val="24"/>
        </w:rPr>
        <w:t>neužtikrina Įstatymo 18 straipsnio 6 dalies 6 punkto ir 30 straipsnio 1 dalies nuostatos „</w:t>
      </w:r>
      <w:r w:rsidR="00C0303B" w:rsidRPr="008678FF">
        <w:rPr>
          <w:sz w:val="24"/>
          <w:szCs w:val="24"/>
        </w:rPr>
        <w:t>Perkančioji organizacija &lt;...&gt; privalo pareikalauti, kad pirkimo sutarties įvykdymas būtų užtikrinamas Lietuvos Respublikos civilinio kodekso nustatytais prievolių įvykdymo užtikrinimo būdais&lt;...&gt;“, tinkamo taikymo, taip pat minėta nuostata</w:t>
      </w:r>
      <w:r w:rsidR="00BB1C7D" w:rsidRPr="008678FF">
        <w:rPr>
          <w:sz w:val="24"/>
          <w:szCs w:val="24"/>
          <w:lang w:eastAsia="ar-SA"/>
        </w:rPr>
        <w:t xml:space="preserve"> nesuderinta su </w:t>
      </w:r>
      <w:r w:rsidR="00C43CB2" w:rsidRPr="008678FF">
        <w:rPr>
          <w:sz w:val="24"/>
          <w:szCs w:val="24"/>
        </w:rPr>
        <w:t>Sutarties projekto</w:t>
      </w:r>
      <w:r w:rsidR="00C0303B" w:rsidRPr="008678FF">
        <w:rPr>
          <w:sz w:val="24"/>
          <w:szCs w:val="24"/>
        </w:rPr>
        <w:t xml:space="preserve"> </w:t>
      </w:r>
      <w:r w:rsidR="00BB1C7D" w:rsidRPr="008678FF">
        <w:rPr>
          <w:sz w:val="24"/>
          <w:szCs w:val="24"/>
          <w:lang w:eastAsia="ar-SA"/>
        </w:rPr>
        <w:t xml:space="preserve">10 skyriaus „Sutartie nutraukimas prieš terminą“ 10.1.3 punktu „po raštiško Užsakovo įspėjimo Rangovas neužtikrina Darbų, Paslaugų kokybės ar nevykdo kitų šios Sutarties sąlygų arba raštiškai perspėtas dar kartą jas pažeidžia“ ir 10.1.5 punktu „Rangovas, nepaisydamas Užsakovo raginimo, nepradeda Darbų, Paslaugų Sutartyje nustatytu laiku arba dirba taip lėtai, </w:t>
      </w:r>
      <w:proofErr w:type="gramStart"/>
      <w:r w:rsidR="00BB1C7D" w:rsidRPr="008678FF">
        <w:rPr>
          <w:sz w:val="24"/>
          <w:szCs w:val="24"/>
          <w:lang w:eastAsia="ar-SA"/>
        </w:rPr>
        <w:t>kad baigti Darbus,</w:t>
      </w:r>
      <w:proofErr w:type="gramEnd"/>
      <w:r w:rsidR="00BB1C7D" w:rsidRPr="008678FF">
        <w:rPr>
          <w:sz w:val="24"/>
          <w:szCs w:val="24"/>
          <w:lang w:eastAsia="ar-SA"/>
        </w:rPr>
        <w:t xml:space="preserve"> Paslaugas Sutartyje nustatytu laiku būtų tikrai neįmanoma“</w:t>
      </w:r>
      <w:r w:rsidR="00C0303B" w:rsidRPr="008678FF">
        <w:rPr>
          <w:sz w:val="24"/>
          <w:szCs w:val="24"/>
          <w:lang w:eastAsia="ar-SA"/>
        </w:rPr>
        <w:t xml:space="preserve">, atsižvelgiant į tai, kad perkančioji organizacija delspinigių </w:t>
      </w:r>
      <w:r w:rsidR="00C43CB2" w:rsidRPr="008678FF">
        <w:rPr>
          <w:sz w:val="24"/>
          <w:szCs w:val="24"/>
          <w:lang w:eastAsia="ar-SA"/>
        </w:rPr>
        <w:t xml:space="preserve">reikalauti galės </w:t>
      </w:r>
      <w:r w:rsidR="00C0303B" w:rsidRPr="008678FF">
        <w:rPr>
          <w:sz w:val="24"/>
          <w:szCs w:val="24"/>
          <w:lang w:eastAsia="ar-SA"/>
        </w:rPr>
        <w:t xml:space="preserve">tik tiekėjui nepradėjus </w:t>
      </w:r>
      <w:r w:rsidR="00C0303B" w:rsidRPr="008678FF">
        <w:rPr>
          <w:b/>
          <w:sz w:val="24"/>
          <w:szCs w:val="24"/>
          <w:lang w:eastAsia="ar-SA"/>
        </w:rPr>
        <w:t>defektų</w:t>
      </w:r>
      <w:r w:rsidR="00C0303B" w:rsidRPr="008678FF">
        <w:rPr>
          <w:sz w:val="24"/>
          <w:szCs w:val="24"/>
          <w:lang w:eastAsia="ar-SA"/>
        </w:rPr>
        <w:t xml:space="preserve"> taisymo</w:t>
      </w:r>
      <w:r w:rsidR="00BB1C7D" w:rsidRPr="008678FF">
        <w:rPr>
          <w:sz w:val="24"/>
          <w:szCs w:val="24"/>
          <w:lang w:eastAsia="ar-SA"/>
        </w:rPr>
        <w:t>.</w:t>
      </w:r>
    </w:p>
    <w:p w:rsidR="007857B1" w:rsidRPr="008678FF" w:rsidRDefault="0055407C" w:rsidP="008678FF">
      <w:pPr>
        <w:tabs>
          <w:tab w:val="left" w:pos="900"/>
        </w:tabs>
        <w:ind w:firstLine="709"/>
        <w:jc w:val="both"/>
        <w:rPr>
          <w:sz w:val="24"/>
          <w:szCs w:val="24"/>
        </w:rPr>
      </w:pPr>
      <w:r w:rsidRPr="008678FF">
        <w:rPr>
          <w:sz w:val="24"/>
          <w:szCs w:val="24"/>
          <w:lang w:eastAsia="ar-SA"/>
        </w:rPr>
        <w:t>7</w:t>
      </w:r>
      <w:r w:rsidR="00BB1C7D" w:rsidRPr="008678FF">
        <w:rPr>
          <w:sz w:val="24"/>
          <w:szCs w:val="24"/>
          <w:lang w:eastAsia="ar-SA"/>
        </w:rPr>
        <w:t xml:space="preserve">. </w:t>
      </w:r>
      <w:r w:rsidR="007857B1" w:rsidRPr="008678FF">
        <w:rPr>
          <w:color w:val="000000"/>
          <w:spacing w:val="-1"/>
          <w:sz w:val="24"/>
          <w:szCs w:val="24"/>
        </w:rPr>
        <w:t xml:space="preserve">Atkreipiame dėmesį, kad Pirkimo sąlygų 3.10 punkte ir </w:t>
      </w:r>
      <w:r w:rsidR="00C43CB2" w:rsidRPr="008678FF">
        <w:rPr>
          <w:sz w:val="24"/>
          <w:szCs w:val="24"/>
        </w:rPr>
        <w:t>Sutarties projekto</w:t>
      </w:r>
      <w:r w:rsidR="007857B1" w:rsidRPr="008678FF">
        <w:rPr>
          <w:sz w:val="24"/>
          <w:szCs w:val="24"/>
        </w:rPr>
        <w:t xml:space="preserve"> 9 skyriuje „Subrangovai ir jų keitimo tvarka“ nenurodytos sąlygos ir pagrindai, kuriais remiantis rangovas galėtų keisti subrangovus, todėl tokiam subrangovų keitimui, koks numatytas minėtame pirkimo sąlygų skyriuje, reikalingas Tarnybos sutikimas. Tarnyba rekomenduoja patikslinti Pirkimo dokumentus nustatant aiškius ir tikslius pagrindus, kuriems esant tiekėjas turi teisę keisti subrangovus, o kuriems esant pasitelkti papildomus naujus subrangovus.</w:t>
      </w:r>
    </w:p>
    <w:p w:rsidR="00C0303B" w:rsidRPr="008678FF" w:rsidRDefault="00C0303B" w:rsidP="008678FF">
      <w:pPr>
        <w:tabs>
          <w:tab w:val="left" w:pos="900"/>
        </w:tabs>
        <w:ind w:firstLine="709"/>
        <w:jc w:val="both"/>
        <w:rPr>
          <w:sz w:val="24"/>
          <w:szCs w:val="24"/>
        </w:rPr>
      </w:pPr>
      <w:r w:rsidRPr="008678FF">
        <w:rPr>
          <w:sz w:val="24"/>
          <w:szCs w:val="24"/>
        </w:rPr>
        <w:t xml:space="preserve">8. Pirkimo sąlygų 1 priedo „Pasiūlymas &lt;...&gt;“ </w:t>
      </w:r>
      <w:r w:rsidR="00B46EBE" w:rsidRPr="008678FF">
        <w:rPr>
          <w:sz w:val="24"/>
          <w:szCs w:val="24"/>
        </w:rPr>
        <w:t>2 lentelė</w:t>
      </w:r>
      <w:r w:rsidR="00AA7B26" w:rsidRPr="008678FF">
        <w:rPr>
          <w:sz w:val="24"/>
          <w:szCs w:val="24"/>
        </w:rPr>
        <w:t>, Tarnybos nuomone,</w:t>
      </w:r>
      <w:r w:rsidR="00B46EBE" w:rsidRPr="008678FF">
        <w:rPr>
          <w:sz w:val="24"/>
          <w:szCs w:val="24"/>
        </w:rPr>
        <w:t xml:space="preserve"> turėtų būti patikslinta, nurodant tiksliai ir aiškiai kokią bendrą pasiūlymo kainą tiekėjas turi nurodyti</w:t>
      </w:r>
      <w:r w:rsidR="00AA7B26" w:rsidRPr="008678FF">
        <w:rPr>
          <w:sz w:val="24"/>
          <w:szCs w:val="24"/>
        </w:rPr>
        <w:t xml:space="preserve"> pasiūlyme</w:t>
      </w:r>
      <w:r w:rsidR="00B46EBE" w:rsidRPr="008678FF">
        <w:rPr>
          <w:sz w:val="24"/>
          <w:szCs w:val="24"/>
        </w:rPr>
        <w:t>, ar vienų metų</w:t>
      </w:r>
      <w:r w:rsidR="00AA7B26" w:rsidRPr="008678FF">
        <w:rPr>
          <w:sz w:val="24"/>
          <w:szCs w:val="24"/>
        </w:rPr>
        <w:t>,</w:t>
      </w:r>
      <w:r w:rsidR="00B46EBE" w:rsidRPr="008678FF">
        <w:rPr>
          <w:sz w:val="24"/>
          <w:szCs w:val="24"/>
        </w:rPr>
        <w:t xml:space="preserve"> ar trijų metų. Tarnyba atkreipia dėmesį, kad Pirkimo sąlygų 2.2 </w:t>
      </w:r>
      <w:r w:rsidR="00C43CB2" w:rsidRPr="008678FF">
        <w:rPr>
          <w:sz w:val="24"/>
          <w:szCs w:val="24"/>
        </w:rPr>
        <w:t xml:space="preserve">punkte ir Sutarties projekto 3.2 ir 3.3 punktuose </w:t>
      </w:r>
      <w:r w:rsidR="00B46EBE" w:rsidRPr="008678FF">
        <w:rPr>
          <w:sz w:val="24"/>
          <w:szCs w:val="24"/>
        </w:rPr>
        <w:t>nustatyta sutarties trukmė 1 metai su galimybe ją pratęsti 2 kartu</w:t>
      </w:r>
      <w:r w:rsidR="00CE340B">
        <w:rPr>
          <w:sz w:val="24"/>
          <w:szCs w:val="24"/>
        </w:rPr>
        <w:t>s</w:t>
      </w:r>
      <w:r w:rsidR="00B46EBE" w:rsidRPr="008678FF">
        <w:rPr>
          <w:sz w:val="24"/>
          <w:szCs w:val="24"/>
        </w:rPr>
        <w:t xml:space="preserve"> po 1 metus, </w:t>
      </w:r>
      <w:r w:rsidR="00AA7B26" w:rsidRPr="008678FF">
        <w:rPr>
          <w:sz w:val="24"/>
          <w:szCs w:val="24"/>
        </w:rPr>
        <w:t>o Pirkimo sąlygų 2 priedo „&lt;...&gt; darbų įkainiai“ pastabų 2 punkte nurodyta, kad „nurodyti preliminarūs darbų kiek</w:t>
      </w:r>
      <w:r w:rsidR="00CE340B">
        <w:rPr>
          <w:sz w:val="24"/>
          <w:szCs w:val="24"/>
        </w:rPr>
        <w:t>i</w:t>
      </w:r>
      <w:r w:rsidR="00AA7B26" w:rsidRPr="008678FF">
        <w:rPr>
          <w:sz w:val="24"/>
          <w:szCs w:val="24"/>
        </w:rPr>
        <w:t>ai per 36 mėn.“.</w:t>
      </w:r>
    </w:p>
    <w:p w:rsidR="00AA7B26" w:rsidRPr="008678FF" w:rsidRDefault="00AA7B26" w:rsidP="008678FF">
      <w:pPr>
        <w:tabs>
          <w:tab w:val="left" w:pos="697"/>
        </w:tabs>
        <w:ind w:firstLine="697"/>
        <w:jc w:val="both"/>
        <w:rPr>
          <w:sz w:val="24"/>
          <w:szCs w:val="24"/>
        </w:rPr>
      </w:pPr>
      <w:r w:rsidRPr="008678FF">
        <w:rPr>
          <w:sz w:val="24"/>
          <w:szCs w:val="24"/>
        </w:rPr>
        <w:t>Atsižvelgdama į nustatytus Įstatymo pažeidimus ir trūkumus, padarytus Perkančiajai organizacijai rengiant Pirkimo dokumentus, Tarnyba, vadovaudamasi Įstatymo 8</w:t>
      </w:r>
      <w:r w:rsidRPr="008678FF">
        <w:rPr>
          <w:sz w:val="24"/>
          <w:szCs w:val="24"/>
          <w:vertAlign w:val="superscript"/>
        </w:rPr>
        <w:t>2</w:t>
      </w:r>
      <w:r w:rsidRPr="008678FF">
        <w:rPr>
          <w:sz w:val="24"/>
          <w:szCs w:val="24"/>
        </w:rPr>
        <w:t xml:space="preserve"> straipsnio 2 dalies 6 punktu, įpareigoja Perkančiąją organizaciją:</w:t>
      </w:r>
    </w:p>
    <w:p w:rsidR="00AA7B26" w:rsidRPr="008678FF" w:rsidRDefault="00AA7B26" w:rsidP="008678FF">
      <w:pPr>
        <w:tabs>
          <w:tab w:val="left" w:pos="993"/>
        </w:tabs>
        <w:ind w:firstLine="697"/>
        <w:jc w:val="both"/>
        <w:rPr>
          <w:sz w:val="24"/>
          <w:szCs w:val="24"/>
        </w:rPr>
      </w:pPr>
      <w:r w:rsidRPr="008678FF">
        <w:rPr>
          <w:sz w:val="24"/>
          <w:szCs w:val="24"/>
        </w:rPr>
        <w:t>1.</w:t>
      </w:r>
      <w:r w:rsidRPr="008678FF">
        <w:rPr>
          <w:sz w:val="24"/>
          <w:szCs w:val="24"/>
        </w:rPr>
        <w:tab/>
        <w:t xml:space="preserve">Pakeisti Pirkimo </w:t>
      </w:r>
      <w:r w:rsidR="008678FF" w:rsidRPr="008678FF">
        <w:rPr>
          <w:sz w:val="24"/>
          <w:szCs w:val="24"/>
        </w:rPr>
        <w:t>sąlygų</w:t>
      </w:r>
      <w:r w:rsidRPr="008678FF">
        <w:rPr>
          <w:sz w:val="24"/>
          <w:szCs w:val="24"/>
        </w:rPr>
        <w:t xml:space="preserve"> nuostatas, neatitinkančias Įstatymo reikalavimų, atsižvelgiant į šiame rašte </w:t>
      </w:r>
      <w:r w:rsidR="008678FF" w:rsidRPr="008678FF">
        <w:rPr>
          <w:sz w:val="24"/>
          <w:szCs w:val="24"/>
        </w:rPr>
        <w:t>nurodyta</w:t>
      </w:r>
      <w:r w:rsidRPr="008678FF">
        <w:rPr>
          <w:sz w:val="24"/>
          <w:szCs w:val="24"/>
        </w:rPr>
        <w:t>s pastabas;</w:t>
      </w:r>
    </w:p>
    <w:p w:rsidR="00AA7B26" w:rsidRPr="008678FF" w:rsidRDefault="00AA7B26" w:rsidP="008678FF">
      <w:pPr>
        <w:tabs>
          <w:tab w:val="left" w:pos="993"/>
        </w:tabs>
        <w:ind w:firstLine="697"/>
        <w:jc w:val="both"/>
        <w:rPr>
          <w:sz w:val="24"/>
          <w:szCs w:val="24"/>
        </w:rPr>
      </w:pPr>
      <w:r w:rsidRPr="008678FF">
        <w:rPr>
          <w:sz w:val="24"/>
          <w:szCs w:val="24"/>
        </w:rPr>
        <w:t>2.</w:t>
      </w:r>
      <w:r w:rsidRPr="008678FF">
        <w:rPr>
          <w:sz w:val="24"/>
          <w:szCs w:val="24"/>
        </w:rPr>
        <w:tab/>
        <w:t xml:space="preserve">patikslinti Pirkimo sąlygas </w:t>
      </w:r>
      <w:r w:rsidR="008678FF">
        <w:rPr>
          <w:sz w:val="24"/>
          <w:szCs w:val="24"/>
        </w:rPr>
        <w:t xml:space="preserve">Įstatymo 27 straipsnio </w:t>
      </w:r>
      <w:r w:rsidRPr="008678FF">
        <w:rPr>
          <w:sz w:val="24"/>
          <w:szCs w:val="24"/>
        </w:rPr>
        <w:t>nustatyta tvarka;</w:t>
      </w:r>
    </w:p>
    <w:p w:rsidR="00AA7B26" w:rsidRPr="008678FF" w:rsidRDefault="00AA7B26" w:rsidP="008678FF">
      <w:pPr>
        <w:tabs>
          <w:tab w:val="left" w:pos="993"/>
        </w:tabs>
        <w:ind w:firstLine="697"/>
        <w:jc w:val="both"/>
        <w:rPr>
          <w:sz w:val="24"/>
          <w:szCs w:val="24"/>
        </w:rPr>
      </w:pPr>
      <w:r w:rsidRPr="008678FF">
        <w:rPr>
          <w:sz w:val="24"/>
          <w:szCs w:val="24"/>
        </w:rPr>
        <w:t>3.</w:t>
      </w:r>
      <w:r w:rsidRPr="008678FF">
        <w:rPr>
          <w:sz w:val="24"/>
          <w:szCs w:val="24"/>
        </w:rPr>
        <w:tab/>
        <w:t>raštu informuoti Tarnybą apie įpareigojimo įvykdymą ir pateikti tai įrodančius dokumentus.</w:t>
      </w:r>
    </w:p>
    <w:p w:rsidR="00AA7B26" w:rsidRPr="008678FF" w:rsidRDefault="00AA7B26" w:rsidP="008678FF">
      <w:pPr>
        <w:tabs>
          <w:tab w:val="left" w:pos="697"/>
        </w:tabs>
        <w:ind w:firstLine="697"/>
        <w:jc w:val="both"/>
        <w:rPr>
          <w:sz w:val="24"/>
          <w:szCs w:val="24"/>
        </w:rPr>
      </w:pPr>
      <w:r w:rsidRPr="008678FF">
        <w:rPr>
          <w:sz w:val="24"/>
          <w:szCs w:val="24"/>
        </w:rPr>
        <w:t>Vadovaujantis Lietuvos Respublikos administracinių bylų teisenos įstatymo (</w:t>
      </w:r>
      <w:proofErr w:type="spellStart"/>
      <w:r w:rsidRPr="008678FF">
        <w:rPr>
          <w:sz w:val="24"/>
          <w:szCs w:val="24"/>
        </w:rPr>
        <w:t>Žin</w:t>
      </w:r>
      <w:proofErr w:type="spellEnd"/>
      <w:r w:rsidRPr="008678FF">
        <w:rPr>
          <w:sz w:val="24"/>
          <w:szCs w:val="24"/>
        </w:rPr>
        <w:t>., 1999, Nr. 13-308; 2000, Nr. 85-2566; 2004, Nr. 171-6320; 2007, Nr. 72-2830; 2010, Nr. 142-7258) 5 ir 15 straipsniais, nesutikę su Tarnybos įpareigojimu, Jūs galite jį apskųsti teismui šio įstatymo nustatyta tvarka.</w:t>
      </w:r>
    </w:p>
    <w:p w:rsidR="0055407C" w:rsidRPr="008678FF" w:rsidRDefault="0055407C" w:rsidP="008678FF">
      <w:pPr>
        <w:tabs>
          <w:tab w:val="left" w:pos="697"/>
        </w:tabs>
        <w:ind w:firstLine="697"/>
        <w:jc w:val="both"/>
        <w:rPr>
          <w:sz w:val="24"/>
          <w:szCs w:val="24"/>
        </w:rPr>
      </w:pPr>
    </w:p>
    <w:p w:rsidR="0055407C" w:rsidRPr="008678FF" w:rsidRDefault="0055407C" w:rsidP="008678FF">
      <w:pPr>
        <w:tabs>
          <w:tab w:val="left" w:pos="697"/>
        </w:tabs>
        <w:ind w:firstLine="697"/>
        <w:jc w:val="both"/>
        <w:rPr>
          <w:sz w:val="24"/>
          <w:szCs w:val="24"/>
        </w:rPr>
      </w:pPr>
    </w:p>
    <w:p w:rsidR="00BD5686" w:rsidRPr="008678FF" w:rsidRDefault="00BD5686" w:rsidP="008678FF">
      <w:pPr>
        <w:tabs>
          <w:tab w:val="left" w:pos="900"/>
        </w:tabs>
        <w:jc w:val="both"/>
        <w:rPr>
          <w:sz w:val="24"/>
          <w:szCs w:val="24"/>
        </w:rPr>
      </w:pPr>
    </w:p>
    <w:tbl>
      <w:tblPr>
        <w:tblW w:w="5000" w:type="pct"/>
        <w:tblLook w:val="01E0"/>
      </w:tblPr>
      <w:tblGrid>
        <w:gridCol w:w="4810"/>
        <w:gridCol w:w="4805"/>
      </w:tblGrid>
      <w:tr w:rsidR="00832DBE" w:rsidRPr="008678FF" w:rsidTr="002878B6">
        <w:tc>
          <w:tcPr>
            <w:tcW w:w="4927" w:type="dxa"/>
          </w:tcPr>
          <w:p w:rsidR="00832DBE" w:rsidRPr="008678FF" w:rsidRDefault="00007372" w:rsidP="008678FF">
            <w:pPr>
              <w:tabs>
                <w:tab w:val="left" w:pos="900"/>
              </w:tabs>
              <w:rPr>
                <w:sz w:val="24"/>
                <w:szCs w:val="24"/>
              </w:rPr>
            </w:pPr>
            <w:r w:rsidRPr="008678FF">
              <w:rPr>
                <w:sz w:val="24"/>
                <w:szCs w:val="24"/>
              </w:rPr>
              <w:t>Direktorius</w:t>
            </w:r>
          </w:p>
        </w:tc>
        <w:tc>
          <w:tcPr>
            <w:tcW w:w="4928" w:type="dxa"/>
          </w:tcPr>
          <w:p w:rsidR="00832DBE" w:rsidRPr="008678FF" w:rsidRDefault="00CD0D68" w:rsidP="008678FF">
            <w:pPr>
              <w:tabs>
                <w:tab w:val="left" w:pos="900"/>
              </w:tabs>
              <w:jc w:val="right"/>
              <w:rPr>
                <w:sz w:val="24"/>
                <w:szCs w:val="24"/>
              </w:rPr>
            </w:pPr>
            <w:r w:rsidRPr="008678FF">
              <w:rPr>
                <w:sz w:val="24"/>
                <w:szCs w:val="24"/>
              </w:rPr>
              <w:t>Žydrūnas Plytnikas</w:t>
            </w:r>
          </w:p>
        </w:tc>
      </w:tr>
    </w:tbl>
    <w:p w:rsidR="00AA5D96" w:rsidRPr="008678FF" w:rsidRDefault="00AA5D96" w:rsidP="008678FF">
      <w:pPr>
        <w:tabs>
          <w:tab w:val="left" w:pos="900"/>
        </w:tabs>
        <w:rPr>
          <w:bCs/>
          <w:sz w:val="24"/>
          <w:szCs w:val="24"/>
        </w:rPr>
      </w:pPr>
    </w:p>
    <w:p w:rsidR="00957675" w:rsidRPr="008678FF" w:rsidRDefault="00957675" w:rsidP="008678FF">
      <w:pPr>
        <w:rPr>
          <w:sz w:val="24"/>
          <w:szCs w:val="24"/>
        </w:rPr>
      </w:pPr>
    </w:p>
    <w:p w:rsidR="00957675" w:rsidRPr="008678FF" w:rsidRDefault="00957675" w:rsidP="008678FF">
      <w:pPr>
        <w:rPr>
          <w:sz w:val="24"/>
          <w:szCs w:val="24"/>
        </w:rPr>
      </w:pPr>
    </w:p>
    <w:p w:rsidR="00D354C6" w:rsidRDefault="00D354C6"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Default="008678FF" w:rsidP="008678FF">
      <w:pPr>
        <w:rPr>
          <w:sz w:val="24"/>
          <w:szCs w:val="24"/>
        </w:rPr>
      </w:pPr>
    </w:p>
    <w:p w:rsidR="008678FF" w:rsidRPr="008678FF" w:rsidRDefault="008678FF" w:rsidP="008678FF">
      <w:pPr>
        <w:rPr>
          <w:sz w:val="24"/>
          <w:szCs w:val="24"/>
        </w:rPr>
      </w:pPr>
    </w:p>
    <w:p w:rsidR="00D354C6" w:rsidRPr="008678FF" w:rsidRDefault="00D354C6" w:rsidP="008678FF">
      <w:pPr>
        <w:rPr>
          <w:sz w:val="24"/>
          <w:szCs w:val="24"/>
        </w:rPr>
      </w:pPr>
    </w:p>
    <w:p w:rsidR="00957675" w:rsidRPr="008678FF" w:rsidRDefault="00957675" w:rsidP="008678FF">
      <w:pPr>
        <w:rPr>
          <w:sz w:val="24"/>
          <w:szCs w:val="24"/>
        </w:rPr>
      </w:pPr>
    </w:p>
    <w:sectPr w:rsidR="00957675" w:rsidRPr="008678FF" w:rsidSect="00DD29F8">
      <w:headerReference w:type="even" r:id="rId10"/>
      <w:headerReference w:type="default" r:id="rId11"/>
      <w:footerReference w:type="default" r:id="rId12"/>
      <w:footerReference w:type="first" r:id="rId13"/>
      <w:pgSz w:w="11907" w:h="16840" w:code="9"/>
      <w:pgMar w:top="851" w:right="708" w:bottom="1135" w:left="1800" w:header="567" w:footer="639"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9F5" w:rsidRDefault="002529F5">
      <w:r>
        <w:separator/>
      </w:r>
    </w:p>
  </w:endnote>
  <w:endnote w:type="continuationSeparator" w:id="0">
    <w:p w:rsidR="002529F5" w:rsidRDefault="00252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4E" w:rsidRDefault="008B5A4E">
    <w:pPr>
      <w:pStyle w:val="Footer"/>
    </w:pPr>
  </w:p>
  <w:p w:rsidR="008B5A4E" w:rsidRDefault="008B5A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08"/>
      <w:gridCol w:w="3204"/>
      <w:gridCol w:w="3203"/>
    </w:tblGrid>
    <w:tr w:rsidR="008B5A4E" w:rsidRPr="008F10BE" w:rsidTr="0048148B">
      <w:tc>
        <w:tcPr>
          <w:tcW w:w="3225" w:type="dxa"/>
        </w:tcPr>
        <w:p w:rsidR="008B5A4E" w:rsidRPr="008F10BE" w:rsidRDefault="008B5A4E" w:rsidP="00225780">
          <w:pPr>
            <w:pStyle w:val="Footer"/>
          </w:pPr>
          <w:r w:rsidRPr="008F10BE">
            <w:t>Biudžetinė įstaiga</w:t>
          </w:r>
        </w:p>
        <w:p w:rsidR="008B5A4E" w:rsidRPr="008F10BE" w:rsidRDefault="008B5A4E" w:rsidP="00225780">
          <w:pPr>
            <w:pStyle w:val="Footer"/>
          </w:pPr>
          <w:r w:rsidRPr="008F10BE">
            <w:t>Kareivių g. 1, 08221 Vilnius</w:t>
          </w:r>
        </w:p>
        <w:p w:rsidR="008B5A4E" w:rsidRPr="008F10BE" w:rsidRDefault="008B5A4E" w:rsidP="00225780">
          <w:pPr>
            <w:pStyle w:val="Footer"/>
          </w:pPr>
          <w:r w:rsidRPr="008F10BE">
            <w:t>http://www.vpt.lt</w:t>
          </w:r>
        </w:p>
      </w:tc>
      <w:tc>
        <w:tcPr>
          <w:tcW w:w="3225" w:type="dxa"/>
        </w:tcPr>
        <w:p w:rsidR="008B5A4E" w:rsidRPr="008F10BE" w:rsidRDefault="008B5A4E" w:rsidP="008A5A7B">
          <w:pPr>
            <w:pStyle w:val="Footer"/>
          </w:pPr>
          <w:r w:rsidRPr="008F10BE">
            <w:t>Tel. (8 5) 219 7001</w:t>
          </w:r>
        </w:p>
        <w:p w:rsidR="008B5A4E" w:rsidRPr="008F10BE" w:rsidRDefault="008B5A4E" w:rsidP="008A5A7B">
          <w:pPr>
            <w:pStyle w:val="Footer"/>
          </w:pPr>
          <w:r w:rsidRPr="008F10BE">
            <w:t>Faks. (8 5) 213 6213</w:t>
          </w:r>
        </w:p>
        <w:p w:rsidR="008B5A4E" w:rsidRPr="008F10BE" w:rsidRDefault="008B5A4E" w:rsidP="008A5A7B">
          <w:pPr>
            <w:pStyle w:val="Footer"/>
          </w:pPr>
          <w:r w:rsidRPr="008F10BE">
            <w:t>El. p. info@vpt.lt</w:t>
          </w:r>
        </w:p>
      </w:tc>
      <w:tc>
        <w:tcPr>
          <w:tcW w:w="3225" w:type="dxa"/>
        </w:tcPr>
        <w:p w:rsidR="008B5A4E" w:rsidRPr="008F10BE" w:rsidRDefault="008B5A4E" w:rsidP="008A5A7B">
          <w:pPr>
            <w:pStyle w:val="Footer"/>
          </w:pPr>
          <w:r w:rsidRPr="008F10BE">
            <w:t>Duomenys kaupiami ir saugomi</w:t>
          </w:r>
        </w:p>
        <w:p w:rsidR="008B5A4E" w:rsidRPr="008F10BE" w:rsidRDefault="008B5A4E" w:rsidP="00225780">
          <w:pPr>
            <w:pStyle w:val="Footer"/>
          </w:pPr>
          <w:r w:rsidRPr="008F10BE">
            <w:t>Juridinių asmenų registre</w:t>
          </w:r>
        </w:p>
        <w:p w:rsidR="008B5A4E" w:rsidRPr="008F10BE" w:rsidRDefault="008B5A4E" w:rsidP="00225780">
          <w:pPr>
            <w:pStyle w:val="Footer"/>
          </w:pPr>
          <w:r w:rsidRPr="008F10BE">
            <w:t>Kodas 188656261</w:t>
          </w:r>
        </w:p>
      </w:tc>
    </w:tr>
  </w:tbl>
  <w:p w:rsidR="008B5A4E" w:rsidRPr="008F10BE" w:rsidRDefault="008B5A4E" w:rsidP="00D354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9F5" w:rsidRDefault="002529F5">
      <w:r>
        <w:separator/>
      </w:r>
    </w:p>
  </w:footnote>
  <w:footnote w:type="continuationSeparator" w:id="0">
    <w:p w:rsidR="002529F5" w:rsidRDefault="002529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4E" w:rsidRDefault="00EA4AB0">
    <w:pPr>
      <w:pStyle w:val="Header"/>
      <w:framePr w:wrap="around" w:vAnchor="text" w:hAnchor="margin" w:xAlign="center" w:y="1"/>
      <w:rPr>
        <w:rStyle w:val="PageNumber"/>
      </w:rPr>
    </w:pPr>
    <w:r>
      <w:rPr>
        <w:rStyle w:val="PageNumber"/>
      </w:rPr>
      <w:fldChar w:fldCharType="begin"/>
    </w:r>
    <w:r w:rsidR="008B5A4E">
      <w:rPr>
        <w:rStyle w:val="PageNumber"/>
      </w:rPr>
      <w:instrText xml:space="preserve">PAGE  </w:instrText>
    </w:r>
    <w:r>
      <w:rPr>
        <w:rStyle w:val="PageNumber"/>
      </w:rPr>
      <w:fldChar w:fldCharType="end"/>
    </w:r>
  </w:p>
  <w:p w:rsidR="008B5A4E" w:rsidRDefault="008B5A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A4E" w:rsidRDefault="00EA4AB0">
    <w:pPr>
      <w:pStyle w:val="Header"/>
      <w:framePr w:wrap="around" w:vAnchor="text" w:hAnchor="margin" w:xAlign="center" w:y="1"/>
      <w:rPr>
        <w:rStyle w:val="PageNumber"/>
      </w:rPr>
    </w:pPr>
    <w:r>
      <w:rPr>
        <w:rStyle w:val="PageNumber"/>
      </w:rPr>
      <w:fldChar w:fldCharType="begin"/>
    </w:r>
    <w:r w:rsidR="008B5A4E">
      <w:rPr>
        <w:rStyle w:val="PageNumber"/>
      </w:rPr>
      <w:instrText xml:space="preserve">PAGE  </w:instrText>
    </w:r>
    <w:r>
      <w:rPr>
        <w:rStyle w:val="PageNumber"/>
      </w:rPr>
      <w:fldChar w:fldCharType="separate"/>
    </w:r>
    <w:r w:rsidR="00CE340B">
      <w:rPr>
        <w:rStyle w:val="PageNumber"/>
        <w:noProof/>
      </w:rPr>
      <w:t>3</w:t>
    </w:r>
    <w:r>
      <w:rPr>
        <w:rStyle w:val="PageNumber"/>
      </w:rPr>
      <w:fldChar w:fldCharType="end"/>
    </w:r>
  </w:p>
  <w:p w:rsidR="008B5A4E" w:rsidRDefault="008B5A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ED10E3"/>
    <w:multiLevelType w:val="multilevel"/>
    <w:tmpl w:val="1714D2AE"/>
    <w:lvl w:ilvl="0">
      <w:start w:val="1"/>
      <w:numFmt w:val="decimal"/>
      <w:lvlText w:val="%1."/>
      <w:lvlJc w:val="left"/>
      <w:pPr>
        <w:ind w:left="1211" w:hanging="360"/>
      </w:pPr>
      <w:rPr>
        <w:rFonts w:hint="default"/>
      </w:rPr>
    </w:lvl>
    <w:lvl w:ilvl="1">
      <w:start w:val="1"/>
      <w:numFmt w:val="decimal"/>
      <w:isLgl/>
      <w:lvlText w:val="%1.%2"/>
      <w:lvlJc w:val="left"/>
      <w:pPr>
        <w:tabs>
          <w:tab w:val="num" w:pos="1500"/>
        </w:tabs>
        <w:ind w:left="1500" w:hanging="360"/>
      </w:pPr>
      <w:rPr>
        <w:rFonts w:hint="default"/>
      </w:rPr>
    </w:lvl>
    <w:lvl w:ilvl="2">
      <w:start w:val="1"/>
      <w:numFmt w:val="decimal"/>
      <w:isLgl/>
      <w:lvlText w:val="%1.%2.%3"/>
      <w:lvlJc w:val="left"/>
      <w:pPr>
        <w:tabs>
          <w:tab w:val="num" w:pos="2149"/>
        </w:tabs>
        <w:ind w:left="2149" w:hanging="720"/>
      </w:pPr>
      <w:rPr>
        <w:rFonts w:hint="default"/>
      </w:rPr>
    </w:lvl>
    <w:lvl w:ilvl="3">
      <w:start w:val="1"/>
      <w:numFmt w:val="decimal"/>
      <w:isLgl/>
      <w:lvlText w:val="%1.%2.%3.%4"/>
      <w:lvlJc w:val="left"/>
      <w:pPr>
        <w:tabs>
          <w:tab w:val="num" w:pos="2438"/>
        </w:tabs>
        <w:ind w:left="2438" w:hanging="720"/>
      </w:pPr>
      <w:rPr>
        <w:rFonts w:hint="default"/>
      </w:rPr>
    </w:lvl>
    <w:lvl w:ilvl="4">
      <w:start w:val="1"/>
      <w:numFmt w:val="decimal"/>
      <w:isLgl/>
      <w:lvlText w:val="%1.%2.%3.%4.%5"/>
      <w:lvlJc w:val="left"/>
      <w:pPr>
        <w:tabs>
          <w:tab w:val="num" w:pos="3087"/>
        </w:tabs>
        <w:ind w:left="3087" w:hanging="1080"/>
      </w:pPr>
      <w:rPr>
        <w:rFonts w:hint="default"/>
      </w:rPr>
    </w:lvl>
    <w:lvl w:ilvl="5">
      <w:start w:val="1"/>
      <w:numFmt w:val="decimal"/>
      <w:isLgl/>
      <w:lvlText w:val="%1.%2.%3.%4.%5.%6"/>
      <w:lvlJc w:val="left"/>
      <w:pPr>
        <w:tabs>
          <w:tab w:val="num" w:pos="3376"/>
        </w:tabs>
        <w:ind w:left="3376" w:hanging="1080"/>
      </w:pPr>
      <w:rPr>
        <w:rFonts w:hint="default"/>
      </w:rPr>
    </w:lvl>
    <w:lvl w:ilvl="6">
      <w:start w:val="1"/>
      <w:numFmt w:val="decimal"/>
      <w:isLgl/>
      <w:lvlText w:val="%1.%2.%3.%4.%5.%6.%7"/>
      <w:lvlJc w:val="left"/>
      <w:pPr>
        <w:tabs>
          <w:tab w:val="num" w:pos="4025"/>
        </w:tabs>
        <w:ind w:left="4025" w:hanging="1440"/>
      </w:pPr>
      <w:rPr>
        <w:rFonts w:hint="default"/>
      </w:rPr>
    </w:lvl>
    <w:lvl w:ilvl="7">
      <w:start w:val="1"/>
      <w:numFmt w:val="decimal"/>
      <w:isLgl/>
      <w:lvlText w:val="%1.%2.%3.%4.%5.%6.%7.%8"/>
      <w:lvlJc w:val="left"/>
      <w:pPr>
        <w:tabs>
          <w:tab w:val="num" w:pos="4314"/>
        </w:tabs>
        <w:ind w:left="4314" w:hanging="1440"/>
      </w:pPr>
      <w:rPr>
        <w:rFonts w:hint="default"/>
      </w:rPr>
    </w:lvl>
    <w:lvl w:ilvl="8">
      <w:start w:val="1"/>
      <w:numFmt w:val="decimal"/>
      <w:isLgl/>
      <w:lvlText w:val="%1.%2.%3.%4.%5.%6.%7.%8.%9"/>
      <w:lvlJc w:val="left"/>
      <w:pPr>
        <w:tabs>
          <w:tab w:val="num" w:pos="4963"/>
        </w:tabs>
        <w:ind w:left="4963" w:hanging="1800"/>
      </w:pPr>
      <w:rPr>
        <w:rFonts w:hint="default"/>
      </w:rPr>
    </w:lvl>
  </w:abstractNum>
  <w:abstractNum w:abstractNumId="1">
    <w:nsid w:val="484C3E26"/>
    <w:multiLevelType w:val="hybridMultilevel"/>
    <w:tmpl w:val="270E98A8"/>
    <w:lvl w:ilvl="0" w:tplc="3500D0EA">
      <w:start w:val="1"/>
      <w:numFmt w:val="decimal"/>
      <w:lvlText w:val="%1."/>
      <w:lvlJc w:val="left"/>
      <w:pPr>
        <w:ind w:left="1815" w:hanging="1095"/>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1D6460"/>
    <w:multiLevelType w:val="hybridMultilevel"/>
    <w:tmpl w:val="94120EBA"/>
    <w:lvl w:ilvl="0" w:tplc="C3FE9F0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mirrorMargins/>
  <w:proofState w:spelling="clean" w:grammar="clean"/>
  <w:stylePaneFormatFilter w:val="3F01"/>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D5A43"/>
    <w:rsid w:val="00000F22"/>
    <w:rsid w:val="00007372"/>
    <w:rsid w:val="00012F18"/>
    <w:rsid w:val="0001319A"/>
    <w:rsid w:val="00021053"/>
    <w:rsid w:val="00023B43"/>
    <w:rsid w:val="0003205A"/>
    <w:rsid w:val="000327A3"/>
    <w:rsid w:val="00033CC7"/>
    <w:rsid w:val="00035EB7"/>
    <w:rsid w:val="0004154D"/>
    <w:rsid w:val="0004323F"/>
    <w:rsid w:val="0004354F"/>
    <w:rsid w:val="00044AFE"/>
    <w:rsid w:val="000506A7"/>
    <w:rsid w:val="00057D1E"/>
    <w:rsid w:val="00084160"/>
    <w:rsid w:val="00085251"/>
    <w:rsid w:val="00096919"/>
    <w:rsid w:val="00097A68"/>
    <w:rsid w:val="000A3899"/>
    <w:rsid w:val="000B0C6A"/>
    <w:rsid w:val="000B43AE"/>
    <w:rsid w:val="000C11D6"/>
    <w:rsid w:val="000C231A"/>
    <w:rsid w:val="000D190A"/>
    <w:rsid w:val="000E5D45"/>
    <w:rsid w:val="00103DFB"/>
    <w:rsid w:val="00113372"/>
    <w:rsid w:val="00115E29"/>
    <w:rsid w:val="00117AAD"/>
    <w:rsid w:val="00131DFB"/>
    <w:rsid w:val="0014344C"/>
    <w:rsid w:val="0014588A"/>
    <w:rsid w:val="00160D34"/>
    <w:rsid w:val="00165BC2"/>
    <w:rsid w:val="00173451"/>
    <w:rsid w:val="00173A46"/>
    <w:rsid w:val="00183961"/>
    <w:rsid w:val="00186039"/>
    <w:rsid w:val="00191B0F"/>
    <w:rsid w:val="00192316"/>
    <w:rsid w:val="00193A76"/>
    <w:rsid w:val="001947C6"/>
    <w:rsid w:val="001A0648"/>
    <w:rsid w:val="001A0E0A"/>
    <w:rsid w:val="001A2A3C"/>
    <w:rsid w:val="001A57EF"/>
    <w:rsid w:val="001B1547"/>
    <w:rsid w:val="001B38EA"/>
    <w:rsid w:val="001B44F1"/>
    <w:rsid w:val="001C3E98"/>
    <w:rsid w:val="001C64A9"/>
    <w:rsid w:val="001C668A"/>
    <w:rsid w:val="001D55E2"/>
    <w:rsid w:val="001E0EF3"/>
    <w:rsid w:val="001E1A3C"/>
    <w:rsid w:val="001E6B29"/>
    <w:rsid w:val="001E7702"/>
    <w:rsid w:val="001F204F"/>
    <w:rsid w:val="00202016"/>
    <w:rsid w:val="002041E6"/>
    <w:rsid w:val="00204A48"/>
    <w:rsid w:val="00212DC3"/>
    <w:rsid w:val="00213375"/>
    <w:rsid w:val="0021749C"/>
    <w:rsid w:val="00223E47"/>
    <w:rsid w:val="00225645"/>
    <w:rsid w:val="00225780"/>
    <w:rsid w:val="002328F9"/>
    <w:rsid w:val="002348ED"/>
    <w:rsid w:val="0024707E"/>
    <w:rsid w:val="002529F5"/>
    <w:rsid w:val="00256CEF"/>
    <w:rsid w:val="002571B3"/>
    <w:rsid w:val="002650AC"/>
    <w:rsid w:val="0027375F"/>
    <w:rsid w:val="00275D7F"/>
    <w:rsid w:val="00276BE8"/>
    <w:rsid w:val="00287365"/>
    <w:rsid w:val="002878B6"/>
    <w:rsid w:val="00297410"/>
    <w:rsid w:val="002A06B0"/>
    <w:rsid w:val="002B0D9C"/>
    <w:rsid w:val="002B405D"/>
    <w:rsid w:val="002B5FFD"/>
    <w:rsid w:val="002B6A22"/>
    <w:rsid w:val="002C1766"/>
    <w:rsid w:val="002C4A68"/>
    <w:rsid w:val="002D1F71"/>
    <w:rsid w:val="002D28BB"/>
    <w:rsid w:val="002D6097"/>
    <w:rsid w:val="002F5AC5"/>
    <w:rsid w:val="002F6A88"/>
    <w:rsid w:val="002F77EC"/>
    <w:rsid w:val="00307BBF"/>
    <w:rsid w:val="00312EEE"/>
    <w:rsid w:val="00313FC6"/>
    <w:rsid w:val="00326B06"/>
    <w:rsid w:val="003317BC"/>
    <w:rsid w:val="00332E6A"/>
    <w:rsid w:val="00351E8D"/>
    <w:rsid w:val="0035640A"/>
    <w:rsid w:val="003575C3"/>
    <w:rsid w:val="00357A1F"/>
    <w:rsid w:val="00363575"/>
    <w:rsid w:val="00364784"/>
    <w:rsid w:val="0038016E"/>
    <w:rsid w:val="0038227F"/>
    <w:rsid w:val="0038515C"/>
    <w:rsid w:val="003901E3"/>
    <w:rsid w:val="00396B0F"/>
    <w:rsid w:val="003A07BD"/>
    <w:rsid w:val="003A5693"/>
    <w:rsid w:val="003A6AFE"/>
    <w:rsid w:val="003B137D"/>
    <w:rsid w:val="003B3873"/>
    <w:rsid w:val="003C1567"/>
    <w:rsid w:val="003C2D1B"/>
    <w:rsid w:val="003C4286"/>
    <w:rsid w:val="003C4C3C"/>
    <w:rsid w:val="003C583D"/>
    <w:rsid w:val="003C66C6"/>
    <w:rsid w:val="003D08E4"/>
    <w:rsid w:val="003D3D13"/>
    <w:rsid w:val="003D4AF0"/>
    <w:rsid w:val="003D7922"/>
    <w:rsid w:val="003E0A9C"/>
    <w:rsid w:val="003E0ECB"/>
    <w:rsid w:val="003F17B7"/>
    <w:rsid w:val="003F1B69"/>
    <w:rsid w:val="003F5351"/>
    <w:rsid w:val="004007F8"/>
    <w:rsid w:val="00407574"/>
    <w:rsid w:val="004144B7"/>
    <w:rsid w:val="00415D28"/>
    <w:rsid w:val="0041798C"/>
    <w:rsid w:val="00441962"/>
    <w:rsid w:val="004434D2"/>
    <w:rsid w:val="00454D65"/>
    <w:rsid w:val="004612E3"/>
    <w:rsid w:val="00461FBE"/>
    <w:rsid w:val="00462413"/>
    <w:rsid w:val="00462A10"/>
    <w:rsid w:val="00465AA2"/>
    <w:rsid w:val="00473741"/>
    <w:rsid w:val="0048148B"/>
    <w:rsid w:val="00485AD9"/>
    <w:rsid w:val="00485FF8"/>
    <w:rsid w:val="004871E0"/>
    <w:rsid w:val="004A002B"/>
    <w:rsid w:val="004B054E"/>
    <w:rsid w:val="004B186B"/>
    <w:rsid w:val="004B2C6B"/>
    <w:rsid w:val="004B5B63"/>
    <w:rsid w:val="004C4AEF"/>
    <w:rsid w:val="004C6F09"/>
    <w:rsid w:val="004D018E"/>
    <w:rsid w:val="004D03A6"/>
    <w:rsid w:val="004D0862"/>
    <w:rsid w:val="004D1BAD"/>
    <w:rsid w:val="004D24DE"/>
    <w:rsid w:val="004D473B"/>
    <w:rsid w:val="004E4306"/>
    <w:rsid w:val="00500C72"/>
    <w:rsid w:val="005049EB"/>
    <w:rsid w:val="00510C55"/>
    <w:rsid w:val="0051166A"/>
    <w:rsid w:val="0053219B"/>
    <w:rsid w:val="0053294C"/>
    <w:rsid w:val="00540EC2"/>
    <w:rsid w:val="00541F0D"/>
    <w:rsid w:val="0055407C"/>
    <w:rsid w:val="005547CC"/>
    <w:rsid w:val="00556E03"/>
    <w:rsid w:val="00560746"/>
    <w:rsid w:val="00565345"/>
    <w:rsid w:val="0057158D"/>
    <w:rsid w:val="00582399"/>
    <w:rsid w:val="00582FC3"/>
    <w:rsid w:val="00583524"/>
    <w:rsid w:val="00587F2F"/>
    <w:rsid w:val="00592387"/>
    <w:rsid w:val="005A25FD"/>
    <w:rsid w:val="005A2606"/>
    <w:rsid w:val="005B3462"/>
    <w:rsid w:val="005B6FCB"/>
    <w:rsid w:val="005C23FB"/>
    <w:rsid w:val="005C7E87"/>
    <w:rsid w:val="005D297E"/>
    <w:rsid w:val="005D2EFA"/>
    <w:rsid w:val="005D4BCF"/>
    <w:rsid w:val="005D770C"/>
    <w:rsid w:val="005E0CB3"/>
    <w:rsid w:val="005E7CC9"/>
    <w:rsid w:val="005F21D3"/>
    <w:rsid w:val="005F4842"/>
    <w:rsid w:val="005F5B87"/>
    <w:rsid w:val="005F5F70"/>
    <w:rsid w:val="00604645"/>
    <w:rsid w:val="006136D7"/>
    <w:rsid w:val="006169B5"/>
    <w:rsid w:val="00617673"/>
    <w:rsid w:val="006263B0"/>
    <w:rsid w:val="00626943"/>
    <w:rsid w:val="0063107D"/>
    <w:rsid w:val="00631CBC"/>
    <w:rsid w:val="006320A5"/>
    <w:rsid w:val="006416BB"/>
    <w:rsid w:val="006459A4"/>
    <w:rsid w:val="00646D35"/>
    <w:rsid w:val="00653884"/>
    <w:rsid w:val="00654BAE"/>
    <w:rsid w:val="00663222"/>
    <w:rsid w:val="00664877"/>
    <w:rsid w:val="00680311"/>
    <w:rsid w:val="00680478"/>
    <w:rsid w:val="00682157"/>
    <w:rsid w:val="006822D1"/>
    <w:rsid w:val="006906CB"/>
    <w:rsid w:val="00691084"/>
    <w:rsid w:val="006910FD"/>
    <w:rsid w:val="00693D78"/>
    <w:rsid w:val="00693F43"/>
    <w:rsid w:val="00697B76"/>
    <w:rsid w:val="006A5CB6"/>
    <w:rsid w:val="006A6FAB"/>
    <w:rsid w:val="006B18BA"/>
    <w:rsid w:val="006B1C41"/>
    <w:rsid w:val="006B5FF7"/>
    <w:rsid w:val="006C37C0"/>
    <w:rsid w:val="006C3C29"/>
    <w:rsid w:val="006D14A7"/>
    <w:rsid w:val="006D249D"/>
    <w:rsid w:val="006D4F32"/>
    <w:rsid w:val="006D6F78"/>
    <w:rsid w:val="006E12BA"/>
    <w:rsid w:val="006F60EE"/>
    <w:rsid w:val="00702DFF"/>
    <w:rsid w:val="007100A1"/>
    <w:rsid w:val="00714690"/>
    <w:rsid w:val="00717DB9"/>
    <w:rsid w:val="007239ED"/>
    <w:rsid w:val="00723CC5"/>
    <w:rsid w:val="00723EDE"/>
    <w:rsid w:val="00726F8D"/>
    <w:rsid w:val="00727CA6"/>
    <w:rsid w:val="0073315E"/>
    <w:rsid w:val="00740E47"/>
    <w:rsid w:val="00744E44"/>
    <w:rsid w:val="00747F93"/>
    <w:rsid w:val="0075265F"/>
    <w:rsid w:val="007546D7"/>
    <w:rsid w:val="00760432"/>
    <w:rsid w:val="00762067"/>
    <w:rsid w:val="0076568A"/>
    <w:rsid w:val="00772A11"/>
    <w:rsid w:val="00774617"/>
    <w:rsid w:val="007777E6"/>
    <w:rsid w:val="007857B1"/>
    <w:rsid w:val="007861E5"/>
    <w:rsid w:val="00793677"/>
    <w:rsid w:val="007947DB"/>
    <w:rsid w:val="007A3192"/>
    <w:rsid w:val="007A6841"/>
    <w:rsid w:val="007A7FEC"/>
    <w:rsid w:val="007B2BE5"/>
    <w:rsid w:val="007B60F4"/>
    <w:rsid w:val="007C1E02"/>
    <w:rsid w:val="007C2C06"/>
    <w:rsid w:val="007D388C"/>
    <w:rsid w:val="007D3E68"/>
    <w:rsid w:val="007D4CB2"/>
    <w:rsid w:val="007D63AA"/>
    <w:rsid w:val="007E79D9"/>
    <w:rsid w:val="007E7BF1"/>
    <w:rsid w:val="007F62F4"/>
    <w:rsid w:val="00802E80"/>
    <w:rsid w:val="008051B9"/>
    <w:rsid w:val="00806367"/>
    <w:rsid w:val="00815693"/>
    <w:rsid w:val="008216FE"/>
    <w:rsid w:val="00825274"/>
    <w:rsid w:val="00825C63"/>
    <w:rsid w:val="008268C9"/>
    <w:rsid w:val="00826F8C"/>
    <w:rsid w:val="00832DBE"/>
    <w:rsid w:val="008449B2"/>
    <w:rsid w:val="008454AF"/>
    <w:rsid w:val="008465EF"/>
    <w:rsid w:val="00854F66"/>
    <w:rsid w:val="00864D8E"/>
    <w:rsid w:val="00865A8A"/>
    <w:rsid w:val="008678FF"/>
    <w:rsid w:val="008716BD"/>
    <w:rsid w:val="00871F8F"/>
    <w:rsid w:val="00875B48"/>
    <w:rsid w:val="008772F2"/>
    <w:rsid w:val="00877384"/>
    <w:rsid w:val="0088115E"/>
    <w:rsid w:val="00892B6B"/>
    <w:rsid w:val="008961CC"/>
    <w:rsid w:val="00896411"/>
    <w:rsid w:val="008A5A7B"/>
    <w:rsid w:val="008A5C10"/>
    <w:rsid w:val="008A6F6D"/>
    <w:rsid w:val="008B1BA9"/>
    <w:rsid w:val="008B32C7"/>
    <w:rsid w:val="008B369B"/>
    <w:rsid w:val="008B5A4E"/>
    <w:rsid w:val="008B63C9"/>
    <w:rsid w:val="008C08DC"/>
    <w:rsid w:val="008C7C12"/>
    <w:rsid w:val="008D1990"/>
    <w:rsid w:val="008E3331"/>
    <w:rsid w:val="008E6743"/>
    <w:rsid w:val="008F10BE"/>
    <w:rsid w:val="008F5F3F"/>
    <w:rsid w:val="008F6484"/>
    <w:rsid w:val="008F6599"/>
    <w:rsid w:val="008F7069"/>
    <w:rsid w:val="008F7A80"/>
    <w:rsid w:val="00900135"/>
    <w:rsid w:val="00903147"/>
    <w:rsid w:val="009049A3"/>
    <w:rsid w:val="00904F64"/>
    <w:rsid w:val="00907C82"/>
    <w:rsid w:val="00911CBE"/>
    <w:rsid w:val="009156ED"/>
    <w:rsid w:val="00923B40"/>
    <w:rsid w:val="009310AB"/>
    <w:rsid w:val="00943DBD"/>
    <w:rsid w:val="00950B86"/>
    <w:rsid w:val="0095689C"/>
    <w:rsid w:val="00957207"/>
    <w:rsid w:val="00957675"/>
    <w:rsid w:val="009607FC"/>
    <w:rsid w:val="009645D9"/>
    <w:rsid w:val="009824DD"/>
    <w:rsid w:val="009831BF"/>
    <w:rsid w:val="00984674"/>
    <w:rsid w:val="0098570E"/>
    <w:rsid w:val="00985A7E"/>
    <w:rsid w:val="00986ECF"/>
    <w:rsid w:val="00987111"/>
    <w:rsid w:val="0099549D"/>
    <w:rsid w:val="009A791A"/>
    <w:rsid w:val="009A7CC2"/>
    <w:rsid w:val="009B0BC6"/>
    <w:rsid w:val="009B2246"/>
    <w:rsid w:val="009D29A9"/>
    <w:rsid w:val="009D2F5B"/>
    <w:rsid w:val="009D466E"/>
    <w:rsid w:val="009D647F"/>
    <w:rsid w:val="009D7CB0"/>
    <w:rsid w:val="009E07B1"/>
    <w:rsid w:val="009E2272"/>
    <w:rsid w:val="009E34E8"/>
    <w:rsid w:val="009E460B"/>
    <w:rsid w:val="009F102C"/>
    <w:rsid w:val="009F1576"/>
    <w:rsid w:val="009F1F7D"/>
    <w:rsid w:val="009F7686"/>
    <w:rsid w:val="00A041EB"/>
    <w:rsid w:val="00A07134"/>
    <w:rsid w:val="00A11352"/>
    <w:rsid w:val="00A13F81"/>
    <w:rsid w:val="00A20325"/>
    <w:rsid w:val="00A23F17"/>
    <w:rsid w:val="00A26FAE"/>
    <w:rsid w:val="00A26FB0"/>
    <w:rsid w:val="00A41F79"/>
    <w:rsid w:val="00A43705"/>
    <w:rsid w:val="00A45199"/>
    <w:rsid w:val="00A5662A"/>
    <w:rsid w:val="00A566FD"/>
    <w:rsid w:val="00A60D2E"/>
    <w:rsid w:val="00A630A8"/>
    <w:rsid w:val="00A713EC"/>
    <w:rsid w:val="00A7313C"/>
    <w:rsid w:val="00A77BDD"/>
    <w:rsid w:val="00A81973"/>
    <w:rsid w:val="00A8239E"/>
    <w:rsid w:val="00A82D0B"/>
    <w:rsid w:val="00A8438D"/>
    <w:rsid w:val="00A939D4"/>
    <w:rsid w:val="00AA5D96"/>
    <w:rsid w:val="00AA7B26"/>
    <w:rsid w:val="00AB08E6"/>
    <w:rsid w:val="00AB1B9B"/>
    <w:rsid w:val="00AC0FBE"/>
    <w:rsid w:val="00AC2BFA"/>
    <w:rsid w:val="00AC388B"/>
    <w:rsid w:val="00AC720E"/>
    <w:rsid w:val="00AD09A7"/>
    <w:rsid w:val="00AD113F"/>
    <w:rsid w:val="00AD139D"/>
    <w:rsid w:val="00AD4FCC"/>
    <w:rsid w:val="00AD6519"/>
    <w:rsid w:val="00AD6B9F"/>
    <w:rsid w:val="00AE1A03"/>
    <w:rsid w:val="00AE1A79"/>
    <w:rsid w:val="00AE7F2D"/>
    <w:rsid w:val="00AF20B8"/>
    <w:rsid w:val="00AF2C97"/>
    <w:rsid w:val="00B1182C"/>
    <w:rsid w:val="00B11E8C"/>
    <w:rsid w:val="00B13D09"/>
    <w:rsid w:val="00B1401C"/>
    <w:rsid w:val="00B14034"/>
    <w:rsid w:val="00B16E6B"/>
    <w:rsid w:val="00B23540"/>
    <w:rsid w:val="00B24EBC"/>
    <w:rsid w:val="00B2606E"/>
    <w:rsid w:val="00B36CC9"/>
    <w:rsid w:val="00B36DB4"/>
    <w:rsid w:val="00B36DDA"/>
    <w:rsid w:val="00B433FF"/>
    <w:rsid w:val="00B45C07"/>
    <w:rsid w:val="00B46EBE"/>
    <w:rsid w:val="00B530E8"/>
    <w:rsid w:val="00B53DC4"/>
    <w:rsid w:val="00B6103B"/>
    <w:rsid w:val="00B6406C"/>
    <w:rsid w:val="00B64871"/>
    <w:rsid w:val="00B655F0"/>
    <w:rsid w:val="00B66BF8"/>
    <w:rsid w:val="00B67F07"/>
    <w:rsid w:val="00B70C35"/>
    <w:rsid w:val="00B71AA6"/>
    <w:rsid w:val="00B82543"/>
    <w:rsid w:val="00B834D1"/>
    <w:rsid w:val="00B9048E"/>
    <w:rsid w:val="00B94713"/>
    <w:rsid w:val="00B972CD"/>
    <w:rsid w:val="00BA0DDB"/>
    <w:rsid w:val="00BB0636"/>
    <w:rsid w:val="00BB1225"/>
    <w:rsid w:val="00BB1C7D"/>
    <w:rsid w:val="00BB2FE9"/>
    <w:rsid w:val="00BB3371"/>
    <w:rsid w:val="00BB684E"/>
    <w:rsid w:val="00BB6D51"/>
    <w:rsid w:val="00BB7A5B"/>
    <w:rsid w:val="00BC2A65"/>
    <w:rsid w:val="00BD2650"/>
    <w:rsid w:val="00BD5686"/>
    <w:rsid w:val="00BD6AB7"/>
    <w:rsid w:val="00BD6B6F"/>
    <w:rsid w:val="00BD7AD3"/>
    <w:rsid w:val="00BE18CE"/>
    <w:rsid w:val="00BE40F7"/>
    <w:rsid w:val="00BE5F43"/>
    <w:rsid w:val="00C0303B"/>
    <w:rsid w:val="00C05FB2"/>
    <w:rsid w:val="00C11535"/>
    <w:rsid w:val="00C13A32"/>
    <w:rsid w:val="00C15E14"/>
    <w:rsid w:val="00C267ED"/>
    <w:rsid w:val="00C26C92"/>
    <w:rsid w:val="00C279AB"/>
    <w:rsid w:val="00C304F5"/>
    <w:rsid w:val="00C3102D"/>
    <w:rsid w:val="00C34FE2"/>
    <w:rsid w:val="00C42936"/>
    <w:rsid w:val="00C42EF3"/>
    <w:rsid w:val="00C43CB2"/>
    <w:rsid w:val="00C51D40"/>
    <w:rsid w:val="00C51DB4"/>
    <w:rsid w:val="00C540F8"/>
    <w:rsid w:val="00C5572A"/>
    <w:rsid w:val="00C57378"/>
    <w:rsid w:val="00C661E5"/>
    <w:rsid w:val="00C71B4A"/>
    <w:rsid w:val="00C72E9C"/>
    <w:rsid w:val="00C8281B"/>
    <w:rsid w:val="00C82B94"/>
    <w:rsid w:val="00C93238"/>
    <w:rsid w:val="00C93759"/>
    <w:rsid w:val="00C93BAE"/>
    <w:rsid w:val="00C94AAB"/>
    <w:rsid w:val="00C9544E"/>
    <w:rsid w:val="00C9591F"/>
    <w:rsid w:val="00C96CAB"/>
    <w:rsid w:val="00CA53A6"/>
    <w:rsid w:val="00CA7CFE"/>
    <w:rsid w:val="00CB005B"/>
    <w:rsid w:val="00CB174E"/>
    <w:rsid w:val="00CB34EC"/>
    <w:rsid w:val="00CB6380"/>
    <w:rsid w:val="00CB68DA"/>
    <w:rsid w:val="00CC0CA5"/>
    <w:rsid w:val="00CC4CFC"/>
    <w:rsid w:val="00CC51A4"/>
    <w:rsid w:val="00CC7A5D"/>
    <w:rsid w:val="00CD0D68"/>
    <w:rsid w:val="00CE340B"/>
    <w:rsid w:val="00CE4B32"/>
    <w:rsid w:val="00CE5B9B"/>
    <w:rsid w:val="00CF00EC"/>
    <w:rsid w:val="00CF3D0A"/>
    <w:rsid w:val="00D00FA4"/>
    <w:rsid w:val="00D11654"/>
    <w:rsid w:val="00D11BA8"/>
    <w:rsid w:val="00D15887"/>
    <w:rsid w:val="00D15D71"/>
    <w:rsid w:val="00D2089C"/>
    <w:rsid w:val="00D214EB"/>
    <w:rsid w:val="00D215F6"/>
    <w:rsid w:val="00D219A4"/>
    <w:rsid w:val="00D26C7E"/>
    <w:rsid w:val="00D30739"/>
    <w:rsid w:val="00D354C6"/>
    <w:rsid w:val="00D37AE0"/>
    <w:rsid w:val="00D5057E"/>
    <w:rsid w:val="00D549DA"/>
    <w:rsid w:val="00D7171D"/>
    <w:rsid w:val="00D73CF3"/>
    <w:rsid w:val="00D74661"/>
    <w:rsid w:val="00D81162"/>
    <w:rsid w:val="00D81437"/>
    <w:rsid w:val="00D83909"/>
    <w:rsid w:val="00D8624A"/>
    <w:rsid w:val="00D86B85"/>
    <w:rsid w:val="00D87661"/>
    <w:rsid w:val="00D90BF3"/>
    <w:rsid w:val="00D917BE"/>
    <w:rsid w:val="00D9632C"/>
    <w:rsid w:val="00D96FFF"/>
    <w:rsid w:val="00DB26F9"/>
    <w:rsid w:val="00DB3D63"/>
    <w:rsid w:val="00DB4876"/>
    <w:rsid w:val="00DC2B05"/>
    <w:rsid w:val="00DC7AD8"/>
    <w:rsid w:val="00DD29F8"/>
    <w:rsid w:val="00DD5A71"/>
    <w:rsid w:val="00DE201F"/>
    <w:rsid w:val="00DE6347"/>
    <w:rsid w:val="00DE7300"/>
    <w:rsid w:val="00DF49F8"/>
    <w:rsid w:val="00E027EF"/>
    <w:rsid w:val="00E0487E"/>
    <w:rsid w:val="00E10488"/>
    <w:rsid w:val="00E13241"/>
    <w:rsid w:val="00E1788F"/>
    <w:rsid w:val="00E30871"/>
    <w:rsid w:val="00E31435"/>
    <w:rsid w:val="00E31901"/>
    <w:rsid w:val="00E53E9D"/>
    <w:rsid w:val="00E53FE4"/>
    <w:rsid w:val="00E64626"/>
    <w:rsid w:val="00E64ABF"/>
    <w:rsid w:val="00E724E7"/>
    <w:rsid w:val="00E72747"/>
    <w:rsid w:val="00E74314"/>
    <w:rsid w:val="00E828E1"/>
    <w:rsid w:val="00E831FF"/>
    <w:rsid w:val="00E858A8"/>
    <w:rsid w:val="00E85F82"/>
    <w:rsid w:val="00E8779F"/>
    <w:rsid w:val="00E87CCE"/>
    <w:rsid w:val="00E938B9"/>
    <w:rsid w:val="00E9461B"/>
    <w:rsid w:val="00EA4AB0"/>
    <w:rsid w:val="00EB36A1"/>
    <w:rsid w:val="00EB57D9"/>
    <w:rsid w:val="00EC1185"/>
    <w:rsid w:val="00EC3B31"/>
    <w:rsid w:val="00ED1DFA"/>
    <w:rsid w:val="00EE5669"/>
    <w:rsid w:val="00EE58F7"/>
    <w:rsid w:val="00EF5F2E"/>
    <w:rsid w:val="00F01792"/>
    <w:rsid w:val="00F15A02"/>
    <w:rsid w:val="00F27B32"/>
    <w:rsid w:val="00F30BD1"/>
    <w:rsid w:val="00F30F1D"/>
    <w:rsid w:val="00F3191A"/>
    <w:rsid w:val="00F338F1"/>
    <w:rsid w:val="00F34035"/>
    <w:rsid w:val="00F34865"/>
    <w:rsid w:val="00F41B42"/>
    <w:rsid w:val="00F45468"/>
    <w:rsid w:val="00F473C0"/>
    <w:rsid w:val="00F51698"/>
    <w:rsid w:val="00F606BC"/>
    <w:rsid w:val="00F61DD2"/>
    <w:rsid w:val="00F6522E"/>
    <w:rsid w:val="00F676B8"/>
    <w:rsid w:val="00F73AD1"/>
    <w:rsid w:val="00F73CE6"/>
    <w:rsid w:val="00F778E8"/>
    <w:rsid w:val="00F831BA"/>
    <w:rsid w:val="00F87F8B"/>
    <w:rsid w:val="00F90553"/>
    <w:rsid w:val="00F90D16"/>
    <w:rsid w:val="00F93CF9"/>
    <w:rsid w:val="00F94496"/>
    <w:rsid w:val="00FA76E1"/>
    <w:rsid w:val="00FB04CD"/>
    <w:rsid w:val="00FC0FEB"/>
    <w:rsid w:val="00FC628C"/>
    <w:rsid w:val="00FD2C69"/>
    <w:rsid w:val="00FD2E10"/>
    <w:rsid w:val="00FD44C0"/>
    <w:rsid w:val="00FD4D5F"/>
    <w:rsid w:val="00FD5A43"/>
    <w:rsid w:val="00FE01BA"/>
    <w:rsid w:val="00FE0E7F"/>
    <w:rsid w:val="00FE485E"/>
    <w:rsid w:val="00FE7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4">
    <w:name w:val="heading 4"/>
    <w:basedOn w:val="Normal"/>
    <w:next w:val="Normal"/>
    <w:qFormat/>
    <w:rsid w:val="005E7CC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character" w:styleId="Strong">
    <w:name w:val="Strong"/>
    <w:qFormat/>
    <w:rsid w:val="00CF00EC"/>
    <w:rPr>
      <w:b/>
      <w:bCs/>
    </w:rPr>
  </w:style>
  <w:style w:type="paragraph" w:customStyle="1" w:styleId="Normal12pt">
    <w:name w:val="Normal + 12 pt"/>
    <w:basedOn w:val="Normal"/>
    <w:rsid w:val="00682157"/>
    <w:pPr>
      <w:tabs>
        <w:tab w:val="left" w:pos="737"/>
      </w:tabs>
      <w:ind w:right="-283"/>
      <w:jc w:val="both"/>
    </w:pPr>
    <w:rPr>
      <w:sz w:val="24"/>
      <w:szCs w:val="24"/>
    </w:rPr>
  </w:style>
  <w:style w:type="paragraph" w:styleId="ListParagraph">
    <w:name w:val="List Paragraph"/>
    <w:basedOn w:val="Normal"/>
    <w:uiPriority w:val="34"/>
    <w:qFormat/>
    <w:rsid w:val="007857B1"/>
    <w:pPr>
      <w:ind w:left="720"/>
      <w:contextualSpacing/>
    </w:pPr>
    <w:rPr>
      <w:lang w:val="en-US"/>
    </w:rPr>
  </w:style>
</w:styles>
</file>

<file path=word/webSettings.xml><?xml version="1.0" encoding="utf-8"?>
<w:webSettings xmlns:r="http://schemas.openxmlformats.org/officeDocument/2006/relationships" xmlns:w="http://schemas.openxmlformats.org/wordprocessingml/2006/main">
  <w:divs>
    <w:div w:id="391854922">
      <w:bodyDiv w:val="1"/>
      <w:marLeft w:val="0"/>
      <w:marRight w:val="0"/>
      <w:marTop w:val="0"/>
      <w:marBottom w:val="0"/>
      <w:divBdr>
        <w:top w:val="none" w:sz="0" w:space="0" w:color="auto"/>
        <w:left w:val="none" w:sz="0" w:space="0" w:color="auto"/>
        <w:bottom w:val="none" w:sz="0" w:space="0" w:color="auto"/>
        <w:right w:val="none" w:sz="0" w:space="0" w:color="auto"/>
      </w:divBdr>
    </w:div>
    <w:div w:id="1453403525">
      <w:bodyDiv w:val="1"/>
      <w:marLeft w:val="225"/>
      <w:marRight w:val="225"/>
      <w:marTop w:val="0"/>
      <w:marBottom w:val="0"/>
      <w:divBdr>
        <w:top w:val="none" w:sz="0" w:space="0" w:color="auto"/>
        <w:left w:val="none" w:sz="0" w:space="0" w:color="auto"/>
        <w:bottom w:val="none" w:sz="0" w:space="0" w:color="auto"/>
        <w:right w:val="none" w:sz="0" w:space="0" w:color="auto"/>
      </w:divBdr>
      <w:divsChild>
        <w:div w:id="1025790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504FE-3E0F-48A4-AA30-D726B0A5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1311</Words>
  <Characters>9113</Characters>
  <Application>Microsoft Office Word</Application>
  <DocSecurity>0</DocSecurity>
  <Lines>75</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vector>
  </TitlesOfParts>
  <Company>Viešųjų pirkimų tarnyba</Company>
  <LinksUpToDate>false</LinksUpToDate>
  <CharactersWithSpaces>10404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 Malyško</dc:creator>
  <cp:lastModifiedBy>Virginija Gadliauskienė</cp:lastModifiedBy>
  <cp:revision>3</cp:revision>
  <cp:lastPrinted>2013-11-15T07:50:00Z</cp:lastPrinted>
  <dcterms:created xsi:type="dcterms:W3CDTF">2013-11-15T07:49:00Z</dcterms:created>
  <dcterms:modified xsi:type="dcterms:W3CDTF">2013-11-15T07:50:00Z</dcterms:modified>
</cp:coreProperties>
</file>