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62D" w:rsidRPr="007B4036" w:rsidRDefault="007D762D" w:rsidP="007D762D">
      <w:pPr>
        <w:jc w:val="center"/>
        <w:rPr>
          <w:sz w:val="24"/>
          <w:szCs w:val="24"/>
          <w:lang w:val="lt-LT"/>
        </w:rPr>
      </w:pPr>
      <w:r w:rsidRPr="007B4036">
        <w:rPr>
          <w:sz w:val="24"/>
          <w:szCs w:val="24"/>
          <w:lang w:val="lt-LT"/>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45941254" r:id="rId9"/>
        </w:object>
      </w:r>
    </w:p>
    <w:p w:rsidR="007D762D" w:rsidRPr="007B4036" w:rsidRDefault="007D762D" w:rsidP="007D762D">
      <w:pPr>
        <w:jc w:val="center"/>
        <w:rPr>
          <w:sz w:val="24"/>
          <w:szCs w:val="24"/>
          <w:lang w:val="lt-LT"/>
        </w:rPr>
      </w:pPr>
    </w:p>
    <w:p w:rsidR="007D762D" w:rsidRPr="007B4036" w:rsidRDefault="007D762D" w:rsidP="007D762D">
      <w:pPr>
        <w:pStyle w:val="Heading1"/>
        <w:tabs>
          <w:tab w:val="left" w:pos="900"/>
        </w:tabs>
        <w:jc w:val="center"/>
        <w:rPr>
          <w:sz w:val="24"/>
          <w:szCs w:val="24"/>
        </w:rPr>
      </w:pPr>
      <w:r w:rsidRPr="007B4036">
        <w:rPr>
          <w:sz w:val="24"/>
          <w:szCs w:val="24"/>
        </w:rPr>
        <w:t xml:space="preserve">VIEŠŲJŲ PIRKIMŲ TARNYBA </w:t>
      </w:r>
    </w:p>
    <w:p w:rsidR="007D762D" w:rsidRPr="007B4036" w:rsidRDefault="007D762D" w:rsidP="007D762D">
      <w:pPr>
        <w:rPr>
          <w:sz w:val="24"/>
          <w:szCs w:val="24"/>
          <w:lang w:val="lt-LT"/>
        </w:rPr>
      </w:pPr>
    </w:p>
    <w:p w:rsidR="002F15DD" w:rsidRPr="007B4036" w:rsidRDefault="002F15DD" w:rsidP="007D762D">
      <w:pPr>
        <w:rPr>
          <w:sz w:val="24"/>
          <w:szCs w:val="24"/>
          <w:lang w:val="lt-LT"/>
        </w:rPr>
      </w:pPr>
    </w:p>
    <w:tbl>
      <w:tblPr>
        <w:tblW w:w="9741" w:type="dxa"/>
        <w:tblInd w:w="87" w:type="dxa"/>
        <w:tblLayout w:type="fixed"/>
        <w:tblLook w:val="0000"/>
      </w:tblPr>
      <w:tblGrid>
        <w:gridCol w:w="5241"/>
        <w:gridCol w:w="236"/>
        <w:gridCol w:w="1390"/>
        <w:gridCol w:w="567"/>
        <w:gridCol w:w="2307"/>
      </w:tblGrid>
      <w:tr w:rsidR="007D762D" w:rsidRPr="007B4036" w:rsidTr="007D762D">
        <w:trPr>
          <w:cantSplit/>
          <w:trHeight w:val="1175"/>
        </w:trPr>
        <w:tc>
          <w:tcPr>
            <w:tcW w:w="5241" w:type="dxa"/>
          </w:tcPr>
          <w:p w:rsidR="006C1B3C" w:rsidRPr="007B4036" w:rsidRDefault="008D0A92" w:rsidP="006C1B3C">
            <w:pPr>
              <w:tabs>
                <w:tab w:val="left" w:pos="900"/>
              </w:tabs>
              <w:rPr>
                <w:bCs/>
                <w:sz w:val="24"/>
                <w:szCs w:val="24"/>
                <w:lang w:val="lt-LT"/>
              </w:rPr>
            </w:pPr>
            <w:r w:rsidRPr="007B4036">
              <w:rPr>
                <w:bCs/>
                <w:sz w:val="24"/>
                <w:szCs w:val="24"/>
                <w:lang w:val="lt-LT"/>
              </w:rPr>
              <w:t>Alytaus miesto savivaldybės administracija</w:t>
            </w:r>
            <w:r w:rsidR="00F242D3" w:rsidRPr="007B4036">
              <w:rPr>
                <w:bCs/>
                <w:sz w:val="24"/>
                <w:szCs w:val="24"/>
                <w:lang w:val="lt-LT"/>
              </w:rPr>
              <w:t>i</w:t>
            </w:r>
          </w:p>
          <w:p w:rsidR="007B4036" w:rsidRPr="007B4036" w:rsidRDefault="007B4036" w:rsidP="006C1B3C">
            <w:pPr>
              <w:tabs>
                <w:tab w:val="left" w:pos="900"/>
              </w:tabs>
              <w:rPr>
                <w:bCs/>
                <w:sz w:val="24"/>
                <w:szCs w:val="24"/>
                <w:lang w:val="lt-LT"/>
              </w:rPr>
            </w:pPr>
          </w:p>
          <w:p w:rsidR="006C1B3C" w:rsidRPr="007B4036" w:rsidRDefault="008D0A92" w:rsidP="006C1B3C">
            <w:pPr>
              <w:tabs>
                <w:tab w:val="left" w:pos="900"/>
              </w:tabs>
              <w:rPr>
                <w:bCs/>
                <w:sz w:val="24"/>
                <w:szCs w:val="24"/>
                <w:lang w:val="lt-LT"/>
              </w:rPr>
            </w:pPr>
            <w:r w:rsidRPr="007B4036">
              <w:rPr>
                <w:bCs/>
                <w:sz w:val="24"/>
                <w:szCs w:val="24"/>
                <w:lang w:val="lt-LT"/>
              </w:rPr>
              <w:t>Rotšės</w:t>
            </w:r>
            <w:r w:rsidR="006C1B3C" w:rsidRPr="007B4036">
              <w:rPr>
                <w:bCs/>
                <w:sz w:val="24"/>
                <w:szCs w:val="24"/>
                <w:lang w:val="lt-LT"/>
              </w:rPr>
              <w:t xml:space="preserve"> </w:t>
            </w:r>
            <w:r w:rsidRPr="007B4036">
              <w:rPr>
                <w:bCs/>
                <w:sz w:val="24"/>
                <w:szCs w:val="24"/>
                <w:lang w:val="lt-LT"/>
              </w:rPr>
              <w:t>a</w:t>
            </w:r>
            <w:r w:rsidR="006C1B3C" w:rsidRPr="007B4036">
              <w:rPr>
                <w:bCs/>
                <w:sz w:val="24"/>
                <w:szCs w:val="24"/>
                <w:lang w:val="lt-LT"/>
              </w:rPr>
              <w:t xml:space="preserve">. </w:t>
            </w:r>
            <w:r w:rsidRPr="007B4036">
              <w:rPr>
                <w:bCs/>
                <w:sz w:val="24"/>
                <w:szCs w:val="24"/>
                <w:lang w:val="lt-LT"/>
              </w:rPr>
              <w:t>4</w:t>
            </w:r>
          </w:p>
          <w:p w:rsidR="002F15DD" w:rsidRPr="007B4036" w:rsidRDefault="006C1B3C" w:rsidP="00486F3E">
            <w:pPr>
              <w:tabs>
                <w:tab w:val="left" w:pos="900"/>
              </w:tabs>
              <w:rPr>
                <w:bCs/>
                <w:sz w:val="24"/>
                <w:szCs w:val="24"/>
                <w:lang w:val="lt-LT"/>
              </w:rPr>
            </w:pPr>
            <w:r w:rsidRPr="007B4036">
              <w:rPr>
                <w:bCs/>
                <w:sz w:val="24"/>
                <w:szCs w:val="24"/>
                <w:lang w:val="lt-LT"/>
              </w:rPr>
              <w:t>LT-</w:t>
            </w:r>
            <w:r w:rsidR="008D0A92" w:rsidRPr="007B4036">
              <w:rPr>
                <w:bCs/>
                <w:sz w:val="24"/>
                <w:szCs w:val="24"/>
                <w:lang w:val="lt-LT"/>
              </w:rPr>
              <w:t>62504</w:t>
            </w:r>
            <w:r w:rsidRPr="007B4036">
              <w:rPr>
                <w:bCs/>
                <w:sz w:val="24"/>
                <w:szCs w:val="24"/>
                <w:lang w:val="lt-LT"/>
              </w:rPr>
              <w:t xml:space="preserve"> </w:t>
            </w:r>
            <w:r w:rsidR="008D0A92" w:rsidRPr="007B4036">
              <w:rPr>
                <w:bCs/>
                <w:sz w:val="24"/>
                <w:szCs w:val="24"/>
                <w:lang w:val="lt-LT"/>
              </w:rPr>
              <w:t>Alytus</w:t>
            </w:r>
          </w:p>
        </w:tc>
        <w:tc>
          <w:tcPr>
            <w:tcW w:w="236" w:type="dxa"/>
          </w:tcPr>
          <w:p w:rsidR="007D762D" w:rsidRPr="007B4036" w:rsidRDefault="007D762D" w:rsidP="007D762D">
            <w:pPr>
              <w:rPr>
                <w:sz w:val="24"/>
                <w:szCs w:val="24"/>
                <w:lang w:val="lt-LT"/>
              </w:rPr>
            </w:pPr>
          </w:p>
          <w:p w:rsidR="007D762D" w:rsidRPr="007B4036" w:rsidRDefault="007D762D" w:rsidP="007D762D">
            <w:pPr>
              <w:rPr>
                <w:sz w:val="24"/>
                <w:szCs w:val="24"/>
                <w:lang w:val="lt-LT"/>
              </w:rPr>
            </w:pPr>
            <w:r w:rsidRPr="007B4036">
              <w:rPr>
                <w:sz w:val="24"/>
                <w:szCs w:val="24"/>
                <w:lang w:val="lt-LT"/>
              </w:rPr>
              <w:t>Į</w:t>
            </w:r>
          </w:p>
        </w:tc>
        <w:tc>
          <w:tcPr>
            <w:tcW w:w="1390" w:type="dxa"/>
          </w:tcPr>
          <w:p w:rsidR="007D762D" w:rsidRPr="007B4036" w:rsidRDefault="00EF6978" w:rsidP="007D762D">
            <w:pPr>
              <w:rPr>
                <w:sz w:val="24"/>
                <w:szCs w:val="24"/>
                <w:lang w:val="lt-LT"/>
              </w:rPr>
            </w:pPr>
            <w:r w:rsidRPr="007B4036">
              <w:rPr>
                <w:sz w:val="24"/>
                <w:szCs w:val="24"/>
                <w:lang w:val="lt-LT"/>
              </w:rPr>
              <w:t>2013-</w:t>
            </w:r>
            <w:r w:rsidR="008D0A92" w:rsidRPr="007B4036">
              <w:rPr>
                <w:sz w:val="24"/>
                <w:szCs w:val="24"/>
                <w:lang w:val="lt-LT"/>
              </w:rPr>
              <w:t>11</w:t>
            </w:r>
            <w:r w:rsidR="007D762D" w:rsidRPr="007B4036">
              <w:rPr>
                <w:sz w:val="24"/>
                <w:szCs w:val="24"/>
                <w:lang w:val="lt-LT"/>
              </w:rPr>
              <w:t>-</w:t>
            </w:r>
          </w:p>
          <w:p w:rsidR="007D762D" w:rsidRPr="007B4036" w:rsidRDefault="00EF6978" w:rsidP="007D762D">
            <w:pPr>
              <w:rPr>
                <w:sz w:val="24"/>
                <w:szCs w:val="24"/>
                <w:lang w:val="lt-LT"/>
              </w:rPr>
            </w:pPr>
            <w:r w:rsidRPr="007B4036">
              <w:rPr>
                <w:sz w:val="24"/>
                <w:szCs w:val="24"/>
                <w:lang w:val="lt-LT"/>
              </w:rPr>
              <w:t>2013-</w:t>
            </w:r>
            <w:r w:rsidR="008D0A92" w:rsidRPr="007B4036">
              <w:rPr>
                <w:sz w:val="24"/>
                <w:szCs w:val="24"/>
                <w:lang w:val="lt-LT"/>
              </w:rPr>
              <w:t>10</w:t>
            </w:r>
            <w:r w:rsidR="00F4287C" w:rsidRPr="007B4036">
              <w:rPr>
                <w:sz w:val="24"/>
                <w:szCs w:val="24"/>
                <w:lang w:val="lt-LT"/>
              </w:rPr>
              <w:t>-</w:t>
            </w:r>
            <w:r w:rsidR="008D0A92" w:rsidRPr="007B4036">
              <w:rPr>
                <w:sz w:val="24"/>
                <w:szCs w:val="24"/>
                <w:lang w:val="lt-LT"/>
              </w:rPr>
              <w:t>03</w:t>
            </w:r>
          </w:p>
          <w:p w:rsidR="007D762D" w:rsidRPr="007B4036" w:rsidRDefault="007D762D" w:rsidP="008D0A92">
            <w:pPr>
              <w:rPr>
                <w:sz w:val="24"/>
                <w:szCs w:val="24"/>
                <w:lang w:val="lt-LT"/>
              </w:rPr>
            </w:pPr>
          </w:p>
        </w:tc>
        <w:tc>
          <w:tcPr>
            <w:tcW w:w="567" w:type="dxa"/>
          </w:tcPr>
          <w:p w:rsidR="007D762D" w:rsidRPr="007B4036" w:rsidRDefault="007D762D" w:rsidP="007D762D">
            <w:pPr>
              <w:jc w:val="center"/>
              <w:rPr>
                <w:sz w:val="24"/>
                <w:szCs w:val="24"/>
                <w:lang w:val="lt-LT"/>
              </w:rPr>
            </w:pPr>
            <w:r w:rsidRPr="007B4036">
              <w:rPr>
                <w:sz w:val="24"/>
                <w:szCs w:val="24"/>
                <w:lang w:val="lt-LT"/>
              </w:rPr>
              <w:t>Nr.</w:t>
            </w:r>
          </w:p>
          <w:p w:rsidR="007D762D" w:rsidRPr="007B4036" w:rsidRDefault="007D762D" w:rsidP="007D762D">
            <w:pPr>
              <w:jc w:val="center"/>
              <w:rPr>
                <w:sz w:val="24"/>
                <w:szCs w:val="24"/>
                <w:lang w:val="lt-LT"/>
              </w:rPr>
            </w:pPr>
            <w:r w:rsidRPr="007B4036">
              <w:rPr>
                <w:sz w:val="24"/>
                <w:szCs w:val="24"/>
                <w:lang w:val="lt-LT"/>
              </w:rPr>
              <w:t>Nr.</w:t>
            </w:r>
          </w:p>
          <w:p w:rsidR="00486F3E" w:rsidRPr="007B4036" w:rsidRDefault="00486F3E" w:rsidP="007D762D">
            <w:pPr>
              <w:jc w:val="center"/>
              <w:rPr>
                <w:b/>
                <w:sz w:val="24"/>
                <w:szCs w:val="24"/>
                <w:lang w:val="lt-LT"/>
              </w:rPr>
            </w:pPr>
          </w:p>
          <w:p w:rsidR="00D30256" w:rsidRPr="007B4036" w:rsidRDefault="00D30256" w:rsidP="00486F3E">
            <w:pPr>
              <w:rPr>
                <w:sz w:val="24"/>
                <w:szCs w:val="24"/>
                <w:lang w:val="lt-LT"/>
              </w:rPr>
            </w:pPr>
          </w:p>
        </w:tc>
        <w:tc>
          <w:tcPr>
            <w:tcW w:w="2307" w:type="dxa"/>
          </w:tcPr>
          <w:p w:rsidR="007D762D" w:rsidRPr="007B4036" w:rsidRDefault="007D762D" w:rsidP="007D762D">
            <w:pPr>
              <w:rPr>
                <w:sz w:val="24"/>
                <w:szCs w:val="24"/>
                <w:lang w:val="lt-LT"/>
              </w:rPr>
            </w:pPr>
            <w:r w:rsidRPr="007B4036">
              <w:rPr>
                <w:sz w:val="24"/>
                <w:szCs w:val="24"/>
                <w:lang w:val="lt-LT"/>
              </w:rPr>
              <w:t>4S-</w:t>
            </w:r>
          </w:p>
          <w:p w:rsidR="007D762D" w:rsidRPr="007B4036" w:rsidRDefault="008D0A92" w:rsidP="007D762D">
            <w:pPr>
              <w:rPr>
                <w:sz w:val="24"/>
                <w:szCs w:val="24"/>
                <w:lang w:val="lt-LT" w:eastAsia="lt-LT"/>
              </w:rPr>
            </w:pPr>
            <w:r w:rsidRPr="007B4036">
              <w:rPr>
                <w:sz w:val="24"/>
                <w:szCs w:val="24"/>
                <w:lang w:val="lt-LT" w:eastAsia="lt-LT"/>
              </w:rPr>
              <w:t>SD-6622(6.25.)</w:t>
            </w:r>
          </w:p>
          <w:p w:rsidR="00D30256" w:rsidRPr="007B4036" w:rsidRDefault="00D30256" w:rsidP="007D762D">
            <w:pPr>
              <w:rPr>
                <w:sz w:val="24"/>
                <w:szCs w:val="24"/>
                <w:lang w:val="lt-LT" w:eastAsia="lt-LT"/>
              </w:rPr>
            </w:pPr>
          </w:p>
          <w:p w:rsidR="007D762D" w:rsidRPr="007B4036" w:rsidRDefault="007D762D" w:rsidP="007D762D">
            <w:pPr>
              <w:rPr>
                <w:sz w:val="24"/>
                <w:szCs w:val="24"/>
                <w:lang w:val="lt-LT"/>
              </w:rPr>
            </w:pPr>
          </w:p>
        </w:tc>
      </w:tr>
    </w:tbl>
    <w:p w:rsidR="007B4036" w:rsidRPr="007B4036" w:rsidRDefault="007B4036" w:rsidP="003C535C">
      <w:pPr>
        <w:shd w:val="clear" w:color="auto" w:fill="FFFFFF"/>
        <w:tabs>
          <w:tab w:val="left" w:pos="900"/>
        </w:tabs>
        <w:ind w:right="-81"/>
        <w:rPr>
          <w:b/>
          <w:caps/>
          <w:sz w:val="24"/>
          <w:szCs w:val="24"/>
          <w:lang w:val="lt-LT"/>
        </w:rPr>
      </w:pPr>
    </w:p>
    <w:p w:rsidR="007B4036" w:rsidRPr="007B4036" w:rsidRDefault="007B4036" w:rsidP="003C535C">
      <w:pPr>
        <w:shd w:val="clear" w:color="auto" w:fill="FFFFFF"/>
        <w:tabs>
          <w:tab w:val="left" w:pos="900"/>
        </w:tabs>
        <w:ind w:right="-81"/>
        <w:rPr>
          <w:b/>
          <w:caps/>
          <w:sz w:val="24"/>
          <w:szCs w:val="24"/>
          <w:lang w:val="lt-LT"/>
        </w:rPr>
      </w:pPr>
    </w:p>
    <w:p w:rsidR="003C535C" w:rsidRPr="007B4036" w:rsidRDefault="003C535C" w:rsidP="003C535C">
      <w:pPr>
        <w:shd w:val="clear" w:color="auto" w:fill="FFFFFF"/>
        <w:tabs>
          <w:tab w:val="left" w:pos="900"/>
        </w:tabs>
        <w:ind w:right="-81"/>
        <w:rPr>
          <w:bCs/>
          <w:color w:val="000000"/>
          <w:sz w:val="24"/>
          <w:szCs w:val="24"/>
          <w:lang w:val="lt-LT" w:eastAsia="lt-LT"/>
        </w:rPr>
      </w:pPr>
      <w:r w:rsidRPr="007B4036">
        <w:rPr>
          <w:b/>
          <w:caps/>
          <w:sz w:val="24"/>
          <w:szCs w:val="24"/>
          <w:lang w:val="lt-LT"/>
        </w:rPr>
        <w:t xml:space="preserve">Dėl </w:t>
      </w:r>
      <w:r w:rsidRPr="007B4036">
        <w:rPr>
          <w:b/>
          <w:sz w:val="24"/>
          <w:szCs w:val="24"/>
          <w:lang w:val="lt-LT"/>
        </w:rPr>
        <w:t>VIEŠOJO</w:t>
      </w:r>
      <w:r w:rsidRPr="007B4036">
        <w:rPr>
          <w:b/>
          <w:caps/>
          <w:sz w:val="24"/>
          <w:szCs w:val="24"/>
          <w:lang w:val="lt-LT"/>
        </w:rPr>
        <w:t xml:space="preserve"> PIRKIMO NR. </w:t>
      </w:r>
      <w:r w:rsidR="00213106" w:rsidRPr="007B4036">
        <w:rPr>
          <w:b/>
          <w:sz w:val="24"/>
          <w:szCs w:val="24"/>
          <w:lang w:val="lt-LT"/>
        </w:rPr>
        <w:t>142542</w:t>
      </w:r>
      <w:r w:rsidRPr="007B4036">
        <w:rPr>
          <w:b/>
          <w:sz w:val="24"/>
          <w:szCs w:val="24"/>
          <w:lang w:val="lt-LT"/>
        </w:rPr>
        <w:t xml:space="preserve"> ĮVERTINIMO</w:t>
      </w:r>
    </w:p>
    <w:p w:rsidR="00DE2E76" w:rsidRPr="007B4036" w:rsidRDefault="00DE2E76" w:rsidP="00DE2E76">
      <w:pPr>
        <w:tabs>
          <w:tab w:val="left" w:pos="900"/>
        </w:tabs>
        <w:jc w:val="both"/>
        <w:rPr>
          <w:sz w:val="24"/>
          <w:szCs w:val="24"/>
          <w:lang w:val="lt-LT"/>
        </w:rPr>
      </w:pPr>
    </w:p>
    <w:p w:rsidR="002F15DD" w:rsidRPr="007B4036" w:rsidRDefault="002F15DD" w:rsidP="00DE2E76">
      <w:pPr>
        <w:tabs>
          <w:tab w:val="left" w:pos="900"/>
        </w:tabs>
        <w:jc w:val="both"/>
        <w:rPr>
          <w:sz w:val="24"/>
          <w:szCs w:val="24"/>
          <w:lang w:val="lt-LT"/>
        </w:rPr>
      </w:pPr>
    </w:p>
    <w:p w:rsidR="0000032B" w:rsidRPr="007B4036" w:rsidRDefault="00125134" w:rsidP="007B4036">
      <w:pPr>
        <w:spacing w:line="360" w:lineRule="auto"/>
        <w:ind w:firstLine="720"/>
        <w:jc w:val="both"/>
        <w:rPr>
          <w:sz w:val="24"/>
          <w:szCs w:val="24"/>
          <w:lang w:val="lt-LT"/>
        </w:rPr>
      </w:pPr>
      <w:r w:rsidRPr="007B4036">
        <w:rPr>
          <w:sz w:val="24"/>
          <w:szCs w:val="24"/>
          <w:lang w:val="lt-LT"/>
        </w:rPr>
        <w:t xml:space="preserve">Viešųjų pirkimų tarnyba (toliau – Tarnyba), vadovaudamasi Lietuvos Respublikos viešųjų pirkimų įstatymo (Žin., 1996, Nr. 84-2000; 2006, Nr. 4-102; 2008, Nr. 81-3179; 2010, Nr. 25-1174; 2011, Nr. 123-5813; toliau – Įstatymas) 8² straipsnio 1 dalies 2 punktu, įvertino </w:t>
      </w:r>
      <w:r w:rsidR="009C3F2A" w:rsidRPr="007B4036">
        <w:rPr>
          <w:sz w:val="24"/>
          <w:szCs w:val="24"/>
          <w:lang w:val="lt-LT"/>
        </w:rPr>
        <w:t>Alytaus miesto savivaldybės administracijos</w:t>
      </w:r>
      <w:r w:rsidR="0000032B" w:rsidRPr="007B4036">
        <w:rPr>
          <w:sz w:val="24"/>
          <w:szCs w:val="24"/>
          <w:lang w:val="lt-LT"/>
        </w:rPr>
        <w:t xml:space="preserve"> </w:t>
      </w:r>
      <w:r w:rsidRPr="007B4036">
        <w:rPr>
          <w:sz w:val="24"/>
          <w:szCs w:val="24"/>
          <w:lang w:val="lt-LT"/>
        </w:rPr>
        <w:t xml:space="preserve">(toliau – Perkančioji organizacija) pateiktą medžiagą, susijusią su </w:t>
      </w:r>
      <w:r w:rsidR="009C3F2A" w:rsidRPr="007B4036">
        <w:rPr>
          <w:sz w:val="24"/>
          <w:szCs w:val="24"/>
          <w:lang w:val="lt-LT"/>
        </w:rPr>
        <w:t xml:space="preserve">supaprastinto </w:t>
      </w:r>
      <w:r w:rsidR="00603CD5" w:rsidRPr="007B4036">
        <w:rPr>
          <w:sz w:val="24"/>
          <w:szCs w:val="24"/>
          <w:lang w:val="lt-LT"/>
        </w:rPr>
        <w:t>atviro</w:t>
      </w:r>
      <w:r w:rsidR="0000032B" w:rsidRPr="007B4036">
        <w:rPr>
          <w:sz w:val="24"/>
          <w:szCs w:val="24"/>
          <w:lang w:val="lt-LT"/>
        </w:rPr>
        <w:t xml:space="preserve"> konkurso būdu vykdom</w:t>
      </w:r>
      <w:r w:rsidR="007C0383" w:rsidRPr="007B4036">
        <w:rPr>
          <w:sz w:val="24"/>
          <w:szCs w:val="24"/>
          <w:lang w:val="lt-LT"/>
        </w:rPr>
        <w:t>u</w:t>
      </w:r>
      <w:r w:rsidR="0000032B" w:rsidRPr="007B4036">
        <w:rPr>
          <w:sz w:val="24"/>
          <w:szCs w:val="24"/>
          <w:lang w:val="lt-LT"/>
        </w:rPr>
        <w:t xml:space="preserve"> </w:t>
      </w:r>
      <w:r w:rsidR="00B04E1A" w:rsidRPr="007B4036">
        <w:rPr>
          <w:sz w:val="24"/>
          <w:szCs w:val="24"/>
          <w:lang w:val="lt-LT"/>
        </w:rPr>
        <w:t>pirkim</w:t>
      </w:r>
      <w:r w:rsidR="007C0383" w:rsidRPr="007B4036">
        <w:rPr>
          <w:sz w:val="24"/>
          <w:szCs w:val="24"/>
          <w:lang w:val="lt-LT"/>
        </w:rPr>
        <w:t>u</w:t>
      </w:r>
      <w:r w:rsidR="00B04E1A" w:rsidRPr="007B4036">
        <w:rPr>
          <w:sz w:val="24"/>
          <w:szCs w:val="24"/>
          <w:lang w:val="lt-LT"/>
        </w:rPr>
        <w:t xml:space="preserve"> </w:t>
      </w:r>
      <w:r w:rsidR="0000032B" w:rsidRPr="007B4036">
        <w:rPr>
          <w:sz w:val="24"/>
          <w:szCs w:val="24"/>
          <w:lang w:val="lt-LT"/>
        </w:rPr>
        <w:t>„</w:t>
      </w:r>
      <w:r w:rsidR="009C3F2A" w:rsidRPr="007B4036">
        <w:rPr>
          <w:sz w:val="24"/>
          <w:szCs w:val="24"/>
          <w:lang w:val="lt-LT"/>
        </w:rPr>
        <w:t>Ugniagesių gatvės teritorijos Alytuje rekonstravimo statybos darbų pirkimas</w:t>
      </w:r>
      <w:r w:rsidR="00603CD5" w:rsidRPr="007B4036">
        <w:rPr>
          <w:sz w:val="24"/>
          <w:szCs w:val="24"/>
          <w:lang w:val="lt-LT"/>
        </w:rPr>
        <w:t>“</w:t>
      </w:r>
      <w:r w:rsidR="0000032B" w:rsidRPr="007B4036">
        <w:rPr>
          <w:sz w:val="24"/>
          <w:szCs w:val="24"/>
          <w:lang w:val="lt-LT"/>
        </w:rPr>
        <w:t xml:space="preserve"> (Centrinėje viešųjų pirkimų informacinėje sistemoje skelbtas 2013 m. </w:t>
      </w:r>
      <w:r w:rsidR="009C3F2A" w:rsidRPr="007B4036">
        <w:rPr>
          <w:sz w:val="24"/>
          <w:szCs w:val="24"/>
          <w:lang w:val="lt-LT"/>
        </w:rPr>
        <w:t>rugsėjo</w:t>
      </w:r>
      <w:r w:rsidR="0000032B" w:rsidRPr="007B4036">
        <w:rPr>
          <w:sz w:val="24"/>
          <w:szCs w:val="24"/>
          <w:lang w:val="lt-LT"/>
        </w:rPr>
        <w:t xml:space="preserve"> </w:t>
      </w:r>
      <w:r w:rsidR="009C3F2A" w:rsidRPr="007B4036">
        <w:rPr>
          <w:sz w:val="24"/>
          <w:szCs w:val="24"/>
          <w:lang w:val="lt-LT"/>
        </w:rPr>
        <w:t>16</w:t>
      </w:r>
      <w:r w:rsidR="0000032B" w:rsidRPr="007B4036">
        <w:rPr>
          <w:sz w:val="24"/>
          <w:szCs w:val="24"/>
          <w:lang w:val="lt-LT"/>
        </w:rPr>
        <w:t xml:space="preserve"> d., pirkimo Nr. </w:t>
      </w:r>
      <w:r w:rsidR="009C3F2A" w:rsidRPr="007B4036">
        <w:rPr>
          <w:sz w:val="24"/>
          <w:szCs w:val="24"/>
          <w:lang w:val="lt-LT"/>
        </w:rPr>
        <w:t>142542</w:t>
      </w:r>
      <w:r w:rsidR="0000032B" w:rsidRPr="007B4036">
        <w:rPr>
          <w:sz w:val="24"/>
          <w:szCs w:val="24"/>
          <w:lang w:val="lt-LT"/>
        </w:rPr>
        <w:t xml:space="preserve">; toliau – Pirkimas). </w:t>
      </w:r>
    </w:p>
    <w:p w:rsidR="005C0AD7" w:rsidRPr="007B4036" w:rsidRDefault="00FC61BA" w:rsidP="007B4036">
      <w:pPr>
        <w:spacing w:line="360" w:lineRule="auto"/>
        <w:ind w:firstLine="720"/>
        <w:jc w:val="both"/>
        <w:rPr>
          <w:sz w:val="24"/>
          <w:szCs w:val="24"/>
          <w:lang w:val="lt-LT"/>
        </w:rPr>
      </w:pPr>
      <w:r w:rsidRPr="007B4036">
        <w:rPr>
          <w:sz w:val="24"/>
          <w:szCs w:val="24"/>
          <w:lang w:val="lt-LT"/>
        </w:rPr>
        <w:t>Perkančioji organizacija Pirkimą atlieka pagal Alytaus miesto savivaldybės administracijos supaprastintų viešųjų pirkimų taisyklių, patvirtintų Perkančiosios organizacijos direktoriaus 201</w:t>
      </w:r>
      <w:r w:rsidR="007F3F2D" w:rsidRPr="007B4036">
        <w:rPr>
          <w:sz w:val="24"/>
          <w:szCs w:val="24"/>
          <w:lang w:val="lt-LT"/>
        </w:rPr>
        <w:t>2</w:t>
      </w:r>
      <w:r w:rsidRPr="007B4036">
        <w:rPr>
          <w:sz w:val="24"/>
          <w:szCs w:val="24"/>
          <w:lang w:val="lt-LT"/>
        </w:rPr>
        <w:t>-10-19 įsakymu Nr. DV-751, nuostatas (toliau – Taisyklės).</w:t>
      </w:r>
    </w:p>
    <w:p w:rsidR="00680A55" w:rsidRPr="007B4036" w:rsidRDefault="00EF54DB" w:rsidP="007B4036">
      <w:pPr>
        <w:tabs>
          <w:tab w:val="right" w:pos="9646"/>
        </w:tabs>
        <w:spacing w:line="360" w:lineRule="auto"/>
        <w:ind w:firstLine="720"/>
        <w:jc w:val="both"/>
        <w:rPr>
          <w:sz w:val="24"/>
          <w:szCs w:val="24"/>
          <w:lang w:val="lt-LT"/>
        </w:rPr>
      </w:pPr>
      <w:r w:rsidRPr="007B4036">
        <w:rPr>
          <w:sz w:val="24"/>
          <w:szCs w:val="24"/>
          <w:lang w:val="lt-LT"/>
        </w:rPr>
        <w:t>Tarnyba, išnagrinėjusi CVP IS pateiktą informaciją ir įvertinusi su Pirkimu susijusius</w:t>
      </w:r>
      <w:r w:rsidR="00680A55" w:rsidRPr="007B4036">
        <w:rPr>
          <w:sz w:val="24"/>
          <w:szCs w:val="24"/>
          <w:lang w:val="lt-LT"/>
        </w:rPr>
        <w:t xml:space="preserve"> </w:t>
      </w:r>
      <w:r w:rsidRPr="007B4036">
        <w:rPr>
          <w:sz w:val="24"/>
          <w:szCs w:val="24"/>
          <w:lang w:val="lt-LT"/>
        </w:rPr>
        <w:t>dokumentus, nustatė, kad:</w:t>
      </w:r>
      <w:r w:rsidR="00680A55" w:rsidRPr="007B4036">
        <w:rPr>
          <w:sz w:val="24"/>
          <w:szCs w:val="24"/>
          <w:lang w:val="lt-LT"/>
        </w:rPr>
        <w:t xml:space="preserve"> </w:t>
      </w:r>
    </w:p>
    <w:p w:rsidR="00FB21DD" w:rsidRPr="007B4036" w:rsidRDefault="008C791B" w:rsidP="007B4036">
      <w:pPr>
        <w:pStyle w:val="ListParagraph"/>
        <w:numPr>
          <w:ilvl w:val="0"/>
          <w:numId w:val="15"/>
        </w:numPr>
        <w:tabs>
          <w:tab w:val="left" w:pos="1134"/>
          <w:tab w:val="right" w:pos="1276"/>
        </w:tabs>
        <w:spacing w:line="360" w:lineRule="auto"/>
        <w:ind w:left="0" w:firstLine="720"/>
        <w:jc w:val="both"/>
        <w:rPr>
          <w:sz w:val="24"/>
          <w:szCs w:val="24"/>
          <w:lang w:val="lt-LT"/>
        </w:rPr>
      </w:pPr>
      <w:bookmarkStart w:id="0" w:name="OLE_LINK1"/>
      <w:bookmarkStart w:id="1" w:name="OLE_LINK2"/>
      <w:r w:rsidRPr="007B4036">
        <w:rPr>
          <w:sz w:val="24"/>
          <w:szCs w:val="24"/>
          <w:lang w:val="lt-LT"/>
        </w:rPr>
        <w:t xml:space="preserve">Pirkimo sąlygų </w:t>
      </w:r>
      <w:r w:rsidR="00BD23E6" w:rsidRPr="007B4036">
        <w:rPr>
          <w:sz w:val="24"/>
          <w:szCs w:val="24"/>
          <w:lang w:val="lt-LT"/>
        </w:rPr>
        <w:t>2 lentelės „Ekonominės ir finansinės būklės, techninio ir profesinio pajėgumo reikalavimai</w:t>
      </w:r>
      <w:r w:rsidR="00990A4E" w:rsidRPr="007B4036">
        <w:rPr>
          <w:sz w:val="24"/>
          <w:szCs w:val="24"/>
          <w:lang w:val="lt-LT"/>
        </w:rPr>
        <w:t>“</w:t>
      </w:r>
      <w:r w:rsidR="00BD23E6" w:rsidRPr="007B4036">
        <w:rPr>
          <w:sz w:val="24"/>
          <w:szCs w:val="24"/>
          <w:lang w:val="lt-LT"/>
        </w:rPr>
        <w:t xml:space="preserve"> 2 punkto reikalavimas</w:t>
      </w:r>
      <w:bookmarkEnd w:id="0"/>
      <w:bookmarkEnd w:id="1"/>
      <w:r w:rsidR="00BD23E6" w:rsidRPr="007B4036">
        <w:rPr>
          <w:sz w:val="24"/>
          <w:szCs w:val="24"/>
          <w:lang w:val="lt-LT"/>
        </w:rPr>
        <w:t xml:space="preserve"> „Tiekėjas per paskutinius 5 metus (įskaitant ir laikotarpį iki pasiūlymų pateikimo termino pabaigos) arba per laiką nuo tiekėjo registravimo dienos (jeigu tiekėjas vykdė veiklą mažiau nei 5 metus) </w:t>
      </w:r>
      <w:r w:rsidR="00BD23E6" w:rsidRPr="007B4036">
        <w:rPr>
          <w:b/>
          <w:sz w:val="24"/>
          <w:szCs w:val="24"/>
          <w:lang w:val="lt-LT"/>
        </w:rPr>
        <w:t>turi būti įvykdęs ne mažiau kaip 2</w:t>
      </w:r>
      <w:r w:rsidR="00BD23E6" w:rsidRPr="007B4036">
        <w:rPr>
          <w:sz w:val="24"/>
          <w:szCs w:val="24"/>
          <w:lang w:val="lt-LT"/>
        </w:rPr>
        <w:t xml:space="preserve"> kelių (gatvės) statybos ar kapitalinio remonto, ar rekonstrukcijos darbų </w:t>
      </w:r>
      <w:r w:rsidR="00BD23E6" w:rsidRPr="007B4036">
        <w:rPr>
          <w:b/>
          <w:sz w:val="24"/>
          <w:szCs w:val="24"/>
          <w:lang w:val="lt-LT"/>
        </w:rPr>
        <w:t>sutartis, kurių kiekvienos vertė</w:t>
      </w:r>
      <w:r w:rsidR="00BD23E6" w:rsidRPr="007B4036">
        <w:rPr>
          <w:sz w:val="24"/>
          <w:szCs w:val="24"/>
          <w:lang w:val="lt-LT"/>
        </w:rPr>
        <w:t xml:space="preserve"> </w:t>
      </w:r>
      <w:r w:rsidR="00BD23E6" w:rsidRPr="007B4036">
        <w:rPr>
          <w:b/>
          <w:sz w:val="24"/>
          <w:szCs w:val="24"/>
          <w:lang w:val="lt-LT"/>
        </w:rPr>
        <w:t>ne mažesnė kaip 0,7 pasiūlymo vertės.</w:t>
      </w:r>
      <w:r w:rsidR="00BD23E6" w:rsidRPr="007B4036">
        <w:rPr>
          <w:sz w:val="24"/>
          <w:szCs w:val="24"/>
          <w:lang w:val="lt-LT"/>
        </w:rPr>
        <w:t>“</w:t>
      </w:r>
      <w:r w:rsidR="007F3F2D" w:rsidRPr="007B4036">
        <w:rPr>
          <w:sz w:val="24"/>
          <w:szCs w:val="24"/>
          <w:lang w:val="lt-LT"/>
        </w:rPr>
        <w:t xml:space="preserve">, </w:t>
      </w:r>
      <w:r w:rsidR="00FB21DD" w:rsidRPr="007B4036">
        <w:rPr>
          <w:sz w:val="24"/>
          <w:szCs w:val="24"/>
          <w:lang w:val="lt-LT"/>
        </w:rPr>
        <w:t>neužtikrina Taisyklių</w:t>
      </w:r>
      <w:r w:rsidR="00226353" w:rsidRPr="007B4036">
        <w:rPr>
          <w:sz w:val="24"/>
          <w:szCs w:val="24"/>
          <w:lang w:val="lt-LT"/>
        </w:rPr>
        <w:t xml:space="preserve"> 61 punkto nuostatų „</w:t>
      </w:r>
      <w:r w:rsidR="00226353" w:rsidRPr="007B4036">
        <w:rPr>
          <w:color w:val="000000"/>
          <w:sz w:val="24"/>
          <w:szCs w:val="24"/>
          <w:lang w:val="lt-LT"/>
        </w:rPr>
        <w:t xml:space="preserve">Siekiant įsitikinti, ar tiekėjas bus pajėgus įvykdyti pirkimo sutartį, vadovaujantis Viešųjų pirkimų įstatymo 32–38 straipsnių nuostatomis ir atsižvelgiant į </w:t>
      </w:r>
      <w:r w:rsidR="00226353" w:rsidRPr="007B4036">
        <w:rPr>
          <w:sz w:val="24"/>
          <w:szCs w:val="24"/>
          <w:lang w:val="lt-LT"/>
        </w:rPr>
        <w:t xml:space="preserve">Viešųjų pirkimų tarnybos direktoriaus 2003 m. spalio 20 d. įsakymu Nr. 1S-100 patvirtintas Tiekėjų kvalifikacijos vertinimo metodines rekomendacijas (Žin., 2003, Nr. </w:t>
      </w:r>
      <w:r w:rsidR="00226353" w:rsidRPr="007B4036">
        <w:rPr>
          <w:sz w:val="24"/>
          <w:szCs w:val="24"/>
          <w:u w:val="single"/>
          <w:lang w:val="lt-LT"/>
        </w:rPr>
        <w:t>103-4623</w:t>
      </w:r>
      <w:r w:rsidR="00226353" w:rsidRPr="007B4036">
        <w:rPr>
          <w:sz w:val="24"/>
          <w:szCs w:val="24"/>
          <w:lang w:val="lt-LT"/>
        </w:rPr>
        <w:t xml:space="preserve">; 2004, Nr. </w:t>
      </w:r>
      <w:r w:rsidR="00226353" w:rsidRPr="007B4036">
        <w:rPr>
          <w:sz w:val="24"/>
          <w:szCs w:val="24"/>
          <w:u w:val="single"/>
          <w:lang w:val="lt-LT"/>
        </w:rPr>
        <w:t>63-2285</w:t>
      </w:r>
      <w:r w:rsidR="00226353" w:rsidRPr="007B4036">
        <w:rPr>
          <w:sz w:val="24"/>
          <w:szCs w:val="24"/>
          <w:lang w:val="lt-LT"/>
        </w:rPr>
        <w:t xml:space="preserve">; 2007, Nr. </w:t>
      </w:r>
      <w:r w:rsidR="00226353" w:rsidRPr="007B4036">
        <w:rPr>
          <w:sz w:val="24"/>
          <w:szCs w:val="24"/>
          <w:u w:val="single"/>
          <w:lang w:val="lt-LT"/>
        </w:rPr>
        <w:t>66-2595</w:t>
      </w:r>
      <w:r w:rsidR="00226353" w:rsidRPr="007B4036">
        <w:rPr>
          <w:sz w:val="24"/>
          <w:szCs w:val="24"/>
          <w:lang w:val="lt-LT"/>
        </w:rPr>
        <w:t xml:space="preserve">; 2009, Nr. </w:t>
      </w:r>
      <w:r w:rsidR="00226353" w:rsidRPr="007B4036">
        <w:rPr>
          <w:sz w:val="24"/>
          <w:szCs w:val="24"/>
          <w:u w:val="single"/>
          <w:lang w:val="lt-LT"/>
        </w:rPr>
        <w:t>39-1505</w:t>
      </w:r>
      <w:r w:rsidR="00226353" w:rsidRPr="007B4036">
        <w:rPr>
          <w:sz w:val="24"/>
          <w:szCs w:val="24"/>
          <w:lang w:val="lt-LT"/>
        </w:rPr>
        <w:t xml:space="preserve">, 2012, Nr. </w:t>
      </w:r>
      <w:r w:rsidR="00226353" w:rsidRPr="007B4036">
        <w:rPr>
          <w:sz w:val="24"/>
          <w:szCs w:val="24"/>
          <w:u w:val="single"/>
          <w:lang w:val="lt-LT"/>
        </w:rPr>
        <w:t>5-163</w:t>
      </w:r>
      <w:r w:rsidR="00226353" w:rsidRPr="007B4036">
        <w:rPr>
          <w:sz w:val="24"/>
          <w:szCs w:val="24"/>
          <w:lang w:val="lt-LT"/>
        </w:rPr>
        <w:t xml:space="preserve">), 2010 m. balandžio 15 d. įsakymą Nr. 1S-54 ,,Dėl atvejų, kada vietoj kvalifikaciją patvirtinančių </w:t>
      </w:r>
      <w:r w:rsidR="00226353" w:rsidRPr="007B4036">
        <w:rPr>
          <w:sz w:val="24"/>
          <w:szCs w:val="24"/>
          <w:lang w:val="lt-LT"/>
        </w:rPr>
        <w:lastRenderedPageBreak/>
        <w:t>dokumentų perkančioji organizacija gali prašyti tiekėjų pateikti jos nustatytos formos pirkimo dokumentuose nurodytų minimalių kvalifikacinių reikalavimų atitikties deklaraciją, nustatymo“ (Žin., 2010, Nr</w:t>
      </w:r>
      <w:r w:rsidR="00226353" w:rsidRPr="007B4036">
        <w:rPr>
          <w:sz w:val="24"/>
          <w:szCs w:val="24"/>
          <w:u w:val="single"/>
          <w:lang w:val="lt-LT"/>
        </w:rPr>
        <w:t>. 46-2231</w:t>
      </w:r>
      <w:r w:rsidR="00226353" w:rsidRPr="007B4036">
        <w:rPr>
          <w:sz w:val="24"/>
          <w:szCs w:val="24"/>
          <w:lang w:val="lt-LT"/>
        </w:rPr>
        <w:t xml:space="preserve">) </w:t>
      </w:r>
      <w:r w:rsidR="00226353" w:rsidRPr="007B4036">
        <w:rPr>
          <w:color w:val="000000"/>
          <w:sz w:val="24"/>
          <w:szCs w:val="24"/>
          <w:lang w:val="lt-LT"/>
        </w:rPr>
        <w:t>pirkimo dokumentuose nustatomi tiekėjų kvalifikacijos reikalavimai ir vykdomas tiek</w:t>
      </w:r>
      <w:r w:rsidR="00DE0CFD" w:rsidRPr="007B4036">
        <w:rPr>
          <w:color w:val="000000"/>
          <w:sz w:val="24"/>
          <w:szCs w:val="24"/>
          <w:lang w:val="lt-LT"/>
        </w:rPr>
        <w:t>ėjų kvalifikacijos patikrinimas</w:t>
      </w:r>
      <w:r w:rsidR="00226353" w:rsidRPr="007B4036">
        <w:rPr>
          <w:color w:val="000000"/>
          <w:sz w:val="24"/>
          <w:szCs w:val="24"/>
          <w:lang w:val="lt-LT"/>
        </w:rPr>
        <w:t xml:space="preserve">” </w:t>
      </w:r>
      <w:r w:rsidR="00DE0CFD" w:rsidRPr="007B4036">
        <w:rPr>
          <w:color w:val="000000"/>
          <w:sz w:val="24"/>
          <w:szCs w:val="24"/>
          <w:lang w:val="lt-LT"/>
        </w:rPr>
        <w:t>l</w:t>
      </w:r>
      <w:r w:rsidR="00226353" w:rsidRPr="007B4036">
        <w:rPr>
          <w:color w:val="000000"/>
          <w:sz w:val="24"/>
          <w:szCs w:val="24"/>
          <w:lang w:val="lt-LT"/>
        </w:rPr>
        <w:t>aikymosi</w:t>
      </w:r>
      <w:r w:rsidR="00DE0CFD" w:rsidRPr="007B4036">
        <w:rPr>
          <w:color w:val="000000"/>
          <w:sz w:val="24"/>
          <w:szCs w:val="24"/>
          <w:lang w:val="lt-LT"/>
        </w:rPr>
        <w:t>,</w:t>
      </w:r>
      <w:r w:rsidR="00226353" w:rsidRPr="007B4036">
        <w:rPr>
          <w:color w:val="000000"/>
          <w:sz w:val="24"/>
          <w:szCs w:val="24"/>
          <w:lang w:val="lt-LT"/>
        </w:rPr>
        <w:t xml:space="preserve"> pažeidžia Įstatymo 32 straipsnio 2 dalies </w:t>
      </w:r>
      <w:r w:rsidR="00DE0CFD" w:rsidRPr="007B4036">
        <w:rPr>
          <w:color w:val="000000"/>
          <w:sz w:val="24"/>
          <w:szCs w:val="24"/>
          <w:lang w:val="lt-LT"/>
        </w:rPr>
        <w:t>nuostatą „</w:t>
      </w:r>
      <w:r w:rsidR="00DE0CFD" w:rsidRPr="007B4036">
        <w:rPr>
          <w:sz w:val="24"/>
          <w:szCs w:val="24"/>
          <w:lang w:val="lt-LT"/>
        </w:rPr>
        <w:t>Perkančiosios organizacijos nustatyti minimalūs kandidatų ar dalyvių kvalifikacijos reikalavimai negali dirbtinai riboti konkurencijos. Jie turi būti pagrįsti ir proporcingi pirkimo objektui, tikslūs ir aiškūs“ ir 85 straipsnio 2 dalies nuostatą „Perkančioji organizacija, išskyrus šio straipsnio 5 ir 6 dalyse nurodytus atvejus, supaprastintus pirkimus atlieka pagal pasitvirtintas taisykles &lt;...&gt;“, atsižvelgiant į pirkimo objektą, nustatytą Pirkimo sąlygų 8 punkte „Pirkimo objektas – Ugniagesių gatvės teritorijos Alytuje rekonstravimo statybos darbų pirkimas. &lt;...&gt; Pirkimo objekto apibūdinimas – D2 kategorijos gatvės teritorijos rekonstravimas. Sena žvyro danga keičiama klinkerio trinkelių danga, įrengiami šaligatviai, sutvarkoma gatvės aplinkinė teritorija, įrengiami lietaus nuotekų tinklai, apšvietimas.&lt;…&gt;” ir Tiekėjų kvalifikacijos vertinimo metodin</w:t>
      </w:r>
      <w:r w:rsidR="00BD724F" w:rsidRPr="007B4036">
        <w:rPr>
          <w:sz w:val="24"/>
          <w:szCs w:val="24"/>
          <w:lang w:val="lt-LT"/>
        </w:rPr>
        <w:t>ių</w:t>
      </w:r>
      <w:r w:rsidR="00DE0CFD" w:rsidRPr="007B4036">
        <w:rPr>
          <w:sz w:val="24"/>
          <w:szCs w:val="24"/>
          <w:lang w:val="lt-LT"/>
        </w:rPr>
        <w:t xml:space="preserve"> rekomendacij</w:t>
      </w:r>
      <w:r w:rsidR="00BD724F" w:rsidRPr="007B4036">
        <w:rPr>
          <w:sz w:val="24"/>
          <w:szCs w:val="24"/>
          <w:lang w:val="lt-LT"/>
        </w:rPr>
        <w:t xml:space="preserve">ų, patvirtintų Viešųjų pirkimų tarnybos direktoriaus 2011 m. gruodžio 30 d. Nr. 1S-196 </w:t>
      </w:r>
      <w:r w:rsidR="00DE0CFD" w:rsidRPr="007B4036">
        <w:rPr>
          <w:sz w:val="24"/>
          <w:szCs w:val="24"/>
          <w:lang w:val="lt-LT"/>
        </w:rPr>
        <w:t xml:space="preserve">(2012, Nr. </w:t>
      </w:r>
      <w:r w:rsidR="00DE0CFD" w:rsidRPr="007B4036">
        <w:rPr>
          <w:sz w:val="24"/>
          <w:szCs w:val="24"/>
          <w:u w:val="single"/>
          <w:lang w:val="lt-LT"/>
        </w:rPr>
        <w:t>5-163</w:t>
      </w:r>
      <w:r w:rsidR="00DE0CFD" w:rsidRPr="007B4036">
        <w:rPr>
          <w:sz w:val="24"/>
          <w:szCs w:val="24"/>
          <w:lang w:val="lt-LT"/>
        </w:rPr>
        <w:t>)</w:t>
      </w:r>
      <w:r w:rsidR="00AE1E58" w:rsidRPr="007B4036">
        <w:rPr>
          <w:sz w:val="24"/>
          <w:szCs w:val="24"/>
          <w:lang w:val="lt-LT"/>
        </w:rPr>
        <w:t xml:space="preserve"> (toliau – Rekomendacijos)</w:t>
      </w:r>
      <w:r w:rsidR="00BD724F" w:rsidRPr="007B4036">
        <w:rPr>
          <w:sz w:val="24"/>
          <w:szCs w:val="24"/>
          <w:lang w:val="lt-LT"/>
        </w:rPr>
        <w:t xml:space="preserve"> 20.1. punktą</w:t>
      </w:r>
      <w:r w:rsidR="003A790C" w:rsidRPr="007B4036">
        <w:rPr>
          <w:sz w:val="24"/>
          <w:szCs w:val="24"/>
          <w:lang w:val="lt-LT"/>
        </w:rPr>
        <w:t>,</w:t>
      </w:r>
      <w:r w:rsidR="00BD724F" w:rsidRPr="007B4036">
        <w:rPr>
          <w:sz w:val="24"/>
          <w:szCs w:val="24"/>
          <w:lang w:val="lt-LT"/>
        </w:rPr>
        <w:t xml:space="preserve"> </w:t>
      </w:r>
      <w:r w:rsidR="003A790C" w:rsidRPr="007B4036">
        <w:rPr>
          <w:sz w:val="24"/>
          <w:szCs w:val="24"/>
          <w:lang w:val="lt-LT"/>
        </w:rPr>
        <w:t xml:space="preserve">kuriame nurodyta, kad rekomenduojama reikalauti įvykdytos (ir) ar vykdomos bent 1 panašios pirkimo sutarties. </w:t>
      </w:r>
    </w:p>
    <w:p w:rsidR="003A790C" w:rsidRPr="007B4036" w:rsidRDefault="001B40CD" w:rsidP="007B4036">
      <w:pPr>
        <w:pStyle w:val="ListParagraph"/>
        <w:numPr>
          <w:ilvl w:val="0"/>
          <w:numId w:val="15"/>
        </w:numPr>
        <w:tabs>
          <w:tab w:val="left" w:pos="1134"/>
          <w:tab w:val="right" w:pos="1276"/>
        </w:tabs>
        <w:spacing w:line="360" w:lineRule="auto"/>
        <w:ind w:left="0" w:firstLine="720"/>
        <w:jc w:val="both"/>
        <w:rPr>
          <w:sz w:val="24"/>
          <w:szCs w:val="24"/>
          <w:lang w:val="lt-LT"/>
        </w:rPr>
      </w:pPr>
      <w:r w:rsidRPr="007B4036">
        <w:rPr>
          <w:sz w:val="24"/>
          <w:szCs w:val="24"/>
          <w:lang w:val="lt-LT"/>
        </w:rPr>
        <w:t>Pirkimo sąlygų 2 lentelės „Ekonominės ir finansinės būklės, techninio ir profesinio pajėgumo reikalavimai“ 3 punkte</w:t>
      </w:r>
      <w:r w:rsidR="00FA21A2" w:rsidRPr="007B4036">
        <w:rPr>
          <w:sz w:val="24"/>
          <w:szCs w:val="24"/>
          <w:lang w:val="lt-LT"/>
        </w:rPr>
        <w:t xml:space="preserve"> reikalaujami nustatytų minimalų kvalifikacijos reikalavimą „Tiekėjas turi turėti bent vieną statybos darbų vadovą, turintį teisę būti neypatingų statinių statybos darbų vadovu ir vykdyti sutartyje nurodytus darbus” įrodantys dokumentai „</w:t>
      </w:r>
      <w:r w:rsidRPr="007B4036">
        <w:rPr>
          <w:sz w:val="24"/>
          <w:szCs w:val="24"/>
          <w:u w:val="single"/>
          <w:lang w:val="lt-LT"/>
        </w:rPr>
        <w:t>Pateikiamas Lietuvos Respublikos įgaliotos institucijos išduotas galiojantis kvalifikacijos atestatas (statinių grupė: susisiekimo komunikacijos (keliai (gatvės))</w:t>
      </w:r>
      <w:r w:rsidRPr="007B4036">
        <w:rPr>
          <w:sz w:val="24"/>
          <w:szCs w:val="24"/>
          <w:lang w:val="lt-LT"/>
        </w:rPr>
        <w:t>. Pateikiamas skenuotas dokumentas elektronine forma.”</w:t>
      </w:r>
      <w:r w:rsidR="00E11C56" w:rsidRPr="007B4036">
        <w:rPr>
          <w:sz w:val="24"/>
          <w:szCs w:val="24"/>
          <w:lang w:val="lt-LT"/>
        </w:rPr>
        <w:t xml:space="preserve">, </w:t>
      </w:r>
      <w:r w:rsidR="00FA21A2" w:rsidRPr="007B4036">
        <w:rPr>
          <w:sz w:val="24"/>
          <w:szCs w:val="24"/>
          <w:lang w:val="lt-LT"/>
        </w:rPr>
        <w:t>yra nepagrįsti</w:t>
      </w:r>
      <w:r w:rsidR="00E11C56" w:rsidRPr="007B4036">
        <w:rPr>
          <w:sz w:val="24"/>
          <w:szCs w:val="24"/>
          <w:lang w:val="lt-LT"/>
        </w:rPr>
        <w:t xml:space="preserve"> ir </w:t>
      </w:r>
      <w:r w:rsidRPr="007B4036">
        <w:rPr>
          <w:sz w:val="24"/>
          <w:szCs w:val="24"/>
          <w:lang w:val="lt-LT"/>
        </w:rPr>
        <w:t xml:space="preserve"> neužtikrina Taisyklių 61 punkto nuostatų laikymosi, pažeidžia Įstatymo 32 straipsnio 2 dalies nuostatą „Perkančiosios organizacijos nustatyti minimalūs kandidatų ar dalyvių kvalifikacijos reikalavimai negali dirbtinai riboti konkurencijos. Jie turi būti pagrįsti ir proporcingi pirkimo objektui, tikslūs ir aiškūs“ ir 85 straipsnio 2 dalies nuostatą, atsižvelgiant į tai, kad Lietuvos Respublikos statybos įstatymo (Žin., 2001, Nr. 101-3597; 2013, Nr. 76-3841) 10 straipsnio 9 dalyje nustatyta, kad „vadovauti nesudėtingo ir neypatingo statinio &lt;...&gt; statybai turi teisę neatestuoti statybos inžinieriai. Jų kvalifikacinius reikalavimus nustato </w:t>
      </w:r>
      <w:r w:rsidR="00E11C56" w:rsidRPr="007B4036">
        <w:rPr>
          <w:sz w:val="24"/>
          <w:szCs w:val="24"/>
          <w:lang w:val="lt-LT"/>
        </w:rPr>
        <w:t>Vyriausybės įgaliota institucija</w:t>
      </w:r>
      <w:r w:rsidRPr="007B4036">
        <w:rPr>
          <w:sz w:val="24"/>
          <w:szCs w:val="24"/>
          <w:lang w:val="lt-LT"/>
        </w:rPr>
        <w:t>.“</w:t>
      </w:r>
      <w:r w:rsidR="00E11C56" w:rsidRPr="007B4036">
        <w:rPr>
          <w:sz w:val="24"/>
          <w:szCs w:val="24"/>
          <w:lang w:val="lt-LT"/>
        </w:rPr>
        <w:t>, o</w:t>
      </w:r>
      <w:r w:rsidRPr="007B4036">
        <w:rPr>
          <w:sz w:val="24"/>
          <w:szCs w:val="24"/>
          <w:lang w:val="lt-LT"/>
        </w:rPr>
        <w:t xml:space="preserve"> </w:t>
      </w:r>
      <w:r w:rsidR="00E11C56" w:rsidRPr="007B4036">
        <w:rPr>
          <w:sz w:val="24"/>
          <w:szCs w:val="24"/>
          <w:lang w:val="lt-LT"/>
        </w:rPr>
        <w:t>n</w:t>
      </w:r>
      <w:r w:rsidRPr="007B4036">
        <w:rPr>
          <w:sz w:val="24"/>
          <w:szCs w:val="24"/>
          <w:lang w:val="lt-LT"/>
        </w:rPr>
        <w:t>eypatingų statinių vadovų išsilavinimo ir profesinės patirties kvalifikaciniai reikalavimai nustatyti STR 1.02.06:2012 „Statybos techninės veiklos pagrindinių sričių vadovų ir teritorijų planavimo specialistų kvalifikaciniai reikalavimai, atestavimo ir teisės pripažinimo tvarkos aprašas“ (toliau – Reglamentas) 1 priede.</w:t>
      </w:r>
    </w:p>
    <w:p w:rsidR="006951DF" w:rsidRPr="007B4036" w:rsidRDefault="00E11C56" w:rsidP="007B4036">
      <w:pPr>
        <w:pStyle w:val="ListParagraph"/>
        <w:numPr>
          <w:ilvl w:val="0"/>
          <w:numId w:val="15"/>
        </w:numPr>
        <w:tabs>
          <w:tab w:val="left" w:pos="1134"/>
          <w:tab w:val="right" w:pos="1276"/>
        </w:tabs>
        <w:spacing w:line="360" w:lineRule="auto"/>
        <w:ind w:left="0" w:firstLine="720"/>
        <w:jc w:val="both"/>
        <w:rPr>
          <w:sz w:val="24"/>
          <w:szCs w:val="24"/>
          <w:lang w:val="lt-LT"/>
        </w:rPr>
      </w:pPr>
      <w:r w:rsidRPr="007B4036">
        <w:rPr>
          <w:sz w:val="24"/>
          <w:szCs w:val="24"/>
          <w:lang w:val="lt-LT"/>
        </w:rPr>
        <w:t xml:space="preserve">Perkančiosios organizacijos Centrinėje viešųjų pirkimų informacinėje sistemoje paskelbtame planuojamų atlikti viešųjų pirkimų suvestinėje </w:t>
      </w:r>
      <w:r w:rsidR="006951DF" w:rsidRPr="007B4036">
        <w:rPr>
          <w:sz w:val="24"/>
          <w:szCs w:val="24"/>
          <w:lang w:val="lt-LT"/>
        </w:rPr>
        <w:t>nurodyta planuojam</w:t>
      </w:r>
      <w:r w:rsidR="00FC41D2" w:rsidRPr="007B4036">
        <w:rPr>
          <w:sz w:val="24"/>
          <w:szCs w:val="24"/>
          <w:lang w:val="lt-LT"/>
        </w:rPr>
        <w:t>a</w:t>
      </w:r>
      <w:r w:rsidR="006951DF" w:rsidRPr="007B4036">
        <w:rPr>
          <w:sz w:val="24"/>
          <w:szCs w:val="24"/>
          <w:lang w:val="lt-LT"/>
        </w:rPr>
        <w:t xml:space="preserve"> </w:t>
      </w:r>
      <w:r w:rsidR="00FC41D2" w:rsidRPr="007B4036">
        <w:rPr>
          <w:sz w:val="24"/>
          <w:szCs w:val="24"/>
          <w:lang w:val="lt-LT"/>
        </w:rPr>
        <w:t>P</w:t>
      </w:r>
      <w:r w:rsidR="006951DF" w:rsidRPr="007B4036">
        <w:rPr>
          <w:sz w:val="24"/>
          <w:szCs w:val="24"/>
          <w:lang w:val="lt-LT"/>
        </w:rPr>
        <w:t xml:space="preserve">irkimo vertė </w:t>
      </w:r>
      <w:r w:rsidR="006951DF" w:rsidRPr="007B4036">
        <w:rPr>
          <w:sz w:val="24"/>
          <w:szCs w:val="24"/>
          <w:lang w:val="lt-LT"/>
        </w:rPr>
        <w:lastRenderedPageBreak/>
        <w:t>nesutampa su 2013 m. liepos 8 d. paraiškoje dėl pirkimo nurodyta maksimalia pirkimo verte. Tai neužtikrina Taisyklių 5 punkte įtvirtinto skaidrumo principo laikymosi. Tarnyba atkreipia dėmesį, kad Pirkimo sąlygų 53.6 punkte numatyta pasiūlymo atmetimo priežastis „visų tiekėjų, kurių pasiūlymai neatmesti dėl kitų priežasčių, buvo pasiūlytos per didelės, perkančiajai organizacijai nepriimtinos kainos”, o</w:t>
      </w:r>
      <w:r w:rsidR="00126EDE">
        <w:rPr>
          <w:sz w:val="24"/>
          <w:szCs w:val="24"/>
          <w:lang w:val="lt-LT"/>
        </w:rPr>
        <w:t xml:space="preserve"> </w:t>
      </w:r>
      <w:r w:rsidR="006951DF" w:rsidRPr="007B4036">
        <w:rPr>
          <w:sz w:val="24"/>
          <w:szCs w:val="24"/>
          <w:lang w:val="lt-LT"/>
        </w:rPr>
        <w:t>Pirkimų sąlygų 54 punkte numatyta</w:t>
      </w:r>
      <w:r w:rsidR="003F09F3">
        <w:rPr>
          <w:sz w:val="24"/>
          <w:szCs w:val="24"/>
          <w:lang w:val="lt-LT"/>
        </w:rPr>
        <w:t xml:space="preserve"> </w:t>
      </w:r>
      <w:r w:rsidR="006951DF" w:rsidRPr="007B4036">
        <w:rPr>
          <w:sz w:val="24"/>
          <w:szCs w:val="24"/>
          <w:lang w:val="lt-LT"/>
        </w:rPr>
        <w:t>galimy</w:t>
      </w:r>
      <w:r w:rsidR="00FC41D2" w:rsidRPr="007B4036">
        <w:rPr>
          <w:sz w:val="24"/>
          <w:szCs w:val="24"/>
          <w:lang w:val="lt-LT"/>
        </w:rPr>
        <w:t>bė pradėti vykdyti neskelbiamą pirkimą, atmetus visų tiekėjų pasiūlymus dėl per</w:t>
      </w:r>
      <w:r w:rsidR="00126EDE">
        <w:rPr>
          <w:sz w:val="24"/>
          <w:szCs w:val="24"/>
          <w:lang w:val="lt-LT"/>
        </w:rPr>
        <w:t xml:space="preserve"> </w:t>
      </w:r>
      <w:r w:rsidR="00FC41D2" w:rsidRPr="007B4036">
        <w:rPr>
          <w:sz w:val="24"/>
          <w:szCs w:val="24"/>
          <w:lang w:val="lt-LT"/>
        </w:rPr>
        <w:t>didelių kainų, tačiau nėra aišku kurią vertę perkančioji organizacija gavusi pasiūlymą laikys per didel</w:t>
      </w:r>
      <w:r w:rsidR="003F09F3">
        <w:rPr>
          <w:sz w:val="24"/>
          <w:szCs w:val="24"/>
          <w:lang w:val="lt-LT"/>
        </w:rPr>
        <w:t>e</w:t>
      </w:r>
      <w:r w:rsidR="00FC41D2" w:rsidRPr="007B4036">
        <w:rPr>
          <w:sz w:val="24"/>
          <w:szCs w:val="24"/>
          <w:lang w:val="lt-LT"/>
        </w:rPr>
        <w:t xml:space="preserve"> ir nepriimtina. Tarnyba taip pat pastebi, kad 2013 m. liepos 8 d. paraiškoje pirkimo vertė yra apskaičiuota 2011 metų spalio mėnesio kainomis (Statybos ir projektavimo skyriaus 2013-05-13 raštas), tuo tarpu pirkimas vykdomas 2013 metais, todėl perkančioji organizacija turėtų perskaičiuoti pirkimo vertę pirkimo pradžiai</w:t>
      </w:r>
      <w:r w:rsidR="005C6510" w:rsidRPr="007B4036">
        <w:rPr>
          <w:sz w:val="24"/>
          <w:szCs w:val="24"/>
          <w:lang w:val="lt-LT"/>
        </w:rPr>
        <w:t>, vadovaujantis Įstatymo 9 straipsnio 1 dalimi.</w:t>
      </w:r>
    </w:p>
    <w:p w:rsidR="00AE1E58" w:rsidRPr="007B4036" w:rsidRDefault="005C6510" w:rsidP="007B4036">
      <w:pPr>
        <w:pStyle w:val="ListParagraph"/>
        <w:numPr>
          <w:ilvl w:val="0"/>
          <w:numId w:val="15"/>
        </w:numPr>
        <w:tabs>
          <w:tab w:val="left" w:pos="1134"/>
          <w:tab w:val="right" w:pos="1276"/>
        </w:tabs>
        <w:spacing w:line="360" w:lineRule="auto"/>
        <w:ind w:left="0" w:firstLine="720"/>
        <w:jc w:val="both"/>
        <w:rPr>
          <w:sz w:val="24"/>
          <w:szCs w:val="24"/>
          <w:lang w:val="lt-LT"/>
        </w:rPr>
      </w:pPr>
      <w:r w:rsidRPr="007B4036">
        <w:rPr>
          <w:sz w:val="24"/>
          <w:szCs w:val="24"/>
          <w:lang w:val="lt-LT"/>
        </w:rPr>
        <w:t>Pirkimo sąlygų 13 punkt</w:t>
      </w:r>
      <w:r w:rsidR="00AE1E58" w:rsidRPr="007B4036">
        <w:rPr>
          <w:sz w:val="24"/>
          <w:szCs w:val="24"/>
          <w:lang w:val="lt-LT"/>
        </w:rPr>
        <w:t>o</w:t>
      </w:r>
      <w:r w:rsidRPr="007B4036">
        <w:rPr>
          <w:sz w:val="24"/>
          <w:szCs w:val="24"/>
          <w:lang w:val="lt-LT"/>
        </w:rPr>
        <w:t xml:space="preserve"> reikalavimas „Pasitelkiami subrangovai turi atitikti konkurso sąlygų 1 lentelės 1, 2, 3, 4, 5, 7 punktuose ir 2 lentelės 1 punkte nustatytus kvalifikacijos reikalavimus ir pateikti nurodytus dokumentus.“</w:t>
      </w:r>
      <w:r w:rsidR="00AE1E58" w:rsidRPr="007B4036">
        <w:rPr>
          <w:sz w:val="24"/>
          <w:szCs w:val="24"/>
          <w:lang w:val="lt-LT"/>
        </w:rPr>
        <w:t xml:space="preserve">, atsižvelgiant į Rekomendacijų </w:t>
      </w:r>
      <w:r w:rsidR="0031531A" w:rsidRPr="007B4036">
        <w:rPr>
          <w:sz w:val="24"/>
          <w:szCs w:val="24"/>
          <w:lang w:val="lt-LT"/>
        </w:rPr>
        <w:t>23 punkto nuostatą „&lt;...&gt;R</w:t>
      </w:r>
      <w:r w:rsidR="0031531A" w:rsidRPr="007B4036">
        <w:rPr>
          <w:bCs/>
          <w:sz w:val="24"/>
          <w:szCs w:val="24"/>
          <w:lang w:val="lt-LT"/>
        </w:rPr>
        <w:t xml:space="preserve">ekomendacijų 15, 16.4 punktuose nurodytus reikalavimus rekomenduojama taikyti tiek tiekėjui, tiek subrangovui.&lt;...&gt;“, Tarnybos nuomone yra </w:t>
      </w:r>
      <w:r w:rsidR="00BA7710" w:rsidRPr="007B4036">
        <w:rPr>
          <w:bCs/>
          <w:sz w:val="24"/>
          <w:szCs w:val="24"/>
          <w:lang w:val="lt-LT"/>
        </w:rPr>
        <w:t>neproporcingas ir</w:t>
      </w:r>
      <w:r w:rsidR="0031531A" w:rsidRPr="007B4036">
        <w:rPr>
          <w:bCs/>
          <w:sz w:val="24"/>
          <w:szCs w:val="24"/>
          <w:lang w:val="lt-LT"/>
        </w:rPr>
        <w:t xml:space="preserve"> </w:t>
      </w:r>
      <w:r w:rsidR="0031531A" w:rsidRPr="007B4036">
        <w:rPr>
          <w:sz w:val="24"/>
          <w:szCs w:val="24"/>
          <w:lang w:val="lt-LT"/>
        </w:rPr>
        <w:t xml:space="preserve">neužtikrina Taisyklių 61 punkto ir Įstatymo 32 straipsnio 2 dalies nuostatų laikymosi. Tarnyba atkreipia dėmesį, kad Pirkimo sąlygų 13 punkte perkančioji organizacija nenustatė </w:t>
      </w:r>
      <w:r w:rsidR="00BA7710" w:rsidRPr="007B4036">
        <w:rPr>
          <w:sz w:val="24"/>
          <w:szCs w:val="24"/>
          <w:lang w:val="lt-LT"/>
        </w:rPr>
        <w:t xml:space="preserve">subrangovams </w:t>
      </w:r>
      <w:r w:rsidR="0031531A" w:rsidRPr="007B4036">
        <w:rPr>
          <w:sz w:val="24"/>
          <w:szCs w:val="24"/>
          <w:lang w:val="lt-LT"/>
        </w:rPr>
        <w:t xml:space="preserve">jokių reikalavimų, susijusių su teise verstis veikla, nors iš Pirkimo sąlygų 5 priedo „Statybos darbų sutartis“ </w:t>
      </w:r>
      <w:r w:rsidR="00BA7710" w:rsidRPr="007B4036">
        <w:rPr>
          <w:sz w:val="24"/>
          <w:szCs w:val="24"/>
          <w:lang w:val="lt-LT"/>
        </w:rPr>
        <w:t>52 punkto „</w:t>
      </w:r>
      <w:r w:rsidR="00C46B0D" w:rsidRPr="007B4036">
        <w:rPr>
          <w:sz w:val="24"/>
          <w:szCs w:val="24"/>
          <w:lang w:val="lt-LT"/>
        </w:rPr>
        <w:t>K</w:t>
      </w:r>
      <w:r w:rsidR="00BA7710" w:rsidRPr="007B4036">
        <w:rPr>
          <w:sz w:val="24"/>
          <w:szCs w:val="24"/>
          <w:lang w:val="lt-LT"/>
        </w:rPr>
        <w:t>eičiami subrangovai turi pateikti galiojančius kvalifikacijos atestatus“ ir 2013-09-24 paaiškinimo (pranešimo CVP IS Nr. 2271679</w:t>
      </w:r>
      <w:r w:rsidR="00C46B0D" w:rsidRPr="007B4036">
        <w:rPr>
          <w:sz w:val="24"/>
          <w:szCs w:val="24"/>
          <w:lang w:val="lt-LT"/>
        </w:rPr>
        <w:t>)</w:t>
      </w:r>
      <w:r w:rsidR="00BA7710" w:rsidRPr="007B4036">
        <w:rPr>
          <w:sz w:val="24"/>
          <w:szCs w:val="24"/>
          <w:lang w:val="lt-LT"/>
        </w:rPr>
        <w:t xml:space="preserve"> „Dalyvauti konkurse tokio atestato užtenka. Tačiau pagal tokį atestatą elektros darbams reikėtų samdyti subrangovus, nes objekte bus atliekami ir elektros darbai“</w:t>
      </w:r>
      <w:r w:rsidR="00DC0ADE" w:rsidRPr="007B4036">
        <w:rPr>
          <w:sz w:val="24"/>
          <w:szCs w:val="24"/>
          <w:lang w:val="lt-LT"/>
        </w:rPr>
        <w:t>, darytina išvada, kad perkančioji organizacija reikalauja, kad subrangovais būtų tik kompetentingi asmenys.</w:t>
      </w:r>
    </w:p>
    <w:p w:rsidR="00DC0ADE" w:rsidRPr="007B4036" w:rsidRDefault="00DC0ADE" w:rsidP="007B4036">
      <w:pPr>
        <w:pStyle w:val="ListParagraph"/>
        <w:numPr>
          <w:ilvl w:val="0"/>
          <w:numId w:val="15"/>
        </w:numPr>
        <w:tabs>
          <w:tab w:val="left" w:pos="1134"/>
          <w:tab w:val="right" w:pos="1276"/>
        </w:tabs>
        <w:spacing w:line="360" w:lineRule="auto"/>
        <w:ind w:left="0" w:firstLine="720"/>
        <w:jc w:val="both"/>
        <w:rPr>
          <w:sz w:val="24"/>
          <w:szCs w:val="24"/>
          <w:lang w:val="lt-LT"/>
        </w:rPr>
      </w:pPr>
      <w:r w:rsidRPr="007B4036">
        <w:rPr>
          <w:sz w:val="24"/>
          <w:szCs w:val="24"/>
          <w:lang w:val="lt-LT"/>
        </w:rPr>
        <w:t xml:space="preserve">Pirkimo sąlygų 5 priedo „Statybos darbų sutartis“ 52 punkto nuostata </w:t>
      </w:r>
      <w:r w:rsidR="00C46B0D" w:rsidRPr="007B4036">
        <w:rPr>
          <w:sz w:val="24"/>
          <w:szCs w:val="24"/>
          <w:lang w:val="lt-LT"/>
        </w:rPr>
        <w:t>„Keičiami subrangovai turi pateikti galiojančius kvalifikacijos atestatus“ neužtikrina Taisyklių 35 punkto nuostatos „Pirkimo dokumentai turi būti tikslūs, aiškūs, be dviprasmybių, kad tiekėjai galėtų pateikti pasiūlymus, o perkančioji organizacija nupirkti tai, ko reikia” laikymosi ir pažeidžia Įstatymo 85 straipsnio 2 dalies nuostatas, atsižvelgiant į tai, kad Pirkimo sąlygų 13 punkte perkančioji organizacija nenustatė subrangovams jokių reikalavimų, susijusių su teise verstis veikla.</w:t>
      </w:r>
    </w:p>
    <w:p w:rsidR="001B025A" w:rsidRPr="007B4036" w:rsidRDefault="00C46B0D" w:rsidP="007B4036">
      <w:pPr>
        <w:pStyle w:val="ListParagraph"/>
        <w:numPr>
          <w:ilvl w:val="0"/>
          <w:numId w:val="15"/>
        </w:numPr>
        <w:tabs>
          <w:tab w:val="left" w:pos="1134"/>
          <w:tab w:val="right" w:pos="1276"/>
        </w:tabs>
        <w:spacing w:line="360" w:lineRule="auto"/>
        <w:ind w:left="0" w:firstLine="720"/>
        <w:jc w:val="both"/>
        <w:rPr>
          <w:sz w:val="24"/>
          <w:szCs w:val="24"/>
          <w:lang w:val="lt-LT"/>
        </w:rPr>
      </w:pPr>
      <w:r w:rsidRPr="007B4036">
        <w:rPr>
          <w:sz w:val="24"/>
          <w:szCs w:val="24"/>
          <w:lang w:val="lt-LT"/>
        </w:rPr>
        <w:t xml:space="preserve">Perkančiosios organizacijos 2013-09-24 paaiškinimas </w:t>
      </w:r>
      <w:r w:rsidR="003B743E" w:rsidRPr="007B4036">
        <w:rPr>
          <w:sz w:val="24"/>
          <w:szCs w:val="24"/>
          <w:lang w:val="lt-LT"/>
        </w:rPr>
        <w:t>(</w:t>
      </w:r>
      <w:r w:rsidRPr="007B4036">
        <w:rPr>
          <w:sz w:val="24"/>
          <w:szCs w:val="24"/>
          <w:lang w:val="lt-LT"/>
        </w:rPr>
        <w:t>pranešimo CVP IS Nr. 2271679) „Klausimas. Ar užtenka tokio atestato norint dalyvauti konkurse? &lt;...&gt; Ar reikia dar kokio kito atest</w:t>
      </w:r>
      <w:r w:rsidR="001B025A" w:rsidRPr="007B4036">
        <w:rPr>
          <w:sz w:val="24"/>
          <w:szCs w:val="24"/>
          <w:lang w:val="lt-LT"/>
        </w:rPr>
        <w:t>ato, atliekant elektros darbus? Atsakymas. Dalyvauti konkurse tokio atestato užtenka. Tačiau pagal tokį atestatą elektros darbams reikėtų samdyti subrangovus, nes objekte bus atliekami ir elektros darbai“</w:t>
      </w:r>
      <w:r w:rsidRPr="007B4036">
        <w:rPr>
          <w:sz w:val="24"/>
          <w:szCs w:val="24"/>
          <w:lang w:val="lt-LT"/>
        </w:rPr>
        <w:t xml:space="preserve">, </w:t>
      </w:r>
      <w:r w:rsidR="001B025A" w:rsidRPr="007B4036">
        <w:rPr>
          <w:sz w:val="24"/>
          <w:szCs w:val="24"/>
          <w:lang w:val="lt-LT"/>
        </w:rPr>
        <w:t xml:space="preserve">neužtikrina Taisyklių 35 punkto nuostatų ir Įstatymo 32 straipsnio 2 dalies nuostatų laikymosi. </w:t>
      </w:r>
      <w:r w:rsidRPr="007B4036">
        <w:rPr>
          <w:sz w:val="24"/>
          <w:szCs w:val="24"/>
          <w:lang w:val="lt-LT"/>
        </w:rPr>
        <w:t xml:space="preserve">Tarnybos nuomone, toks paaiškinimas nėra tikslus ir aiškus, kadangi neaišku apie kurį kvalifikacinį reikalavimą yra aiškinama, t. y. ar 1 lentelės 6 punktą </w:t>
      </w:r>
      <w:r w:rsidR="001B025A" w:rsidRPr="007B4036">
        <w:rPr>
          <w:sz w:val="24"/>
          <w:szCs w:val="24"/>
          <w:lang w:val="lt-LT"/>
        </w:rPr>
        <w:t xml:space="preserve">„Tiekėjas turi teisę verstis ta ūkine veikla, kuri reikalinga pirkimo sutarčiai vykdyti” </w:t>
      </w:r>
      <w:r w:rsidRPr="007B4036">
        <w:rPr>
          <w:sz w:val="24"/>
          <w:szCs w:val="24"/>
          <w:lang w:val="lt-LT"/>
        </w:rPr>
        <w:t>ar 2 lentelės 3 punktą</w:t>
      </w:r>
      <w:r w:rsidR="001B025A" w:rsidRPr="007B4036">
        <w:rPr>
          <w:sz w:val="24"/>
          <w:szCs w:val="24"/>
          <w:lang w:val="lt-LT"/>
        </w:rPr>
        <w:t xml:space="preserve"> „Tiekėjas turi turėti bent vieną statybos darbų vadovą, turintį teisę būti neypatingų statinių statybos darbų vadovu ir vykdyti sutartyje nurodyt</w:t>
      </w:r>
      <w:r w:rsidR="003B743E" w:rsidRPr="007B4036">
        <w:rPr>
          <w:sz w:val="24"/>
          <w:szCs w:val="24"/>
          <w:lang w:val="lt-LT"/>
        </w:rPr>
        <w:t>us darbus</w:t>
      </w:r>
      <w:r w:rsidR="001B025A" w:rsidRPr="007B4036">
        <w:rPr>
          <w:sz w:val="24"/>
          <w:szCs w:val="24"/>
          <w:lang w:val="lt-LT"/>
        </w:rPr>
        <w:t xml:space="preserve">”. </w:t>
      </w:r>
      <w:r w:rsidR="003B743E" w:rsidRPr="007B4036">
        <w:rPr>
          <w:sz w:val="24"/>
          <w:szCs w:val="24"/>
          <w:lang w:val="lt-LT"/>
        </w:rPr>
        <w:t>Be to, Įs</w:t>
      </w:r>
      <w:r w:rsidR="001B025A" w:rsidRPr="007B4036">
        <w:rPr>
          <w:sz w:val="24"/>
          <w:szCs w:val="24"/>
          <w:lang w:val="lt-LT"/>
        </w:rPr>
        <w:t xml:space="preserve">tatymo 32 straipsnio 1 dalis numato, kad “Perkančioji organizacija privalo išsiaiškinti, ar tiekėjas yra kompetentingas, patikimas ir pajėgus įvykdyti pirkimo sąlygas, todėl ji turi teisę skelbime apie pirkimą ar kituose pirkimo dokumentuose nustatyti minimalius kandidatų ar dalyvių kvalifikacijos (teisės verstis atitinkama veikla, finansinio, ekonominio ir techninio pajėgumo) reikalavimus ir pareikalauti, kad kandidatai ar dalyviai pateiktų pirkimo dokumentuose nurodytą informaciją ir kvalifikaciją patvirtinančius dokumentus. &lt;...&gt;“, o 3 dalis </w:t>
      </w:r>
      <w:r w:rsidR="003B743E" w:rsidRPr="007B4036">
        <w:rPr>
          <w:sz w:val="24"/>
          <w:szCs w:val="24"/>
          <w:lang w:val="lt-LT"/>
        </w:rPr>
        <w:t>leidžia tiekėjams pasitelkti trečiuosius asmenis „Prireikus konkretaus pirkimo atveju tiekėjas gali remtis kitų ūkio subjektų pajėgumais, neatsižvelgdamas į tai, kokio teisinio pobūdžio būtų jo ryšiai su jais. Šiuo atveju tiekėjas privalo įrodyti perkančiajai organizacijai, kad vykdant sutartį tie ištekliai jam bus prieinami.</w:t>
      </w:r>
      <w:r w:rsidR="003B743E" w:rsidRPr="007B4036">
        <w:rPr>
          <w:i/>
          <w:iCs/>
          <w:sz w:val="24"/>
          <w:szCs w:val="24"/>
          <w:lang w:val="lt-LT"/>
        </w:rPr>
        <w:t xml:space="preserve"> </w:t>
      </w:r>
      <w:r w:rsidR="003B743E" w:rsidRPr="007B4036">
        <w:rPr>
          <w:sz w:val="24"/>
          <w:szCs w:val="24"/>
          <w:lang w:val="lt-LT"/>
        </w:rPr>
        <w:t>Tokiomis pačiomis sąlygomis ūkio subjektų grupė gali remtis ūkio subjektų grupės dalyvių arba kitų ūkio subjektų pajėgumais“. Perkančioji organizacija tikslindama (aiškindama) kvalifikacinius reikalavimus turi tiksliai ir aiškiai nurodyti, kuriuos kvalifikacijos reikalavimus privalo atitikti tiekėjas, kuriuo</w:t>
      </w:r>
      <w:r w:rsidR="00044B3F">
        <w:rPr>
          <w:sz w:val="24"/>
          <w:szCs w:val="24"/>
          <w:lang w:val="lt-LT"/>
        </w:rPr>
        <w:t>s</w:t>
      </w:r>
      <w:r w:rsidR="003B743E" w:rsidRPr="007B4036">
        <w:rPr>
          <w:sz w:val="24"/>
          <w:szCs w:val="24"/>
          <w:lang w:val="lt-LT"/>
        </w:rPr>
        <w:t xml:space="preserve"> ūkio subjektų grupės nariai, o kuriuos turi ar gali atitikti ir tretieji asmenys.</w:t>
      </w:r>
    </w:p>
    <w:p w:rsidR="00C46B0D" w:rsidRPr="007B4036" w:rsidRDefault="00733FED" w:rsidP="007B4036">
      <w:pPr>
        <w:pStyle w:val="ListParagraph"/>
        <w:numPr>
          <w:ilvl w:val="0"/>
          <w:numId w:val="15"/>
        </w:numPr>
        <w:tabs>
          <w:tab w:val="left" w:pos="1134"/>
          <w:tab w:val="right" w:pos="1276"/>
        </w:tabs>
        <w:spacing w:line="360" w:lineRule="auto"/>
        <w:ind w:left="0" w:firstLine="720"/>
        <w:jc w:val="both"/>
        <w:rPr>
          <w:sz w:val="24"/>
          <w:szCs w:val="24"/>
          <w:lang w:val="lt-LT"/>
        </w:rPr>
      </w:pPr>
      <w:r w:rsidRPr="007B4036">
        <w:rPr>
          <w:sz w:val="24"/>
          <w:szCs w:val="24"/>
          <w:lang w:val="lt-LT"/>
        </w:rPr>
        <w:t xml:space="preserve">Perkančioji organizacija atsakydama į tiekėjo paklausimą </w:t>
      </w:r>
      <w:r w:rsidR="00044B3F">
        <w:rPr>
          <w:sz w:val="24"/>
          <w:szCs w:val="24"/>
          <w:lang w:val="lt-LT"/>
        </w:rPr>
        <w:t>„</w:t>
      </w:r>
      <w:r w:rsidRPr="007B4036">
        <w:rPr>
          <w:sz w:val="24"/>
          <w:szCs w:val="24"/>
          <w:lang w:val="lt-LT"/>
        </w:rPr>
        <w:t>Gal galite pateikti sąmatą gatvės rekonstrukcijai? Arba nurodyti tiksliai pagal kuriuos žiniaraščius reikia įvertinti darbus“ 2013-09-25 pateikė tiekėjams atsakymą (pranešimo CVP IS Nr. 2274854), kuriame nurodė, kad tiekėjai turi pateikti pasiūlymus su parengtomis sąmatomis gatvės rekonstrukcijai pagal techninio projekto II, III, IV ir V dalis. Tačiau kartu su Pirkimo sąlygomis pateikta ir techninio projekto I dalis, kurioje nustatyti bendrieji reikalavimai pirkimo objektui. Todėl</w:t>
      </w:r>
      <w:r w:rsidR="0046704D">
        <w:rPr>
          <w:sz w:val="24"/>
          <w:szCs w:val="24"/>
          <w:lang w:val="lt-LT"/>
        </w:rPr>
        <w:t>,</w:t>
      </w:r>
      <w:r w:rsidRPr="007B4036">
        <w:rPr>
          <w:sz w:val="24"/>
          <w:szCs w:val="24"/>
          <w:lang w:val="lt-LT"/>
        </w:rPr>
        <w:t xml:space="preserve"> Tarnybos nuomone, toks paaiškinimas nėra tikslus ir aiškus ir neatitinka Taisyklių 35 punkto nuostatų, kad pirkimo dokumentai turi būti tikslūs ir aiškūs, be dviprasmybių ir neužtikrina tinkamo Įstatymo 85 straipsnio 2 dalies nuostatų taikymo, nes atsižvelgiant į tokį paaiškinimą, tiekėjai gali pateikti pasiūlymą neatsižvelgdami į techninio projekto I dalyje nustatytus reikalavimus.</w:t>
      </w:r>
    </w:p>
    <w:p w:rsidR="00CA6D37" w:rsidRPr="007B4036" w:rsidRDefault="00E64A64" w:rsidP="007B4036">
      <w:pPr>
        <w:pStyle w:val="ListParagraph"/>
        <w:numPr>
          <w:ilvl w:val="0"/>
          <w:numId w:val="15"/>
        </w:numPr>
        <w:tabs>
          <w:tab w:val="left" w:pos="697"/>
          <w:tab w:val="left" w:pos="1134"/>
          <w:tab w:val="right" w:pos="1276"/>
        </w:tabs>
        <w:spacing w:line="360" w:lineRule="auto"/>
        <w:ind w:left="0" w:firstLine="697"/>
        <w:jc w:val="both"/>
        <w:rPr>
          <w:color w:val="000000" w:themeColor="text1"/>
          <w:sz w:val="24"/>
          <w:szCs w:val="24"/>
          <w:lang w:val="lt-LT"/>
        </w:rPr>
      </w:pPr>
      <w:r w:rsidRPr="007B4036">
        <w:rPr>
          <w:sz w:val="24"/>
          <w:szCs w:val="24"/>
          <w:lang w:val="lt-LT"/>
        </w:rPr>
        <w:t xml:space="preserve">Pirkimo sąlygų 5 priedo „Statybos darbų sutartis“ </w:t>
      </w:r>
      <w:r w:rsidR="00F8018C" w:rsidRPr="007B4036">
        <w:rPr>
          <w:color w:val="000000" w:themeColor="text1"/>
          <w:sz w:val="24"/>
          <w:szCs w:val="24"/>
          <w:lang w:val="lt-LT"/>
        </w:rPr>
        <w:t>30 punkte nustatyta, kad „Sutarties įvykdymo užtikrinimu garantuojama, kad užsakovui bus atlyginti nuostoliai, atsiradę rangovui</w:t>
      </w:r>
      <w:r w:rsidRPr="007B4036">
        <w:rPr>
          <w:color w:val="000000" w:themeColor="text1"/>
          <w:sz w:val="24"/>
          <w:szCs w:val="24"/>
          <w:lang w:val="lt-LT"/>
        </w:rPr>
        <w:t xml:space="preserve"> dėl jo kaltės pažeidus sutartį</w:t>
      </w:r>
      <w:r w:rsidR="00F8018C" w:rsidRPr="007B4036">
        <w:rPr>
          <w:color w:val="000000" w:themeColor="text1"/>
          <w:sz w:val="24"/>
          <w:szCs w:val="24"/>
          <w:lang w:val="lt-LT"/>
        </w:rPr>
        <w:t>“</w:t>
      </w:r>
      <w:r w:rsidRPr="007B4036">
        <w:rPr>
          <w:color w:val="000000" w:themeColor="text1"/>
          <w:sz w:val="24"/>
          <w:szCs w:val="24"/>
          <w:lang w:val="lt-LT"/>
        </w:rPr>
        <w:t xml:space="preserve">, tokia nuostata neužtikrina </w:t>
      </w:r>
      <w:r w:rsidR="00DF695F" w:rsidRPr="007B4036">
        <w:rPr>
          <w:color w:val="000000" w:themeColor="text1"/>
          <w:sz w:val="24"/>
          <w:szCs w:val="24"/>
          <w:lang w:val="lt-LT"/>
        </w:rPr>
        <w:t>Taisyklių 92.6</w:t>
      </w:r>
      <w:r w:rsidR="00A51190" w:rsidRPr="007B4036">
        <w:rPr>
          <w:color w:val="000000" w:themeColor="text1"/>
          <w:sz w:val="24"/>
          <w:szCs w:val="24"/>
          <w:lang w:val="lt-LT"/>
        </w:rPr>
        <w:t xml:space="preserve"> punkto</w:t>
      </w:r>
      <w:r w:rsidR="00DF695F" w:rsidRPr="007B4036">
        <w:rPr>
          <w:color w:val="000000" w:themeColor="text1"/>
          <w:sz w:val="24"/>
          <w:szCs w:val="24"/>
          <w:lang w:val="lt-LT"/>
        </w:rPr>
        <w:t xml:space="preserve">, </w:t>
      </w:r>
      <w:r w:rsidRPr="007B4036">
        <w:rPr>
          <w:color w:val="000000" w:themeColor="text1"/>
          <w:sz w:val="24"/>
          <w:szCs w:val="24"/>
          <w:lang w:val="lt-LT"/>
        </w:rPr>
        <w:t xml:space="preserve">Įstatymo </w:t>
      </w:r>
      <w:r w:rsidR="00DF695F" w:rsidRPr="007B4036">
        <w:rPr>
          <w:color w:val="000000" w:themeColor="text1"/>
          <w:sz w:val="24"/>
          <w:szCs w:val="24"/>
          <w:lang w:val="lt-LT"/>
        </w:rPr>
        <w:t xml:space="preserve">18 straipsnio 6 dalies 6 punkto ir </w:t>
      </w:r>
      <w:r w:rsidR="00CA6D37" w:rsidRPr="007B4036">
        <w:rPr>
          <w:color w:val="000000" w:themeColor="text1"/>
          <w:sz w:val="24"/>
          <w:szCs w:val="24"/>
          <w:lang w:val="lt-LT"/>
        </w:rPr>
        <w:t>30 straipsnio 1 dalies nuostatos „</w:t>
      </w:r>
      <w:r w:rsidR="00CA6D37" w:rsidRPr="007B4036">
        <w:rPr>
          <w:sz w:val="24"/>
          <w:szCs w:val="24"/>
          <w:lang w:val="lt-LT"/>
        </w:rPr>
        <w:t xml:space="preserve">Perkančioji organizacija </w:t>
      </w:r>
      <w:r w:rsidR="00DF695F" w:rsidRPr="007B4036">
        <w:rPr>
          <w:sz w:val="24"/>
          <w:szCs w:val="24"/>
          <w:lang w:val="lt-LT"/>
        </w:rPr>
        <w:t>&lt;...&gt;</w:t>
      </w:r>
      <w:r w:rsidR="00CA6D37" w:rsidRPr="007B4036">
        <w:rPr>
          <w:sz w:val="24"/>
          <w:szCs w:val="24"/>
          <w:lang w:val="lt-LT"/>
        </w:rPr>
        <w:t xml:space="preserve"> privalo pareikalauti, kad pirkimo sutarties įvykdymas būtų užtikrinamas Lietuvos Respublikos civilinio kodekso nustatytais prievolių įvykdymo užtikrinimo būdais&lt;...&gt;“, tinkamo taikymo, nes tiekėjas yra įpareigotas pateikti sutarties įvykdymo užtikrinimą tik dėl atsiradusių nuostolių, tačiau jei tiekėjas nevykdys savo sutartinių įsipareigojimų, tačiau perkančioji organizacija nepatirs nuostolių, arba nuostolių negalės įrodyti, sutarties įvykdymo</w:t>
      </w:r>
      <w:r w:rsidR="00DF695F" w:rsidRPr="007B4036">
        <w:rPr>
          <w:sz w:val="24"/>
          <w:szCs w:val="24"/>
          <w:lang w:val="lt-LT"/>
        </w:rPr>
        <w:t xml:space="preserve"> užtikrinimu negalės pasinaudoti nor</w:t>
      </w:r>
      <w:r w:rsidR="00A51190" w:rsidRPr="007B4036">
        <w:rPr>
          <w:sz w:val="24"/>
          <w:szCs w:val="24"/>
          <w:lang w:val="lt-LT"/>
        </w:rPr>
        <w:t>s</w:t>
      </w:r>
      <w:r w:rsidR="00DF695F" w:rsidRPr="007B4036">
        <w:rPr>
          <w:sz w:val="24"/>
          <w:szCs w:val="24"/>
          <w:lang w:val="lt-LT"/>
        </w:rPr>
        <w:t xml:space="preserve"> tiekėjas ir pažeistų </w:t>
      </w:r>
      <w:r w:rsidR="00A51190" w:rsidRPr="007B4036">
        <w:rPr>
          <w:sz w:val="24"/>
          <w:szCs w:val="24"/>
          <w:lang w:val="lt-LT"/>
        </w:rPr>
        <w:t xml:space="preserve">esmines </w:t>
      </w:r>
      <w:r w:rsidR="00DF695F" w:rsidRPr="007B4036">
        <w:rPr>
          <w:sz w:val="24"/>
          <w:szCs w:val="24"/>
          <w:lang w:val="lt-LT"/>
        </w:rPr>
        <w:t>sutarties nuostatas.</w:t>
      </w:r>
      <w:r w:rsidR="00A51190" w:rsidRPr="007B4036">
        <w:rPr>
          <w:color w:val="000000" w:themeColor="text1"/>
          <w:sz w:val="24"/>
          <w:szCs w:val="24"/>
          <w:lang w:val="lt-LT"/>
        </w:rPr>
        <w:t xml:space="preserve"> Pažymėtina, kad prievolių užtikrinimo būdais laikomos specialios priemonės, garantuojančios pagrindinės prievolės įvykdymą ir skatinančios skolininką tinkamai vykdyti savo prievolę.</w:t>
      </w:r>
    </w:p>
    <w:p w:rsidR="00EA2AEA" w:rsidRPr="007B4036" w:rsidRDefault="00EA2AEA" w:rsidP="007B4036">
      <w:pPr>
        <w:tabs>
          <w:tab w:val="left" w:pos="697"/>
        </w:tabs>
        <w:spacing w:line="360" w:lineRule="auto"/>
        <w:ind w:firstLine="697"/>
        <w:jc w:val="both"/>
        <w:rPr>
          <w:sz w:val="24"/>
          <w:szCs w:val="24"/>
          <w:lang w:val="lt-LT"/>
        </w:rPr>
      </w:pPr>
      <w:r w:rsidRPr="007B4036">
        <w:rPr>
          <w:sz w:val="24"/>
          <w:szCs w:val="24"/>
          <w:lang w:val="lt-LT"/>
        </w:rPr>
        <w:t>Atsižvelgdama į nustatytus Įstatymo ir Taisyklių pažeidimus, padarytus Perkančiajai organizacijai rengiant Pirkimo dokumentus, Tarnyba, vadovaudamasi Įstatymo 8</w:t>
      </w:r>
      <w:r w:rsidRPr="007B4036">
        <w:rPr>
          <w:sz w:val="24"/>
          <w:szCs w:val="24"/>
          <w:vertAlign w:val="superscript"/>
          <w:lang w:val="lt-LT"/>
        </w:rPr>
        <w:t>2</w:t>
      </w:r>
      <w:r w:rsidRPr="007B4036">
        <w:rPr>
          <w:sz w:val="24"/>
          <w:szCs w:val="24"/>
          <w:lang w:val="lt-LT"/>
        </w:rPr>
        <w:t xml:space="preserve"> straipsnio 2 dalies 6 punktu, įpareigoja Perkančiąją organizaciją:</w:t>
      </w:r>
    </w:p>
    <w:p w:rsidR="00EA2AEA" w:rsidRPr="007B4036" w:rsidRDefault="00EA2AEA" w:rsidP="007B4036">
      <w:pPr>
        <w:tabs>
          <w:tab w:val="left" w:pos="993"/>
        </w:tabs>
        <w:spacing w:line="360" w:lineRule="auto"/>
        <w:ind w:firstLine="697"/>
        <w:jc w:val="both"/>
        <w:rPr>
          <w:sz w:val="24"/>
          <w:szCs w:val="24"/>
          <w:lang w:val="lt-LT"/>
        </w:rPr>
      </w:pPr>
      <w:r w:rsidRPr="007B4036">
        <w:rPr>
          <w:sz w:val="24"/>
          <w:szCs w:val="24"/>
          <w:lang w:val="lt-LT"/>
        </w:rPr>
        <w:t>1.</w:t>
      </w:r>
      <w:r w:rsidRPr="007B4036">
        <w:rPr>
          <w:sz w:val="24"/>
          <w:szCs w:val="24"/>
          <w:lang w:val="lt-LT"/>
        </w:rPr>
        <w:tab/>
        <w:t xml:space="preserve">Pakeisti Pirkimo dokumentų nuostatas, neatitinkančias Įstatymo ir Taisyklių reikalavimų, atsižvelgiant į šiame rašte </w:t>
      </w:r>
      <w:r w:rsidR="00A51190" w:rsidRPr="007B4036">
        <w:rPr>
          <w:sz w:val="24"/>
          <w:szCs w:val="24"/>
          <w:lang w:val="lt-LT"/>
        </w:rPr>
        <w:t>nurodytus pažeidimus ir pastabas</w:t>
      </w:r>
      <w:r w:rsidR="007B4036" w:rsidRPr="007B4036">
        <w:rPr>
          <w:sz w:val="24"/>
          <w:szCs w:val="24"/>
          <w:lang w:val="lt-LT"/>
        </w:rPr>
        <w:t>;</w:t>
      </w:r>
    </w:p>
    <w:p w:rsidR="00EA2AEA" w:rsidRPr="007B4036" w:rsidRDefault="00EA2AEA" w:rsidP="007B4036">
      <w:pPr>
        <w:tabs>
          <w:tab w:val="left" w:pos="993"/>
        </w:tabs>
        <w:spacing w:line="360" w:lineRule="auto"/>
        <w:ind w:firstLine="697"/>
        <w:jc w:val="both"/>
        <w:rPr>
          <w:sz w:val="24"/>
          <w:szCs w:val="24"/>
          <w:lang w:val="lt-LT"/>
        </w:rPr>
      </w:pPr>
      <w:r w:rsidRPr="007B4036">
        <w:rPr>
          <w:sz w:val="24"/>
          <w:szCs w:val="24"/>
          <w:lang w:val="lt-LT"/>
        </w:rPr>
        <w:t>2.</w:t>
      </w:r>
      <w:r w:rsidRPr="007B4036">
        <w:rPr>
          <w:sz w:val="24"/>
          <w:szCs w:val="24"/>
          <w:lang w:val="lt-LT"/>
        </w:rPr>
        <w:tab/>
      </w:r>
      <w:r w:rsidR="007B4036" w:rsidRPr="007B4036">
        <w:rPr>
          <w:sz w:val="24"/>
          <w:szCs w:val="24"/>
          <w:lang w:val="lt-LT"/>
        </w:rPr>
        <w:t xml:space="preserve">patikslinti </w:t>
      </w:r>
      <w:r w:rsidRPr="007B4036">
        <w:rPr>
          <w:sz w:val="24"/>
          <w:szCs w:val="24"/>
          <w:lang w:val="lt-LT"/>
        </w:rPr>
        <w:t xml:space="preserve">Pirkimo </w:t>
      </w:r>
      <w:r w:rsidR="007B4036" w:rsidRPr="007B4036">
        <w:rPr>
          <w:sz w:val="24"/>
          <w:szCs w:val="24"/>
          <w:lang w:val="lt-LT"/>
        </w:rPr>
        <w:t>sąlygas Taisyklių nustatyta tvarka</w:t>
      </w:r>
      <w:r w:rsidRPr="007B4036">
        <w:rPr>
          <w:sz w:val="24"/>
          <w:szCs w:val="24"/>
          <w:lang w:val="lt-LT"/>
        </w:rPr>
        <w:t>;</w:t>
      </w:r>
    </w:p>
    <w:p w:rsidR="00EA2AEA" w:rsidRPr="007B4036" w:rsidRDefault="00EA2AEA" w:rsidP="007B4036">
      <w:pPr>
        <w:tabs>
          <w:tab w:val="left" w:pos="993"/>
        </w:tabs>
        <w:spacing w:line="360" w:lineRule="auto"/>
        <w:ind w:firstLine="697"/>
        <w:jc w:val="both"/>
        <w:rPr>
          <w:sz w:val="24"/>
          <w:szCs w:val="24"/>
          <w:lang w:val="lt-LT"/>
        </w:rPr>
      </w:pPr>
      <w:r w:rsidRPr="007B4036">
        <w:rPr>
          <w:sz w:val="24"/>
          <w:szCs w:val="24"/>
          <w:lang w:val="lt-LT"/>
        </w:rPr>
        <w:t>3.</w:t>
      </w:r>
      <w:r w:rsidRPr="007B4036">
        <w:rPr>
          <w:sz w:val="24"/>
          <w:szCs w:val="24"/>
          <w:lang w:val="lt-LT"/>
        </w:rPr>
        <w:tab/>
        <w:t>raštu informuoti Tarnybą apie įpareigojimo įvykdymą ir pateikti tai įrodančius dokumentus.</w:t>
      </w:r>
    </w:p>
    <w:p w:rsidR="009C11AF" w:rsidRPr="007B4036" w:rsidRDefault="00EA2AEA" w:rsidP="007B4036">
      <w:pPr>
        <w:tabs>
          <w:tab w:val="left" w:pos="697"/>
        </w:tabs>
        <w:spacing w:line="360" w:lineRule="auto"/>
        <w:ind w:firstLine="697"/>
        <w:jc w:val="both"/>
        <w:rPr>
          <w:sz w:val="24"/>
          <w:szCs w:val="24"/>
          <w:lang w:val="lt-LT"/>
        </w:rPr>
      </w:pPr>
      <w:r w:rsidRPr="007B4036">
        <w:rPr>
          <w:sz w:val="24"/>
          <w:szCs w:val="24"/>
          <w:lang w:val="lt-LT"/>
        </w:rPr>
        <w:t>Vadovaujantis Lietuvos Respublikos administracinių bylų teisenos įstatymo (Žin., 1999, Nr. 13-308; 2000, Nr. 85-2566; 2004, Nr. 171-6320; 2007, Nr. 72-2830; 2010, Nr. 142-7258) 5 ir 15 straipsniais, nesutikę su Tarnybos įpareigojimu, Jūs galite jį apskųsti teismui šio įstatymo nustatyta tvarka.</w:t>
      </w:r>
    </w:p>
    <w:p w:rsidR="007D762D" w:rsidRDefault="007D762D" w:rsidP="001A1540">
      <w:pPr>
        <w:pStyle w:val="Normal12pt"/>
        <w:tabs>
          <w:tab w:val="left" w:pos="1247"/>
          <w:tab w:val="left" w:pos="9355"/>
        </w:tabs>
        <w:ind w:right="0"/>
      </w:pPr>
    </w:p>
    <w:p w:rsidR="00580FCB" w:rsidRDefault="00580FCB" w:rsidP="001A1540">
      <w:pPr>
        <w:pStyle w:val="Normal12pt"/>
        <w:tabs>
          <w:tab w:val="left" w:pos="1247"/>
          <w:tab w:val="left" w:pos="9355"/>
        </w:tabs>
        <w:ind w:right="0"/>
      </w:pPr>
    </w:p>
    <w:p w:rsidR="00580FCB" w:rsidRPr="007B4036" w:rsidRDefault="00580FCB" w:rsidP="001A1540">
      <w:pPr>
        <w:pStyle w:val="Normal12pt"/>
        <w:tabs>
          <w:tab w:val="left" w:pos="1247"/>
          <w:tab w:val="left" w:pos="9355"/>
        </w:tabs>
        <w:ind w:right="0"/>
      </w:pPr>
    </w:p>
    <w:tbl>
      <w:tblPr>
        <w:tblW w:w="9828" w:type="dxa"/>
        <w:tblLook w:val="01E0"/>
      </w:tblPr>
      <w:tblGrid>
        <w:gridCol w:w="4704"/>
        <w:gridCol w:w="5124"/>
      </w:tblGrid>
      <w:tr w:rsidR="00181535" w:rsidRPr="007B4036" w:rsidTr="002B049B">
        <w:trPr>
          <w:trHeight w:val="224"/>
        </w:trPr>
        <w:tc>
          <w:tcPr>
            <w:tcW w:w="4704" w:type="dxa"/>
          </w:tcPr>
          <w:p w:rsidR="00055411" w:rsidRPr="007B4036" w:rsidRDefault="002D6510" w:rsidP="007B4036">
            <w:pPr>
              <w:pStyle w:val="BodyText"/>
              <w:tabs>
                <w:tab w:val="left" w:pos="720"/>
              </w:tabs>
              <w:jc w:val="left"/>
              <w:rPr>
                <w:sz w:val="24"/>
                <w:szCs w:val="24"/>
              </w:rPr>
            </w:pPr>
            <w:r w:rsidRPr="007B4036">
              <w:rPr>
                <w:bCs/>
                <w:sz w:val="24"/>
                <w:szCs w:val="24"/>
              </w:rPr>
              <w:t>Direktori</w:t>
            </w:r>
            <w:r w:rsidR="007B4036" w:rsidRPr="007B4036">
              <w:rPr>
                <w:bCs/>
                <w:sz w:val="24"/>
                <w:szCs w:val="24"/>
              </w:rPr>
              <w:t>us</w:t>
            </w:r>
          </w:p>
        </w:tc>
        <w:tc>
          <w:tcPr>
            <w:tcW w:w="5124" w:type="dxa"/>
          </w:tcPr>
          <w:p w:rsidR="00181535" w:rsidRPr="007B4036" w:rsidRDefault="002D6510">
            <w:pPr>
              <w:pStyle w:val="BodyText"/>
              <w:tabs>
                <w:tab w:val="left" w:pos="720"/>
              </w:tabs>
              <w:ind w:right="-27"/>
              <w:jc w:val="right"/>
              <w:rPr>
                <w:sz w:val="24"/>
                <w:szCs w:val="24"/>
              </w:rPr>
            </w:pPr>
            <w:r w:rsidRPr="007B4036">
              <w:rPr>
                <w:sz w:val="24"/>
                <w:szCs w:val="24"/>
              </w:rPr>
              <w:t>Žydrūnas Plytnikas</w:t>
            </w:r>
          </w:p>
        </w:tc>
      </w:tr>
    </w:tbl>
    <w:p w:rsidR="00055411" w:rsidRPr="007B4036" w:rsidRDefault="00055411" w:rsidP="001A1540">
      <w:pPr>
        <w:jc w:val="both"/>
        <w:rPr>
          <w:bCs/>
          <w:sz w:val="24"/>
          <w:szCs w:val="24"/>
          <w:lang w:val="lt-LT"/>
        </w:rPr>
      </w:pPr>
    </w:p>
    <w:p w:rsidR="00CB2744" w:rsidRPr="007B4036" w:rsidRDefault="00CB2744" w:rsidP="001A1540">
      <w:pPr>
        <w:jc w:val="both"/>
        <w:rPr>
          <w:bCs/>
          <w:sz w:val="24"/>
          <w:szCs w:val="24"/>
          <w:lang w:val="lt-LT"/>
        </w:rPr>
      </w:pPr>
    </w:p>
    <w:p w:rsidR="00CB2744" w:rsidRPr="007B4036" w:rsidRDefault="00CB2744" w:rsidP="001A1540">
      <w:pPr>
        <w:jc w:val="both"/>
        <w:rPr>
          <w:bCs/>
          <w:sz w:val="24"/>
          <w:szCs w:val="24"/>
          <w:lang w:val="lt-LT"/>
        </w:rPr>
      </w:pPr>
    </w:p>
    <w:p w:rsidR="00CB2744" w:rsidRPr="007B4036" w:rsidRDefault="00CB2744" w:rsidP="001A1540">
      <w:pPr>
        <w:jc w:val="both"/>
        <w:rPr>
          <w:bCs/>
          <w:sz w:val="24"/>
          <w:szCs w:val="24"/>
          <w:lang w:val="lt-LT"/>
        </w:rPr>
      </w:pPr>
    </w:p>
    <w:p w:rsidR="00CB2744" w:rsidRPr="007B4036" w:rsidRDefault="00CB2744" w:rsidP="001A1540">
      <w:pPr>
        <w:jc w:val="both"/>
        <w:rPr>
          <w:bCs/>
          <w:sz w:val="24"/>
          <w:szCs w:val="24"/>
          <w:lang w:val="lt-LT"/>
        </w:rPr>
      </w:pPr>
    </w:p>
    <w:p w:rsidR="00CB2744" w:rsidRPr="007B4036" w:rsidRDefault="00CB2744" w:rsidP="001A1540">
      <w:pPr>
        <w:jc w:val="both"/>
        <w:rPr>
          <w:bCs/>
          <w:sz w:val="24"/>
          <w:szCs w:val="24"/>
          <w:lang w:val="lt-LT"/>
        </w:rPr>
      </w:pPr>
    </w:p>
    <w:p w:rsidR="00CB2744" w:rsidRPr="007B4036" w:rsidRDefault="00CB2744" w:rsidP="001A1540">
      <w:pPr>
        <w:jc w:val="both"/>
        <w:rPr>
          <w:bCs/>
          <w:sz w:val="24"/>
          <w:szCs w:val="24"/>
          <w:lang w:val="lt-LT"/>
        </w:rPr>
      </w:pPr>
    </w:p>
    <w:p w:rsidR="00CB2744" w:rsidRDefault="00CB2744" w:rsidP="001A1540">
      <w:pPr>
        <w:jc w:val="both"/>
        <w:rPr>
          <w:bCs/>
          <w:sz w:val="24"/>
          <w:szCs w:val="24"/>
          <w:lang w:val="lt-LT"/>
        </w:rPr>
      </w:pPr>
    </w:p>
    <w:p w:rsidR="007B4036" w:rsidRDefault="007B4036" w:rsidP="001A1540">
      <w:pPr>
        <w:jc w:val="both"/>
        <w:rPr>
          <w:bCs/>
          <w:sz w:val="24"/>
          <w:szCs w:val="24"/>
          <w:lang w:val="lt-LT"/>
        </w:rPr>
      </w:pPr>
    </w:p>
    <w:p w:rsidR="007B4036" w:rsidRDefault="007B4036" w:rsidP="001A1540">
      <w:pPr>
        <w:jc w:val="both"/>
        <w:rPr>
          <w:bCs/>
          <w:sz w:val="24"/>
          <w:szCs w:val="24"/>
          <w:lang w:val="lt-LT"/>
        </w:rPr>
      </w:pPr>
    </w:p>
    <w:sectPr w:rsidR="007B4036" w:rsidSect="00DE2E76">
      <w:headerReference w:type="even" r:id="rId10"/>
      <w:headerReference w:type="default" r:id="rId11"/>
      <w:footerReference w:type="default" r:id="rId12"/>
      <w:footerReference w:type="first" r:id="rId13"/>
      <w:pgSz w:w="11907" w:h="16840" w:code="9"/>
      <w:pgMar w:top="851" w:right="567" w:bottom="993" w:left="1701" w:header="567" w:footer="454" w:gutter="0"/>
      <w:cols w:space="28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04D" w:rsidRDefault="0046704D">
      <w:r>
        <w:separator/>
      </w:r>
    </w:p>
  </w:endnote>
  <w:endnote w:type="continuationSeparator" w:id="0">
    <w:p w:rsidR="0046704D" w:rsidRDefault="004670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A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04D" w:rsidRDefault="0046704D">
    <w:pPr>
      <w:pStyle w:val="Footer"/>
    </w:pPr>
  </w:p>
  <w:p w:rsidR="0046704D" w:rsidRDefault="0046704D">
    <w:pPr>
      <w:pStyle w:val="Footer"/>
    </w:pPr>
  </w:p>
  <w:p w:rsidR="0046704D" w:rsidRDefault="004670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04D" w:rsidRPr="00B20F3B" w:rsidRDefault="0046704D" w:rsidP="007D762D">
    <w:pPr>
      <w:pBdr>
        <w:top w:val="single" w:sz="4" w:space="1" w:color="auto"/>
      </w:pBdr>
      <w:rPr>
        <w:sz w:val="18"/>
        <w:lang w:val="lt-LT"/>
      </w:rPr>
    </w:pPr>
    <w:r>
      <w:rPr>
        <w:sz w:val="18"/>
        <w:lang w:val="lt-LT"/>
      </w:rPr>
      <w:t>B</w:t>
    </w:r>
    <w:r w:rsidRPr="00B20F3B">
      <w:rPr>
        <w:sz w:val="18"/>
        <w:lang w:val="lt-LT"/>
      </w:rPr>
      <w:t xml:space="preserve">iudžetinė įstaiga                                       </w:t>
    </w:r>
    <w:r>
      <w:rPr>
        <w:sz w:val="18"/>
        <w:lang w:val="lt-LT"/>
      </w:rPr>
      <w:t xml:space="preserve">                </w:t>
    </w:r>
    <w:r w:rsidRPr="00B20F3B">
      <w:rPr>
        <w:sz w:val="18"/>
        <w:lang w:val="lt-LT"/>
      </w:rPr>
      <w:t xml:space="preserve">  </w:t>
    </w:r>
    <w:r>
      <w:rPr>
        <w:sz w:val="18"/>
        <w:lang w:val="lt-LT"/>
      </w:rPr>
      <w:t xml:space="preserve">  </w:t>
    </w:r>
    <w:r w:rsidRPr="00B20F3B">
      <w:rPr>
        <w:sz w:val="18"/>
        <w:lang w:val="lt-LT"/>
      </w:rPr>
      <w:t xml:space="preserve">      Tel.  (8 5) 219 7001             </w:t>
    </w:r>
    <w:r>
      <w:rPr>
        <w:sz w:val="18"/>
        <w:lang w:val="lt-LT"/>
      </w:rPr>
      <w:t xml:space="preserve">   </w:t>
    </w:r>
    <w:r w:rsidRPr="00B20F3B">
      <w:rPr>
        <w:sz w:val="18"/>
        <w:lang w:val="lt-LT"/>
      </w:rPr>
      <w:t xml:space="preserve">                  Duomenys kaupiami ir saugomi                             </w:t>
    </w:r>
  </w:p>
  <w:p w:rsidR="0046704D" w:rsidRPr="00B20F3B" w:rsidRDefault="0046704D" w:rsidP="007D762D">
    <w:pPr>
      <w:pBdr>
        <w:top w:val="single" w:sz="4" w:space="1" w:color="auto"/>
      </w:pBdr>
      <w:jc w:val="both"/>
      <w:rPr>
        <w:sz w:val="18"/>
        <w:lang w:val="lt-LT"/>
      </w:rPr>
    </w:pPr>
    <w:r w:rsidRPr="00B20F3B">
      <w:rPr>
        <w:sz w:val="18"/>
        <w:lang w:val="lt-LT"/>
      </w:rPr>
      <w:t xml:space="preserve">Kareivių g. 1, LT-08221 Vilnius                                    Faks. (8 5) 213 6213        </w:t>
    </w:r>
    <w:r>
      <w:rPr>
        <w:sz w:val="18"/>
        <w:lang w:val="lt-LT"/>
      </w:rPr>
      <w:t xml:space="preserve"> </w:t>
    </w:r>
    <w:r w:rsidRPr="00B20F3B">
      <w:rPr>
        <w:sz w:val="18"/>
        <w:lang w:val="lt-LT"/>
      </w:rPr>
      <w:t xml:space="preserve">               Juridinių asmenų registre </w:t>
    </w:r>
  </w:p>
  <w:p w:rsidR="0046704D" w:rsidRDefault="0046704D" w:rsidP="007D762D">
    <w:pPr>
      <w:pBdr>
        <w:top w:val="single" w:sz="4" w:space="1" w:color="auto"/>
      </w:pBdr>
      <w:jc w:val="both"/>
      <w:rPr>
        <w:sz w:val="18"/>
        <w:lang w:val="lt-LT"/>
      </w:rPr>
    </w:pPr>
    <w:r w:rsidRPr="00B20F3B">
      <w:rPr>
        <w:sz w:val="18"/>
        <w:lang w:val="lt-LT"/>
      </w:rPr>
      <w:t>http://www.vpt.lt                                                          El.</w:t>
    </w:r>
    <w:r>
      <w:rPr>
        <w:sz w:val="18"/>
        <w:lang w:val="lt-LT"/>
      </w:rPr>
      <w:t xml:space="preserve"> </w:t>
    </w:r>
    <w:r w:rsidRPr="00B20F3B">
      <w:rPr>
        <w:sz w:val="18"/>
        <w:lang w:val="lt-LT"/>
      </w:rPr>
      <w:t xml:space="preserve">p. info@vpt.lt                             </w:t>
    </w:r>
    <w:r>
      <w:rPr>
        <w:sz w:val="18"/>
      </w:rPr>
      <w:t>Kodas 188656261</w:t>
    </w:r>
  </w:p>
  <w:p w:rsidR="0046704D" w:rsidRPr="00B20F3B" w:rsidRDefault="0046704D" w:rsidP="007D762D">
    <w:pPr>
      <w:pBdr>
        <w:top w:val="single" w:sz="4" w:space="1" w:color="auto"/>
      </w:pBdr>
      <w:jc w:val="both"/>
      <w:rPr>
        <w:sz w:val="18"/>
        <w:lang w:val="lt-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04D" w:rsidRDefault="0046704D">
      <w:r>
        <w:separator/>
      </w:r>
    </w:p>
  </w:footnote>
  <w:footnote w:type="continuationSeparator" w:id="0">
    <w:p w:rsidR="0046704D" w:rsidRDefault="004670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04D" w:rsidRDefault="004670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704D" w:rsidRDefault="004670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04D" w:rsidRDefault="004670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03AA">
      <w:rPr>
        <w:rStyle w:val="PageNumber"/>
        <w:noProof/>
      </w:rPr>
      <w:t>2</w:t>
    </w:r>
    <w:r>
      <w:rPr>
        <w:rStyle w:val="PageNumber"/>
      </w:rPr>
      <w:fldChar w:fldCharType="end"/>
    </w:r>
  </w:p>
  <w:p w:rsidR="0046704D" w:rsidRDefault="004670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22C"/>
    <w:multiLevelType w:val="hybridMultilevel"/>
    <w:tmpl w:val="5568E7C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6CA2283"/>
    <w:multiLevelType w:val="hybridMultilevel"/>
    <w:tmpl w:val="70700DA0"/>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nsid w:val="250447B8"/>
    <w:multiLevelType w:val="hybridMultilevel"/>
    <w:tmpl w:val="4A0C24FE"/>
    <w:lvl w:ilvl="0" w:tplc="E3BAFAF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600000F"/>
    <w:multiLevelType w:val="hybridMultilevel"/>
    <w:tmpl w:val="79182044"/>
    <w:lvl w:ilvl="0" w:tplc="563A4E7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nsid w:val="33B02317"/>
    <w:multiLevelType w:val="hybridMultilevel"/>
    <w:tmpl w:val="C42A10E8"/>
    <w:lvl w:ilvl="0" w:tplc="7BCA9A5A">
      <w:start w:val="1"/>
      <w:numFmt w:val="decimal"/>
      <w:lvlText w:val="%1."/>
      <w:lvlJc w:val="left"/>
      <w:pPr>
        <w:ind w:left="2408" w:hanging="99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360C20C2"/>
    <w:multiLevelType w:val="multilevel"/>
    <w:tmpl w:val="0427001D"/>
    <w:styleLink w:val="Style1"/>
    <w:lvl w:ilvl="0">
      <w:start w:val="1"/>
      <w:numFmt w:val="decimal"/>
      <w:lvlText w:val="%1"/>
      <w:lvlJc w:val="left"/>
      <w:pPr>
        <w:tabs>
          <w:tab w:val="num" w:pos="360"/>
        </w:tabs>
        <w:ind w:left="360" w:hanging="360"/>
      </w:pPr>
      <w:rPr>
        <w:rFonts w:ascii="Times New Roman" w:hAnsi="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F571D9F"/>
    <w:multiLevelType w:val="hybridMultilevel"/>
    <w:tmpl w:val="963278F2"/>
    <w:lvl w:ilvl="0" w:tplc="7BCA9A5A">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84C3E26"/>
    <w:multiLevelType w:val="hybridMultilevel"/>
    <w:tmpl w:val="270E98A8"/>
    <w:lvl w:ilvl="0" w:tplc="3500D0EA">
      <w:start w:val="1"/>
      <w:numFmt w:val="decimal"/>
      <w:lvlText w:val="%1."/>
      <w:lvlJc w:val="left"/>
      <w:pPr>
        <w:ind w:left="1815" w:hanging="1095"/>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923B58"/>
    <w:multiLevelType w:val="hybridMultilevel"/>
    <w:tmpl w:val="C4BCE55C"/>
    <w:lvl w:ilvl="0" w:tplc="7BCA9A5A">
      <w:start w:val="1"/>
      <w:numFmt w:val="decimal"/>
      <w:lvlText w:val="%1."/>
      <w:lvlJc w:val="left"/>
      <w:pPr>
        <w:ind w:left="2408" w:hanging="99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4B845497"/>
    <w:multiLevelType w:val="hybridMultilevel"/>
    <w:tmpl w:val="DF9E52E2"/>
    <w:lvl w:ilvl="0" w:tplc="2B3A9428">
      <w:start w:val="1"/>
      <w:numFmt w:val="decimal"/>
      <w:lvlText w:val="%1."/>
      <w:lvlJc w:val="left"/>
      <w:pPr>
        <w:tabs>
          <w:tab w:val="num" w:pos="1021"/>
        </w:tabs>
        <w:ind w:left="0" w:firstLine="660"/>
      </w:pPr>
      <w:rPr>
        <w:rFonts w:hint="default"/>
      </w:rPr>
    </w:lvl>
    <w:lvl w:ilvl="1" w:tplc="04270019">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10">
    <w:nsid w:val="4F6947C6"/>
    <w:multiLevelType w:val="hybridMultilevel"/>
    <w:tmpl w:val="270E98A8"/>
    <w:lvl w:ilvl="0" w:tplc="3500D0EA">
      <w:start w:val="1"/>
      <w:numFmt w:val="decimal"/>
      <w:lvlText w:val="%1."/>
      <w:lvlJc w:val="left"/>
      <w:pPr>
        <w:ind w:left="1815" w:hanging="1095"/>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EC3BD0"/>
    <w:multiLevelType w:val="multilevel"/>
    <w:tmpl w:val="7D84946A"/>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66702DF8"/>
    <w:multiLevelType w:val="hybridMultilevel"/>
    <w:tmpl w:val="6340051A"/>
    <w:lvl w:ilvl="0" w:tplc="E72C127E">
      <w:start w:val="1"/>
      <w:numFmt w:val="decimal"/>
      <w:lvlText w:val="%1."/>
      <w:lvlJc w:val="left"/>
      <w:pPr>
        <w:tabs>
          <w:tab w:val="num" w:pos="737"/>
        </w:tabs>
        <w:ind w:left="0" w:firstLine="737"/>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674923FB"/>
    <w:multiLevelType w:val="hybridMultilevel"/>
    <w:tmpl w:val="6366993C"/>
    <w:lvl w:ilvl="0" w:tplc="342E55DA">
      <w:start w:val="1"/>
      <w:numFmt w:val="decimal"/>
      <w:lvlText w:val="%1."/>
      <w:lvlJc w:val="left"/>
      <w:pPr>
        <w:tabs>
          <w:tab w:val="num" w:pos="737"/>
        </w:tabs>
        <w:ind w:left="0" w:firstLine="737"/>
      </w:pPr>
      <w:rPr>
        <w:rFonts w:ascii="Times New Roman" w:hAnsi="Times New Roman" w:hint="default"/>
        <w:b w:val="0"/>
        <w:i w:val="0"/>
        <w:color w:val="auto"/>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67974896"/>
    <w:multiLevelType w:val="multilevel"/>
    <w:tmpl w:val="9FBA1FB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15">
    <w:nsid w:val="77431269"/>
    <w:multiLevelType w:val="hybridMultilevel"/>
    <w:tmpl w:val="DED08C4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7F5F347E"/>
    <w:multiLevelType w:val="hybridMultilevel"/>
    <w:tmpl w:val="7A546FC8"/>
    <w:lvl w:ilvl="0" w:tplc="08D0585A">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5"/>
  </w:num>
  <w:num w:numId="2">
    <w:abstractNumId w:val="9"/>
  </w:num>
  <w:num w:numId="3">
    <w:abstractNumId w:val="12"/>
  </w:num>
  <w:num w:numId="4">
    <w:abstractNumId w:val="13"/>
  </w:num>
  <w:num w:numId="5">
    <w:abstractNumId w:val="1"/>
  </w:num>
  <w:num w:numId="6">
    <w:abstractNumId w:val="11"/>
  </w:num>
  <w:num w:numId="7">
    <w:abstractNumId w:val="1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0"/>
  </w:num>
  <w:num w:numId="11">
    <w:abstractNumId w:val="6"/>
  </w:num>
  <w:num w:numId="12">
    <w:abstractNumId w:val="8"/>
  </w:num>
  <w:num w:numId="13">
    <w:abstractNumId w:val="4"/>
  </w:num>
  <w:num w:numId="14">
    <w:abstractNumId w:val="2"/>
  </w:num>
  <w:num w:numId="15">
    <w:abstractNumId w:val="7"/>
  </w:num>
  <w:num w:numId="16">
    <w:abstractNumId w:val="16"/>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8"/>
  <w:hyphenationZone w:val="396"/>
  <w:characterSpacingControl w:val="doNotCompress"/>
  <w:footnotePr>
    <w:footnote w:id="-1"/>
    <w:footnote w:id="0"/>
  </w:footnotePr>
  <w:endnotePr>
    <w:endnote w:id="-1"/>
    <w:endnote w:id="0"/>
  </w:endnotePr>
  <w:compat/>
  <w:rsids>
    <w:rsidRoot w:val="007D762D"/>
    <w:rsid w:val="0000032B"/>
    <w:rsid w:val="00023321"/>
    <w:rsid w:val="00026391"/>
    <w:rsid w:val="00035411"/>
    <w:rsid w:val="000436C9"/>
    <w:rsid w:val="00044B3F"/>
    <w:rsid w:val="000513D8"/>
    <w:rsid w:val="00055411"/>
    <w:rsid w:val="00062125"/>
    <w:rsid w:val="00062F96"/>
    <w:rsid w:val="000710A2"/>
    <w:rsid w:val="000776C1"/>
    <w:rsid w:val="00080F5E"/>
    <w:rsid w:val="0008110B"/>
    <w:rsid w:val="00083F95"/>
    <w:rsid w:val="00084AB1"/>
    <w:rsid w:val="00097915"/>
    <w:rsid w:val="000C18FB"/>
    <w:rsid w:val="000E232E"/>
    <w:rsid w:val="000E681C"/>
    <w:rsid w:val="00104CA8"/>
    <w:rsid w:val="00114B6E"/>
    <w:rsid w:val="00115210"/>
    <w:rsid w:val="00115F8E"/>
    <w:rsid w:val="00124543"/>
    <w:rsid w:val="00125134"/>
    <w:rsid w:val="00126EDE"/>
    <w:rsid w:val="001352CC"/>
    <w:rsid w:val="00144FA4"/>
    <w:rsid w:val="00152688"/>
    <w:rsid w:val="0015719B"/>
    <w:rsid w:val="00165173"/>
    <w:rsid w:val="00167C76"/>
    <w:rsid w:val="00176B98"/>
    <w:rsid w:val="00181535"/>
    <w:rsid w:val="00182EB9"/>
    <w:rsid w:val="001906D3"/>
    <w:rsid w:val="00190B8D"/>
    <w:rsid w:val="00191C2F"/>
    <w:rsid w:val="00192162"/>
    <w:rsid w:val="001A1540"/>
    <w:rsid w:val="001B025A"/>
    <w:rsid w:val="001B40CD"/>
    <w:rsid w:val="001B7F0D"/>
    <w:rsid w:val="001D1213"/>
    <w:rsid w:val="001D1C14"/>
    <w:rsid w:val="001E6F38"/>
    <w:rsid w:val="001F238D"/>
    <w:rsid w:val="001F3D82"/>
    <w:rsid w:val="002004B6"/>
    <w:rsid w:val="0020108B"/>
    <w:rsid w:val="00201FB9"/>
    <w:rsid w:val="00213106"/>
    <w:rsid w:val="002155AF"/>
    <w:rsid w:val="00220BB0"/>
    <w:rsid w:val="00223F52"/>
    <w:rsid w:val="00226353"/>
    <w:rsid w:val="00226E37"/>
    <w:rsid w:val="00232A76"/>
    <w:rsid w:val="002336CD"/>
    <w:rsid w:val="0024781E"/>
    <w:rsid w:val="00260667"/>
    <w:rsid w:val="00260F9F"/>
    <w:rsid w:val="002823C7"/>
    <w:rsid w:val="00283A05"/>
    <w:rsid w:val="00292C10"/>
    <w:rsid w:val="00292F90"/>
    <w:rsid w:val="002B049B"/>
    <w:rsid w:val="002B4DAA"/>
    <w:rsid w:val="002C2273"/>
    <w:rsid w:val="002D305E"/>
    <w:rsid w:val="002D6510"/>
    <w:rsid w:val="002E0564"/>
    <w:rsid w:val="002F15DD"/>
    <w:rsid w:val="002F312E"/>
    <w:rsid w:val="002F42FB"/>
    <w:rsid w:val="00301BAC"/>
    <w:rsid w:val="00302FC7"/>
    <w:rsid w:val="0031531A"/>
    <w:rsid w:val="00325A4D"/>
    <w:rsid w:val="00325A81"/>
    <w:rsid w:val="003341FC"/>
    <w:rsid w:val="003361C4"/>
    <w:rsid w:val="00354A6F"/>
    <w:rsid w:val="00362E6B"/>
    <w:rsid w:val="0038504B"/>
    <w:rsid w:val="003868A6"/>
    <w:rsid w:val="003902D7"/>
    <w:rsid w:val="003A474F"/>
    <w:rsid w:val="003A790C"/>
    <w:rsid w:val="003B12C0"/>
    <w:rsid w:val="003B3A5E"/>
    <w:rsid w:val="003B743E"/>
    <w:rsid w:val="003C535C"/>
    <w:rsid w:val="003C5727"/>
    <w:rsid w:val="003E29EB"/>
    <w:rsid w:val="003F09F3"/>
    <w:rsid w:val="003F0B6D"/>
    <w:rsid w:val="003F1028"/>
    <w:rsid w:val="003F6EA5"/>
    <w:rsid w:val="00407637"/>
    <w:rsid w:val="004274CD"/>
    <w:rsid w:val="00435206"/>
    <w:rsid w:val="004416DA"/>
    <w:rsid w:val="00441D7E"/>
    <w:rsid w:val="0044786F"/>
    <w:rsid w:val="00451BDA"/>
    <w:rsid w:val="004542BB"/>
    <w:rsid w:val="00456587"/>
    <w:rsid w:val="0046704D"/>
    <w:rsid w:val="00481F1F"/>
    <w:rsid w:val="0048588D"/>
    <w:rsid w:val="00486F3E"/>
    <w:rsid w:val="004910F7"/>
    <w:rsid w:val="004940FE"/>
    <w:rsid w:val="004B6A49"/>
    <w:rsid w:val="004D2C18"/>
    <w:rsid w:val="004D4003"/>
    <w:rsid w:val="004D52E0"/>
    <w:rsid w:val="004D7E04"/>
    <w:rsid w:val="004F20AF"/>
    <w:rsid w:val="004F297D"/>
    <w:rsid w:val="004F648F"/>
    <w:rsid w:val="0050144B"/>
    <w:rsid w:val="00506F58"/>
    <w:rsid w:val="00515C66"/>
    <w:rsid w:val="00516E62"/>
    <w:rsid w:val="00522BB5"/>
    <w:rsid w:val="00523619"/>
    <w:rsid w:val="00524317"/>
    <w:rsid w:val="00532B7F"/>
    <w:rsid w:val="00535A83"/>
    <w:rsid w:val="005367B7"/>
    <w:rsid w:val="005420FA"/>
    <w:rsid w:val="00544F34"/>
    <w:rsid w:val="00545B3C"/>
    <w:rsid w:val="005519FF"/>
    <w:rsid w:val="00555D3A"/>
    <w:rsid w:val="005603AA"/>
    <w:rsid w:val="005617C6"/>
    <w:rsid w:val="00570001"/>
    <w:rsid w:val="00572D5D"/>
    <w:rsid w:val="00580FCB"/>
    <w:rsid w:val="005856F4"/>
    <w:rsid w:val="005C0AD7"/>
    <w:rsid w:val="005C4D46"/>
    <w:rsid w:val="005C64FB"/>
    <w:rsid w:val="005C6510"/>
    <w:rsid w:val="005E5E72"/>
    <w:rsid w:val="005F6A5E"/>
    <w:rsid w:val="00602262"/>
    <w:rsid w:val="006032A6"/>
    <w:rsid w:val="00603CD5"/>
    <w:rsid w:val="00606FB3"/>
    <w:rsid w:val="00622030"/>
    <w:rsid w:val="0062428F"/>
    <w:rsid w:val="00624BF9"/>
    <w:rsid w:val="00634165"/>
    <w:rsid w:val="00637FA3"/>
    <w:rsid w:val="00650C92"/>
    <w:rsid w:val="00657E39"/>
    <w:rsid w:val="00680A55"/>
    <w:rsid w:val="006900DF"/>
    <w:rsid w:val="00690222"/>
    <w:rsid w:val="00690857"/>
    <w:rsid w:val="006951DF"/>
    <w:rsid w:val="006A096C"/>
    <w:rsid w:val="006A679D"/>
    <w:rsid w:val="006B5917"/>
    <w:rsid w:val="006B6F0D"/>
    <w:rsid w:val="006C0BF1"/>
    <w:rsid w:val="006C1B3C"/>
    <w:rsid w:val="006C35A3"/>
    <w:rsid w:val="006C7176"/>
    <w:rsid w:val="006D03D6"/>
    <w:rsid w:val="006D24DB"/>
    <w:rsid w:val="006E53A1"/>
    <w:rsid w:val="006E5C94"/>
    <w:rsid w:val="006F1B9B"/>
    <w:rsid w:val="006F647D"/>
    <w:rsid w:val="0070298C"/>
    <w:rsid w:val="00704F80"/>
    <w:rsid w:val="00723FD7"/>
    <w:rsid w:val="007309FF"/>
    <w:rsid w:val="00732264"/>
    <w:rsid w:val="00732C9D"/>
    <w:rsid w:val="007332B0"/>
    <w:rsid w:val="00733FED"/>
    <w:rsid w:val="00754350"/>
    <w:rsid w:val="00755CD0"/>
    <w:rsid w:val="007630DF"/>
    <w:rsid w:val="00764725"/>
    <w:rsid w:val="00776A7B"/>
    <w:rsid w:val="00777D5B"/>
    <w:rsid w:val="007A29E0"/>
    <w:rsid w:val="007A29F9"/>
    <w:rsid w:val="007B192F"/>
    <w:rsid w:val="007B2ACB"/>
    <w:rsid w:val="007B4036"/>
    <w:rsid w:val="007B49F1"/>
    <w:rsid w:val="007B52A9"/>
    <w:rsid w:val="007C0383"/>
    <w:rsid w:val="007C28ED"/>
    <w:rsid w:val="007D2F8B"/>
    <w:rsid w:val="007D762D"/>
    <w:rsid w:val="007E4BD8"/>
    <w:rsid w:val="007E7BFF"/>
    <w:rsid w:val="007F04EB"/>
    <w:rsid w:val="007F1F34"/>
    <w:rsid w:val="007F3F2D"/>
    <w:rsid w:val="007F4428"/>
    <w:rsid w:val="00801453"/>
    <w:rsid w:val="00801BD7"/>
    <w:rsid w:val="00806A73"/>
    <w:rsid w:val="00816D2D"/>
    <w:rsid w:val="00823939"/>
    <w:rsid w:val="0082755C"/>
    <w:rsid w:val="00837644"/>
    <w:rsid w:val="00843823"/>
    <w:rsid w:val="00843B2C"/>
    <w:rsid w:val="00847C88"/>
    <w:rsid w:val="00847D4F"/>
    <w:rsid w:val="00863949"/>
    <w:rsid w:val="008642A3"/>
    <w:rsid w:val="00864CF2"/>
    <w:rsid w:val="0086715D"/>
    <w:rsid w:val="00877042"/>
    <w:rsid w:val="00877D6E"/>
    <w:rsid w:val="00882299"/>
    <w:rsid w:val="008A13A2"/>
    <w:rsid w:val="008A453A"/>
    <w:rsid w:val="008B416B"/>
    <w:rsid w:val="008B670B"/>
    <w:rsid w:val="008B70B3"/>
    <w:rsid w:val="008C506A"/>
    <w:rsid w:val="008C791B"/>
    <w:rsid w:val="008D0A92"/>
    <w:rsid w:val="008D0F39"/>
    <w:rsid w:val="008D5905"/>
    <w:rsid w:val="008D61FB"/>
    <w:rsid w:val="008D6406"/>
    <w:rsid w:val="008D67DD"/>
    <w:rsid w:val="008D7112"/>
    <w:rsid w:val="008E30C0"/>
    <w:rsid w:val="008E7EA2"/>
    <w:rsid w:val="008F19A7"/>
    <w:rsid w:val="008F7387"/>
    <w:rsid w:val="00916050"/>
    <w:rsid w:val="00921F0F"/>
    <w:rsid w:val="00922F97"/>
    <w:rsid w:val="00927D59"/>
    <w:rsid w:val="00934DF6"/>
    <w:rsid w:val="00935E69"/>
    <w:rsid w:val="00937887"/>
    <w:rsid w:val="009400B2"/>
    <w:rsid w:val="0094110A"/>
    <w:rsid w:val="009416B7"/>
    <w:rsid w:val="00941CC4"/>
    <w:rsid w:val="009420CD"/>
    <w:rsid w:val="009522F0"/>
    <w:rsid w:val="00963052"/>
    <w:rsid w:val="00963478"/>
    <w:rsid w:val="00971328"/>
    <w:rsid w:val="00974BBC"/>
    <w:rsid w:val="00976EDD"/>
    <w:rsid w:val="00985E8F"/>
    <w:rsid w:val="00990A4E"/>
    <w:rsid w:val="00993A84"/>
    <w:rsid w:val="009A1B02"/>
    <w:rsid w:val="009A5728"/>
    <w:rsid w:val="009B6F64"/>
    <w:rsid w:val="009C11AF"/>
    <w:rsid w:val="009C2F69"/>
    <w:rsid w:val="009C3C51"/>
    <w:rsid w:val="009C3F2A"/>
    <w:rsid w:val="009F30E9"/>
    <w:rsid w:val="00A00276"/>
    <w:rsid w:val="00A05F89"/>
    <w:rsid w:val="00A07127"/>
    <w:rsid w:val="00A1132B"/>
    <w:rsid w:val="00A14701"/>
    <w:rsid w:val="00A1598F"/>
    <w:rsid w:val="00A2299C"/>
    <w:rsid w:val="00A316F4"/>
    <w:rsid w:val="00A32626"/>
    <w:rsid w:val="00A42190"/>
    <w:rsid w:val="00A431FB"/>
    <w:rsid w:val="00A51190"/>
    <w:rsid w:val="00A53D85"/>
    <w:rsid w:val="00A62082"/>
    <w:rsid w:val="00A64024"/>
    <w:rsid w:val="00A717D2"/>
    <w:rsid w:val="00A75E04"/>
    <w:rsid w:val="00A775EF"/>
    <w:rsid w:val="00A816E8"/>
    <w:rsid w:val="00A83209"/>
    <w:rsid w:val="00AA1802"/>
    <w:rsid w:val="00AB0DB9"/>
    <w:rsid w:val="00AB14D1"/>
    <w:rsid w:val="00AB4B28"/>
    <w:rsid w:val="00AB510B"/>
    <w:rsid w:val="00AB6311"/>
    <w:rsid w:val="00AB6520"/>
    <w:rsid w:val="00AC0E4B"/>
    <w:rsid w:val="00AC23F4"/>
    <w:rsid w:val="00AD0D5E"/>
    <w:rsid w:val="00AD5EF1"/>
    <w:rsid w:val="00AE1E58"/>
    <w:rsid w:val="00AE56C0"/>
    <w:rsid w:val="00B03470"/>
    <w:rsid w:val="00B04E1A"/>
    <w:rsid w:val="00B0595F"/>
    <w:rsid w:val="00B111AA"/>
    <w:rsid w:val="00B14D81"/>
    <w:rsid w:val="00B15F8A"/>
    <w:rsid w:val="00B165C7"/>
    <w:rsid w:val="00B20836"/>
    <w:rsid w:val="00B271BB"/>
    <w:rsid w:val="00B34116"/>
    <w:rsid w:val="00B41B93"/>
    <w:rsid w:val="00B45557"/>
    <w:rsid w:val="00B46A58"/>
    <w:rsid w:val="00B6501C"/>
    <w:rsid w:val="00B70567"/>
    <w:rsid w:val="00B72A8A"/>
    <w:rsid w:val="00B72C25"/>
    <w:rsid w:val="00B74281"/>
    <w:rsid w:val="00B94198"/>
    <w:rsid w:val="00B96AFA"/>
    <w:rsid w:val="00B971EB"/>
    <w:rsid w:val="00BA3DDF"/>
    <w:rsid w:val="00BA7710"/>
    <w:rsid w:val="00BC16F1"/>
    <w:rsid w:val="00BD23E6"/>
    <w:rsid w:val="00BD67F2"/>
    <w:rsid w:val="00BD724F"/>
    <w:rsid w:val="00BE22C6"/>
    <w:rsid w:val="00BF4106"/>
    <w:rsid w:val="00C06B0D"/>
    <w:rsid w:val="00C3258C"/>
    <w:rsid w:val="00C32E54"/>
    <w:rsid w:val="00C343F7"/>
    <w:rsid w:val="00C46B0D"/>
    <w:rsid w:val="00C6354F"/>
    <w:rsid w:val="00C6559E"/>
    <w:rsid w:val="00C729C5"/>
    <w:rsid w:val="00C86227"/>
    <w:rsid w:val="00CA4BBB"/>
    <w:rsid w:val="00CA6D37"/>
    <w:rsid w:val="00CB2744"/>
    <w:rsid w:val="00CC5398"/>
    <w:rsid w:val="00CD29C2"/>
    <w:rsid w:val="00CD50F2"/>
    <w:rsid w:val="00CE09B1"/>
    <w:rsid w:val="00CE5E9C"/>
    <w:rsid w:val="00CF09EE"/>
    <w:rsid w:val="00CF596C"/>
    <w:rsid w:val="00D015F2"/>
    <w:rsid w:val="00D06DEF"/>
    <w:rsid w:val="00D14E64"/>
    <w:rsid w:val="00D30256"/>
    <w:rsid w:val="00D33B1A"/>
    <w:rsid w:val="00D45E9F"/>
    <w:rsid w:val="00D47CA1"/>
    <w:rsid w:val="00D52911"/>
    <w:rsid w:val="00D56D37"/>
    <w:rsid w:val="00D71B33"/>
    <w:rsid w:val="00D74650"/>
    <w:rsid w:val="00D92D5A"/>
    <w:rsid w:val="00DA769A"/>
    <w:rsid w:val="00DB2FB2"/>
    <w:rsid w:val="00DB3B9A"/>
    <w:rsid w:val="00DB7018"/>
    <w:rsid w:val="00DC0ADE"/>
    <w:rsid w:val="00DC387F"/>
    <w:rsid w:val="00DD04EE"/>
    <w:rsid w:val="00DD0E5A"/>
    <w:rsid w:val="00DD5DD0"/>
    <w:rsid w:val="00DE045A"/>
    <w:rsid w:val="00DE0CFD"/>
    <w:rsid w:val="00DE2E76"/>
    <w:rsid w:val="00DF1574"/>
    <w:rsid w:val="00DF695F"/>
    <w:rsid w:val="00E02D02"/>
    <w:rsid w:val="00E05305"/>
    <w:rsid w:val="00E05C9C"/>
    <w:rsid w:val="00E11C56"/>
    <w:rsid w:val="00E20B25"/>
    <w:rsid w:val="00E307C5"/>
    <w:rsid w:val="00E31477"/>
    <w:rsid w:val="00E376E9"/>
    <w:rsid w:val="00E57892"/>
    <w:rsid w:val="00E61D01"/>
    <w:rsid w:val="00E64A64"/>
    <w:rsid w:val="00E651B2"/>
    <w:rsid w:val="00E937D7"/>
    <w:rsid w:val="00E944A9"/>
    <w:rsid w:val="00EA2AEA"/>
    <w:rsid w:val="00EA78B6"/>
    <w:rsid w:val="00EB2A8D"/>
    <w:rsid w:val="00EB61FE"/>
    <w:rsid w:val="00EB6DFC"/>
    <w:rsid w:val="00EB7600"/>
    <w:rsid w:val="00EF54DB"/>
    <w:rsid w:val="00EF6978"/>
    <w:rsid w:val="00F0028F"/>
    <w:rsid w:val="00F04564"/>
    <w:rsid w:val="00F0668A"/>
    <w:rsid w:val="00F179B5"/>
    <w:rsid w:val="00F222C4"/>
    <w:rsid w:val="00F242D3"/>
    <w:rsid w:val="00F3165B"/>
    <w:rsid w:val="00F32FF8"/>
    <w:rsid w:val="00F34510"/>
    <w:rsid w:val="00F4287C"/>
    <w:rsid w:val="00F45432"/>
    <w:rsid w:val="00F514A1"/>
    <w:rsid w:val="00F63BCC"/>
    <w:rsid w:val="00F65BD8"/>
    <w:rsid w:val="00F77AB5"/>
    <w:rsid w:val="00F8018C"/>
    <w:rsid w:val="00F82942"/>
    <w:rsid w:val="00FA21A2"/>
    <w:rsid w:val="00FA7749"/>
    <w:rsid w:val="00FB21DD"/>
    <w:rsid w:val="00FC41D2"/>
    <w:rsid w:val="00FC61BA"/>
    <w:rsid w:val="00FD1885"/>
    <w:rsid w:val="00FE30F2"/>
    <w:rsid w:val="00FF1BB4"/>
    <w:rsid w:val="00FF4A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762D"/>
    <w:rPr>
      <w:lang w:val="en-US" w:eastAsia="en-US"/>
    </w:rPr>
  </w:style>
  <w:style w:type="paragraph" w:styleId="Heading1">
    <w:name w:val="heading 1"/>
    <w:basedOn w:val="Normal"/>
    <w:next w:val="Normal"/>
    <w:qFormat/>
    <w:rsid w:val="007D762D"/>
    <w:pPr>
      <w:keepNext/>
      <w:outlineLvl w:val="0"/>
    </w:pPr>
    <w:rPr>
      <w:b/>
      <w:bCs/>
      <w:sz w:val="32"/>
      <w:szCs w:val="32"/>
      <w:lang w:val="lt-LT"/>
    </w:rPr>
  </w:style>
  <w:style w:type="paragraph" w:styleId="Heading3">
    <w:name w:val="heading 3"/>
    <w:basedOn w:val="Normal"/>
    <w:next w:val="Normal"/>
    <w:qFormat/>
    <w:rsid w:val="00441D7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DD0E5A"/>
    <w:pPr>
      <w:numPr>
        <w:numId w:val="1"/>
      </w:numPr>
    </w:pPr>
  </w:style>
  <w:style w:type="paragraph" w:styleId="Header">
    <w:name w:val="header"/>
    <w:basedOn w:val="Normal"/>
    <w:link w:val="HeaderChar"/>
    <w:rsid w:val="007D762D"/>
    <w:pPr>
      <w:tabs>
        <w:tab w:val="center" w:pos="4320"/>
        <w:tab w:val="right" w:pos="8640"/>
      </w:tabs>
    </w:p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7D762D"/>
    <w:pPr>
      <w:tabs>
        <w:tab w:val="center" w:pos="4320"/>
        <w:tab w:val="right" w:pos="8640"/>
      </w:tabs>
    </w:pPr>
  </w:style>
  <w:style w:type="character" w:styleId="PageNumber">
    <w:name w:val="page number"/>
    <w:basedOn w:val="DefaultParagraphFont"/>
    <w:rsid w:val="007D762D"/>
  </w:style>
  <w:style w:type="character" w:customStyle="1" w:styleId="HeaderChar">
    <w:name w:val="Header Char"/>
    <w:basedOn w:val="DefaultParagraphFont"/>
    <w:link w:val="Header"/>
    <w:rsid w:val="007D762D"/>
    <w:rPr>
      <w:lang w:val="en-US" w:eastAsia="en-US" w:bidi="ar-SA"/>
    </w:rPr>
  </w:style>
  <w:style w:type="paragraph" w:customStyle="1" w:styleId="Normal12pt">
    <w:name w:val="Normal + 12 pt"/>
    <w:basedOn w:val="Normal"/>
    <w:link w:val="Normal12ptChar"/>
    <w:rsid w:val="007D762D"/>
    <w:pPr>
      <w:tabs>
        <w:tab w:val="left" w:pos="737"/>
      </w:tabs>
      <w:ind w:right="-283"/>
      <w:jc w:val="both"/>
    </w:pPr>
    <w:rPr>
      <w:sz w:val="24"/>
      <w:szCs w:val="24"/>
      <w:lang w:val="lt-LT"/>
    </w:rPr>
  </w:style>
  <w:style w:type="paragraph" w:styleId="BodyText">
    <w:name w:val="Body Text"/>
    <w:basedOn w:val="Normal"/>
    <w:rsid w:val="007D762D"/>
    <w:pPr>
      <w:jc w:val="center"/>
    </w:pPr>
    <w:rPr>
      <w:sz w:val="22"/>
      <w:lang w:val="lt-LT"/>
    </w:rPr>
  </w:style>
  <w:style w:type="paragraph" w:styleId="CommentText">
    <w:name w:val="annotation text"/>
    <w:basedOn w:val="Normal"/>
    <w:semiHidden/>
    <w:rsid w:val="007D762D"/>
  </w:style>
  <w:style w:type="character" w:customStyle="1" w:styleId="Normal12ptChar">
    <w:name w:val="Normal + 12 pt Char"/>
    <w:basedOn w:val="DefaultParagraphFont"/>
    <w:link w:val="Normal12pt"/>
    <w:rsid w:val="00CD29C2"/>
    <w:rPr>
      <w:sz w:val="24"/>
      <w:szCs w:val="24"/>
      <w:lang w:val="lt-LT" w:eastAsia="en-US" w:bidi="ar-SA"/>
    </w:rPr>
  </w:style>
  <w:style w:type="character" w:styleId="Hyperlink">
    <w:name w:val="Hyperlink"/>
    <w:basedOn w:val="DefaultParagraphFont"/>
    <w:rsid w:val="00F65BD8"/>
    <w:rPr>
      <w:color w:val="0000FF"/>
      <w:u w:val="single"/>
    </w:rPr>
  </w:style>
  <w:style w:type="paragraph" w:customStyle="1" w:styleId="bodytext0">
    <w:name w:val="bodytext"/>
    <w:basedOn w:val="Normal"/>
    <w:rsid w:val="000E681C"/>
    <w:pPr>
      <w:spacing w:before="100" w:beforeAutospacing="1" w:after="100" w:afterAutospacing="1"/>
    </w:pPr>
    <w:rPr>
      <w:sz w:val="24"/>
      <w:szCs w:val="24"/>
      <w:lang w:val="lt-LT" w:eastAsia="lt-LT"/>
    </w:rPr>
  </w:style>
  <w:style w:type="paragraph" w:styleId="ListParagraph">
    <w:name w:val="List Paragraph"/>
    <w:basedOn w:val="Normal"/>
    <w:uiPriority w:val="34"/>
    <w:qFormat/>
    <w:rsid w:val="00AC0E4B"/>
    <w:pPr>
      <w:ind w:left="720"/>
      <w:contextualSpacing/>
    </w:pPr>
  </w:style>
  <w:style w:type="character" w:styleId="Strong">
    <w:name w:val="Strong"/>
    <w:basedOn w:val="DefaultParagraphFont"/>
    <w:qFormat/>
    <w:rsid w:val="004F297D"/>
    <w:rPr>
      <w:b/>
      <w:bCs/>
    </w:rPr>
  </w:style>
  <w:style w:type="paragraph" w:styleId="BalloonText">
    <w:name w:val="Balloon Text"/>
    <w:basedOn w:val="Normal"/>
    <w:link w:val="BalloonTextChar"/>
    <w:rsid w:val="00843823"/>
    <w:rPr>
      <w:rFonts w:ascii="Tahoma" w:hAnsi="Tahoma" w:cs="Tahoma"/>
      <w:sz w:val="16"/>
      <w:szCs w:val="16"/>
    </w:rPr>
  </w:style>
  <w:style w:type="character" w:customStyle="1" w:styleId="BalloonTextChar">
    <w:name w:val="Balloon Text Char"/>
    <w:basedOn w:val="DefaultParagraphFont"/>
    <w:link w:val="BalloonText"/>
    <w:rsid w:val="00843823"/>
    <w:rPr>
      <w:rFonts w:ascii="Tahoma" w:hAnsi="Tahoma" w:cs="Tahoma"/>
      <w:sz w:val="16"/>
      <w:szCs w:val="16"/>
      <w:lang w:val="en-US" w:eastAsia="en-US"/>
    </w:rPr>
  </w:style>
  <w:style w:type="paragraph" w:customStyle="1" w:styleId="CharChar2DiagramaDiagramaCharCharDiagramaDiagrama1CharCharDiagramaDiagrama1">
    <w:name w:val="Char Char2 Diagrama Diagrama Char Char Diagrama Diagrama1 Char Char Diagrama Diagrama1"/>
    <w:basedOn w:val="Normal"/>
    <w:rsid w:val="001B40CD"/>
    <w:pPr>
      <w:spacing w:after="160" w:line="240" w:lineRule="exact"/>
    </w:pPr>
    <w:rPr>
      <w:rFonts w:ascii="Tahoma" w:hAnsi="Tahoma"/>
    </w:r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sid w:val="001B40CD"/>
    <w:rPr>
      <w:lang w:val="en-US" w:eastAsia="en-US"/>
    </w:rPr>
  </w:style>
</w:styles>
</file>

<file path=word/webSettings.xml><?xml version="1.0" encoding="utf-8"?>
<w:webSettings xmlns:r="http://schemas.openxmlformats.org/officeDocument/2006/relationships" xmlns:w="http://schemas.openxmlformats.org/wordprocessingml/2006/main">
  <w:divs>
    <w:div w:id="70473938">
      <w:bodyDiv w:val="1"/>
      <w:marLeft w:val="0"/>
      <w:marRight w:val="0"/>
      <w:marTop w:val="0"/>
      <w:marBottom w:val="0"/>
      <w:divBdr>
        <w:top w:val="none" w:sz="0" w:space="0" w:color="auto"/>
        <w:left w:val="none" w:sz="0" w:space="0" w:color="auto"/>
        <w:bottom w:val="none" w:sz="0" w:space="0" w:color="auto"/>
        <w:right w:val="none" w:sz="0" w:space="0" w:color="auto"/>
      </w:divBdr>
    </w:div>
    <w:div w:id="353724829">
      <w:bodyDiv w:val="1"/>
      <w:marLeft w:val="188"/>
      <w:marRight w:val="188"/>
      <w:marTop w:val="0"/>
      <w:marBottom w:val="0"/>
      <w:divBdr>
        <w:top w:val="none" w:sz="0" w:space="0" w:color="auto"/>
        <w:left w:val="none" w:sz="0" w:space="0" w:color="auto"/>
        <w:bottom w:val="none" w:sz="0" w:space="0" w:color="auto"/>
        <w:right w:val="none" w:sz="0" w:space="0" w:color="auto"/>
      </w:divBdr>
      <w:divsChild>
        <w:div w:id="266161488">
          <w:marLeft w:val="0"/>
          <w:marRight w:val="0"/>
          <w:marTop w:val="0"/>
          <w:marBottom w:val="0"/>
          <w:divBdr>
            <w:top w:val="none" w:sz="0" w:space="0" w:color="auto"/>
            <w:left w:val="none" w:sz="0" w:space="0" w:color="auto"/>
            <w:bottom w:val="none" w:sz="0" w:space="0" w:color="auto"/>
            <w:right w:val="none" w:sz="0" w:space="0" w:color="auto"/>
          </w:divBdr>
        </w:div>
      </w:divsChild>
    </w:div>
    <w:div w:id="901450089">
      <w:bodyDiv w:val="1"/>
      <w:marLeft w:val="0"/>
      <w:marRight w:val="0"/>
      <w:marTop w:val="0"/>
      <w:marBottom w:val="0"/>
      <w:divBdr>
        <w:top w:val="none" w:sz="0" w:space="0" w:color="auto"/>
        <w:left w:val="none" w:sz="0" w:space="0" w:color="auto"/>
        <w:bottom w:val="none" w:sz="0" w:space="0" w:color="auto"/>
        <w:right w:val="none" w:sz="0" w:space="0" w:color="auto"/>
      </w:divBdr>
      <w:divsChild>
        <w:div w:id="241331602">
          <w:marLeft w:val="0"/>
          <w:marRight w:val="0"/>
          <w:marTop w:val="0"/>
          <w:marBottom w:val="0"/>
          <w:divBdr>
            <w:top w:val="none" w:sz="0" w:space="0" w:color="auto"/>
            <w:left w:val="none" w:sz="0" w:space="0" w:color="auto"/>
            <w:bottom w:val="none" w:sz="0" w:space="0" w:color="auto"/>
            <w:right w:val="none" w:sz="0" w:space="0" w:color="auto"/>
          </w:divBdr>
        </w:div>
      </w:divsChild>
    </w:div>
    <w:div w:id="1055933263">
      <w:bodyDiv w:val="1"/>
      <w:marLeft w:val="0"/>
      <w:marRight w:val="0"/>
      <w:marTop w:val="0"/>
      <w:marBottom w:val="0"/>
      <w:divBdr>
        <w:top w:val="none" w:sz="0" w:space="0" w:color="auto"/>
        <w:left w:val="none" w:sz="0" w:space="0" w:color="auto"/>
        <w:bottom w:val="none" w:sz="0" w:space="0" w:color="auto"/>
        <w:right w:val="none" w:sz="0" w:space="0" w:color="auto"/>
      </w:divBdr>
    </w:div>
    <w:div w:id="1306623471">
      <w:bodyDiv w:val="1"/>
      <w:marLeft w:val="0"/>
      <w:marRight w:val="0"/>
      <w:marTop w:val="0"/>
      <w:marBottom w:val="0"/>
      <w:divBdr>
        <w:top w:val="none" w:sz="0" w:space="0" w:color="auto"/>
        <w:left w:val="none" w:sz="0" w:space="0" w:color="auto"/>
        <w:bottom w:val="none" w:sz="0" w:space="0" w:color="auto"/>
        <w:right w:val="none" w:sz="0" w:space="0" w:color="auto"/>
      </w:divBdr>
    </w:div>
    <w:div w:id="1365668403">
      <w:bodyDiv w:val="1"/>
      <w:marLeft w:val="0"/>
      <w:marRight w:val="0"/>
      <w:marTop w:val="0"/>
      <w:marBottom w:val="0"/>
      <w:divBdr>
        <w:top w:val="none" w:sz="0" w:space="0" w:color="auto"/>
        <w:left w:val="none" w:sz="0" w:space="0" w:color="auto"/>
        <w:bottom w:val="none" w:sz="0" w:space="0" w:color="auto"/>
        <w:right w:val="none" w:sz="0" w:space="0" w:color="auto"/>
      </w:divBdr>
    </w:div>
    <w:div w:id="1390611290">
      <w:bodyDiv w:val="1"/>
      <w:marLeft w:val="0"/>
      <w:marRight w:val="0"/>
      <w:marTop w:val="0"/>
      <w:marBottom w:val="0"/>
      <w:divBdr>
        <w:top w:val="none" w:sz="0" w:space="0" w:color="auto"/>
        <w:left w:val="none" w:sz="0" w:space="0" w:color="auto"/>
        <w:bottom w:val="none" w:sz="0" w:space="0" w:color="auto"/>
        <w:right w:val="none" w:sz="0" w:space="0" w:color="auto"/>
      </w:divBdr>
    </w:div>
    <w:div w:id="149541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40EAB-E67A-4072-A9DA-43C8C48AF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1647</Words>
  <Characters>11736</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13357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Oskaras Plieskis</dc:creator>
  <cp:lastModifiedBy>TIlciukas</cp:lastModifiedBy>
  <cp:revision>5</cp:revision>
  <cp:lastPrinted>2013-11-14T09:56:00Z</cp:lastPrinted>
  <dcterms:created xsi:type="dcterms:W3CDTF">2013-11-14T11:27:00Z</dcterms:created>
  <dcterms:modified xsi:type="dcterms:W3CDTF">2013-11-14T11:34:00Z</dcterms:modified>
</cp:coreProperties>
</file>