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5pt;height:47.8pt" o:ole="" fillcolor="window">
            <v:imagedata r:id="rId8" o:title=""/>
          </v:shape>
          <o:OLEObject Type="Embed" ProgID="Word.Picture.8" ShapeID="_x0000_i1025" DrawAspect="Content" ObjectID="_1444653039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Pr="00907C82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351E8D" w:rsidRPr="00907C82" w:rsidRDefault="00351E8D" w:rsidP="00A77BDD">
      <w:pPr>
        <w:tabs>
          <w:tab w:val="left" w:pos="900"/>
        </w:tabs>
        <w:rPr>
          <w:bCs/>
          <w:sz w:val="24"/>
          <w:szCs w:val="24"/>
        </w:rPr>
      </w:pPr>
    </w:p>
    <w:p w:rsidR="00F90553" w:rsidRDefault="00F90553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5040"/>
        <w:gridCol w:w="236"/>
        <w:gridCol w:w="1390"/>
        <w:gridCol w:w="567"/>
        <w:gridCol w:w="2123"/>
      </w:tblGrid>
      <w:tr w:rsidR="004007F8" w:rsidRPr="004007F8" w:rsidTr="004007F8">
        <w:trPr>
          <w:cantSplit/>
        </w:trPr>
        <w:tc>
          <w:tcPr>
            <w:tcW w:w="504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 xml:space="preserve">Lietuvos automobilių kelių direkcijai 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prie Susisiekimo ministerijos</w:t>
            </w:r>
          </w:p>
          <w:p w:rsid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J. Basanavičiaus g. 36/2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LT-03109 Vilnius</w:t>
            </w:r>
          </w:p>
        </w:tc>
        <w:tc>
          <w:tcPr>
            <w:tcW w:w="236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Į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5049EB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2013-10</w:t>
            </w:r>
            <w:r w:rsidR="004007F8" w:rsidRPr="004007F8">
              <w:rPr>
                <w:bCs/>
                <w:sz w:val="24"/>
                <w:szCs w:val="24"/>
              </w:rPr>
              <w:t>-</w:t>
            </w:r>
          </w:p>
          <w:p w:rsidR="004007F8" w:rsidRPr="004007F8" w:rsidRDefault="005049EB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2013-10</w:t>
            </w:r>
            <w:r w:rsidR="004007F8" w:rsidRPr="004007F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0</w:t>
            </w:r>
            <w:r w:rsidR="00A81973">
              <w:rPr>
                <w:bCs/>
                <w:sz w:val="24"/>
                <w:szCs w:val="24"/>
              </w:rPr>
              <w:t>8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Nr.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Nr.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4S-</w:t>
            </w:r>
          </w:p>
          <w:p w:rsidR="004007F8" w:rsidRPr="004007F8" w:rsidRDefault="005049EB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(6.101</w:t>
            </w:r>
            <w:r w:rsidR="004007F8">
              <w:rPr>
                <w:bCs/>
                <w:sz w:val="24"/>
                <w:szCs w:val="24"/>
              </w:rPr>
              <w:t>)2-</w:t>
            </w:r>
            <w:r>
              <w:rPr>
                <w:bCs/>
                <w:sz w:val="24"/>
                <w:szCs w:val="24"/>
              </w:rPr>
              <w:t>5789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</w:tr>
      <w:tr w:rsidR="004007F8" w:rsidRPr="004007F8" w:rsidTr="004007F8">
        <w:trPr>
          <w:cantSplit/>
        </w:trPr>
        <w:tc>
          <w:tcPr>
            <w:tcW w:w="504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</w:tr>
      <w:tr w:rsidR="004007F8" w:rsidRPr="004007F8" w:rsidTr="004007F8">
        <w:trPr>
          <w:cantSplit/>
        </w:trPr>
        <w:tc>
          <w:tcPr>
            <w:tcW w:w="504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Kopija</w:t>
            </w:r>
          </w:p>
        </w:tc>
        <w:tc>
          <w:tcPr>
            <w:tcW w:w="236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</w:tr>
      <w:tr w:rsidR="004007F8" w:rsidRPr="004007F8" w:rsidTr="004007F8">
        <w:trPr>
          <w:cantSplit/>
        </w:trPr>
        <w:tc>
          <w:tcPr>
            <w:tcW w:w="504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Transporto investicijų direkcijai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Gedimino pr. 60</w:t>
            </w:r>
          </w:p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4007F8">
              <w:rPr>
                <w:bCs/>
                <w:sz w:val="24"/>
                <w:szCs w:val="24"/>
              </w:rPr>
              <w:t>LT-01110 Vilnius</w:t>
            </w:r>
          </w:p>
        </w:tc>
        <w:tc>
          <w:tcPr>
            <w:tcW w:w="236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:rsidR="004007F8" w:rsidRPr="004007F8" w:rsidRDefault="004007F8" w:rsidP="004007F8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</w:p>
        </w:tc>
      </w:tr>
    </w:tbl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Pr="007D63AA" w:rsidRDefault="00396B0F" w:rsidP="00907C82">
      <w:pPr>
        <w:shd w:val="clear" w:color="auto" w:fill="FFFFFF"/>
        <w:tabs>
          <w:tab w:val="left" w:pos="900"/>
        </w:tabs>
        <w:rPr>
          <w:color w:val="000000"/>
          <w:sz w:val="24"/>
          <w:szCs w:val="24"/>
          <w:lang w:eastAsia="lt-LT"/>
        </w:rPr>
      </w:pPr>
    </w:p>
    <w:p w:rsidR="00CF00EC" w:rsidRPr="00A16007" w:rsidRDefault="00CF00EC" w:rsidP="00CF00EC">
      <w:pPr>
        <w:shd w:val="clear" w:color="auto" w:fill="FFFFFF"/>
        <w:tabs>
          <w:tab w:val="left" w:pos="900"/>
        </w:tabs>
        <w:rPr>
          <w:b/>
          <w:color w:val="000000"/>
          <w:sz w:val="24"/>
          <w:szCs w:val="24"/>
          <w:lang w:eastAsia="lt-LT"/>
        </w:rPr>
      </w:pPr>
      <w:r w:rsidRPr="00907C82">
        <w:rPr>
          <w:b/>
          <w:color w:val="000000"/>
          <w:sz w:val="24"/>
          <w:szCs w:val="24"/>
          <w:lang w:eastAsia="lt-LT"/>
        </w:rPr>
        <w:t xml:space="preserve">DĖL </w:t>
      </w:r>
      <w:r w:rsidR="0063107D">
        <w:rPr>
          <w:b/>
          <w:color w:val="000000"/>
          <w:sz w:val="24"/>
          <w:szCs w:val="24"/>
          <w:lang w:eastAsia="lt-LT"/>
        </w:rPr>
        <w:t xml:space="preserve">VIEŠOJO PIRKIMO NR. </w:t>
      </w:r>
      <w:r w:rsidR="005049EB">
        <w:rPr>
          <w:b/>
          <w:color w:val="000000"/>
          <w:sz w:val="24"/>
          <w:szCs w:val="24"/>
          <w:lang w:eastAsia="lt-LT"/>
        </w:rPr>
        <w:t>141761</w:t>
      </w:r>
      <w:r w:rsidR="00540EC2">
        <w:rPr>
          <w:b/>
          <w:color w:val="000000"/>
          <w:sz w:val="24"/>
          <w:szCs w:val="24"/>
          <w:lang w:eastAsia="lt-LT"/>
        </w:rPr>
        <w:t xml:space="preserve"> </w:t>
      </w:r>
      <w:r w:rsidR="005049EB">
        <w:rPr>
          <w:b/>
          <w:color w:val="000000"/>
          <w:sz w:val="24"/>
          <w:szCs w:val="24"/>
          <w:lang w:eastAsia="lt-LT"/>
        </w:rPr>
        <w:t>Į</w:t>
      </w:r>
      <w:r>
        <w:rPr>
          <w:b/>
          <w:color w:val="000000"/>
          <w:sz w:val="24"/>
          <w:szCs w:val="24"/>
          <w:lang w:eastAsia="lt-LT"/>
        </w:rPr>
        <w:t>VERTINIMO</w:t>
      </w:r>
    </w:p>
    <w:p w:rsidR="00CF00EC" w:rsidRDefault="00CF00EC" w:rsidP="00CF00EC">
      <w:pPr>
        <w:tabs>
          <w:tab w:val="left" w:pos="900"/>
        </w:tabs>
        <w:rPr>
          <w:sz w:val="24"/>
          <w:szCs w:val="24"/>
        </w:rPr>
      </w:pPr>
    </w:p>
    <w:p w:rsidR="00CF00EC" w:rsidRPr="002E78A6" w:rsidRDefault="00CF00EC" w:rsidP="00CF00EC">
      <w:pPr>
        <w:tabs>
          <w:tab w:val="left" w:pos="900"/>
        </w:tabs>
        <w:rPr>
          <w:sz w:val="24"/>
          <w:szCs w:val="24"/>
        </w:rPr>
      </w:pPr>
    </w:p>
    <w:p w:rsidR="004007F8" w:rsidRPr="003D08E4" w:rsidRDefault="004007F8" w:rsidP="004D018E">
      <w:pPr>
        <w:tabs>
          <w:tab w:val="left" w:pos="90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4007F8">
        <w:rPr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4007F8">
        <w:rPr>
          <w:sz w:val="24"/>
          <w:szCs w:val="24"/>
        </w:rPr>
        <w:t>Žin</w:t>
      </w:r>
      <w:proofErr w:type="spellEnd"/>
      <w:r w:rsidRPr="004007F8">
        <w:rPr>
          <w:sz w:val="24"/>
          <w:szCs w:val="24"/>
        </w:rPr>
        <w:t>., 1996, Nr. 84-2000; 2006, Nr. 4-102</w:t>
      </w:r>
      <w:r>
        <w:rPr>
          <w:sz w:val="24"/>
          <w:szCs w:val="24"/>
        </w:rPr>
        <w:t xml:space="preserve">; </w:t>
      </w:r>
      <w:r w:rsidRPr="004007F8">
        <w:rPr>
          <w:sz w:val="24"/>
          <w:szCs w:val="24"/>
        </w:rPr>
        <w:t>2011, Nr. 123-5813) 8² straipsnio</w:t>
      </w:r>
      <w:proofErr w:type="gramStart"/>
      <w:r w:rsidRPr="004007F8">
        <w:rPr>
          <w:sz w:val="24"/>
          <w:szCs w:val="24"/>
        </w:rPr>
        <w:t xml:space="preserve"> </w:t>
      </w:r>
      <w:r w:rsidR="00CC7A5D">
        <w:rPr>
          <w:sz w:val="24"/>
          <w:szCs w:val="24"/>
        </w:rPr>
        <w:t xml:space="preserve">         </w:t>
      </w:r>
      <w:proofErr w:type="gramEnd"/>
      <w:r w:rsidRPr="004007F8">
        <w:rPr>
          <w:sz w:val="24"/>
          <w:szCs w:val="24"/>
        </w:rPr>
        <w:t xml:space="preserve">1 dalies 2 punktu, įvertino Lietuvos automobilių kelių direkcijos prie Susisiekimo ministerijos (toliau – </w:t>
      </w:r>
      <w:r>
        <w:rPr>
          <w:sz w:val="24"/>
          <w:szCs w:val="24"/>
        </w:rPr>
        <w:t>Perkančioji organizacija</w:t>
      </w:r>
      <w:r w:rsidRPr="004007F8">
        <w:rPr>
          <w:sz w:val="24"/>
          <w:szCs w:val="24"/>
        </w:rPr>
        <w:t xml:space="preserve">) pateiktus dokumentus, susijusius su vykdomu atviru konkursu </w:t>
      </w:r>
      <w:r w:rsidRPr="005049EB">
        <w:rPr>
          <w:sz w:val="24"/>
          <w:szCs w:val="24"/>
        </w:rPr>
        <w:t>„</w:t>
      </w:r>
      <w:r w:rsidR="005049EB" w:rsidRPr="005049EB">
        <w:rPr>
          <w:sz w:val="24"/>
          <w:szCs w:val="24"/>
        </w:rPr>
        <w:t>Valstybinės reikšmės krašto kelių rekonstrukcija. Sutartis Nr. 1“</w:t>
      </w:r>
      <w:r w:rsidRPr="004007F8">
        <w:rPr>
          <w:sz w:val="24"/>
          <w:szCs w:val="24"/>
        </w:rPr>
        <w:t xml:space="preserve"> (Centrinėje viešųjų pirkimų informacinėje sistemoje skelbtas 201</w:t>
      </w:r>
      <w:r w:rsidR="003D08E4">
        <w:rPr>
          <w:sz w:val="24"/>
          <w:szCs w:val="24"/>
        </w:rPr>
        <w:t>3</w:t>
      </w:r>
      <w:r w:rsidRPr="004007F8">
        <w:rPr>
          <w:sz w:val="24"/>
          <w:szCs w:val="24"/>
        </w:rPr>
        <w:t xml:space="preserve"> m. </w:t>
      </w:r>
      <w:r w:rsidR="003D08E4">
        <w:rPr>
          <w:sz w:val="24"/>
          <w:szCs w:val="24"/>
        </w:rPr>
        <w:t>rugpjūčio</w:t>
      </w:r>
      <w:r w:rsidR="005049EB">
        <w:rPr>
          <w:sz w:val="24"/>
          <w:szCs w:val="24"/>
        </w:rPr>
        <w:t xml:space="preserve"> 28</w:t>
      </w:r>
      <w:r w:rsidRPr="004007F8">
        <w:rPr>
          <w:sz w:val="24"/>
          <w:szCs w:val="24"/>
        </w:rPr>
        <w:t xml:space="preserve"> d., pirkimo Nr. </w:t>
      </w:r>
      <w:r w:rsidR="00A81973">
        <w:rPr>
          <w:sz w:val="24"/>
          <w:szCs w:val="24"/>
        </w:rPr>
        <w:t>141</w:t>
      </w:r>
      <w:r w:rsidR="005049EB">
        <w:rPr>
          <w:sz w:val="24"/>
          <w:szCs w:val="24"/>
        </w:rPr>
        <w:t>761</w:t>
      </w:r>
      <w:r w:rsidR="00A81973">
        <w:rPr>
          <w:sz w:val="24"/>
          <w:szCs w:val="24"/>
        </w:rPr>
        <w:t>,</w:t>
      </w:r>
      <w:r w:rsidRPr="004007F8">
        <w:rPr>
          <w:sz w:val="24"/>
          <w:szCs w:val="24"/>
        </w:rPr>
        <w:t xml:space="preserve"> toliau</w:t>
      </w:r>
      <w:r w:rsidR="003D08E4">
        <w:rPr>
          <w:sz w:val="24"/>
          <w:szCs w:val="24"/>
        </w:rPr>
        <w:t xml:space="preserve"> – Pirkimas)</w:t>
      </w:r>
      <w:r w:rsidRPr="004007F8">
        <w:rPr>
          <w:sz w:val="24"/>
          <w:szCs w:val="24"/>
        </w:rPr>
        <w:t>.</w:t>
      </w:r>
    </w:p>
    <w:p w:rsidR="003D08E4" w:rsidRDefault="003D08E4" w:rsidP="004D018E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</w:rPr>
        <w:t>Projekt</w:t>
      </w:r>
      <w:r w:rsidR="00F41B42">
        <w:rPr>
          <w:sz w:val="24"/>
        </w:rPr>
        <w:t xml:space="preserve">as </w:t>
      </w:r>
      <w:r>
        <w:rPr>
          <w:sz w:val="24"/>
        </w:rPr>
        <w:t>„</w:t>
      </w:r>
      <w:r w:rsidR="005049EB">
        <w:rPr>
          <w:sz w:val="24"/>
        </w:rPr>
        <w:t xml:space="preserve">Valstybinės </w:t>
      </w:r>
      <w:r w:rsidR="005049EB" w:rsidRPr="005049EB">
        <w:rPr>
          <w:sz w:val="24"/>
          <w:szCs w:val="24"/>
        </w:rPr>
        <w:t>reikšmės krašto kelių rekonstrukcija. Sutartis Nr. 1</w:t>
      </w:r>
      <w:r w:rsidR="005049EB">
        <w:rPr>
          <w:sz w:val="24"/>
          <w:szCs w:val="24"/>
        </w:rPr>
        <w:t>“ fi</w:t>
      </w:r>
      <w:r>
        <w:rPr>
          <w:sz w:val="24"/>
        </w:rPr>
        <w:t>nansuojamas iš ES struktūrinės paramos Lietuvai 2007-2013 m. pagal Ekonomikos augimo veiksmų programą.</w:t>
      </w:r>
    </w:p>
    <w:p w:rsidR="004007F8" w:rsidRPr="004007F8" w:rsidRDefault="003D08E4" w:rsidP="004D018E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3D08E4">
        <w:rPr>
          <w:sz w:val="24"/>
          <w:szCs w:val="24"/>
        </w:rPr>
        <w:t xml:space="preserve">Pirkimas vykdomas Centrinės viešųjų pirkimų informacinės sistemos (toliau – CVP IS) priemonėmis. </w:t>
      </w:r>
      <w:r w:rsidR="004007F8" w:rsidRPr="004007F8">
        <w:rPr>
          <w:sz w:val="24"/>
          <w:szCs w:val="24"/>
        </w:rPr>
        <w:t>Pirkimui, atsižvelgiant į jo pradžios datą, taikomos Lietuvos Respublikos viešųjų pirkimų įstatymo (</w:t>
      </w:r>
      <w:proofErr w:type="spellStart"/>
      <w:r w:rsidR="004007F8" w:rsidRPr="004007F8">
        <w:rPr>
          <w:sz w:val="24"/>
          <w:szCs w:val="24"/>
        </w:rPr>
        <w:t>Žin</w:t>
      </w:r>
      <w:proofErr w:type="spellEnd"/>
      <w:r w:rsidR="004007F8" w:rsidRPr="004007F8">
        <w:rPr>
          <w:sz w:val="24"/>
          <w:szCs w:val="24"/>
        </w:rPr>
        <w:t>., 1996, Nr. 84-2000; 2006, Nr. 4-102; 2008, Nr. 81-3179; 2009, Nr. 93-3986; 2010, Nr. 25-1174; 2011, Nr. 2-36, 123-5813</w:t>
      </w:r>
      <w:r>
        <w:rPr>
          <w:sz w:val="24"/>
          <w:szCs w:val="24"/>
        </w:rPr>
        <w:t xml:space="preserve">; </w:t>
      </w:r>
      <w:r w:rsidRPr="003D08E4">
        <w:rPr>
          <w:sz w:val="24"/>
          <w:szCs w:val="24"/>
        </w:rPr>
        <w:t>2012, Nr. 82-4264</w:t>
      </w:r>
      <w:r w:rsidR="004007F8" w:rsidRPr="004007F8">
        <w:rPr>
          <w:sz w:val="24"/>
          <w:szCs w:val="24"/>
        </w:rPr>
        <w:t>) (toliau – Įstatymas) nuostatos.</w:t>
      </w:r>
    </w:p>
    <w:p w:rsidR="00825C63" w:rsidRDefault="00825C63" w:rsidP="004D018E">
      <w:pPr>
        <w:tabs>
          <w:tab w:val="left" w:pos="900"/>
        </w:tabs>
        <w:spacing w:line="360" w:lineRule="auto"/>
        <w:ind w:firstLine="709"/>
        <w:jc w:val="both"/>
        <w:rPr>
          <w:sz w:val="24"/>
          <w:szCs w:val="24"/>
        </w:rPr>
      </w:pPr>
      <w:r w:rsidRPr="00825C63">
        <w:rPr>
          <w:sz w:val="24"/>
          <w:szCs w:val="24"/>
        </w:rPr>
        <w:t>Tarnyba</w:t>
      </w:r>
      <w:r>
        <w:rPr>
          <w:sz w:val="24"/>
          <w:szCs w:val="24"/>
        </w:rPr>
        <w:t>, į</w:t>
      </w:r>
      <w:r w:rsidRPr="00825C63">
        <w:rPr>
          <w:sz w:val="24"/>
          <w:szCs w:val="24"/>
        </w:rPr>
        <w:t>vertinusi Perkančiosios organizacijos pateikt</w:t>
      </w:r>
      <w:r w:rsidR="00485FF8">
        <w:rPr>
          <w:sz w:val="24"/>
          <w:szCs w:val="24"/>
        </w:rPr>
        <w:t xml:space="preserve">us dokumentus bei </w:t>
      </w:r>
      <w:r w:rsidRPr="00825C63">
        <w:rPr>
          <w:sz w:val="24"/>
          <w:szCs w:val="24"/>
        </w:rPr>
        <w:t>CVP IS esančią Pirkimo informaciją, Įstatymo pažeidimų, galinčių tu</w:t>
      </w:r>
      <w:r w:rsidR="00BB1225">
        <w:rPr>
          <w:sz w:val="24"/>
          <w:szCs w:val="24"/>
        </w:rPr>
        <w:t>rėti įtakos Pirkimo rezultatams</w:t>
      </w:r>
      <w:r w:rsidRPr="00825C63">
        <w:rPr>
          <w:sz w:val="24"/>
          <w:szCs w:val="24"/>
        </w:rPr>
        <w:t xml:space="preserve"> nenustatė</w:t>
      </w:r>
      <w:r w:rsidR="00BB1225">
        <w:rPr>
          <w:sz w:val="24"/>
          <w:szCs w:val="24"/>
        </w:rPr>
        <w:t>,</w:t>
      </w:r>
      <w:r w:rsidRPr="00825C63">
        <w:rPr>
          <w:sz w:val="24"/>
          <w:szCs w:val="24"/>
        </w:rPr>
        <w:t xml:space="preserve"> todėl neprieštarauja</w:t>
      </w:r>
      <w:r>
        <w:rPr>
          <w:sz w:val="24"/>
          <w:szCs w:val="24"/>
        </w:rPr>
        <w:t xml:space="preserve">, kad </w:t>
      </w:r>
      <w:r w:rsidRPr="00825C63">
        <w:rPr>
          <w:sz w:val="24"/>
          <w:szCs w:val="24"/>
        </w:rPr>
        <w:t>Pirkimo procedūr</w:t>
      </w:r>
      <w:r w:rsidR="00D15887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="00D15887">
        <w:rPr>
          <w:sz w:val="24"/>
          <w:szCs w:val="24"/>
        </w:rPr>
        <w:t xml:space="preserve"> būtų tęsiamos</w:t>
      </w:r>
      <w:r>
        <w:rPr>
          <w:sz w:val="24"/>
          <w:szCs w:val="24"/>
        </w:rPr>
        <w:t>.</w:t>
      </w:r>
    </w:p>
    <w:p w:rsidR="00957207" w:rsidRDefault="00957675" w:rsidP="004D018E">
      <w:pPr>
        <w:tabs>
          <w:tab w:val="left" w:pos="993"/>
        </w:tabs>
        <w:spacing w:line="360" w:lineRule="auto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Atkreipiame dėmesį, kad P</w:t>
      </w:r>
      <w:r w:rsidR="00957207" w:rsidRPr="00825C63">
        <w:rPr>
          <w:color w:val="000000"/>
          <w:spacing w:val="-1"/>
          <w:sz w:val="24"/>
          <w:szCs w:val="24"/>
        </w:rPr>
        <w:t xml:space="preserve">irkimo sąlygų 20 </w:t>
      </w:r>
      <w:r w:rsidR="004D018E">
        <w:rPr>
          <w:color w:val="000000"/>
          <w:spacing w:val="-1"/>
          <w:sz w:val="24"/>
          <w:szCs w:val="24"/>
        </w:rPr>
        <w:t xml:space="preserve">punkte nustatytas reikalavimas - </w:t>
      </w:r>
      <w:r w:rsidR="00957207" w:rsidRPr="00825C63">
        <w:rPr>
          <w:color w:val="000000"/>
          <w:spacing w:val="-1"/>
          <w:sz w:val="24"/>
          <w:szCs w:val="24"/>
        </w:rPr>
        <w:t xml:space="preserve">„&lt;...&gt; Jei bendrą pasiūlymą pateikia ūkio subjektų grupė, </w:t>
      </w:r>
      <w:r w:rsidR="00957207" w:rsidRPr="00825C63">
        <w:rPr>
          <w:color w:val="000000"/>
          <w:spacing w:val="-1"/>
          <w:sz w:val="24"/>
          <w:szCs w:val="24"/>
          <w:u w:val="single"/>
        </w:rPr>
        <w:t>15.8</w:t>
      </w:r>
      <w:r w:rsidR="00957207" w:rsidRPr="00825C63">
        <w:rPr>
          <w:color w:val="000000"/>
          <w:spacing w:val="-1"/>
          <w:sz w:val="24"/>
          <w:szCs w:val="24"/>
        </w:rPr>
        <w:t>, 15.9, 15.11-15.18 punktuose nustatytus kvalifikacijos reikalavimus turi atitikti visi ūkio subjektų grupės nariai kartu &lt;...&gt;“. Tarnybos nuomone, Pirkimo sąlygų 15.8 punkte nustatytą kvalifikacijos reikalavimą („Tiekėjas turi turėti teisę verstis su pirkimo objektu susijusia veikla (EVRK 2 red. 42.11 klasė „kelių ir automagistralių tiesimas“</w:t>
      </w:r>
      <w:r w:rsidR="00461FBE">
        <w:rPr>
          <w:color w:val="000000"/>
          <w:spacing w:val="-1"/>
          <w:sz w:val="24"/>
          <w:szCs w:val="24"/>
        </w:rPr>
        <w:t xml:space="preserve"> ir EVRK 2 red. 43.13 „tiltų ir tunelių statyba“</w:t>
      </w:r>
      <w:r w:rsidR="00957207" w:rsidRPr="00825C63">
        <w:rPr>
          <w:color w:val="000000"/>
          <w:spacing w:val="-1"/>
          <w:sz w:val="24"/>
          <w:szCs w:val="24"/>
        </w:rPr>
        <w:t>) turėtų atitikti tos ūkio subjektų grupės šalys, kurios prisiims prievoles pagal pirkimo sutartį, kaip rekomenduojama Tiekėjų kvalifikacijos vertinimo metodinių rekomendacijų (toliau – Rekomendacijos), patvirtintų Tarnybos direktoriaus 2003 m. spalio 20 d. įsakymu Nr. 1S-100 (</w:t>
      </w:r>
      <w:proofErr w:type="spellStart"/>
      <w:r w:rsidR="00957207" w:rsidRPr="00825C63">
        <w:rPr>
          <w:color w:val="000000"/>
          <w:spacing w:val="-1"/>
          <w:sz w:val="24"/>
          <w:szCs w:val="24"/>
        </w:rPr>
        <w:t>Žin</w:t>
      </w:r>
      <w:proofErr w:type="spellEnd"/>
      <w:r w:rsidR="00957207" w:rsidRPr="00825C63">
        <w:rPr>
          <w:color w:val="000000"/>
          <w:spacing w:val="-1"/>
          <w:sz w:val="24"/>
          <w:szCs w:val="24"/>
        </w:rPr>
        <w:t>., 2003, Nr. 103-4623; 2009, 2012, 5-163) 21 punkte</w:t>
      </w:r>
      <w:r w:rsidR="00825C63">
        <w:rPr>
          <w:color w:val="000000"/>
          <w:spacing w:val="-1"/>
          <w:sz w:val="24"/>
          <w:szCs w:val="24"/>
        </w:rPr>
        <w:t xml:space="preserve"> (</w:t>
      </w:r>
      <w:r w:rsidR="00957207" w:rsidRPr="00825C63">
        <w:rPr>
          <w:color w:val="000000"/>
          <w:spacing w:val="-1"/>
          <w:sz w:val="24"/>
          <w:szCs w:val="24"/>
        </w:rPr>
        <w:t>Rekomendacijų 18 punktas atitinka Pirkimo sąlygų 15.8 punktą</w:t>
      </w:r>
      <w:r w:rsidR="00825C63">
        <w:rPr>
          <w:color w:val="000000"/>
          <w:spacing w:val="-1"/>
          <w:sz w:val="24"/>
          <w:szCs w:val="24"/>
        </w:rPr>
        <w:t>)</w:t>
      </w:r>
      <w:r w:rsidR="00957207" w:rsidRPr="00825C63">
        <w:rPr>
          <w:color w:val="000000"/>
          <w:spacing w:val="-1"/>
          <w:sz w:val="24"/>
          <w:szCs w:val="24"/>
        </w:rPr>
        <w:t>.</w:t>
      </w:r>
    </w:p>
    <w:p w:rsidR="00C72E9C" w:rsidRDefault="00582399" w:rsidP="004D018E">
      <w:pPr>
        <w:tabs>
          <w:tab w:val="left" w:pos="993"/>
        </w:tabs>
        <w:spacing w:line="360" w:lineRule="auto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Perkančioji organizacija 2013-09-05 raštu Nr. (6.22)2-5194 atsisakė tenkinti </w:t>
      </w:r>
      <w:r w:rsidR="00BB684E">
        <w:rPr>
          <w:color w:val="000000"/>
          <w:spacing w:val="-1"/>
          <w:sz w:val="24"/>
          <w:szCs w:val="24"/>
        </w:rPr>
        <w:t>tiekėjo</w:t>
      </w:r>
      <w:proofErr w:type="gramStart"/>
      <w:r w:rsidR="00C72E9C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                  </w:t>
      </w:r>
      <w:proofErr w:type="gramEnd"/>
      <w:r w:rsidR="00BB684E">
        <w:rPr>
          <w:color w:val="000000"/>
          <w:spacing w:val="-1"/>
          <w:sz w:val="24"/>
          <w:szCs w:val="24"/>
        </w:rPr>
        <w:t xml:space="preserve">2013-09-04 </w:t>
      </w:r>
      <w:r w:rsidR="00C72E9C">
        <w:rPr>
          <w:color w:val="000000"/>
          <w:spacing w:val="-1"/>
          <w:sz w:val="24"/>
          <w:szCs w:val="24"/>
        </w:rPr>
        <w:t>prašymą</w:t>
      </w:r>
      <w:r w:rsidR="00BB684E">
        <w:rPr>
          <w:color w:val="000000"/>
          <w:spacing w:val="-1"/>
          <w:sz w:val="24"/>
          <w:szCs w:val="24"/>
        </w:rPr>
        <w:t xml:space="preserve"> (pranešimo Nr. 2233479)</w:t>
      </w:r>
      <w:r>
        <w:rPr>
          <w:color w:val="000000"/>
          <w:spacing w:val="-1"/>
          <w:sz w:val="24"/>
          <w:szCs w:val="24"/>
        </w:rPr>
        <w:t xml:space="preserve"> pateikti dalį Pirkimo dokumentų Microsoft Word, Microsoft </w:t>
      </w:r>
      <w:proofErr w:type="spellStart"/>
      <w:r>
        <w:rPr>
          <w:color w:val="000000"/>
          <w:spacing w:val="-1"/>
          <w:sz w:val="24"/>
          <w:szCs w:val="24"/>
        </w:rPr>
        <w:t>Exel</w:t>
      </w:r>
      <w:proofErr w:type="spellEnd"/>
      <w:r>
        <w:rPr>
          <w:color w:val="000000"/>
          <w:spacing w:val="-1"/>
          <w:sz w:val="24"/>
          <w:szCs w:val="24"/>
        </w:rPr>
        <w:t xml:space="preserve"> formatu. Tarnyba </w:t>
      </w:r>
      <w:r w:rsidR="00C72E9C">
        <w:rPr>
          <w:color w:val="000000"/>
          <w:spacing w:val="-1"/>
          <w:sz w:val="24"/>
          <w:szCs w:val="24"/>
        </w:rPr>
        <w:t>rekomenduoja Pirkimo dokumentų dalį</w:t>
      </w:r>
      <w:r w:rsidR="00BB684E">
        <w:rPr>
          <w:color w:val="000000"/>
          <w:spacing w:val="-1"/>
          <w:sz w:val="24"/>
          <w:szCs w:val="24"/>
        </w:rPr>
        <w:t>,</w:t>
      </w:r>
      <w:r w:rsidR="00C72E9C">
        <w:rPr>
          <w:color w:val="000000"/>
          <w:spacing w:val="-1"/>
          <w:sz w:val="24"/>
          <w:szCs w:val="24"/>
        </w:rPr>
        <w:t xml:space="preserve"> kurią teikdami pasiūlymus pildo tiekėjai (pvz.</w:t>
      </w:r>
      <w:r w:rsidR="00BB684E">
        <w:rPr>
          <w:color w:val="000000"/>
          <w:spacing w:val="-1"/>
          <w:sz w:val="24"/>
          <w:szCs w:val="24"/>
        </w:rPr>
        <w:t>:</w:t>
      </w:r>
      <w:r w:rsidR="00C72E9C">
        <w:rPr>
          <w:color w:val="000000"/>
          <w:spacing w:val="-1"/>
          <w:sz w:val="24"/>
          <w:szCs w:val="24"/>
        </w:rPr>
        <w:t xml:space="preserve"> pasiūlymo forma</w:t>
      </w:r>
      <w:r w:rsidR="00BB684E">
        <w:rPr>
          <w:color w:val="000000"/>
          <w:spacing w:val="-1"/>
          <w:sz w:val="24"/>
          <w:szCs w:val="24"/>
        </w:rPr>
        <w:t>, darbų apimčių sąrašas</w:t>
      </w:r>
      <w:r w:rsidR="00C72E9C">
        <w:rPr>
          <w:color w:val="000000"/>
          <w:spacing w:val="-1"/>
          <w:sz w:val="24"/>
          <w:szCs w:val="24"/>
        </w:rPr>
        <w:t xml:space="preserve"> ir t.t.) pateikti tiekėjams</w:t>
      </w:r>
      <w:r w:rsidR="00BB684E">
        <w:rPr>
          <w:color w:val="000000"/>
          <w:spacing w:val="-1"/>
          <w:sz w:val="24"/>
          <w:szCs w:val="24"/>
        </w:rPr>
        <w:t xml:space="preserve"> tekstų redaktoriaus</w:t>
      </w:r>
      <w:r w:rsidR="00C72E9C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Microsoft Word </w:t>
      </w:r>
      <w:r w:rsidR="00C72E9C">
        <w:rPr>
          <w:color w:val="000000"/>
          <w:spacing w:val="-1"/>
          <w:sz w:val="24"/>
          <w:szCs w:val="24"/>
        </w:rPr>
        <w:t>bei skaičiuoklės Micr</w:t>
      </w:r>
      <w:r w:rsidR="00BB684E">
        <w:rPr>
          <w:color w:val="000000"/>
          <w:spacing w:val="-1"/>
          <w:sz w:val="24"/>
          <w:szCs w:val="24"/>
        </w:rPr>
        <w:t xml:space="preserve">osoft </w:t>
      </w:r>
      <w:proofErr w:type="spellStart"/>
      <w:r w:rsidR="00BB684E">
        <w:rPr>
          <w:color w:val="000000"/>
          <w:spacing w:val="-1"/>
          <w:sz w:val="24"/>
          <w:szCs w:val="24"/>
        </w:rPr>
        <w:t>Exel</w:t>
      </w:r>
      <w:proofErr w:type="spellEnd"/>
      <w:r w:rsidR="00BB684E">
        <w:rPr>
          <w:color w:val="000000"/>
          <w:spacing w:val="-1"/>
          <w:sz w:val="24"/>
          <w:szCs w:val="24"/>
        </w:rPr>
        <w:t xml:space="preserve"> formatais, tokiu būdu</w:t>
      </w:r>
      <w:r w:rsidR="00C72E9C" w:rsidRPr="00C72E9C">
        <w:rPr>
          <w:color w:val="000000"/>
          <w:spacing w:val="-1"/>
          <w:sz w:val="24"/>
          <w:szCs w:val="24"/>
        </w:rPr>
        <w:t xml:space="preserve"> </w:t>
      </w:r>
      <w:r w:rsidR="00C72E9C">
        <w:rPr>
          <w:color w:val="000000"/>
          <w:spacing w:val="-1"/>
          <w:sz w:val="24"/>
          <w:szCs w:val="24"/>
        </w:rPr>
        <w:t>užtikrin</w:t>
      </w:r>
      <w:r w:rsidR="00BB684E">
        <w:rPr>
          <w:color w:val="000000"/>
          <w:spacing w:val="-1"/>
          <w:sz w:val="24"/>
          <w:szCs w:val="24"/>
        </w:rPr>
        <w:t>an</w:t>
      </w:r>
      <w:r w:rsidR="00C72E9C">
        <w:rPr>
          <w:color w:val="000000"/>
          <w:spacing w:val="-1"/>
          <w:sz w:val="24"/>
          <w:szCs w:val="24"/>
        </w:rPr>
        <w:t xml:space="preserve">t </w:t>
      </w:r>
      <w:r w:rsidR="00BB684E">
        <w:rPr>
          <w:color w:val="000000"/>
          <w:spacing w:val="-1"/>
          <w:sz w:val="24"/>
          <w:szCs w:val="24"/>
        </w:rPr>
        <w:t xml:space="preserve">tiekėjams </w:t>
      </w:r>
      <w:r w:rsidR="00C72E9C">
        <w:rPr>
          <w:color w:val="000000"/>
          <w:spacing w:val="-1"/>
          <w:sz w:val="24"/>
          <w:szCs w:val="24"/>
        </w:rPr>
        <w:t>patogesnį pa</w:t>
      </w:r>
      <w:r w:rsidR="00BB684E">
        <w:rPr>
          <w:color w:val="000000"/>
          <w:spacing w:val="-1"/>
          <w:sz w:val="24"/>
          <w:szCs w:val="24"/>
        </w:rPr>
        <w:t>siūlymų pateikimą ir išvengiant galimybės atsirasti klaidoms pildant pasiūlymo formas.</w:t>
      </w:r>
    </w:p>
    <w:p w:rsidR="00C72E9C" w:rsidRDefault="00C72E9C" w:rsidP="004D018E">
      <w:pPr>
        <w:tabs>
          <w:tab w:val="left" w:pos="993"/>
        </w:tabs>
        <w:spacing w:line="360" w:lineRule="auto"/>
        <w:ind w:firstLine="709"/>
        <w:jc w:val="both"/>
        <w:rPr>
          <w:color w:val="000000"/>
          <w:spacing w:val="-1"/>
          <w:sz w:val="24"/>
          <w:szCs w:val="24"/>
        </w:rPr>
      </w:pPr>
    </w:p>
    <w:p w:rsidR="00BD5686" w:rsidRDefault="00BD5686" w:rsidP="00747F93">
      <w:pPr>
        <w:tabs>
          <w:tab w:val="left" w:pos="900"/>
        </w:tabs>
        <w:jc w:val="both"/>
        <w:rPr>
          <w:sz w:val="24"/>
          <w:szCs w:val="24"/>
        </w:rPr>
      </w:pPr>
    </w:p>
    <w:p w:rsidR="00BD5686" w:rsidRPr="00907C82" w:rsidRDefault="00BD5686" w:rsidP="00747F93">
      <w:pPr>
        <w:tabs>
          <w:tab w:val="left" w:pos="900"/>
        </w:tabs>
        <w:jc w:val="both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4810"/>
        <w:gridCol w:w="4805"/>
      </w:tblGrid>
      <w:tr w:rsidR="00832DBE" w:rsidRPr="008B369B" w:rsidTr="002878B6">
        <w:tc>
          <w:tcPr>
            <w:tcW w:w="4927" w:type="dxa"/>
          </w:tcPr>
          <w:p w:rsidR="00832DBE" w:rsidRPr="008B369B" w:rsidRDefault="00007372" w:rsidP="008B369B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</w:tc>
        <w:tc>
          <w:tcPr>
            <w:tcW w:w="4928" w:type="dxa"/>
          </w:tcPr>
          <w:p w:rsidR="00832DBE" w:rsidRPr="008B369B" w:rsidRDefault="00CD0D68" w:rsidP="008B369B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Žydrūnas Plytnikas</w:t>
              </w:r>
            </w:smartTag>
          </w:p>
        </w:tc>
      </w:tr>
    </w:tbl>
    <w:p w:rsidR="00AA5D96" w:rsidRDefault="00AA5D96" w:rsidP="00A77BDD">
      <w:pPr>
        <w:tabs>
          <w:tab w:val="left" w:pos="900"/>
        </w:tabs>
        <w:rPr>
          <w:bCs/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957675" w:rsidRDefault="00957675" w:rsidP="00AA5D96">
      <w:pPr>
        <w:rPr>
          <w:sz w:val="24"/>
          <w:szCs w:val="24"/>
        </w:rPr>
      </w:pPr>
    </w:p>
    <w:p w:rsidR="004D018E" w:rsidRDefault="004D018E" w:rsidP="004D01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Virginija Gadliauskienė, tel.(8 5) 219 7026, faks. (8 5) 213 6213, el. p. </w:t>
      </w:r>
      <w:proofErr w:type="spellStart"/>
      <w:r>
        <w:rPr>
          <w:sz w:val="22"/>
          <w:szCs w:val="22"/>
        </w:rPr>
        <w:t>Virginija.Gadliauskienė@vpt.lt</w:t>
      </w:r>
      <w:proofErr w:type="spellEnd"/>
    </w:p>
    <w:sectPr w:rsidR="004D018E" w:rsidSect="004D018E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440" w:right="708" w:bottom="1440" w:left="1800" w:header="567" w:footer="454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84E" w:rsidRDefault="00BB684E">
      <w:r>
        <w:separator/>
      </w:r>
    </w:p>
  </w:endnote>
  <w:endnote w:type="continuationSeparator" w:id="0">
    <w:p w:rsidR="00BB684E" w:rsidRDefault="00BB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4E" w:rsidRDefault="00BB684E">
    <w:pPr>
      <w:pStyle w:val="Footer"/>
    </w:pPr>
  </w:p>
  <w:p w:rsidR="00BB684E" w:rsidRDefault="00BB684E">
    <w:pPr>
      <w:pStyle w:val="Footer"/>
    </w:pPr>
  </w:p>
  <w:p w:rsidR="00BB684E" w:rsidRDefault="00BB68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08"/>
      <w:gridCol w:w="3204"/>
      <w:gridCol w:w="3203"/>
    </w:tblGrid>
    <w:tr w:rsidR="00BB684E" w:rsidRPr="008F10BE" w:rsidTr="0048148B">
      <w:tc>
        <w:tcPr>
          <w:tcW w:w="3225" w:type="dxa"/>
        </w:tcPr>
        <w:p w:rsidR="00BB684E" w:rsidRPr="008F10BE" w:rsidRDefault="00BB684E" w:rsidP="00225780">
          <w:pPr>
            <w:pStyle w:val="Footer"/>
          </w:pPr>
          <w:r w:rsidRPr="008F10BE">
            <w:t>Biudžetinė įstaiga</w:t>
          </w:r>
        </w:p>
        <w:p w:rsidR="00BB684E" w:rsidRPr="008F10BE" w:rsidRDefault="00BB684E" w:rsidP="00225780">
          <w:pPr>
            <w:pStyle w:val="Footer"/>
          </w:pPr>
          <w:r w:rsidRPr="008F10BE">
            <w:t>Kareivių g. 1, 08221 Vilnius</w:t>
          </w:r>
        </w:p>
        <w:p w:rsidR="00BB684E" w:rsidRPr="008F10BE" w:rsidRDefault="00BB684E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BB684E" w:rsidRPr="008F10BE" w:rsidRDefault="00BB684E" w:rsidP="008A5A7B">
          <w:pPr>
            <w:pStyle w:val="Footer"/>
          </w:pPr>
          <w:r w:rsidRPr="008F10BE">
            <w:t>Tel. (8 5) 219 7001</w:t>
          </w:r>
        </w:p>
        <w:p w:rsidR="00BB684E" w:rsidRPr="008F10BE" w:rsidRDefault="00BB684E" w:rsidP="008A5A7B">
          <w:pPr>
            <w:pStyle w:val="Footer"/>
          </w:pPr>
          <w:r w:rsidRPr="008F10BE">
            <w:t>Faks. (8 5) 213 6213</w:t>
          </w:r>
        </w:p>
        <w:p w:rsidR="00BB684E" w:rsidRPr="008F10BE" w:rsidRDefault="00BB684E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BB684E" w:rsidRPr="008F10BE" w:rsidRDefault="00BB684E" w:rsidP="008A5A7B">
          <w:pPr>
            <w:pStyle w:val="Footer"/>
          </w:pPr>
          <w:r w:rsidRPr="008F10BE">
            <w:t>Duomenys kaupiami ir saugomi</w:t>
          </w:r>
        </w:p>
        <w:p w:rsidR="00BB684E" w:rsidRPr="008F10BE" w:rsidRDefault="00BB684E" w:rsidP="00225780">
          <w:pPr>
            <w:pStyle w:val="Footer"/>
          </w:pPr>
          <w:r w:rsidRPr="008F10BE">
            <w:t>Juridinių asmenų registre</w:t>
          </w:r>
        </w:p>
        <w:p w:rsidR="00BB684E" w:rsidRPr="008F10BE" w:rsidRDefault="00BB684E" w:rsidP="00225780">
          <w:pPr>
            <w:pStyle w:val="Footer"/>
          </w:pPr>
          <w:r w:rsidRPr="008F10BE">
            <w:t>Kodas 188656261</w:t>
          </w:r>
        </w:p>
      </w:tc>
    </w:tr>
  </w:tbl>
  <w:p w:rsidR="00BB684E" w:rsidRPr="008F10BE" w:rsidRDefault="00BB684E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84E" w:rsidRDefault="00BB684E">
      <w:r>
        <w:separator/>
      </w:r>
    </w:p>
  </w:footnote>
  <w:footnote w:type="continuationSeparator" w:id="0">
    <w:p w:rsidR="00BB684E" w:rsidRDefault="00BB6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4E" w:rsidRDefault="00BB68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684E" w:rsidRDefault="00BB68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4E" w:rsidRDefault="00BB68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399">
      <w:rPr>
        <w:rStyle w:val="PageNumber"/>
        <w:noProof/>
      </w:rPr>
      <w:t>2</w:t>
    </w:r>
    <w:r>
      <w:rPr>
        <w:rStyle w:val="PageNumber"/>
      </w:rPr>
      <w:fldChar w:fldCharType="end"/>
    </w:r>
  </w:p>
  <w:p w:rsidR="00BB684E" w:rsidRDefault="00BB68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1">
    <w:nsid w:val="521D6460"/>
    <w:multiLevelType w:val="hybridMultilevel"/>
    <w:tmpl w:val="94120EBA"/>
    <w:lvl w:ilvl="0" w:tplc="C3FE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mirrorMargins/>
  <w:proofState w:spelling="clean" w:grammar="clean"/>
  <w:stylePaneFormatFilter w:val="3F01"/>
  <w:doNotTrackMoves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A43"/>
    <w:rsid w:val="00000F22"/>
    <w:rsid w:val="00007372"/>
    <w:rsid w:val="00012F18"/>
    <w:rsid w:val="0001319A"/>
    <w:rsid w:val="00021053"/>
    <w:rsid w:val="00023B43"/>
    <w:rsid w:val="0003205A"/>
    <w:rsid w:val="000327A3"/>
    <w:rsid w:val="00033CC7"/>
    <w:rsid w:val="00035EB7"/>
    <w:rsid w:val="0004154D"/>
    <w:rsid w:val="0004323F"/>
    <w:rsid w:val="0004354F"/>
    <w:rsid w:val="00044AFE"/>
    <w:rsid w:val="000506A7"/>
    <w:rsid w:val="00057D1E"/>
    <w:rsid w:val="00084160"/>
    <w:rsid w:val="00085251"/>
    <w:rsid w:val="00096919"/>
    <w:rsid w:val="00097A68"/>
    <w:rsid w:val="000A3899"/>
    <w:rsid w:val="000B0C6A"/>
    <w:rsid w:val="000B43AE"/>
    <w:rsid w:val="000C11D6"/>
    <w:rsid w:val="000C231A"/>
    <w:rsid w:val="000D190A"/>
    <w:rsid w:val="000E5D45"/>
    <w:rsid w:val="00103DFB"/>
    <w:rsid w:val="00113372"/>
    <w:rsid w:val="00115E29"/>
    <w:rsid w:val="00117AAD"/>
    <w:rsid w:val="00131DFB"/>
    <w:rsid w:val="0014344C"/>
    <w:rsid w:val="0014588A"/>
    <w:rsid w:val="00160D34"/>
    <w:rsid w:val="00165BC2"/>
    <w:rsid w:val="00173451"/>
    <w:rsid w:val="00173A46"/>
    <w:rsid w:val="00186039"/>
    <w:rsid w:val="00191B0F"/>
    <w:rsid w:val="00192316"/>
    <w:rsid w:val="001947C6"/>
    <w:rsid w:val="001A0648"/>
    <w:rsid w:val="001A0E0A"/>
    <w:rsid w:val="001A2A3C"/>
    <w:rsid w:val="001B1547"/>
    <w:rsid w:val="001B38EA"/>
    <w:rsid w:val="001B44F1"/>
    <w:rsid w:val="001C3E98"/>
    <w:rsid w:val="001C64A9"/>
    <w:rsid w:val="001C668A"/>
    <w:rsid w:val="001D55E2"/>
    <w:rsid w:val="001E1A3C"/>
    <w:rsid w:val="001E7702"/>
    <w:rsid w:val="001F204F"/>
    <w:rsid w:val="002041E6"/>
    <w:rsid w:val="00204A48"/>
    <w:rsid w:val="00212DC3"/>
    <w:rsid w:val="00213375"/>
    <w:rsid w:val="0021749C"/>
    <w:rsid w:val="00223E47"/>
    <w:rsid w:val="00225645"/>
    <w:rsid w:val="00225780"/>
    <w:rsid w:val="002328F9"/>
    <w:rsid w:val="002348ED"/>
    <w:rsid w:val="0024707E"/>
    <w:rsid w:val="00256CEF"/>
    <w:rsid w:val="002571B3"/>
    <w:rsid w:val="002650AC"/>
    <w:rsid w:val="0027375F"/>
    <w:rsid w:val="00275D7F"/>
    <w:rsid w:val="00276BE8"/>
    <w:rsid w:val="00287365"/>
    <w:rsid w:val="002878B6"/>
    <w:rsid w:val="00297410"/>
    <w:rsid w:val="002A06B0"/>
    <w:rsid w:val="002B0D9C"/>
    <w:rsid w:val="002B405D"/>
    <w:rsid w:val="002B5FFD"/>
    <w:rsid w:val="002B6A22"/>
    <w:rsid w:val="002C1766"/>
    <w:rsid w:val="002C4A68"/>
    <w:rsid w:val="002D1F71"/>
    <w:rsid w:val="002D28BB"/>
    <w:rsid w:val="002D6097"/>
    <w:rsid w:val="002F5AC5"/>
    <w:rsid w:val="002F6A88"/>
    <w:rsid w:val="002F77EC"/>
    <w:rsid w:val="00307BBF"/>
    <w:rsid w:val="00312EEE"/>
    <w:rsid w:val="00313FC6"/>
    <w:rsid w:val="00326B06"/>
    <w:rsid w:val="003317BC"/>
    <w:rsid w:val="00332E6A"/>
    <w:rsid w:val="00351E8D"/>
    <w:rsid w:val="0035640A"/>
    <w:rsid w:val="003575C3"/>
    <w:rsid w:val="00357A1F"/>
    <w:rsid w:val="00363575"/>
    <w:rsid w:val="00364784"/>
    <w:rsid w:val="0038016E"/>
    <w:rsid w:val="0038227F"/>
    <w:rsid w:val="0038515C"/>
    <w:rsid w:val="003901E3"/>
    <w:rsid w:val="00396B0F"/>
    <w:rsid w:val="003A07BD"/>
    <w:rsid w:val="003A5693"/>
    <w:rsid w:val="003A6AFE"/>
    <w:rsid w:val="003B137D"/>
    <w:rsid w:val="003B3873"/>
    <w:rsid w:val="003C1567"/>
    <w:rsid w:val="003C2D1B"/>
    <w:rsid w:val="003C4286"/>
    <w:rsid w:val="003C4C3C"/>
    <w:rsid w:val="003C583D"/>
    <w:rsid w:val="003C66C6"/>
    <w:rsid w:val="003D08E4"/>
    <w:rsid w:val="003D3D13"/>
    <w:rsid w:val="003D4AF0"/>
    <w:rsid w:val="003D7922"/>
    <w:rsid w:val="003E0ECB"/>
    <w:rsid w:val="003F17B7"/>
    <w:rsid w:val="003F1B69"/>
    <w:rsid w:val="003F5351"/>
    <w:rsid w:val="004007F8"/>
    <w:rsid w:val="00407574"/>
    <w:rsid w:val="004144B7"/>
    <w:rsid w:val="00415D28"/>
    <w:rsid w:val="0041798C"/>
    <w:rsid w:val="00441962"/>
    <w:rsid w:val="004434D2"/>
    <w:rsid w:val="00454D65"/>
    <w:rsid w:val="00461FBE"/>
    <w:rsid w:val="00462413"/>
    <w:rsid w:val="00462A10"/>
    <w:rsid w:val="00465AA2"/>
    <w:rsid w:val="00473741"/>
    <w:rsid w:val="0048148B"/>
    <w:rsid w:val="00485AD9"/>
    <w:rsid w:val="00485FF8"/>
    <w:rsid w:val="004871E0"/>
    <w:rsid w:val="004A002B"/>
    <w:rsid w:val="004B054E"/>
    <w:rsid w:val="004B186B"/>
    <w:rsid w:val="004B2C6B"/>
    <w:rsid w:val="004B5B63"/>
    <w:rsid w:val="004C4AEF"/>
    <w:rsid w:val="004C6F09"/>
    <w:rsid w:val="004D018E"/>
    <w:rsid w:val="004D03A6"/>
    <w:rsid w:val="004D0862"/>
    <w:rsid w:val="004D1BAD"/>
    <w:rsid w:val="004D24DE"/>
    <w:rsid w:val="004D473B"/>
    <w:rsid w:val="004E4306"/>
    <w:rsid w:val="00500C72"/>
    <w:rsid w:val="005049EB"/>
    <w:rsid w:val="00510C55"/>
    <w:rsid w:val="0053219B"/>
    <w:rsid w:val="0053294C"/>
    <w:rsid w:val="00540EC2"/>
    <w:rsid w:val="00541F0D"/>
    <w:rsid w:val="005547CC"/>
    <w:rsid w:val="00556E03"/>
    <w:rsid w:val="00560746"/>
    <w:rsid w:val="00565345"/>
    <w:rsid w:val="0057158D"/>
    <w:rsid w:val="00582399"/>
    <w:rsid w:val="00582FC3"/>
    <w:rsid w:val="00583524"/>
    <w:rsid w:val="00587F2F"/>
    <w:rsid w:val="00592387"/>
    <w:rsid w:val="005A25FD"/>
    <w:rsid w:val="005A2606"/>
    <w:rsid w:val="005B3462"/>
    <w:rsid w:val="005B6FCB"/>
    <w:rsid w:val="005C23FB"/>
    <w:rsid w:val="005C7E87"/>
    <w:rsid w:val="005D297E"/>
    <w:rsid w:val="005D2EFA"/>
    <w:rsid w:val="005D4BCF"/>
    <w:rsid w:val="005D770C"/>
    <w:rsid w:val="005E0CB3"/>
    <w:rsid w:val="005E7CC9"/>
    <w:rsid w:val="005F4842"/>
    <w:rsid w:val="005F5B87"/>
    <w:rsid w:val="005F5F70"/>
    <w:rsid w:val="00604645"/>
    <w:rsid w:val="006136D7"/>
    <w:rsid w:val="006169B5"/>
    <w:rsid w:val="00617673"/>
    <w:rsid w:val="006263B0"/>
    <w:rsid w:val="00626943"/>
    <w:rsid w:val="0063107D"/>
    <w:rsid w:val="00631CBC"/>
    <w:rsid w:val="006416BB"/>
    <w:rsid w:val="006459A4"/>
    <w:rsid w:val="00646D35"/>
    <w:rsid w:val="00653884"/>
    <w:rsid w:val="00654BAE"/>
    <w:rsid w:val="00663222"/>
    <w:rsid w:val="00664877"/>
    <w:rsid w:val="00680311"/>
    <w:rsid w:val="00680478"/>
    <w:rsid w:val="00682157"/>
    <w:rsid w:val="006822D1"/>
    <w:rsid w:val="006906CB"/>
    <w:rsid w:val="00691084"/>
    <w:rsid w:val="006910FD"/>
    <w:rsid w:val="00693D78"/>
    <w:rsid w:val="00693F43"/>
    <w:rsid w:val="006A5CB6"/>
    <w:rsid w:val="006A6FAB"/>
    <w:rsid w:val="006B18BA"/>
    <w:rsid w:val="006B1C41"/>
    <w:rsid w:val="006B5FF7"/>
    <w:rsid w:val="006C37C0"/>
    <w:rsid w:val="006C3C29"/>
    <w:rsid w:val="006D14A7"/>
    <w:rsid w:val="006D249D"/>
    <w:rsid w:val="006D4F32"/>
    <w:rsid w:val="006D6F78"/>
    <w:rsid w:val="006E12BA"/>
    <w:rsid w:val="006F60EE"/>
    <w:rsid w:val="00702DFF"/>
    <w:rsid w:val="007100A1"/>
    <w:rsid w:val="00714690"/>
    <w:rsid w:val="00717DB9"/>
    <w:rsid w:val="007239ED"/>
    <w:rsid w:val="00723CC5"/>
    <w:rsid w:val="00723EDE"/>
    <w:rsid w:val="00726F8D"/>
    <w:rsid w:val="00727CA6"/>
    <w:rsid w:val="0073315E"/>
    <w:rsid w:val="00744E44"/>
    <w:rsid w:val="00747F93"/>
    <w:rsid w:val="0075265F"/>
    <w:rsid w:val="007546D7"/>
    <w:rsid w:val="00760432"/>
    <w:rsid w:val="00762067"/>
    <w:rsid w:val="00774617"/>
    <w:rsid w:val="007777E6"/>
    <w:rsid w:val="007861E5"/>
    <w:rsid w:val="00793677"/>
    <w:rsid w:val="007947DB"/>
    <w:rsid w:val="007A3192"/>
    <w:rsid w:val="007A6841"/>
    <w:rsid w:val="007A7FEC"/>
    <w:rsid w:val="007B2BE5"/>
    <w:rsid w:val="007B60F4"/>
    <w:rsid w:val="007C1E02"/>
    <w:rsid w:val="007C2C06"/>
    <w:rsid w:val="007D388C"/>
    <w:rsid w:val="007D4CB2"/>
    <w:rsid w:val="007D63AA"/>
    <w:rsid w:val="007E79D9"/>
    <w:rsid w:val="007E7BF1"/>
    <w:rsid w:val="007F62F4"/>
    <w:rsid w:val="00802E80"/>
    <w:rsid w:val="008051B9"/>
    <w:rsid w:val="00806367"/>
    <w:rsid w:val="00815693"/>
    <w:rsid w:val="008216FE"/>
    <w:rsid w:val="00825274"/>
    <w:rsid w:val="00825C63"/>
    <w:rsid w:val="008268C9"/>
    <w:rsid w:val="00826F8C"/>
    <w:rsid w:val="00832DBE"/>
    <w:rsid w:val="008449B2"/>
    <w:rsid w:val="008454AF"/>
    <w:rsid w:val="008465EF"/>
    <w:rsid w:val="00854F66"/>
    <w:rsid w:val="00864D8E"/>
    <w:rsid w:val="00865A8A"/>
    <w:rsid w:val="008716BD"/>
    <w:rsid w:val="00875B48"/>
    <w:rsid w:val="008772F2"/>
    <w:rsid w:val="00877384"/>
    <w:rsid w:val="0088115E"/>
    <w:rsid w:val="00892B6B"/>
    <w:rsid w:val="008961CC"/>
    <w:rsid w:val="00896411"/>
    <w:rsid w:val="008A5A7B"/>
    <w:rsid w:val="008A5C10"/>
    <w:rsid w:val="008A6F6D"/>
    <w:rsid w:val="008B1BA9"/>
    <w:rsid w:val="008B32C7"/>
    <w:rsid w:val="008B369B"/>
    <w:rsid w:val="008B63C9"/>
    <w:rsid w:val="008C08DC"/>
    <w:rsid w:val="008C7C12"/>
    <w:rsid w:val="008D1990"/>
    <w:rsid w:val="008E3331"/>
    <w:rsid w:val="008F10BE"/>
    <w:rsid w:val="008F5F3F"/>
    <w:rsid w:val="008F6484"/>
    <w:rsid w:val="008F6599"/>
    <w:rsid w:val="008F7069"/>
    <w:rsid w:val="008F7A80"/>
    <w:rsid w:val="00900135"/>
    <w:rsid w:val="00903147"/>
    <w:rsid w:val="009049A3"/>
    <w:rsid w:val="00907C82"/>
    <w:rsid w:val="00911CBE"/>
    <w:rsid w:val="009156ED"/>
    <w:rsid w:val="009310AB"/>
    <w:rsid w:val="00943DBD"/>
    <w:rsid w:val="00950B86"/>
    <w:rsid w:val="0095689C"/>
    <w:rsid w:val="00957207"/>
    <w:rsid w:val="00957675"/>
    <w:rsid w:val="009607FC"/>
    <w:rsid w:val="009645D9"/>
    <w:rsid w:val="009824DD"/>
    <w:rsid w:val="009831BF"/>
    <w:rsid w:val="00984674"/>
    <w:rsid w:val="0098570E"/>
    <w:rsid w:val="00985A7E"/>
    <w:rsid w:val="00986ECF"/>
    <w:rsid w:val="00987111"/>
    <w:rsid w:val="0099549D"/>
    <w:rsid w:val="009A791A"/>
    <w:rsid w:val="009A7CC2"/>
    <w:rsid w:val="009B0BC6"/>
    <w:rsid w:val="009B2246"/>
    <w:rsid w:val="009D29A9"/>
    <w:rsid w:val="009D2F5B"/>
    <w:rsid w:val="009D466E"/>
    <w:rsid w:val="009D647F"/>
    <w:rsid w:val="009D7CB0"/>
    <w:rsid w:val="009E07B1"/>
    <w:rsid w:val="009E34E8"/>
    <w:rsid w:val="009E460B"/>
    <w:rsid w:val="009F102C"/>
    <w:rsid w:val="009F1576"/>
    <w:rsid w:val="009F1F7D"/>
    <w:rsid w:val="009F7686"/>
    <w:rsid w:val="00A041EB"/>
    <w:rsid w:val="00A07134"/>
    <w:rsid w:val="00A11352"/>
    <w:rsid w:val="00A13F81"/>
    <w:rsid w:val="00A20325"/>
    <w:rsid w:val="00A23F17"/>
    <w:rsid w:val="00A26FAE"/>
    <w:rsid w:val="00A26FB0"/>
    <w:rsid w:val="00A41F79"/>
    <w:rsid w:val="00A43705"/>
    <w:rsid w:val="00A45199"/>
    <w:rsid w:val="00A5662A"/>
    <w:rsid w:val="00A566FD"/>
    <w:rsid w:val="00A60D2E"/>
    <w:rsid w:val="00A630A8"/>
    <w:rsid w:val="00A7313C"/>
    <w:rsid w:val="00A77BDD"/>
    <w:rsid w:val="00A81973"/>
    <w:rsid w:val="00A8239E"/>
    <w:rsid w:val="00A82D0B"/>
    <w:rsid w:val="00A8438D"/>
    <w:rsid w:val="00A939D4"/>
    <w:rsid w:val="00AA5D96"/>
    <w:rsid w:val="00AB08E6"/>
    <w:rsid w:val="00AB1B9B"/>
    <w:rsid w:val="00AC0FBE"/>
    <w:rsid w:val="00AC2BFA"/>
    <w:rsid w:val="00AC388B"/>
    <w:rsid w:val="00AC720E"/>
    <w:rsid w:val="00AD09A7"/>
    <w:rsid w:val="00AD113F"/>
    <w:rsid w:val="00AD139D"/>
    <w:rsid w:val="00AD4FCC"/>
    <w:rsid w:val="00AD6519"/>
    <w:rsid w:val="00AD6B9F"/>
    <w:rsid w:val="00AE1A03"/>
    <w:rsid w:val="00AE1A79"/>
    <w:rsid w:val="00AE7F2D"/>
    <w:rsid w:val="00AF20B8"/>
    <w:rsid w:val="00AF2C97"/>
    <w:rsid w:val="00B1182C"/>
    <w:rsid w:val="00B11E8C"/>
    <w:rsid w:val="00B13D09"/>
    <w:rsid w:val="00B1401C"/>
    <w:rsid w:val="00B14034"/>
    <w:rsid w:val="00B16E6B"/>
    <w:rsid w:val="00B23540"/>
    <w:rsid w:val="00B24EBC"/>
    <w:rsid w:val="00B2606E"/>
    <w:rsid w:val="00B36CC9"/>
    <w:rsid w:val="00B36DB4"/>
    <w:rsid w:val="00B36DDA"/>
    <w:rsid w:val="00B433FF"/>
    <w:rsid w:val="00B530E8"/>
    <w:rsid w:val="00B53DC4"/>
    <w:rsid w:val="00B6103B"/>
    <w:rsid w:val="00B6406C"/>
    <w:rsid w:val="00B64871"/>
    <w:rsid w:val="00B655F0"/>
    <w:rsid w:val="00B66BF8"/>
    <w:rsid w:val="00B67F07"/>
    <w:rsid w:val="00B70C35"/>
    <w:rsid w:val="00B71AA6"/>
    <w:rsid w:val="00B82543"/>
    <w:rsid w:val="00B834D1"/>
    <w:rsid w:val="00B9048E"/>
    <w:rsid w:val="00B94713"/>
    <w:rsid w:val="00B972CD"/>
    <w:rsid w:val="00BA0DDB"/>
    <w:rsid w:val="00BB0636"/>
    <w:rsid w:val="00BB1225"/>
    <w:rsid w:val="00BB2FE9"/>
    <w:rsid w:val="00BB3371"/>
    <w:rsid w:val="00BB684E"/>
    <w:rsid w:val="00BB6D51"/>
    <w:rsid w:val="00BB7A5B"/>
    <w:rsid w:val="00BC2A65"/>
    <w:rsid w:val="00BD2650"/>
    <w:rsid w:val="00BD5686"/>
    <w:rsid w:val="00BD6B6F"/>
    <w:rsid w:val="00BD7AD3"/>
    <w:rsid w:val="00BE18CE"/>
    <w:rsid w:val="00BE40F7"/>
    <w:rsid w:val="00BE5F43"/>
    <w:rsid w:val="00C05FB2"/>
    <w:rsid w:val="00C11535"/>
    <w:rsid w:val="00C13A32"/>
    <w:rsid w:val="00C15E14"/>
    <w:rsid w:val="00C267ED"/>
    <w:rsid w:val="00C26C92"/>
    <w:rsid w:val="00C279AB"/>
    <w:rsid w:val="00C304F5"/>
    <w:rsid w:val="00C3102D"/>
    <w:rsid w:val="00C42936"/>
    <w:rsid w:val="00C42EF3"/>
    <w:rsid w:val="00C51D40"/>
    <w:rsid w:val="00C540F8"/>
    <w:rsid w:val="00C5572A"/>
    <w:rsid w:val="00C57378"/>
    <w:rsid w:val="00C661E5"/>
    <w:rsid w:val="00C71B4A"/>
    <w:rsid w:val="00C72E9C"/>
    <w:rsid w:val="00C8281B"/>
    <w:rsid w:val="00C82B94"/>
    <w:rsid w:val="00C93238"/>
    <w:rsid w:val="00C93759"/>
    <w:rsid w:val="00C94AAB"/>
    <w:rsid w:val="00C9544E"/>
    <w:rsid w:val="00C9591F"/>
    <w:rsid w:val="00C96CAB"/>
    <w:rsid w:val="00CA53A6"/>
    <w:rsid w:val="00CA7CFE"/>
    <w:rsid w:val="00CB005B"/>
    <w:rsid w:val="00CB174E"/>
    <w:rsid w:val="00CB34EC"/>
    <w:rsid w:val="00CB6380"/>
    <w:rsid w:val="00CB68DA"/>
    <w:rsid w:val="00CC0CA5"/>
    <w:rsid w:val="00CC4CFC"/>
    <w:rsid w:val="00CC51A4"/>
    <w:rsid w:val="00CC7A5D"/>
    <w:rsid w:val="00CD0D68"/>
    <w:rsid w:val="00CE4B32"/>
    <w:rsid w:val="00CE5B9B"/>
    <w:rsid w:val="00CF00EC"/>
    <w:rsid w:val="00CF3D0A"/>
    <w:rsid w:val="00D11654"/>
    <w:rsid w:val="00D11BA8"/>
    <w:rsid w:val="00D15887"/>
    <w:rsid w:val="00D15D71"/>
    <w:rsid w:val="00D2089C"/>
    <w:rsid w:val="00D214EB"/>
    <w:rsid w:val="00D215F6"/>
    <w:rsid w:val="00D219A4"/>
    <w:rsid w:val="00D26C7E"/>
    <w:rsid w:val="00D30739"/>
    <w:rsid w:val="00D37AE0"/>
    <w:rsid w:val="00D5057E"/>
    <w:rsid w:val="00D549DA"/>
    <w:rsid w:val="00D7171D"/>
    <w:rsid w:val="00D73CF3"/>
    <w:rsid w:val="00D74661"/>
    <w:rsid w:val="00D81162"/>
    <w:rsid w:val="00D81437"/>
    <w:rsid w:val="00D8624A"/>
    <w:rsid w:val="00D86B85"/>
    <w:rsid w:val="00D87661"/>
    <w:rsid w:val="00D90BF3"/>
    <w:rsid w:val="00D917BE"/>
    <w:rsid w:val="00D9632C"/>
    <w:rsid w:val="00D96FFF"/>
    <w:rsid w:val="00DB26F9"/>
    <w:rsid w:val="00DB3D63"/>
    <w:rsid w:val="00DB4876"/>
    <w:rsid w:val="00DC2B05"/>
    <w:rsid w:val="00DC7AD8"/>
    <w:rsid w:val="00DE201F"/>
    <w:rsid w:val="00DE6347"/>
    <w:rsid w:val="00DE7300"/>
    <w:rsid w:val="00DF49F8"/>
    <w:rsid w:val="00E027EF"/>
    <w:rsid w:val="00E0487E"/>
    <w:rsid w:val="00E10488"/>
    <w:rsid w:val="00E13241"/>
    <w:rsid w:val="00E1788F"/>
    <w:rsid w:val="00E30871"/>
    <w:rsid w:val="00E31435"/>
    <w:rsid w:val="00E31901"/>
    <w:rsid w:val="00E53E9D"/>
    <w:rsid w:val="00E53FE4"/>
    <w:rsid w:val="00E64626"/>
    <w:rsid w:val="00E64ABF"/>
    <w:rsid w:val="00E724E7"/>
    <w:rsid w:val="00E72747"/>
    <w:rsid w:val="00E74314"/>
    <w:rsid w:val="00E828E1"/>
    <w:rsid w:val="00E831FF"/>
    <w:rsid w:val="00E858A8"/>
    <w:rsid w:val="00E85F82"/>
    <w:rsid w:val="00E8779F"/>
    <w:rsid w:val="00E87CCE"/>
    <w:rsid w:val="00E938B9"/>
    <w:rsid w:val="00E9461B"/>
    <w:rsid w:val="00EB36A1"/>
    <w:rsid w:val="00EB57D9"/>
    <w:rsid w:val="00EC1185"/>
    <w:rsid w:val="00EC3B31"/>
    <w:rsid w:val="00ED1DFA"/>
    <w:rsid w:val="00EE5669"/>
    <w:rsid w:val="00EE58F7"/>
    <w:rsid w:val="00EF5F2E"/>
    <w:rsid w:val="00F15A02"/>
    <w:rsid w:val="00F27B32"/>
    <w:rsid w:val="00F30BD1"/>
    <w:rsid w:val="00F30F1D"/>
    <w:rsid w:val="00F3191A"/>
    <w:rsid w:val="00F338F1"/>
    <w:rsid w:val="00F34035"/>
    <w:rsid w:val="00F34865"/>
    <w:rsid w:val="00F41B42"/>
    <w:rsid w:val="00F45468"/>
    <w:rsid w:val="00F473C0"/>
    <w:rsid w:val="00F51698"/>
    <w:rsid w:val="00F606BC"/>
    <w:rsid w:val="00F61DD2"/>
    <w:rsid w:val="00F6522E"/>
    <w:rsid w:val="00F676B8"/>
    <w:rsid w:val="00F73AD1"/>
    <w:rsid w:val="00F73CE6"/>
    <w:rsid w:val="00F778E8"/>
    <w:rsid w:val="00F831BA"/>
    <w:rsid w:val="00F87F8B"/>
    <w:rsid w:val="00F90553"/>
    <w:rsid w:val="00F90D16"/>
    <w:rsid w:val="00F93CF9"/>
    <w:rsid w:val="00F94496"/>
    <w:rsid w:val="00FA76E1"/>
    <w:rsid w:val="00FB04CD"/>
    <w:rsid w:val="00FC0FEB"/>
    <w:rsid w:val="00FC628C"/>
    <w:rsid w:val="00FD2C69"/>
    <w:rsid w:val="00FD2E10"/>
    <w:rsid w:val="00FD44C0"/>
    <w:rsid w:val="00FD4D5F"/>
    <w:rsid w:val="00FD5A43"/>
    <w:rsid w:val="00FE01BA"/>
    <w:rsid w:val="00FE0E7F"/>
    <w:rsid w:val="00FE485E"/>
    <w:rsid w:val="00FE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5E7C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character" w:styleId="Strong">
    <w:name w:val="Strong"/>
    <w:qFormat/>
    <w:rsid w:val="00CF00EC"/>
    <w:rPr>
      <w:b/>
      <w:bCs/>
    </w:rPr>
  </w:style>
  <w:style w:type="paragraph" w:customStyle="1" w:styleId="Normal12pt">
    <w:name w:val="Normal + 12 pt"/>
    <w:basedOn w:val="Normal"/>
    <w:rsid w:val="00682157"/>
    <w:pPr>
      <w:tabs>
        <w:tab w:val="left" w:pos="737"/>
      </w:tabs>
      <w:ind w:right="-283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387B9-FAB8-4B19-B4EF-19ABC7C9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410</Words>
  <Characters>3001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Viešųjų pirkimų tarnyba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Malyško</dc:creator>
  <cp:lastModifiedBy>Virginija Gadliauskienė</cp:lastModifiedBy>
  <cp:revision>9</cp:revision>
  <cp:lastPrinted>2013-10-30T13:36:00Z</cp:lastPrinted>
  <dcterms:created xsi:type="dcterms:W3CDTF">2013-10-17T10:45:00Z</dcterms:created>
  <dcterms:modified xsi:type="dcterms:W3CDTF">2013-10-30T13:44:00Z</dcterms:modified>
</cp:coreProperties>
</file>