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2B0A06" w:rsidRDefault="007D762D" w:rsidP="007D762D">
      <w:pPr>
        <w:jc w:val="center"/>
        <w:rPr>
          <w:sz w:val="24"/>
          <w:szCs w:val="24"/>
          <w:lang w:val="lt-LT"/>
        </w:rPr>
      </w:pPr>
      <w:r w:rsidRPr="002B0A0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43425091" r:id="rId9"/>
        </w:object>
      </w:r>
    </w:p>
    <w:p w:rsidR="007D762D" w:rsidRPr="002B0A06" w:rsidRDefault="007D762D" w:rsidP="007D762D">
      <w:pPr>
        <w:jc w:val="center"/>
        <w:rPr>
          <w:sz w:val="24"/>
          <w:szCs w:val="24"/>
          <w:lang w:val="lt-LT"/>
        </w:rPr>
      </w:pPr>
    </w:p>
    <w:p w:rsidR="007D762D" w:rsidRPr="002B0A06" w:rsidRDefault="007D762D" w:rsidP="007D762D">
      <w:pPr>
        <w:pStyle w:val="Heading1"/>
        <w:tabs>
          <w:tab w:val="left" w:pos="900"/>
        </w:tabs>
        <w:jc w:val="center"/>
        <w:rPr>
          <w:sz w:val="24"/>
          <w:szCs w:val="24"/>
        </w:rPr>
      </w:pPr>
      <w:r w:rsidRPr="002B0A06">
        <w:rPr>
          <w:sz w:val="24"/>
          <w:szCs w:val="24"/>
        </w:rPr>
        <w:t xml:space="preserve">VIEŠŲJŲ PIRKIMŲ TARNYBA </w:t>
      </w:r>
    </w:p>
    <w:p w:rsidR="007D762D" w:rsidRPr="002B0A06" w:rsidRDefault="007D762D" w:rsidP="007D762D">
      <w:pPr>
        <w:rPr>
          <w:lang w:val="lt-LT"/>
        </w:rPr>
      </w:pPr>
    </w:p>
    <w:p w:rsidR="007D762D" w:rsidRPr="002B0A0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2B0A06" w:rsidTr="007D762D">
        <w:trPr>
          <w:cantSplit/>
          <w:trHeight w:val="1175"/>
        </w:trPr>
        <w:tc>
          <w:tcPr>
            <w:tcW w:w="5241" w:type="dxa"/>
          </w:tcPr>
          <w:p w:rsidR="006C1B3C" w:rsidRPr="002B0A06" w:rsidRDefault="00DB3231" w:rsidP="006C1B3C">
            <w:pPr>
              <w:tabs>
                <w:tab w:val="left" w:pos="900"/>
              </w:tabs>
              <w:rPr>
                <w:bCs/>
                <w:sz w:val="24"/>
                <w:szCs w:val="24"/>
                <w:lang w:val="lt-LT"/>
              </w:rPr>
            </w:pPr>
            <w:r w:rsidRPr="002B0A06">
              <w:rPr>
                <w:bCs/>
                <w:sz w:val="24"/>
                <w:szCs w:val="24"/>
                <w:lang w:val="lt-LT"/>
              </w:rPr>
              <w:t>Lietuvos Respublikos žemės ūkio ministerija</w:t>
            </w:r>
          </w:p>
          <w:p w:rsidR="006C1B3C" w:rsidRPr="002B0A06" w:rsidRDefault="00DB3231" w:rsidP="006C1B3C">
            <w:pPr>
              <w:tabs>
                <w:tab w:val="left" w:pos="900"/>
              </w:tabs>
              <w:rPr>
                <w:bCs/>
                <w:sz w:val="24"/>
                <w:szCs w:val="24"/>
                <w:lang w:val="lt-LT"/>
              </w:rPr>
            </w:pPr>
            <w:r w:rsidRPr="002B0A06">
              <w:rPr>
                <w:bCs/>
                <w:sz w:val="24"/>
                <w:szCs w:val="24"/>
                <w:lang w:val="lt-LT"/>
              </w:rPr>
              <w:t>Gedimino pr. 19</w:t>
            </w:r>
          </w:p>
          <w:p w:rsidR="006C1B3C" w:rsidRPr="002B0A06" w:rsidRDefault="006C1B3C" w:rsidP="006C1B3C">
            <w:pPr>
              <w:tabs>
                <w:tab w:val="left" w:pos="900"/>
              </w:tabs>
              <w:rPr>
                <w:bCs/>
                <w:sz w:val="24"/>
                <w:szCs w:val="24"/>
                <w:lang w:val="lt-LT"/>
              </w:rPr>
            </w:pPr>
            <w:r w:rsidRPr="002B0A06">
              <w:rPr>
                <w:bCs/>
                <w:sz w:val="24"/>
                <w:szCs w:val="24"/>
                <w:lang w:val="lt-LT"/>
              </w:rPr>
              <w:t>LT-</w:t>
            </w:r>
            <w:r w:rsidR="00DB3231" w:rsidRPr="002B0A06">
              <w:rPr>
                <w:bCs/>
                <w:sz w:val="24"/>
                <w:szCs w:val="24"/>
                <w:lang w:val="lt-LT"/>
              </w:rPr>
              <w:t>01103</w:t>
            </w:r>
            <w:r w:rsidRPr="002B0A06">
              <w:rPr>
                <w:bCs/>
                <w:sz w:val="24"/>
                <w:szCs w:val="24"/>
                <w:lang w:val="lt-LT"/>
              </w:rPr>
              <w:t xml:space="preserve"> </w:t>
            </w:r>
            <w:r w:rsidR="00DB3231" w:rsidRPr="002B0A06">
              <w:rPr>
                <w:bCs/>
                <w:sz w:val="24"/>
                <w:szCs w:val="24"/>
                <w:lang w:val="lt-LT"/>
              </w:rPr>
              <w:t>Vilnius</w:t>
            </w:r>
          </w:p>
          <w:p w:rsidR="00F34510" w:rsidRPr="002B0A06" w:rsidRDefault="00F34510" w:rsidP="007D762D">
            <w:pPr>
              <w:rPr>
                <w:sz w:val="24"/>
                <w:szCs w:val="24"/>
                <w:lang w:val="lt-LT"/>
              </w:rPr>
            </w:pPr>
          </w:p>
          <w:p w:rsidR="00F34510" w:rsidRPr="002B0A06" w:rsidRDefault="00F34510" w:rsidP="00486F3E">
            <w:pPr>
              <w:tabs>
                <w:tab w:val="left" w:pos="900"/>
              </w:tabs>
              <w:rPr>
                <w:sz w:val="24"/>
                <w:szCs w:val="24"/>
                <w:lang w:val="lt-LT"/>
              </w:rPr>
            </w:pPr>
          </w:p>
        </w:tc>
        <w:tc>
          <w:tcPr>
            <w:tcW w:w="236" w:type="dxa"/>
          </w:tcPr>
          <w:p w:rsidR="007D762D" w:rsidRPr="002B0A06" w:rsidRDefault="007D762D" w:rsidP="007D762D">
            <w:pPr>
              <w:rPr>
                <w:sz w:val="24"/>
                <w:szCs w:val="24"/>
                <w:lang w:val="lt-LT"/>
              </w:rPr>
            </w:pPr>
          </w:p>
          <w:p w:rsidR="007D762D" w:rsidRPr="002B0A06" w:rsidRDefault="007D762D" w:rsidP="007D762D">
            <w:pPr>
              <w:rPr>
                <w:sz w:val="24"/>
                <w:szCs w:val="24"/>
                <w:lang w:val="lt-LT"/>
              </w:rPr>
            </w:pPr>
            <w:r w:rsidRPr="002B0A06">
              <w:rPr>
                <w:sz w:val="24"/>
                <w:szCs w:val="24"/>
                <w:lang w:val="lt-LT"/>
              </w:rPr>
              <w:t>Į</w:t>
            </w:r>
          </w:p>
        </w:tc>
        <w:tc>
          <w:tcPr>
            <w:tcW w:w="1390" w:type="dxa"/>
          </w:tcPr>
          <w:p w:rsidR="007D762D" w:rsidRPr="002B0A06" w:rsidRDefault="00EF6978" w:rsidP="007D762D">
            <w:pPr>
              <w:rPr>
                <w:sz w:val="24"/>
                <w:szCs w:val="24"/>
                <w:lang w:val="lt-LT"/>
              </w:rPr>
            </w:pPr>
            <w:r w:rsidRPr="002B0A06">
              <w:rPr>
                <w:sz w:val="24"/>
                <w:szCs w:val="24"/>
                <w:lang w:val="lt-LT"/>
              </w:rPr>
              <w:t>2013-</w:t>
            </w:r>
            <w:r w:rsidR="00DB3231" w:rsidRPr="002B0A06">
              <w:rPr>
                <w:sz w:val="24"/>
                <w:szCs w:val="24"/>
                <w:lang w:val="lt-LT"/>
              </w:rPr>
              <w:t>10</w:t>
            </w:r>
            <w:r w:rsidR="007D762D" w:rsidRPr="002B0A06">
              <w:rPr>
                <w:sz w:val="24"/>
                <w:szCs w:val="24"/>
                <w:lang w:val="lt-LT"/>
              </w:rPr>
              <w:t>-</w:t>
            </w:r>
          </w:p>
          <w:p w:rsidR="007D762D" w:rsidRPr="002B0A06" w:rsidRDefault="00EF6978" w:rsidP="007D762D">
            <w:pPr>
              <w:rPr>
                <w:sz w:val="24"/>
                <w:szCs w:val="24"/>
                <w:lang w:val="lt-LT"/>
              </w:rPr>
            </w:pPr>
            <w:r w:rsidRPr="002B0A06">
              <w:rPr>
                <w:sz w:val="24"/>
                <w:szCs w:val="24"/>
                <w:lang w:val="lt-LT"/>
              </w:rPr>
              <w:t>2013-0</w:t>
            </w:r>
            <w:r w:rsidR="00DB3231" w:rsidRPr="002B0A06">
              <w:rPr>
                <w:sz w:val="24"/>
                <w:szCs w:val="24"/>
                <w:lang w:val="lt-LT"/>
              </w:rPr>
              <w:t>9</w:t>
            </w:r>
            <w:r w:rsidR="00F4287C" w:rsidRPr="002B0A06">
              <w:rPr>
                <w:sz w:val="24"/>
                <w:szCs w:val="24"/>
                <w:lang w:val="lt-LT"/>
              </w:rPr>
              <w:t>-</w:t>
            </w:r>
            <w:r w:rsidR="00DB3231" w:rsidRPr="002B0A06">
              <w:rPr>
                <w:sz w:val="24"/>
                <w:szCs w:val="24"/>
                <w:lang w:val="lt-LT"/>
              </w:rPr>
              <w:t>19</w:t>
            </w:r>
          </w:p>
          <w:p w:rsidR="00D30256" w:rsidRPr="002B0A06" w:rsidRDefault="00D30256" w:rsidP="007D762D">
            <w:pPr>
              <w:rPr>
                <w:sz w:val="24"/>
                <w:szCs w:val="24"/>
                <w:lang w:val="lt-LT"/>
              </w:rPr>
            </w:pPr>
          </w:p>
          <w:p w:rsidR="007D762D" w:rsidRPr="002B0A06" w:rsidRDefault="007D762D" w:rsidP="00DB3231">
            <w:pPr>
              <w:rPr>
                <w:sz w:val="24"/>
                <w:szCs w:val="24"/>
                <w:lang w:val="lt-LT"/>
              </w:rPr>
            </w:pPr>
          </w:p>
        </w:tc>
        <w:tc>
          <w:tcPr>
            <w:tcW w:w="567" w:type="dxa"/>
          </w:tcPr>
          <w:p w:rsidR="007D762D" w:rsidRPr="002B0A06" w:rsidRDefault="007D762D" w:rsidP="007D762D">
            <w:pPr>
              <w:jc w:val="center"/>
              <w:rPr>
                <w:sz w:val="24"/>
                <w:szCs w:val="24"/>
                <w:lang w:val="lt-LT"/>
              </w:rPr>
            </w:pPr>
            <w:r w:rsidRPr="002B0A06">
              <w:rPr>
                <w:sz w:val="24"/>
                <w:szCs w:val="24"/>
                <w:lang w:val="lt-LT"/>
              </w:rPr>
              <w:t>Nr.</w:t>
            </w:r>
          </w:p>
          <w:p w:rsidR="007D762D" w:rsidRPr="002B0A06" w:rsidRDefault="007D762D" w:rsidP="007D762D">
            <w:pPr>
              <w:jc w:val="center"/>
              <w:rPr>
                <w:sz w:val="24"/>
                <w:szCs w:val="24"/>
                <w:lang w:val="lt-LT"/>
              </w:rPr>
            </w:pPr>
            <w:r w:rsidRPr="002B0A06">
              <w:rPr>
                <w:sz w:val="24"/>
                <w:szCs w:val="24"/>
                <w:lang w:val="lt-LT"/>
              </w:rPr>
              <w:t>Nr.</w:t>
            </w:r>
          </w:p>
          <w:p w:rsidR="00486F3E" w:rsidRPr="002B0A06" w:rsidRDefault="00486F3E" w:rsidP="007D762D">
            <w:pPr>
              <w:jc w:val="center"/>
              <w:rPr>
                <w:b/>
                <w:sz w:val="24"/>
                <w:szCs w:val="24"/>
                <w:lang w:val="lt-LT"/>
              </w:rPr>
            </w:pPr>
          </w:p>
          <w:p w:rsidR="00D30256" w:rsidRPr="002B0A06" w:rsidRDefault="00D30256" w:rsidP="00486F3E">
            <w:pPr>
              <w:rPr>
                <w:sz w:val="24"/>
                <w:szCs w:val="24"/>
                <w:lang w:val="lt-LT"/>
              </w:rPr>
            </w:pPr>
          </w:p>
        </w:tc>
        <w:tc>
          <w:tcPr>
            <w:tcW w:w="2307" w:type="dxa"/>
          </w:tcPr>
          <w:p w:rsidR="007D762D" w:rsidRPr="002B0A06" w:rsidRDefault="007D762D" w:rsidP="007D762D">
            <w:pPr>
              <w:rPr>
                <w:sz w:val="24"/>
                <w:szCs w:val="24"/>
                <w:lang w:val="lt-LT"/>
              </w:rPr>
            </w:pPr>
            <w:r w:rsidRPr="002B0A06">
              <w:rPr>
                <w:sz w:val="24"/>
                <w:szCs w:val="24"/>
                <w:lang w:val="lt-LT"/>
              </w:rPr>
              <w:t>4S-</w:t>
            </w:r>
          </w:p>
          <w:p w:rsidR="007D762D" w:rsidRPr="002B0A06" w:rsidRDefault="00DB3231" w:rsidP="007D762D">
            <w:pPr>
              <w:rPr>
                <w:sz w:val="24"/>
                <w:szCs w:val="24"/>
                <w:lang w:val="lt-LT" w:eastAsia="lt-LT"/>
              </w:rPr>
            </w:pPr>
            <w:r w:rsidRPr="002B0A06">
              <w:rPr>
                <w:sz w:val="24"/>
                <w:szCs w:val="24"/>
                <w:lang w:val="lt-LT" w:eastAsia="lt-LT"/>
              </w:rPr>
              <w:t>2D-4787(21.7)</w:t>
            </w:r>
          </w:p>
          <w:p w:rsidR="00D30256" w:rsidRPr="002B0A06" w:rsidRDefault="00D30256" w:rsidP="00D30256">
            <w:pPr>
              <w:rPr>
                <w:sz w:val="24"/>
                <w:szCs w:val="24"/>
                <w:lang w:val="lt-LT" w:eastAsia="lt-LT"/>
              </w:rPr>
            </w:pPr>
          </w:p>
          <w:p w:rsidR="00D30256" w:rsidRPr="002B0A06" w:rsidRDefault="00D30256" w:rsidP="007D762D">
            <w:pPr>
              <w:rPr>
                <w:sz w:val="24"/>
                <w:szCs w:val="24"/>
                <w:lang w:val="lt-LT" w:eastAsia="lt-LT"/>
              </w:rPr>
            </w:pPr>
          </w:p>
          <w:p w:rsidR="007D762D" w:rsidRPr="002B0A06" w:rsidRDefault="007D762D" w:rsidP="007D762D">
            <w:pPr>
              <w:rPr>
                <w:sz w:val="24"/>
                <w:szCs w:val="24"/>
                <w:lang w:val="lt-LT"/>
              </w:rPr>
            </w:pPr>
          </w:p>
        </w:tc>
      </w:tr>
    </w:tbl>
    <w:p w:rsidR="007D762D" w:rsidRPr="002B0A06" w:rsidRDefault="007D762D" w:rsidP="007D762D">
      <w:pPr>
        <w:ind w:right="-81"/>
        <w:jc w:val="center"/>
        <w:rPr>
          <w:bCs/>
          <w:color w:val="000000"/>
          <w:sz w:val="24"/>
          <w:szCs w:val="24"/>
          <w:lang w:val="lt-LT" w:eastAsia="lt-LT"/>
        </w:rPr>
      </w:pPr>
    </w:p>
    <w:p w:rsidR="003C535C" w:rsidRPr="002B0A06" w:rsidRDefault="003C535C" w:rsidP="003C535C">
      <w:pPr>
        <w:shd w:val="clear" w:color="auto" w:fill="FFFFFF"/>
        <w:tabs>
          <w:tab w:val="left" w:pos="900"/>
        </w:tabs>
        <w:ind w:right="-81"/>
        <w:rPr>
          <w:bCs/>
          <w:color w:val="000000"/>
          <w:sz w:val="24"/>
          <w:szCs w:val="24"/>
          <w:lang w:val="lt-LT" w:eastAsia="lt-LT"/>
        </w:rPr>
      </w:pPr>
      <w:r w:rsidRPr="002B0A06">
        <w:rPr>
          <w:b/>
          <w:caps/>
          <w:sz w:val="24"/>
          <w:szCs w:val="24"/>
          <w:lang w:val="lt-LT"/>
        </w:rPr>
        <w:t xml:space="preserve">Dėl </w:t>
      </w:r>
      <w:r w:rsidRPr="002B0A06">
        <w:rPr>
          <w:b/>
          <w:sz w:val="24"/>
          <w:szCs w:val="24"/>
          <w:lang w:val="lt-LT"/>
        </w:rPr>
        <w:t>VIEŠOJO</w:t>
      </w:r>
      <w:r w:rsidRPr="002B0A06">
        <w:rPr>
          <w:b/>
          <w:caps/>
          <w:sz w:val="24"/>
          <w:szCs w:val="24"/>
          <w:lang w:val="lt-LT"/>
        </w:rPr>
        <w:t xml:space="preserve"> PIRKIMO NR. </w:t>
      </w:r>
      <w:r w:rsidR="00DB3231" w:rsidRPr="002B0A06">
        <w:rPr>
          <w:b/>
          <w:sz w:val="24"/>
          <w:szCs w:val="24"/>
          <w:lang w:val="lt-LT"/>
        </w:rPr>
        <w:t>141139</w:t>
      </w:r>
      <w:r w:rsidRPr="002B0A06">
        <w:rPr>
          <w:b/>
          <w:sz w:val="24"/>
          <w:szCs w:val="24"/>
          <w:lang w:val="lt-LT"/>
        </w:rPr>
        <w:t xml:space="preserve"> ĮVERTINIMO</w:t>
      </w:r>
    </w:p>
    <w:p w:rsidR="008D6406" w:rsidRPr="002B0A06" w:rsidRDefault="008D6406" w:rsidP="00DE2E76">
      <w:pPr>
        <w:tabs>
          <w:tab w:val="left" w:pos="900"/>
        </w:tabs>
        <w:jc w:val="both"/>
        <w:rPr>
          <w:sz w:val="24"/>
          <w:szCs w:val="24"/>
          <w:lang w:val="lt-LT"/>
        </w:rPr>
      </w:pPr>
    </w:p>
    <w:p w:rsidR="00533D05" w:rsidRPr="002B0A06" w:rsidRDefault="00533D05" w:rsidP="00DE2E76">
      <w:pPr>
        <w:tabs>
          <w:tab w:val="left" w:pos="900"/>
        </w:tabs>
        <w:jc w:val="both"/>
        <w:rPr>
          <w:sz w:val="24"/>
          <w:szCs w:val="24"/>
          <w:lang w:val="lt-LT"/>
        </w:rPr>
      </w:pPr>
    </w:p>
    <w:p w:rsidR="00DB3231" w:rsidRPr="002B0A06" w:rsidRDefault="00DB3231" w:rsidP="00113F9F">
      <w:pPr>
        <w:tabs>
          <w:tab w:val="right" w:pos="9646"/>
        </w:tabs>
        <w:ind w:firstLine="720"/>
        <w:jc w:val="both"/>
        <w:rPr>
          <w:sz w:val="24"/>
          <w:szCs w:val="24"/>
          <w:lang w:val="lt-LT"/>
        </w:rPr>
      </w:pPr>
      <w:r w:rsidRPr="002B0A06">
        <w:rPr>
          <w:sz w:val="24"/>
          <w:szCs w:val="24"/>
          <w:lang w:val="lt-LT"/>
        </w:rPr>
        <w:t xml:space="preserve">Viešųjų pirkimų tarnyba (toliau – Tarnyba), vadovaudamasi Lietuvos Respublikos viešųjų pirkimų įstatymo (Žin., 1996, Nr. 84-2000; 2006, Nr. 4-102; 2008, Nr. 81-3179; 2010, Nr. 25-1174; 2011, Nr. 123-5813; toliau – Įstatymas) 8² straipsnio 1 dalies 2 punktu, įvertino Lietuvos Respublikos žemės ūkio ministerijos (toliau – Perkančioji organizacija) pateiktą medžiagą, susijusią su riboto konkurso būdu vykdomu pirkimu „Žemės ūkio ministerijos administracinio pastato (Gedimino pr. 19, Vilnius) rekonstravimo (remonto) darbų pirkimas“ (Centrinėje viešųjų pirkimų informacinėje sistemoje skelbtas 2013 m. rugpjūčio </w:t>
      </w:r>
      <w:r w:rsidR="006E3184" w:rsidRPr="002B0A06">
        <w:rPr>
          <w:sz w:val="24"/>
          <w:szCs w:val="24"/>
          <w:lang w:val="lt-LT"/>
        </w:rPr>
        <w:t>9</w:t>
      </w:r>
      <w:r w:rsidRPr="002B0A06">
        <w:rPr>
          <w:sz w:val="24"/>
          <w:szCs w:val="24"/>
          <w:lang w:val="lt-LT"/>
        </w:rPr>
        <w:t xml:space="preserve"> d., pirkimo Nr. 141139; toliau – Pirkimas). </w:t>
      </w:r>
    </w:p>
    <w:p w:rsidR="00DB3231" w:rsidRPr="002B0A06" w:rsidRDefault="00DB3231" w:rsidP="00113F9F">
      <w:pPr>
        <w:tabs>
          <w:tab w:val="right" w:pos="9646"/>
        </w:tabs>
        <w:ind w:firstLine="720"/>
        <w:jc w:val="both"/>
        <w:rPr>
          <w:sz w:val="24"/>
          <w:szCs w:val="24"/>
          <w:lang w:val="lt-LT"/>
        </w:rPr>
      </w:pPr>
      <w:r w:rsidRPr="002B0A06">
        <w:rPr>
          <w:sz w:val="24"/>
          <w:szCs w:val="24"/>
          <w:lang w:val="lt-LT"/>
        </w:rPr>
        <w:t xml:space="preserve">Tarnyba, išnagrinėjusi CVP IS pateiktą informaciją ir įvertinusi su Pirkimu susijusius dokumentus, nustatė, kad: </w:t>
      </w:r>
    </w:p>
    <w:p w:rsidR="00DB3231" w:rsidRPr="002B0A06" w:rsidRDefault="00533D05" w:rsidP="00113F9F">
      <w:pPr>
        <w:tabs>
          <w:tab w:val="right" w:pos="9646"/>
        </w:tabs>
        <w:ind w:firstLine="720"/>
        <w:jc w:val="both"/>
        <w:rPr>
          <w:sz w:val="24"/>
          <w:szCs w:val="24"/>
          <w:lang w:val="lt-LT"/>
        </w:rPr>
      </w:pPr>
      <w:r w:rsidRPr="002B0A06">
        <w:rPr>
          <w:sz w:val="24"/>
          <w:szCs w:val="24"/>
          <w:lang w:val="lt-LT"/>
        </w:rPr>
        <w:t xml:space="preserve">1. </w:t>
      </w:r>
      <w:r w:rsidR="00673E6C" w:rsidRPr="002B0A06">
        <w:rPr>
          <w:sz w:val="24"/>
          <w:szCs w:val="24"/>
          <w:lang w:val="lt-LT"/>
        </w:rPr>
        <w:t xml:space="preserve">Perkančioji organizacija Pirkimo dokumentų 5.1. punkte nustatė, kad kiekvienas subrangovas turi atitikti </w:t>
      </w:r>
      <w:r w:rsidR="00262A96" w:rsidRPr="002B0A06">
        <w:rPr>
          <w:sz w:val="24"/>
          <w:szCs w:val="24"/>
          <w:lang w:val="lt-LT"/>
        </w:rPr>
        <w:t xml:space="preserve">Pirkimo dokumentų </w:t>
      </w:r>
      <w:r w:rsidR="00673E6C" w:rsidRPr="002B0A06">
        <w:rPr>
          <w:sz w:val="24"/>
          <w:szCs w:val="24"/>
          <w:lang w:val="lt-LT"/>
        </w:rPr>
        <w:t>3.</w:t>
      </w:r>
      <w:r w:rsidR="00262A96" w:rsidRPr="002B0A06">
        <w:rPr>
          <w:sz w:val="24"/>
          <w:szCs w:val="24"/>
          <w:lang w:val="lt-LT"/>
        </w:rPr>
        <w:t xml:space="preserve">3.12 punkto reikalavimus, kurio pirmoje dalyje nustatyta, kad </w:t>
      </w:r>
      <w:r w:rsidR="00B27200" w:rsidRPr="002B0A06">
        <w:rPr>
          <w:sz w:val="24"/>
          <w:szCs w:val="24"/>
          <w:lang w:val="lt-LT"/>
        </w:rPr>
        <w:t>„T</w:t>
      </w:r>
      <w:r w:rsidR="00262A96" w:rsidRPr="002B0A06">
        <w:rPr>
          <w:sz w:val="24"/>
          <w:szCs w:val="24"/>
          <w:lang w:val="lt-LT"/>
        </w:rPr>
        <w:t>iekėjas pirkimo sutartyje numatytiems darbams vykdyti turi turėti bent 1 (vieną) ypatingo statinio statybos vadovą&lt;...&gt;“</w:t>
      </w:r>
      <w:r w:rsidR="00146A79" w:rsidRPr="002B0A06">
        <w:rPr>
          <w:sz w:val="24"/>
          <w:szCs w:val="24"/>
          <w:lang w:val="lt-LT"/>
        </w:rPr>
        <w:t>. Pažymėtina, kad pagal Lietuvos Respublikos statybos įstatym</w:t>
      </w:r>
      <w:r w:rsidR="00517A37" w:rsidRPr="002B0A06">
        <w:rPr>
          <w:sz w:val="24"/>
          <w:szCs w:val="24"/>
          <w:lang w:val="lt-LT"/>
        </w:rPr>
        <w:t>o</w:t>
      </w:r>
      <w:r w:rsidR="00146A79" w:rsidRPr="002B0A06">
        <w:rPr>
          <w:sz w:val="24"/>
          <w:szCs w:val="24"/>
          <w:lang w:val="lt-LT"/>
        </w:rPr>
        <w:t xml:space="preserve"> (Žin., 2001, Nr. 101-3597;</w:t>
      </w:r>
      <w:r w:rsidR="00146A79" w:rsidRPr="002B0A06">
        <w:rPr>
          <w:lang w:val="lt-LT"/>
        </w:rPr>
        <w:t xml:space="preserve"> </w:t>
      </w:r>
      <w:r w:rsidR="00146A79" w:rsidRPr="002B0A06">
        <w:rPr>
          <w:sz w:val="24"/>
          <w:szCs w:val="24"/>
          <w:lang w:val="lt-LT"/>
        </w:rPr>
        <w:t xml:space="preserve">2013, Nr. 76-3841) </w:t>
      </w:r>
      <w:r w:rsidR="00D11899" w:rsidRPr="002B0A06">
        <w:rPr>
          <w:sz w:val="24"/>
          <w:szCs w:val="24"/>
          <w:lang w:val="lt-LT"/>
        </w:rPr>
        <w:t xml:space="preserve">2 straipsnio 50 punktą </w:t>
      </w:r>
      <w:r w:rsidR="00146A79" w:rsidRPr="002B0A06">
        <w:rPr>
          <w:sz w:val="24"/>
          <w:szCs w:val="24"/>
          <w:lang w:val="lt-LT"/>
        </w:rPr>
        <w:t xml:space="preserve">statinio statybos vadovas </w:t>
      </w:r>
      <w:r w:rsidR="00D11899" w:rsidRPr="002B0A06">
        <w:rPr>
          <w:sz w:val="24"/>
          <w:szCs w:val="24"/>
          <w:lang w:val="lt-LT"/>
        </w:rPr>
        <w:t xml:space="preserve">vadovauja statybos darbams, </w:t>
      </w:r>
      <w:r w:rsidR="00AB5CEA" w:rsidRPr="002B0A06">
        <w:rPr>
          <w:sz w:val="24"/>
          <w:szCs w:val="24"/>
          <w:lang w:val="lt-LT"/>
        </w:rPr>
        <w:t xml:space="preserve">kuris </w:t>
      </w:r>
      <w:r w:rsidR="00D11899" w:rsidRPr="002B0A06">
        <w:rPr>
          <w:sz w:val="24"/>
          <w:szCs w:val="24"/>
          <w:lang w:val="lt-LT"/>
        </w:rPr>
        <w:t>kartu gali būti bendrųjų statybos darbų vadovas, koordinuoja statinio statybos specialiųjų darbų vykdymą bei šių darbų vadovų veiklą ir pagal kompetenciją atsako už pastatyto statinio atitiktį statinio projektui</w:t>
      </w:r>
      <w:r w:rsidR="00390F2B" w:rsidRPr="002B0A06">
        <w:rPr>
          <w:sz w:val="24"/>
          <w:szCs w:val="24"/>
          <w:lang w:val="lt-LT"/>
        </w:rPr>
        <w:t xml:space="preserve"> ir statinio normatyvinę kokybę, taigi, atsižvelgiant į tai, pakanka, kad tiekėjas (ar vienas iš ūkio subjektų grupės narys) turėtų </w:t>
      </w:r>
      <w:r w:rsidR="00DD5D19" w:rsidRPr="002B0A06">
        <w:rPr>
          <w:sz w:val="24"/>
          <w:szCs w:val="24"/>
          <w:lang w:val="lt-LT"/>
        </w:rPr>
        <w:t xml:space="preserve">vieną </w:t>
      </w:r>
      <w:r w:rsidR="00390F2B" w:rsidRPr="002B0A06">
        <w:rPr>
          <w:sz w:val="24"/>
          <w:szCs w:val="24"/>
          <w:lang w:val="lt-LT"/>
        </w:rPr>
        <w:t>statinio statybos vadovą, kuris koordinuos statinio statybos specialiųjų darbų vadovų veiklą</w:t>
      </w:r>
      <w:r w:rsidR="0066180A" w:rsidRPr="002B0A06">
        <w:rPr>
          <w:sz w:val="24"/>
          <w:szCs w:val="24"/>
          <w:lang w:val="lt-LT"/>
        </w:rPr>
        <w:t xml:space="preserve"> ir bus atsakingas už atliktų darbų atitiktį projektui bei </w:t>
      </w:r>
      <w:r w:rsidR="00DD5D19" w:rsidRPr="002B0A06">
        <w:rPr>
          <w:sz w:val="24"/>
          <w:szCs w:val="24"/>
          <w:lang w:val="lt-LT"/>
        </w:rPr>
        <w:t xml:space="preserve">už </w:t>
      </w:r>
      <w:r w:rsidR="0066180A" w:rsidRPr="002B0A06">
        <w:rPr>
          <w:sz w:val="24"/>
          <w:szCs w:val="24"/>
          <w:lang w:val="lt-LT"/>
        </w:rPr>
        <w:t>normatyvinę kokybę</w:t>
      </w:r>
      <w:r w:rsidR="00390F2B" w:rsidRPr="002B0A06">
        <w:rPr>
          <w:sz w:val="24"/>
          <w:szCs w:val="24"/>
          <w:lang w:val="lt-LT"/>
        </w:rPr>
        <w:t>. Reikalavimas visiems subrangovams turėti ypatingo statinio statybos darbų vadovą neužtikrina</w:t>
      </w:r>
      <w:r w:rsidRPr="002B0A06">
        <w:rPr>
          <w:sz w:val="24"/>
          <w:szCs w:val="24"/>
          <w:lang w:val="lt-LT"/>
        </w:rPr>
        <w:t xml:space="preserve"> Įstatymo 32 straipsnio 2 dalies nuostatų, kad „Perkančiosios organizacijos nustatyti minimalūs kandidatų ar dalyvių kvalifikacijos reikalavimai negali dirbtinai riboti konkurencijos. Jie turi būti pagrįsti ir proporcingi pirkimo objektui“ tinkamo laikymosi.</w:t>
      </w:r>
    </w:p>
    <w:p w:rsidR="00533D05" w:rsidRPr="002B0A06" w:rsidRDefault="00533D05" w:rsidP="00113F9F">
      <w:pPr>
        <w:tabs>
          <w:tab w:val="right" w:pos="9646"/>
        </w:tabs>
        <w:ind w:firstLine="720"/>
        <w:jc w:val="both"/>
        <w:rPr>
          <w:sz w:val="24"/>
          <w:szCs w:val="24"/>
          <w:lang w:val="lt-LT"/>
        </w:rPr>
      </w:pPr>
      <w:r w:rsidRPr="002B0A06">
        <w:rPr>
          <w:sz w:val="24"/>
          <w:szCs w:val="24"/>
          <w:lang w:val="lt-LT"/>
        </w:rPr>
        <w:t xml:space="preserve">2. </w:t>
      </w:r>
      <w:r w:rsidR="00AB5CEA" w:rsidRPr="002B0A06">
        <w:rPr>
          <w:sz w:val="24"/>
          <w:szCs w:val="24"/>
          <w:lang w:val="lt-LT"/>
        </w:rPr>
        <w:t>Perkančioji organizacija Pirkimo dokumentų 5.1. punkte nustatė, kad kiekvienas subrangovas turi atitikti Pirkimo dokumentų 3.3.12 punkto reikalavimus, kurio antrojoje dalyje nustatyta, kad „Tiekėjas pirkimo sutartyje numatytiems darbams vykdyti turi turėti ypatingo statinio specialiųjų statybos darbų vadovą,</w:t>
      </w:r>
      <w:r w:rsidR="000E5C0F" w:rsidRPr="002B0A06">
        <w:rPr>
          <w:sz w:val="24"/>
          <w:szCs w:val="24"/>
          <w:lang w:val="lt-LT"/>
        </w:rPr>
        <w:t>(-us)</w:t>
      </w:r>
      <w:r w:rsidR="00AB5CEA" w:rsidRPr="002B0A06">
        <w:rPr>
          <w:sz w:val="24"/>
          <w:szCs w:val="24"/>
          <w:lang w:val="lt-LT"/>
        </w:rPr>
        <w:t xml:space="preserve">&lt;...&gt;“. </w:t>
      </w:r>
      <w:r w:rsidR="008453FF" w:rsidRPr="002B0A06">
        <w:rPr>
          <w:sz w:val="24"/>
          <w:szCs w:val="24"/>
          <w:lang w:val="lt-LT"/>
        </w:rPr>
        <w:t>Tarnyba pastebi</w:t>
      </w:r>
      <w:r w:rsidR="00151FFF" w:rsidRPr="002B0A06">
        <w:rPr>
          <w:sz w:val="24"/>
          <w:szCs w:val="24"/>
          <w:lang w:val="lt-LT"/>
        </w:rPr>
        <w:t>, kad tiekėjas (ar ūkio subjektų grupė) gali pasitelkti subrangovus tik tam tikrai daliai darbų atlikti</w:t>
      </w:r>
      <w:r w:rsidR="0066180A" w:rsidRPr="002B0A06">
        <w:rPr>
          <w:sz w:val="24"/>
          <w:szCs w:val="24"/>
          <w:lang w:val="lt-LT"/>
        </w:rPr>
        <w:t>, o ne visiems specialiesiems darbams</w:t>
      </w:r>
      <w:r w:rsidR="00DD5D19" w:rsidRPr="002B0A06">
        <w:rPr>
          <w:sz w:val="24"/>
          <w:szCs w:val="24"/>
          <w:lang w:val="lt-LT"/>
        </w:rPr>
        <w:t xml:space="preserve"> atlikti</w:t>
      </w:r>
      <w:r w:rsidR="00151FFF" w:rsidRPr="002B0A06">
        <w:rPr>
          <w:sz w:val="24"/>
          <w:szCs w:val="24"/>
          <w:lang w:val="lt-LT"/>
        </w:rPr>
        <w:t xml:space="preserve">, todėl turėtų būti reikalaujama, kad subrangovas turėtų turėti ypatingo statinio specialiųjų statybos darbų vadovą tų specialiųjų statybos darbų, kuriuos jis ir </w:t>
      </w:r>
      <w:r w:rsidR="00DD5D19" w:rsidRPr="002B0A06">
        <w:rPr>
          <w:sz w:val="24"/>
          <w:szCs w:val="24"/>
          <w:lang w:val="lt-LT"/>
        </w:rPr>
        <w:t>atliks</w:t>
      </w:r>
      <w:r w:rsidR="00151FFF" w:rsidRPr="002B0A06">
        <w:rPr>
          <w:sz w:val="24"/>
          <w:szCs w:val="24"/>
          <w:lang w:val="lt-LT"/>
        </w:rPr>
        <w:t>. Reikalavimas visiems subrangovams turėti visų specialiųjų statybos darbų vadovą/vadovus neužtikrina Įstatymo 32 straipsnio 2 dalies nuostatų, kad „Perkančiosios organizacijos nustatyti minimalūs kandidatų ar dalyvių kvalifikacijos reikalavimai negali dirbtinai riboti konkurencijos. Jie turi būti pagrįsti ir proporcingi pirkimo objektui“ tinkamo laikymosi.</w:t>
      </w:r>
    </w:p>
    <w:p w:rsidR="00DB3231" w:rsidRPr="002B0A06" w:rsidRDefault="00533D05" w:rsidP="00113F9F">
      <w:pPr>
        <w:ind w:firstLine="720"/>
        <w:jc w:val="both"/>
        <w:rPr>
          <w:sz w:val="24"/>
          <w:szCs w:val="24"/>
          <w:lang w:val="lt-LT"/>
        </w:rPr>
      </w:pPr>
      <w:r w:rsidRPr="002B0A06">
        <w:rPr>
          <w:sz w:val="24"/>
          <w:szCs w:val="24"/>
          <w:lang w:val="lt-LT"/>
        </w:rPr>
        <w:t>3</w:t>
      </w:r>
      <w:r w:rsidR="00DB3231" w:rsidRPr="002B0A06">
        <w:rPr>
          <w:sz w:val="24"/>
          <w:szCs w:val="24"/>
          <w:lang w:val="lt-LT"/>
        </w:rPr>
        <w:t xml:space="preserve">. Perkančioji organizacija neužtikrino Viešojo pirkimo–pardavimo sutarčių kainos ir kainodaros taisyklių nustatymo metodikos, patvirtintos Tarnybos direktoriaus 2011-08-01 įsakymu </w:t>
      </w:r>
      <w:r w:rsidR="00DB3231" w:rsidRPr="002B0A06">
        <w:rPr>
          <w:sz w:val="24"/>
          <w:szCs w:val="24"/>
          <w:lang w:val="lt-LT"/>
        </w:rPr>
        <w:lastRenderedPageBreak/>
        <w:t xml:space="preserve">Nr. 1S-105 (Žin., 2011, Nr. 101-4768) </w:t>
      </w:r>
      <w:r w:rsidR="003160F5" w:rsidRPr="002B0A06">
        <w:rPr>
          <w:sz w:val="24"/>
          <w:szCs w:val="24"/>
          <w:lang w:val="lt-LT"/>
        </w:rPr>
        <w:t xml:space="preserve">(toliau – Metodika) </w:t>
      </w:r>
      <w:r w:rsidR="00DB3231" w:rsidRPr="002B0A06">
        <w:rPr>
          <w:sz w:val="24"/>
          <w:szCs w:val="24"/>
          <w:lang w:val="lt-LT"/>
        </w:rPr>
        <w:t>33.1 punkto</w:t>
      </w:r>
      <w:r w:rsidRPr="002B0A06">
        <w:rPr>
          <w:sz w:val="24"/>
          <w:szCs w:val="24"/>
          <w:lang w:val="lt-LT"/>
        </w:rPr>
        <w:t>, kad</w:t>
      </w:r>
      <w:r w:rsidR="00DB3231" w:rsidRPr="002B0A06">
        <w:rPr>
          <w:sz w:val="24"/>
          <w:szCs w:val="24"/>
          <w:lang w:val="lt-LT"/>
        </w:rPr>
        <w:t xml:space="preserve"> </w:t>
      </w:r>
      <w:r w:rsidR="00DB3231" w:rsidRPr="002B0A06">
        <w:rPr>
          <w:i/>
          <w:sz w:val="24"/>
          <w:szCs w:val="24"/>
          <w:lang w:val="lt-LT"/>
        </w:rPr>
        <w:t>kainodaros taisyklėse, jei statybos darbų sutarties trukmė kartu su numatytu sutarties pratęsimu yra ilgesnė nei 1 metai, privaloma nustatyti fiksuotos kainos ar įkainio perskaičiavimą, vadovaujantis šios metodikos 33.2–33.8 punktų nuostatomis</w:t>
      </w:r>
      <w:r w:rsidRPr="002B0A06">
        <w:rPr>
          <w:i/>
          <w:sz w:val="24"/>
          <w:szCs w:val="24"/>
          <w:lang w:val="lt-LT"/>
        </w:rPr>
        <w:t xml:space="preserve"> </w:t>
      </w:r>
      <w:r w:rsidRPr="002B0A06">
        <w:rPr>
          <w:sz w:val="24"/>
          <w:szCs w:val="24"/>
          <w:lang w:val="lt-LT"/>
        </w:rPr>
        <w:t>tinkamo laikymosi</w:t>
      </w:r>
      <w:r w:rsidR="00DB3231" w:rsidRPr="002B0A06">
        <w:rPr>
          <w:sz w:val="24"/>
          <w:szCs w:val="24"/>
          <w:lang w:val="lt-LT"/>
        </w:rPr>
        <w:t xml:space="preserve">, nes nenumatė fiksuotos kainos perskaičiavimo tvarkos, nors projektavimo ir statybos sutarties trukmė yra </w:t>
      </w:r>
      <w:r w:rsidR="00673E6C" w:rsidRPr="002B0A06">
        <w:rPr>
          <w:sz w:val="24"/>
          <w:szCs w:val="24"/>
          <w:lang w:val="lt-LT"/>
        </w:rPr>
        <w:t>36</w:t>
      </w:r>
      <w:r w:rsidR="00DB3231" w:rsidRPr="002B0A06">
        <w:rPr>
          <w:sz w:val="24"/>
          <w:szCs w:val="24"/>
          <w:lang w:val="lt-LT"/>
        </w:rPr>
        <w:t xml:space="preserve"> mėn.</w:t>
      </w:r>
    </w:p>
    <w:p w:rsidR="00000000" w:rsidRDefault="000E5C0F" w:rsidP="00113F9F">
      <w:pPr>
        <w:pStyle w:val="bodytext0"/>
        <w:tabs>
          <w:tab w:val="left" w:pos="1134"/>
        </w:tabs>
        <w:spacing w:before="0" w:beforeAutospacing="0" w:after="0" w:afterAutospacing="0"/>
        <w:ind w:firstLine="720"/>
        <w:jc w:val="both"/>
        <w:rPr>
          <w:rFonts w:ascii="Tahoma" w:hAnsi="Tahoma" w:cs="Tahoma"/>
          <w:sz w:val="15"/>
          <w:szCs w:val="15"/>
        </w:rPr>
      </w:pPr>
      <w:r w:rsidRPr="002B0A06">
        <w:t xml:space="preserve">4. </w:t>
      </w:r>
      <w:r w:rsidR="00EC043A" w:rsidRPr="002B0A06">
        <w:t xml:space="preserve">Pirkimo dokumentų 2.8 punkte nurodyta, kad </w:t>
      </w:r>
      <w:r w:rsidR="00D82E68" w:rsidRPr="002B0A06">
        <w:t>„</w:t>
      </w:r>
      <w:r w:rsidR="007F0DBD" w:rsidRPr="002B0A06">
        <w:t>P</w:t>
      </w:r>
      <w:r w:rsidR="00EC043A" w:rsidRPr="002B0A06">
        <w:t>irkimui bus sudaroma fiksuotos kainos sutartis, kai faktinių kiekių, gautų vykdant Techninio darbo projekto specifikacijose ir brėžiniuose numatytus darbus, svyravimų</w:t>
      </w:r>
      <w:r w:rsidR="00716EC5" w:rsidRPr="002B0A06">
        <w:t xml:space="preserve"> </w:t>
      </w:r>
      <w:r w:rsidR="00EC043A" w:rsidRPr="002B0A06">
        <w:t>(neatitikimų) riziką prisiima rangovas</w:t>
      </w:r>
      <w:r w:rsidR="00D82E68" w:rsidRPr="002B0A06">
        <w:t>“</w:t>
      </w:r>
      <w:r w:rsidR="00EC043A" w:rsidRPr="002B0A06">
        <w:t xml:space="preserve">, </w:t>
      </w:r>
      <w:r w:rsidR="00D40CAE" w:rsidRPr="002B0A06">
        <w:t xml:space="preserve">Pirkimo dokumentų 19.3 punkte nustatyta, kad „Bus sudaroma fiksuotos kainos sutartis. Sutarties kaina bus nustatoma </w:t>
      </w:r>
      <w:r w:rsidR="00514803">
        <w:rPr>
          <w:b/>
        </w:rPr>
        <w:t xml:space="preserve">fiksuotos </w:t>
      </w:r>
      <w:r w:rsidR="00D40CAE" w:rsidRPr="002B0A06">
        <w:rPr>
          <w:b/>
        </w:rPr>
        <w:t>kainos principu</w:t>
      </w:r>
      <w:r w:rsidR="00D40CAE" w:rsidRPr="002B0A06">
        <w:t xml:space="preserve">. Fiksuotos kainos kainodaros sutartis – Sutartis, kai rangovui, už savalaikį, tinkamą bei pagal Sutartį Darbų vykdymą bei jų baigimą ir visų defektų ištaisymą, sumokama tiekėjo pasiūlyme nurodyta Sutarties kaina. Sutarties kaina apima visus rangovo sutartinius įsipareigojimus ir visa, kas būtina tinkamam Darbų vykdymui ir užbaigimui. Atsakomybė už Darbus ir jų kiekius, kuriuos rangovas privalo numatyti pagal šio konkurso sąlygas, tačiau jų nenumato, tenka rangovui. Papildomas apmokėjimas už tokius Darbus nebus daromas ir rangovas juos privalės atlikti savo sąskaita.” </w:t>
      </w:r>
      <w:r w:rsidR="002A5D00" w:rsidRPr="002B0A06">
        <w:t xml:space="preserve">neatitinka </w:t>
      </w:r>
      <w:r w:rsidR="00EC043A" w:rsidRPr="002B0A06">
        <w:t xml:space="preserve">Pirkimo dokumentų </w:t>
      </w:r>
      <w:r w:rsidR="00D82E68" w:rsidRPr="002B0A06">
        <w:t xml:space="preserve">2.12 </w:t>
      </w:r>
      <w:r w:rsidR="007F0DBD" w:rsidRPr="002B0A06">
        <w:t xml:space="preserve">ir 19.2.6 </w:t>
      </w:r>
      <w:r w:rsidR="002A5D00" w:rsidRPr="002B0A06">
        <w:t>punktų nuostatų</w:t>
      </w:r>
      <w:r w:rsidR="00D82E68" w:rsidRPr="002B0A06">
        <w:t>, kad „Perkančioji organizacija sutarties vykdymo metu turi teisę, trūkstant ar nebegavus finansavimo, atsisakyti dalies šio pirkimo darbų. Pasinaudodama šiomis teisėmis, Perkančioji organizacija nebus rangovui jokiu būdu atsakinga</w:t>
      </w:r>
      <w:r w:rsidR="002A5D00" w:rsidRPr="002B0A06">
        <w:t xml:space="preserve">“, Pirkimo dokumentų 19.5.2 punkto nuostatų „&lt;...&gt;Likusi Sutarties kaina tiekėjui bus sumokama dalimis, apmokant už kiekvieno Techniniame darbo projekte nurodyto etapo atliktus darbus per 20 (dvidešimt) darbo dienų po konkretaus etapo atliktų darbų priėmimo – perdavimo akto pasirašymo ir tiekėjo PVM sąskaitos faktūros gavimo perkančiojoje organizacijoje dienos. Už Techniniame darbo projekte nurodytus darbus „Įvadas ir magistralės“ perkančioji organizacija sumokės per 20 (dvidešimt) darbo dienų po šių darbų atlikimo, atliktų darbų priėmimo – perdavimo akto pasirašymo ir tiekėjo PVM sąskaitos faktūros gavimo perkančiojoje organizacijoje dienos. Sutarties vykdymo metu, perkančioji organizacija pasilieka teisę apmokėti už faktiškai atliktus darbus, priklausomai nuo turimo finansavimo apimčių, o negavus finansavimo atsisakyti tam tikrų darbų grupių arba darbų dalių. Jeigu perkančioji </w:t>
      </w:r>
      <w:r w:rsidR="002A5D00" w:rsidRPr="00576F7C">
        <w:t>organizacija atsisako darbų grupės arba darbų dalies numatytos Sutartyje, sutarties kaina atitinkamai sumažinama” ir Pirkimo dokumentų priedo Nr. 4 „</w:t>
      </w:r>
      <w:r w:rsidR="00636DCF" w:rsidRPr="00576F7C">
        <w:t xml:space="preserve">Pasiūlymas“ priedo „Darbų kainų žiniaraščiai“ 1 punkto „Užsakovas apmokės tik tiekėjo faktiškai atliktus darbus”, 6 punkto “Tiekėjo užpildyti Darbų kiekių žiniaraščiai, tapę lokalinėmis sąmatomis (pateikti pasiūlyme konkursui) yra galutiniai. Jie bus naudojami apmokėjimui už atliktus Darbus, pagal tiekėjo pasiūlyme pateiktus įkainius ir kainas” nuostatų. Tai neužtikrina Įstatymo 24 straipsnio </w:t>
      </w:r>
      <w:r w:rsidR="003160F5" w:rsidRPr="00576F7C">
        <w:t xml:space="preserve">8 dalies nuostatų, kad pirkimo dokumentai turi būti tikslūs ir aiškūs, be dviprasmybių, laikymosi. </w:t>
      </w:r>
      <w:r w:rsidR="00636DCF" w:rsidRPr="00576F7C">
        <w:t xml:space="preserve">Tarnyba primena, kad </w:t>
      </w:r>
      <w:r w:rsidR="003160F5" w:rsidRPr="00576F7C">
        <w:t xml:space="preserve">Metodikos </w:t>
      </w:r>
      <w:r w:rsidR="00144BC8" w:rsidRPr="00576F7C">
        <w:t>9 punkte nustatyta, kada galima rinktis fiksuotos kainos apskaičiavimo būdą, t.y. „9. Fiksuota kaina nustatoma, kai iš anksto (iki pirkimo pradžios): 9.1. perkančioji organizacija gali pirkimo dokumentuose nurodyti pakankamai tikslų reikalingų prekių, paslaugų ar darbų kiekį, ir 9.2. pateikdamas pasiūlymą tiekėjas turi realias galimybes numatyti ir įvertinti sutarties vykdymo išlaidas bei gali prisiimti riziką dėl šių išlaidų dydžio“, o 11 punkte nurodyta, kada tikslingiau rinktis kainos apskaičiavimo būdą – fiksuotą įkainį: „11. Fiksuotas įkainis nustatomas, kai iš anksto (iki pirkimo pradžios): 11.1. perkančioji organizacija nežino tikslaus numatomų pirkti prekių kiekio ar tikslios pagal sutartį teiktinų paslaugų ar vykdytinų darbų apimties, tačiau 11.2. rengdamas pasiūlymą tiekėjas turi realias galimybes iš anksto numatyti ir įvertinti sutarties vykdymo išlaidas pirkimo objekto mato vienetui (</w:t>
      </w:r>
      <w:r w:rsidR="00144BC8" w:rsidRPr="00576F7C">
        <w:rPr>
          <w:i/>
          <w:iCs/>
        </w:rPr>
        <w:t>pavyzdžiui, 1 kvadratinio metro sienų dažymui atliekant nedidelį patalpų remontą</w:t>
      </w:r>
      <w:r w:rsidR="00144BC8" w:rsidRPr="00576F7C">
        <w:t>) ir gali prisiimti riziką dėl sutarties vykdymo išlaidų pirkimo objekto mato vienetui dydžio.“</w:t>
      </w:r>
    </w:p>
    <w:p w:rsidR="00EE24AC" w:rsidRPr="002B0A06" w:rsidRDefault="00693FF7" w:rsidP="00113F9F">
      <w:pPr>
        <w:ind w:firstLine="720"/>
        <w:jc w:val="both"/>
        <w:rPr>
          <w:sz w:val="24"/>
          <w:szCs w:val="24"/>
          <w:lang w:val="lt-LT"/>
        </w:rPr>
      </w:pPr>
      <w:r w:rsidRPr="002B0A06">
        <w:rPr>
          <w:sz w:val="24"/>
          <w:szCs w:val="24"/>
          <w:lang w:val="lt-LT"/>
        </w:rPr>
        <w:t>5</w:t>
      </w:r>
      <w:r w:rsidR="00EE34A7" w:rsidRPr="002B0A06">
        <w:rPr>
          <w:sz w:val="24"/>
          <w:szCs w:val="24"/>
          <w:lang w:val="lt-LT"/>
        </w:rPr>
        <w:t xml:space="preserve">. </w:t>
      </w:r>
      <w:r w:rsidR="00716EC5" w:rsidRPr="002B0A06">
        <w:rPr>
          <w:sz w:val="24"/>
          <w:szCs w:val="24"/>
          <w:lang w:val="lt-LT"/>
        </w:rPr>
        <w:t xml:space="preserve">Pirkimo dokumentų 5.2 </w:t>
      </w:r>
      <w:r w:rsidR="00EE24AC" w:rsidRPr="002B0A06">
        <w:rPr>
          <w:sz w:val="24"/>
          <w:szCs w:val="24"/>
          <w:lang w:val="lt-LT"/>
        </w:rPr>
        <w:t xml:space="preserve">punkto nuostata „Rangovai turi nurodyti subrangovus, kuriuos jie ketina pasitelkti sutarčiai vykdyti. Rangovas, be raštiško perkančiosios organizacijos sutikimo, neturi teisės pakeisti esamus subrangovus ar pasitelkti naujų subrangovų. Jei keičiamas subrangovas ar pasitelkiamas naujas subrangovas, tokie subrangovai turi atitikti minimalius kvalifikacijos reikalavimus nustatytus šiame skyriuje. Rangovas, raštu prašydamas perkančiosios organizacijos sutikimo, privalo pateikti informaciją apie subrangovo kvalifikaciją ir sudarytą sutartį arbą ketinimo </w:t>
      </w:r>
      <w:r w:rsidR="00EE24AC" w:rsidRPr="002B0A06">
        <w:rPr>
          <w:sz w:val="24"/>
          <w:szCs w:val="24"/>
          <w:lang w:val="lt-LT"/>
        </w:rPr>
        <w:lastRenderedPageBreak/>
        <w:t>protokolą</w:t>
      </w:r>
      <w:r w:rsidR="002B0A06">
        <w:rPr>
          <w:sz w:val="24"/>
          <w:szCs w:val="24"/>
          <w:lang w:val="lt-LT"/>
        </w:rPr>
        <w:t>“</w:t>
      </w:r>
      <w:r w:rsidR="00EE24AC" w:rsidRPr="002B0A06">
        <w:rPr>
          <w:sz w:val="24"/>
          <w:szCs w:val="24"/>
          <w:lang w:val="lt-LT"/>
        </w:rPr>
        <w:t xml:space="preserve"> ir 5.3 punkto nuostata </w:t>
      </w:r>
      <w:r w:rsidR="002B0A06">
        <w:rPr>
          <w:sz w:val="24"/>
          <w:szCs w:val="24"/>
          <w:lang w:val="lt-LT"/>
        </w:rPr>
        <w:t>„</w:t>
      </w:r>
      <w:r w:rsidR="00EE24AC" w:rsidRPr="002B0A06">
        <w:rPr>
          <w:sz w:val="24"/>
          <w:szCs w:val="24"/>
          <w:lang w:val="lt-LT"/>
        </w:rPr>
        <w:t xml:space="preserve">Perkančioji organizacija turi teisę tiekėjo reikalauti pakeisti subrangovą, jei subrangovas savo įsipareigojimus tiekėjui (rangovui) vykdo netinkamai, o tokiu atveju tiekėjas turi pareigą subrangovą pakeisti. Keičiamam (naujam) subrangovui taikoma šiame skyriuje nustatyta tvarka, tarp jų ir kvalifikacijos reikalavimai” neatitinka Pirkimo dokumentų 19.9 punkto nuostatos </w:t>
      </w:r>
      <w:r w:rsidR="002B0A06">
        <w:rPr>
          <w:sz w:val="24"/>
          <w:szCs w:val="24"/>
          <w:lang w:val="lt-LT"/>
        </w:rPr>
        <w:t>„</w:t>
      </w:r>
      <w:r w:rsidR="00EE24AC" w:rsidRPr="002B0A06">
        <w:rPr>
          <w:sz w:val="24"/>
          <w:szCs w:val="24"/>
          <w:lang w:val="lt-LT"/>
        </w:rPr>
        <w:t>Sudarant Sutartį, joje nurodomi Sutarties vykdymui pasitelkiami subrangovai. Vykdant Sutartį, gali būti pasitelkiami nauji subrangovai. Tiekėjas, pasitelkdamas naujus subrangovus, turi apie tai per 3 (tris) darbo dienas raštu informuoti perkančiąją organizaciją, nurodydamas subrangovo pakeitimo priežastis. Naujų subrangovų pasitelkimą perkančioji organizacija kartu su tiekėju įformina raštišku susitarimu prie sudarytos Sutarties, kuris pasirašomas abiejų Sutarties šalių, ir šie dokumentai yra neatskiriama Sutarties dalis. Sutarties vykdymo metu, kai subrangovai netinkamai vykdo įsipareigojimus tiekėjui, taip pat tuo atveju, kai subrangovai nepajėgūs vykdyti įsipareigojimų tiekėjui dėl iškeltos bankroto bylos, pradėtos likvidavimo procedūros ir pan. padėties, tiekėjas gali pakeisti subrangovus. Apie tai jis turi raštu  informuoti perkančiąją organizaciją per 3 (tris) darbo dienas. Gavusi tokį pranešimą, perkančioji organizacija kartu su tiekėju sudaro susitarimą dėl subrangovų pakeitimo, kurį pasirašo abi šalys. Nauji subrangovai turi būti atitikti tiekėjui nustatytus kvalifikacinius reikalavimus. Susitarimas dėl subrangovų pakeitimo ar naujų tiekėjų pasitelkimo pasirašomas tik perkančiajai organizacijai patvirtinus, kad subrangovų kvalifikacija atitinka pirkimo dokumentuose nustatytus kvalifikacijos reikalavimus. Šie dokumentai yra neatskiriama Sutarties dalis.</w:t>
      </w:r>
      <w:r w:rsidR="002B0A06">
        <w:rPr>
          <w:sz w:val="24"/>
          <w:szCs w:val="24"/>
          <w:lang w:val="lt-LT"/>
        </w:rPr>
        <w:t>“</w:t>
      </w:r>
      <w:r w:rsidR="00EE24AC" w:rsidRPr="002B0A06">
        <w:rPr>
          <w:sz w:val="24"/>
          <w:szCs w:val="24"/>
          <w:lang w:val="lt-LT"/>
        </w:rPr>
        <w:t xml:space="preserve">, be to, Pirkimo dokumentų 5.4 punkte nustatyta, kad </w:t>
      </w:r>
      <w:r w:rsidR="002B0A06" w:rsidRPr="002B0A06">
        <w:rPr>
          <w:sz w:val="24"/>
          <w:szCs w:val="24"/>
          <w:lang w:val="lt-LT"/>
        </w:rPr>
        <w:t xml:space="preserve">5.2 ir 5.3 punktuose </w:t>
      </w:r>
      <w:r w:rsidR="002B0A06" w:rsidRPr="002B0A06">
        <w:rPr>
          <w:bCs/>
          <w:sz w:val="24"/>
          <w:szCs w:val="24"/>
          <w:lang w:val="lt-LT"/>
        </w:rPr>
        <w:t>nustatytų reikalavimų nesilaikymas vykdant pirkimo sutartį yra esminis pirkimo sutarties pažeidimas. Tai neužtikrina Įstatymo 24 straipsnio 8 dalies nuostatų</w:t>
      </w:r>
      <w:r w:rsidR="002B0A06">
        <w:rPr>
          <w:bCs/>
          <w:sz w:val="24"/>
          <w:szCs w:val="24"/>
          <w:lang w:val="lt-LT"/>
        </w:rPr>
        <w:t xml:space="preserve"> laikymosi</w:t>
      </w:r>
      <w:r w:rsidR="002B0A06" w:rsidRPr="002B0A06">
        <w:rPr>
          <w:bCs/>
          <w:sz w:val="24"/>
          <w:szCs w:val="24"/>
          <w:lang w:val="lt-LT"/>
        </w:rPr>
        <w:t>.</w:t>
      </w:r>
      <w:r w:rsidR="007F494E" w:rsidRPr="007F494E">
        <w:rPr>
          <w:sz w:val="24"/>
          <w:szCs w:val="24"/>
          <w:lang w:val="lt-LT"/>
        </w:rPr>
        <w:t xml:space="preserve"> </w:t>
      </w:r>
      <w:r w:rsidR="007F494E">
        <w:rPr>
          <w:sz w:val="24"/>
          <w:szCs w:val="24"/>
          <w:lang w:val="lt-LT"/>
        </w:rPr>
        <w:t xml:space="preserve">Taip pat </w:t>
      </w:r>
      <w:r w:rsidR="007F494E" w:rsidRPr="002B0A06">
        <w:rPr>
          <w:sz w:val="24"/>
          <w:szCs w:val="24"/>
          <w:lang w:val="lt-LT"/>
        </w:rPr>
        <w:t>Tarnyba rekomenduoja patikslinti Pirkimo dokumentus</w:t>
      </w:r>
      <w:r w:rsidR="007F494E">
        <w:rPr>
          <w:sz w:val="24"/>
          <w:szCs w:val="24"/>
          <w:lang w:val="lt-LT"/>
        </w:rPr>
        <w:t xml:space="preserve"> nustatant aiškius ir tikslius pagrindus, kuriems esant tiekėjas turi teisę keisti subrangovus, o kuriems esant pasitelkti papildomus naujus subrangovus.</w:t>
      </w:r>
    </w:p>
    <w:p w:rsidR="00B1787D" w:rsidRPr="002B0A06" w:rsidRDefault="00693FF7" w:rsidP="00113F9F">
      <w:pPr>
        <w:ind w:firstLine="720"/>
        <w:jc w:val="both"/>
        <w:rPr>
          <w:sz w:val="24"/>
          <w:szCs w:val="24"/>
          <w:lang w:val="lt-LT"/>
        </w:rPr>
      </w:pPr>
      <w:r w:rsidRPr="002B0A06">
        <w:rPr>
          <w:sz w:val="24"/>
          <w:szCs w:val="24"/>
          <w:lang w:val="lt-LT"/>
        </w:rPr>
        <w:t>6</w:t>
      </w:r>
      <w:r w:rsidR="00B1787D" w:rsidRPr="002B0A06">
        <w:rPr>
          <w:sz w:val="24"/>
          <w:szCs w:val="24"/>
          <w:lang w:val="lt-LT"/>
        </w:rPr>
        <w:t xml:space="preserve">. </w:t>
      </w:r>
      <w:r w:rsidR="00716EC5" w:rsidRPr="002B0A06">
        <w:rPr>
          <w:sz w:val="24"/>
          <w:szCs w:val="24"/>
          <w:lang w:val="lt-LT"/>
        </w:rPr>
        <w:t xml:space="preserve">Pirkimo dokumentų 6.2 punkte </w:t>
      </w:r>
      <w:r w:rsidR="003B73C1">
        <w:rPr>
          <w:sz w:val="24"/>
          <w:szCs w:val="24"/>
          <w:lang w:val="lt-LT"/>
        </w:rPr>
        <w:t>nustatyta</w:t>
      </w:r>
      <w:r w:rsidR="00716EC5" w:rsidRPr="002B0A06">
        <w:rPr>
          <w:sz w:val="24"/>
          <w:szCs w:val="24"/>
          <w:lang w:val="lt-LT"/>
        </w:rPr>
        <w:t>, kad „</w:t>
      </w:r>
      <w:r w:rsidR="003B73C1" w:rsidRPr="00113F9F">
        <w:rPr>
          <w:sz w:val="24"/>
          <w:szCs w:val="24"/>
          <w:lang w:val="lt-LT"/>
        </w:rPr>
        <w:t xml:space="preserve">Kiekvienas tiekėjas gali pateikti tik vieną paraišką ir (ar) pasiūlymą – individualiai arba kaip ūkio subjekto grupės dalyvis. Jei tiekėjas pateikia daugiau kaip vieną paraišką ir (ar) pasiūlymą arba ūkio subjektų grupės dalyvis dalyvauja teikiant kelias paraiškas ir (ar) pasiūlymus, tiekėjo visi paraiškos ir (ar) pasiūlymai bus atmesti”, tačiau nenurodytos subrangovų dalyvavimo galimybės (draudimai) keliose paraiškose / pasiūlymuose, pavyzdžiui ar tiekėjas teikiantis pasiūlymą individualiai arba kaip ūkio subjekto grupės dalyvis, gali būti kito tiekėjo pasiūlyme nurodytas kaip subrangovas. </w:t>
      </w:r>
      <w:r w:rsidR="00716EC5" w:rsidRPr="002B0A06">
        <w:rPr>
          <w:sz w:val="24"/>
          <w:szCs w:val="24"/>
          <w:lang w:val="lt-LT"/>
        </w:rPr>
        <w:t>Tarnyba</w:t>
      </w:r>
      <w:r w:rsidR="00E374F0">
        <w:rPr>
          <w:sz w:val="24"/>
          <w:szCs w:val="24"/>
          <w:lang w:val="lt-LT"/>
        </w:rPr>
        <w:t>, atsižve</w:t>
      </w:r>
      <w:r w:rsidR="00113F9F">
        <w:rPr>
          <w:sz w:val="24"/>
          <w:szCs w:val="24"/>
          <w:lang w:val="lt-LT"/>
        </w:rPr>
        <w:t>l</w:t>
      </w:r>
      <w:r w:rsidR="00E374F0">
        <w:rPr>
          <w:sz w:val="24"/>
          <w:szCs w:val="24"/>
          <w:lang w:val="lt-LT"/>
        </w:rPr>
        <w:t>gdama į Įstatymo 24 straipsnio 8 dalies nuostatas</w:t>
      </w:r>
      <w:r w:rsidR="00716EC5" w:rsidRPr="002B0A06">
        <w:rPr>
          <w:sz w:val="24"/>
          <w:szCs w:val="24"/>
          <w:lang w:val="lt-LT"/>
        </w:rPr>
        <w:t xml:space="preserve"> rekomenduoja patikslinti </w:t>
      </w:r>
      <w:r w:rsidR="003B73C1">
        <w:rPr>
          <w:sz w:val="24"/>
          <w:szCs w:val="24"/>
          <w:lang w:val="lt-LT"/>
        </w:rPr>
        <w:t>P</w:t>
      </w:r>
      <w:r w:rsidR="003B73C1" w:rsidRPr="002B0A06">
        <w:rPr>
          <w:sz w:val="24"/>
          <w:szCs w:val="24"/>
          <w:lang w:val="lt-LT"/>
        </w:rPr>
        <w:t xml:space="preserve">irkimo </w:t>
      </w:r>
      <w:r w:rsidR="00716EC5" w:rsidRPr="002B0A06">
        <w:rPr>
          <w:sz w:val="24"/>
          <w:szCs w:val="24"/>
          <w:lang w:val="lt-LT"/>
        </w:rPr>
        <w:t>dokumentų 6.2 punktą</w:t>
      </w:r>
      <w:r w:rsidR="00E374F0">
        <w:rPr>
          <w:sz w:val="24"/>
          <w:szCs w:val="24"/>
          <w:lang w:val="lt-LT"/>
        </w:rPr>
        <w:t>, numatant subrangovų dalyvavimą keliuose pasiūlymuose.</w:t>
      </w:r>
      <w:r w:rsidR="00716EC5" w:rsidRPr="002B0A06">
        <w:rPr>
          <w:sz w:val="24"/>
          <w:szCs w:val="24"/>
          <w:lang w:val="lt-LT"/>
        </w:rPr>
        <w:t>.</w:t>
      </w:r>
    </w:p>
    <w:p w:rsidR="00716EC5" w:rsidRPr="002B0A06" w:rsidRDefault="00693FF7" w:rsidP="00113F9F">
      <w:pPr>
        <w:ind w:firstLine="720"/>
        <w:jc w:val="both"/>
        <w:rPr>
          <w:sz w:val="24"/>
          <w:szCs w:val="24"/>
          <w:lang w:val="lt-LT"/>
        </w:rPr>
      </w:pPr>
      <w:r w:rsidRPr="002B0A06">
        <w:rPr>
          <w:sz w:val="24"/>
          <w:szCs w:val="24"/>
          <w:lang w:val="lt-LT"/>
        </w:rPr>
        <w:t>7</w:t>
      </w:r>
      <w:r w:rsidR="00716EC5" w:rsidRPr="002B0A06">
        <w:rPr>
          <w:sz w:val="24"/>
          <w:szCs w:val="24"/>
          <w:lang w:val="lt-LT"/>
        </w:rPr>
        <w:t>. Pirkimo dokumentų 9.1 punkte nurodyta, kad kvietime bus nurodytas tikslus pasiūlymų pateikimo terminas, tačiau nėra nurodytas minimalus terminas nuo kvietimo išsiuntimo iki pasiūlymo pateikimo</w:t>
      </w:r>
      <w:r w:rsidR="00E374F0">
        <w:rPr>
          <w:sz w:val="24"/>
          <w:szCs w:val="24"/>
          <w:lang w:val="lt-LT"/>
        </w:rPr>
        <w:t xml:space="preserve">, </w:t>
      </w:r>
      <w:r w:rsidR="00CF5173">
        <w:rPr>
          <w:sz w:val="24"/>
          <w:szCs w:val="24"/>
          <w:lang w:val="lt-LT"/>
        </w:rPr>
        <w:t>kur</w:t>
      </w:r>
      <w:r w:rsidR="00CF5173">
        <w:rPr>
          <w:sz w:val="24"/>
          <w:szCs w:val="24"/>
          <w:lang w:val="lt-LT"/>
        </w:rPr>
        <w:t>į</w:t>
      </w:r>
      <w:r w:rsidR="00CF5173">
        <w:rPr>
          <w:sz w:val="24"/>
          <w:szCs w:val="24"/>
          <w:lang w:val="lt-LT"/>
        </w:rPr>
        <w:t xml:space="preserve"> </w:t>
      </w:r>
      <w:r w:rsidR="00E374F0">
        <w:rPr>
          <w:sz w:val="24"/>
          <w:szCs w:val="24"/>
          <w:lang w:val="lt-LT"/>
        </w:rPr>
        <w:t>taikys perkančioji organizacija, taip pat nenurodyta, kokią informaciją nurodys perkančioji organizacija kvietime pateikti pasiūlymą apie kvalifikacinės atrankos rezultatus.</w:t>
      </w:r>
    </w:p>
    <w:p w:rsidR="00DB3231" w:rsidRPr="002B0A06" w:rsidRDefault="00DB3231" w:rsidP="00113F9F">
      <w:pPr>
        <w:ind w:firstLine="720"/>
        <w:jc w:val="both"/>
        <w:rPr>
          <w:sz w:val="24"/>
          <w:szCs w:val="24"/>
          <w:lang w:val="lt-LT"/>
        </w:rPr>
      </w:pPr>
      <w:r w:rsidRPr="002B0A06">
        <w:rPr>
          <w:sz w:val="24"/>
          <w:szCs w:val="24"/>
          <w:lang w:val="lt-LT"/>
        </w:rPr>
        <w:t xml:space="preserve">Tarnyba neprieštarauja, kad perkančioji organizacija tęstų Pirkimo procedūras, tik pakeitusi Pirkimo dokumentų nuostatas, neatitinkančias Įstatymo reikalavimų (Išvados </w:t>
      </w:r>
      <w:r w:rsidR="00673374" w:rsidRPr="002B0A06">
        <w:rPr>
          <w:sz w:val="24"/>
          <w:szCs w:val="24"/>
          <w:lang w:val="lt-LT"/>
        </w:rPr>
        <w:t>1,</w:t>
      </w:r>
      <w:r w:rsidR="0019670E" w:rsidRPr="002B0A06">
        <w:rPr>
          <w:sz w:val="24"/>
          <w:szCs w:val="24"/>
          <w:lang w:val="lt-LT"/>
        </w:rPr>
        <w:t xml:space="preserve"> </w:t>
      </w:r>
      <w:r w:rsidR="00673374" w:rsidRPr="002B0A06">
        <w:rPr>
          <w:sz w:val="24"/>
          <w:szCs w:val="24"/>
          <w:lang w:val="lt-LT"/>
        </w:rPr>
        <w:t>2,</w:t>
      </w:r>
      <w:r w:rsidR="0019670E" w:rsidRPr="002B0A06">
        <w:rPr>
          <w:sz w:val="24"/>
          <w:szCs w:val="24"/>
          <w:lang w:val="lt-LT"/>
        </w:rPr>
        <w:t xml:space="preserve"> </w:t>
      </w:r>
      <w:r w:rsidRPr="002B0A06">
        <w:rPr>
          <w:sz w:val="24"/>
          <w:szCs w:val="24"/>
          <w:lang w:val="lt-LT"/>
        </w:rPr>
        <w:t>3</w:t>
      </w:r>
      <w:r w:rsidR="006D0E66">
        <w:rPr>
          <w:sz w:val="24"/>
          <w:szCs w:val="24"/>
          <w:lang w:val="lt-LT"/>
        </w:rPr>
        <w:t>, 4 ir 5</w:t>
      </w:r>
      <w:r w:rsidRPr="002B0A06">
        <w:rPr>
          <w:sz w:val="24"/>
          <w:szCs w:val="24"/>
          <w:lang w:val="lt-LT"/>
        </w:rPr>
        <w:t xml:space="preserve"> punkta</w:t>
      </w:r>
      <w:r w:rsidR="00673374" w:rsidRPr="002B0A06">
        <w:rPr>
          <w:sz w:val="24"/>
          <w:szCs w:val="24"/>
          <w:lang w:val="lt-LT"/>
        </w:rPr>
        <w:t>i</w:t>
      </w:r>
      <w:r w:rsidRPr="002B0A06">
        <w:rPr>
          <w:sz w:val="24"/>
          <w:szCs w:val="24"/>
          <w:lang w:val="lt-LT"/>
        </w:rPr>
        <w:t>), vadovaudamasi Įstatymo 27 straipsnio nustatyta tvarka.</w:t>
      </w:r>
    </w:p>
    <w:p w:rsidR="009C11AF" w:rsidRPr="002B0A06" w:rsidRDefault="009C11AF" w:rsidP="001A1540">
      <w:pPr>
        <w:tabs>
          <w:tab w:val="left" w:pos="697"/>
        </w:tabs>
        <w:jc w:val="both"/>
        <w:rPr>
          <w:sz w:val="24"/>
          <w:szCs w:val="24"/>
          <w:lang w:val="lt-LT"/>
        </w:rPr>
      </w:pPr>
    </w:p>
    <w:p w:rsidR="009C11AF" w:rsidRPr="002B0A06" w:rsidRDefault="009C11AF" w:rsidP="001A1540">
      <w:pPr>
        <w:pStyle w:val="Normal12pt"/>
        <w:ind w:right="0"/>
      </w:pPr>
    </w:p>
    <w:p w:rsidR="007D762D" w:rsidRPr="002B0A06" w:rsidRDefault="007D762D" w:rsidP="001A1540">
      <w:pPr>
        <w:pStyle w:val="Normal12pt"/>
        <w:tabs>
          <w:tab w:val="left" w:pos="1247"/>
          <w:tab w:val="left" w:pos="9355"/>
        </w:tabs>
        <w:ind w:right="0"/>
      </w:pPr>
    </w:p>
    <w:tbl>
      <w:tblPr>
        <w:tblW w:w="9828" w:type="dxa"/>
        <w:tblLook w:val="01E0"/>
      </w:tblPr>
      <w:tblGrid>
        <w:gridCol w:w="4704"/>
        <w:gridCol w:w="5124"/>
      </w:tblGrid>
      <w:tr w:rsidR="00181535" w:rsidRPr="002B0A06" w:rsidTr="002B049B">
        <w:trPr>
          <w:trHeight w:val="224"/>
        </w:trPr>
        <w:tc>
          <w:tcPr>
            <w:tcW w:w="4704" w:type="dxa"/>
          </w:tcPr>
          <w:p w:rsidR="002D6510" w:rsidRPr="002B0A06" w:rsidRDefault="002D6510" w:rsidP="002D6510">
            <w:pPr>
              <w:pStyle w:val="BodyText"/>
              <w:tabs>
                <w:tab w:val="left" w:pos="720"/>
              </w:tabs>
              <w:jc w:val="left"/>
              <w:rPr>
                <w:sz w:val="24"/>
                <w:szCs w:val="24"/>
              </w:rPr>
            </w:pPr>
            <w:r w:rsidRPr="002B0A06">
              <w:rPr>
                <w:bCs/>
                <w:sz w:val="24"/>
                <w:szCs w:val="24"/>
              </w:rPr>
              <w:t>Direktori</w:t>
            </w:r>
            <w:r w:rsidR="00181535" w:rsidRPr="002B0A06">
              <w:rPr>
                <w:bCs/>
                <w:sz w:val="24"/>
                <w:szCs w:val="24"/>
              </w:rPr>
              <w:t xml:space="preserve">us </w:t>
            </w:r>
          </w:p>
          <w:p w:rsidR="00181535" w:rsidRPr="002B0A06" w:rsidRDefault="00181535">
            <w:pPr>
              <w:pStyle w:val="BodyText"/>
              <w:tabs>
                <w:tab w:val="left" w:pos="720"/>
              </w:tabs>
              <w:jc w:val="left"/>
              <w:rPr>
                <w:sz w:val="24"/>
                <w:szCs w:val="24"/>
              </w:rPr>
            </w:pPr>
          </w:p>
        </w:tc>
        <w:tc>
          <w:tcPr>
            <w:tcW w:w="5124" w:type="dxa"/>
          </w:tcPr>
          <w:p w:rsidR="00181535" w:rsidRPr="002B0A06" w:rsidRDefault="002D6510">
            <w:pPr>
              <w:pStyle w:val="BodyText"/>
              <w:tabs>
                <w:tab w:val="left" w:pos="720"/>
              </w:tabs>
              <w:ind w:right="-27"/>
              <w:jc w:val="right"/>
              <w:rPr>
                <w:sz w:val="24"/>
                <w:szCs w:val="24"/>
              </w:rPr>
            </w:pPr>
            <w:r w:rsidRPr="002B0A06">
              <w:rPr>
                <w:sz w:val="24"/>
                <w:szCs w:val="24"/>
              </w:rPr>
              <w:t>Žydrūnas Plytnikas</w:t>
            </w:r>
          </w:p>
        </w:tc>
      </w:tr>
    </w:tbl>
    <w:p w:rsidR="007D762D" w:rsidRPr="002B0A06" w:rsidRDefault="007D762D" w:rsidP="001A1540">
      <w:pPr>
        <w:jc w:val="both"/>
        <w:rPr>
          <w:sz w:val="24"/>
          <w:szCs w:val="24"/>
          <w:lang w:val="lt-LT"/>
        </w:rPr>
      </w:pPr>
    </w:p>
    <w:p w:rsidR="007D762D" w:rsidRPr="002B0A06" w:rsidRDefault="007D762D" w:rsidP="001A1540">
      <w:pPr>
        <w:jc w:val="both"/>
        <w:rPr>
          <w:sz w:val="24"/>
          <w:szCs w:val="24"/>
          <w:lang w:val="lt-LT"/>
        </w:rPr>
      </w:pPr>
    </w:p>
    <w:p w:rsidR="006C35A3" w:rsidRPr="002B0A06" w:rsidRDefault="006C35A3" w:rsidP="001A1540">
      <w:pPr>
        <w:jc w:val="both"/>
        <w:rPr>
          <w:sz w:val="24"/>
          <w:szCs w:val="24"/>
          <w:lang w:val="lt-LT"/>
        </w:rPr>
      </w:pPr>
    </w:p>
    <w:p w:rsidR="006C35A3" w:rsidRPr="002B0A06" w:rsidRDefault="006C35A3" w:rsidP="001A1540">
      <w:pPr>
        <w:jc w:val="both"/>
        <w:rPr>
          <w:sz w:val="24"/>
          <w:szCs w:val="24"/>
          <w:lang w:val="lt-LT"/>
        </w:rPr>
      </w:pPr>
    </w:p>
    <w:p w:rsidR="006C35A3" w:rsidRPr="002B0A06" w:rsidRDefault="006C35A3" w:rsidP="001A1540">
      <w:pPr>
        <w:jc w:val="both"/>
        <w:rPr>
          <w:sz w:val="24"/>
          <w:szCs w:val="24"/>
          <w:lang w:val="lt-LT"/>
        </w:rPr>
      </w:pPr>
    </w:p>
    <w:p w:rsidR="00F65BD8" w:rsidRPr="002B0A06" w:rsidRDefault="00F65BD8" w:rsidP="001A1540">
      <w:pPr>
        <w:jc w:val="both"/>
        <w:rPr>
          <w:sz w:val="24"/>
          <w:szCs w:val="24"/>
          <w:lang w:val="lt-LT"/>
        </w:rPr>
      </w:pPr>
    </w:p>
    <w:p w:rsidR="00F65BD8" w:rsidRPr="002B0A06" w:rsidRDefault="00E20B25" w:rsidP="001A1540">
      <w:pPr>
        <w:jc w:val="both"/>
        <w:rPr>
          <w:sz w:val="24"/>
          <w:szCs w:val="24"/>
          <w:lang w:val="lt-LT"/>
        </w:rPr>
      </w:pPr>
      <w:r w:rsidRPr="002B0A06">
        <w:rPr>
          <w:bCs/>
          <w:sz w:val="24"/>
          <w:szCs w:val="24"/>
          <w:lang w:val="lt-LT"/>
        </w:rPr>
        <w:t xml:space="preserve">Tomas Ilčiukas, (8 5) 219 7037, el. p. </w:t>
      </w:r>
      <w:hyperlink r:id="rId10" w:history="1">
        <w:r w:rsidRPr="002B0A06">
          <w:rPr>
            <w:rStyle w:val="Hyperlink"/>
            <w:bCs/>
            <w:color w:val="auto"/>
            <w:sz w:val="24"/>
            <w:szCs w:val="24"/>
            <w:u w:val="none"/>
            <w:lang w:val="lt-LT"/>
          </w:rPr>
          <w:t>Tomas.Ilciukas@vpt.lt</w:t>
        </w:r>
      </w:hyperlink>
    </w:p>
    <w:sectPr w:rsidR="00F65BD8" w:rsidRPr="002B0A06" w:rsidSect="00547F92">
      <w:headerReference w:type="even" r:id="rId11"/>
      <w:headerReference w:type="default" r:id="rId12"/>
      <w:footerReference w:type="default" r:id="rId13"/>
      <w:footerReference w:type="first" r:id="rId14"/>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EF5" w:rsidRDefault="007E1EF5">
      <w:r>
        <w:separator/>
      </w:r>
    </w:p>
  </w:endnote>
  <w:endnote w:type="continuationSeparator" w:id="0">
    <w:p w:rsidR="007E1EF5" w:rsidRDefault="007E1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66" w:rsidRDefault="006D0E66">
    <w:pPr>
      <w:pStyle w:val="Footer"/>
    </w:pPr>
  </w:p>
  <w:p w:rsidR="006D0E66" w:rsidRDefault="006D0E66">
    <w:pPr>
      <w:pStyle w:val="Footer"/>
    </w:pPr>
  </w:p>
  <w:p w:rsidR="006D0E66" w:rsidRDefault="006D0E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66" w:rsidRPr="00B20F3B" w:rsidRDefault="006D0E66" w:rsidP="007D762D">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w:t>
    </w:r>
    <w:r>
      <w:rPr>
        <w:sz w:val="18"/>
        <w:lang w:val="lt-LT"/>
      </w:rPr>
      <w:t xml:space="preserve">  </w:t>
    </w:r>
    <w:r w:rsidRPr="00B20F3B">
      <w:rPr>
        <w:sz w:val="18"/>
        <w:lang w:val="lt-LT"/>
      </w:rPr>
      <w:t xml:space="preserve">      Tel.  (8 5) 219 7001             </w:t>
    </w:r>
    <w:r>
      <w:rPr>
        <w:sz w:val="18"/>
        <w:lang w:val="lt-LT"/>
      </w:rPr>
      <w:t xml:space="preserve">   </w:t>
    </w:r>
    <w:r w:rsidRPr="00B20F3B">
      <w:rPr>
        <w:sz w:val="18"/>
        <w:lang w:val="lt-LT"/>
      </w:rPr>
      <w:t xml:space="preserve">                  Duomenys kaupiami ir saugomi                             </w:t>
    </w:r>
  </w:p>
  <w:p w:rsidR="006D0E66" w:rsidRPr="00B20F3B" w:rsidRDefault="006D0E66" w:rsidP="007D762D">
    <w:pPr>
      <w:pBdr>
        <w:top w:val="single" w:sz="4" w:space="1" w:color="auto"/>
      </w:pBdr>
      <w:jc w:val="both"/>
      <w:rPr>
        <w:sz w:val="18"/>
        <w:lang w:val="lt-LT"/>
      </w:rPr>
    </w:pPr>
    <w:r w:rsidRPr="00B20F3B">
      <w:rPr>
        <w:sz w:val="18"/>
        <w:lang w:val="lt-LT"/>
      </w:rPr>
      <w:t xml:space="preserve">Kareivių g. 1, LT-08221 Vilnius                                    Faks. (8 5) 213 6213        </w:t>
    </w:r>
    <w:r>
      <w:rPr>
        <w:sz w:val="18"/>
        <w:lang w:val="lt-LT"/>
      </w:rPr>
      <w:t xml:space="preserve"> </w:t>
    </w:r>
    <w:r w:rsidRPr="00B20F3B">
      <w:rPr>
        <w:sz w:val="18"/>
        <w:lang w:val="lt-LT"/>
      </w:rPr>
      <w:t xml:space="preserve">               Juridinių asmenų registre </w:t>
    </w:r>
  </w:p>
  <w:p w:rsidR="006D0E66" w:rsidRDefault="006D0E66" w:rsidP="007D762D">
    <w:pPr>
      <w:pBdr>
        <w:top w:val="single" w:sz="4" w:space="1" w:color="auto"/>
      </w:pBdr>
      <w:jc w:val="both"/>
      <w:rPr>
        <w:sz w:val="18"/>
        <w:lang w:val="lt-LT"/>
      </w:rPr>
    </w:pPr>
    <w:r w:rsidRPr="00B20F3B">
      <w:rPr>
        <w:sz w:val="18"/>
        <w:lang w:val="lt-LT"/>
      </w:rPr>
      <w:t>http://www.vpt.lt                                                          El.</w:t>
    </w:r>
    <w:r>
      <w:rPr>
        <w:sz w:val="18"/>
        <w:lang w:val="lt-LT"/>
      </w:rPr>
      <w:t xml:space="preserve"> </w:t>
    </w:r>
    <w:r w:rsidRPr="00B20F3B">
      <w:rPr>
        <w:sz w:val="18"/>
        <w:lang w:val="lt-LT"/>
      </w:rPr>
      <w:t xml:space="preserve">p. info@vpt.lt                             </w:t>
    </w:r>
    <w:r>
      <w:rPr>
        <w:sz w:val="18"/>
      </w:rPr>
      <w:t>Kodas 188656261</w:t>
    </w:r>
  </w:p>
  <w:p w:rsidR="006D0E66" w:rsidRPr="00B20F3B" w:rsidRDefault="006D0E66" w:rsidP="007D762D">
    <w:pPr>
      <w:pBdr>
        <w:top w:val="single" w:sz="4" w:space="1" w:color="auto"/>
      </w:pBdr>
      <w:jc w:val="both"/>
      <w:rPr>
        <w:sz w:val="18"/>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EF5" w:rsidRDefault="007E1EF5">
      <w:r>
        <w:separator/>
      </w:r>
    </w:p>
  </w:footnote>
  <w:footnote w:type="continuationSeparator" w:id="0">
    <w:p w:rsidR="007E1EF5" w:rsidRDefault="007E1E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66" w:rsidRDefault="00B66C97">
    <w:pPr>
      <w:pStyle w:val="Header"/>
      <w:framePr w:wrap="around" w:vAnchor="text" w:hAnchor="margin" w:xAlign="center" w:y="1"/>
      <w:rPr>
        <w:rStyle w:val="PageNumber"/>
      </w:rPr>
    </w:pPr>
    <w:r>
      <w:rPr>
        <w:rStyle w:val="PageNumber"/>
      </w:rPr>
      <w:fldChar w:fldCharType="begin"/>
    </w:r>
    <w:r w:rsidR="006D0E66">
      <w:rPr>
        <w:rStyle w:val="PageNumber"/>
      </w:rPr>
      <w:instrText xml:space="preserve">PAGE  </w:instrText>
    </w:r>
    <w:r>
      <w:rPr>
        <w:rStyle w:val="PageNumber"/>
      </w:rPr>
      <w:fldChar w:fldCharType="end"/>
    </w:r>
  </w:p>
  <w:p w:rsidR="006D0E66" w:rsidRDefault="006D0E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E66" w:rsidRDefault="00B66C97">
    <w:pPr>
      <w:pStyle w:val="Header"/>
      <w:framePr w:wrap="around" w:vAnchor="text" w:hAnchor="margin" w:xAlign="center" w:y="1"/>
      <w:rPr>
        <w:rStyle w:val="PageNumber"/>
      </w:rPr>
    </w:pPr>
    <w:r>
      <w:rPr>
        <w:rStyle w:val="PageNumber"/>
      </w:rPr>
      <w:fldChar w:fldCharType="begin"/>
    </w:r>
    <w:r w:rsidR="006D0E66">
      <w:rPr>
        <w:rStyle w:val="PageNumber"/>
      </w:rPr>
      <w:instrText xml:space="preserve">PAGE  </w:instrText>
    </w:r>
    <w:r>
      <w:rPr>
        <w:rStyle w:val="PageNumber"/>
      </w:rPr>
      <w:fldChar w:fldCharType="separate"/>
    </w:r>
    <w:r w:rsidR="00CF5173">
      <w:rPr>
        <w:rStyle w:val="PageNumber"/>
        <w:noProof/>
      </w:rPr>
      <w:t>2</w:t>
    </w:r>
    <w:r>
      <w:rPr>
        <w:rStyle w:val="PageNumber"/>
      </w:rPr>
      <w:fldChar w:fldCharType="end"/>
    </w:r>
  </w:p>
  <w:p w:rsidR="006D0E66" w:rsidRDefault="006D0E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9">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3">
    <w:nsid w:val="6E4937AA"/>
    <w:multiLevelType w:val="hybridMultilevel"/>
    <w:tmpl w:val="8362F010"/>
    <w:lvl w:ilvl="0" w:tplc="350EB940">
      <w:start w:val="1"/>
      <w:numFmt w:val="decimal"/>
      <w:lvlText w:val="%1."/>
      <w:lvlJc w:val="left"/>
      <w:pPr>
        <w:ind w:left="1826" w:hanging="1095"/>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4">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5"/>
  </w:num>
  <w:num w:numId="2">
    <w:abstractNumId w:val="8"/>
  </w:num>
  <w:num w:numId="3">
    <w:abstractNumId w:val="10"/>
  </w:num>
  <w:num w:numId="4">
    <w:abstractNumId w:val="11"/>
  </w:num>
  <w:num w:numId="5">
    <w:abstractNumId w:val="1"/>
  </w:num>
  <w:num w:numId="6">
    <w:abstractNumId w:val="9"/>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6"/>
  </w:num>
  <w:num w:numId="12">
    <w:abstractNumId w:val="7"/>
  </w:num>
  <w:num w:numId="13">
    <w:abstractNumId w:val="4"/>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trackRevisions/>
  <w:defaultTabStop w:val="1298"/>
  <w:hyphenationZone w:val="396"/>
  <w:characterSpacingControl w:val="doNotCompress"/>
  <w:footnotePr>
    <w:footnote w:id="-1"/>
    <w:footnote w:id="0"/>
  </w:footnotePr>
  <w:endnotePr>
    <w:endnote w:id="-1"/>
    <w:endnote w:id="0"/>
  </w:endnotePr>
  <w:compat/>
  <w:rsids>
    <w:rsidRoot w:val="007D762D"/>
    <w:rsid w:val="0000032B"/>
    <w:rsid w:val="00023321"/>
    <w:rsid w:val="00026391"/>
    <w:rsid w:val="00035411"/>
    <w:rsid w:val="000513D8"/>
    <w:rsid w:val="00062125"/>
    <w:rsid w:val="00062F96"/>
    <w:rsid w:val="000776C1"/>
    <w:rsid w:val="00080F5E"/>
    <w:rsid w:val="0008110B"/>
    <w:rsid w:val="00083F95"/>
    <w:rsid w:val="00084AB1"/>
    <w:rsid w:val="000C18FB"/>
    <w:rsid w:val="000E232E"/>
    <w:rsid w:val="000E5C0F"/>
    <w:rsid w:val="000E681C"/>
    <w:rsid w:val="00104CA8"/>
    <w:rsid w:val="00113F9F"/>
    <w:rsid w:val="00114B6E"/>
    <w:rsid w:val="00115210"/>
    <w:rsid w:val="00115F8E"/>
    <w:rsid w:val="00124543"/>
    <w:rsid w:val="00125134"/>
    <w:rsid w:val="0013758E"/>
    <w:rsid w:val="00144BC8"/>
    <w:rsid w:val="00144FA4"/>
    <w:rsid w:val="00146A79"/>
    <w:rsid w:val="00151FFF"/>
    <w:rsid w:val="00152688"/>
    <w:rsid w:val="0015719B"/>
    <w:rsid w:val="00165173"/>
    <w:rsid w:val="00167C76"/>
    <w:rsid w:val="00176B98"/>
    <w:rsid w:val="00181535"/>
    <w:rsid w:val="00182EB9"/>
    <w:rsid w:val="001906D3"/>
    <w:rsid w:val="00190B8D"/>
    <w:rsid w:val="00191C2F"/>
    <w:rsid w:val="001966DC"/>
    <w:rsid w:val="0019670E"/>
    <w:rsid w:val="001A1540"/>
    <w:rsid w:val="001D1213"/>
    <w:rsid w:val="001D1C14"/>
    <w:rsid w:val="001E6F38"/>
    <w:rsid w:val="001F238D"/>
    <w:rsid w:val="001F3D82"/>
    <w:rsid w:val="0020108B"/>
    <w:rsid w:val="00201FB9"/>
    <w:rsid w:val="002155AF"/>
    <w:rsid w:val="00220BB0"/>
    <w:rsid w:val="00223F52"/>
    <w:rsid w:val="00226E37"/>
    <w:rsid w:val="00232A76"/>
    <w:rsid w:val="0024552D"/>
    <w:rsid w:val="0024781E"/>
    <w:rsid w:val="00260667"/>
    <w:rsid w:val="00262A96"/>
    <w:rsid w:val="00283A05"/>
    <w:rsid w:val="00292C10"/>
    <w:rsid w:val="00292F90"/>
    <w:rsid w:val="002A5D00"/>
    <w:rsid w:val="002B049B"/>
    <w:rsid w:val="002B0A06"/>
    <w:rsid w:val="002B4DAA"/>
    <w:rsid w:val="002D6510"/>
    <w:rsid w:val="002E0564"/>
    <w:rsid w:val="002F312E"/>
    <w:rsid w:val="002F42FB"/>
    <w:rsid w:val="00301BAC"/>
    <w:rsid w:val="00302FC7"/>
    <w:rsid w:val="003160F5"/>
    <w:rsid w:val="00325A4D"/>
    <w:rsid w:val="00325A81"/>
    <w:rsid w:val="003341FC"/>
    <w:rsid w:val="00351ADC"/>
    <w:rsid w:val="00354A6F"/>
    <w:rsid w:val="0038504B"/>
    <w:rsid w:val="003868A6"/>
    <w:rsid w:val="003902D7"/>
    <w:rsid w:val="00390F2B"/>
    <w:rsid w:val="003A474F"/>
    <w:rsid w:val="003B12C0"/>
    <w:rsid w:val="003B73C1"/>
    <w:rsid w:val="003C535C"/>
    <w:rsid w:val="003C5727"/>
    <w:rsid w:val="003F6EA5"/>
    <w:rsid w:val="0040716E"/>
    <w:rsid w:val="0041276D"/>
    <w:rsid w:val="004274CD"/>
    <w:rsid w:val="004416DA"/>
    <w:rsid w:val="00441D7E"/>
    <w:rsid w:val="0044786F"/>
    <w:rsid w:val="00451BDA"/>
    <w:rsid w:val="004542BB"/>
    <w:rsid w:val="00456587"/>
    <w:rsid w:val="00481F1F"/>
    <w:rsid w:val="0048588D"/>
    <w:rsid w:val="00486F3E"/>
    <w:rsid w:val="004910F7"/>
    <w:rsid w:val="004940FE"/>
    <w:rsid w:val="004B6A49"/>
    <w:rsid w:val="004D2C18"/>
    <w:rsid w:val="004D4003"/>
    <w:rsid w:val="004D52E0"/>
    <w:rsid w:val="004D7E04"/>
    <w:rsid w:val="004F20AF"/>
    <w:rsid w:val="004F297D"/>
    <w:rsid w:val="0050144B"/>
    <w:rsid w:val="00506F58"/>
    <w:rsid w:val="00514803"/>
    <w:rsid w:val="00516E62"/>
    <w:rsid w:val="00517A37"/>
    <w:rsid w:val="00523619"/>
    <w:rsid w:val="00524317"/>
    <w:rsid w:val="00533D05"/>
    <w:rsid w:val="00535A83"/>
    <w:rsid w:val="005367B7"/>
    <w:rsid w:val="005420FA"/>
    <w:rsid w:val="00544F34"/>
    <w:rsid w:val="00545B3C"/>
    <w:rsid w:val="00547F92"/>
    <w:rsid w:val="005519FF"/>
    <w:rsid w:val="0055328C"/>
    <w:rsid w:val="00555D3A"/>
    <w:rsid w:val="005617C6"/>
    <w:rsid w:val="00572D5D"/>
    <w:rsid w:val="00576F7C"/>
    <w:rsid w:val="005856F4"/>
    <w:rsid w:val="005B2B90"/>
    <w:rsid w:val="005C4D46"/>
    <w:rsid w:val="005C64FB"/>
    <w:rsid w:val="005E5E72"/>
    <w:rsid w:val="005F6A5E"/>
    <w:rsid w:val="00602262"/>
    <w:rsid w:val="006032A6"/>
    <w:rsid w:val="00603CD5"/>
    <w:rsid w:val="00606FB3"/>
    <w:rsid w:val="00622030"/>
    <w:rsid w:val="00634165"/>
    <w:rsid w:val="00636DCF"/>
    <w:rsid w:val="00637FA3"/>
    <w:rsid w:val="00650C92"/>
    <w:rsid w:val="00657E39"/>
    <w:rsid w:val="0066180A"/>
    <w:rsid w:val="00673374"/>
    <w:rsid w:val="00673E6C"/>
    <w:rsid w:val="00680A55"/>
    <w:rsid w:val="006900DF"/>
    <w:rsid w:val="00690222"/>
    <w:rsid w:val="00690857"/>
    <w:rsid w:val="00693FF7"/>
    <w:rsid w:val="006A096C"/>
    <w:rsid w:val="006A679D"/>
    <w:rsid w:val="006B5917"/>
    <w:rsid w:val="006C1B3C"/>
    <w:rsid w:val="006C35A3"/>
    <w:rsid w:val="006D0E66"/>
    <w:rsid w:val="006D24DB"/>
    <w:rsid w:val="006E3184"/>
    <w:rsid w:val="006E53A1"/>
    <w:rsid w:val="006E5C94"/>
    <w:rsid w:val="006F1B9B"/>
    <w:rsid w:val="006F647D"/>
    <w:rsid w:val="00716EC5"/>
    <w:rsid w:val="00732264"/>
    <w:rsid w:val="00732C9D"/>
    <w:rsid w:val="00754350"/>
    <w:rsid w:val="007630DF"/>
    <w:rsid w:val="00764725"/>
    <w:rsid w:val="00776A7B"/>
    <w:rsid w:val="007A29E0"/>
    <w:rsid w:val="007A29F9"/>
    <w:rsid w:val="007B192F"/>
    <w:rsid w:val="007B2ACB"/>
    <w:rsid w:val="007B49F1"/>
    <w:rsid w:val="007B52A9"/>
    <w:rsid w:val="007C28ED"/>
    <w:rsid w:val="007D2F8B"/>
    <w:rsid w:val="007D762D"/>
    <w:rsid w:val="007E1EF5"/>
    <w:rsid w:val="007E4BD8"/>
    <w:rsid w:val="007E7A84"/>
    <w:rsid w:val="007E7BFF"/>
    <w:rsid w:val="007F0DBD"/>
    <w:rsid w:val="007F494E"/>
    <w:rsid w:val="00801453"/>
    <w:rsid w:val="00806A73"/>
    <w:rsid w:val="00816D2D"/>
    <w:rsid w:val="00823939"/>
    <w:rsid w:val="0082755C"/>
    <w:rsid w:val="00837644"/>
    <w:rsid w:val="00843B2C"/>
    <w:rsid w:val="008453FF"/>
    <w:rsid w:val="00863949"/>
    <w:rsid w:val="008642A3"/>
    <w:rsid w:val="00864CF2"/>
    <w:rsid w:val="0086715D"/>
    <w:rsid w:val="00877042"/>
    <w:rsid w:val="00877D6E"/>
    <w:rsid w:val="00882299"/>
    <w:rsid w:val="008A13A2"/>
    <w:rsid w:val="008A453A"/>
    <w:rsid w:val="008B416B"/>
    <w:rsid w:val="008B670B"/>
    <w:rsid w:val="008C506A"/>
    <w:rsid w:val="008D0F39"/>
    <w:rsid w:val="008D5905"/>
    <w:rsid w:val="008D6406"/>
    <w:rsid w:val="008D67DD"/>
    <w:rsid w:val="008E30C0"/>
    <w:rsid w:val="008E7EA2"/>
    <w:rsid w:val="008F19A7"/>
    <w:rsid w:val="008F7387"/>
    <w:rsid w:val="00916050"/>
    <w:rsid w:val="00921F0F"/>
    <w:rsid w:val="00922F97"/>
    <w:rsid w:val="00927D59"/>
    <w:rsid w:val="00934DF6"/>
    <w:rsid w:val="00935E69"/>
    <w:rsid w:val="00937887"/>
    <w:rsid w:val="009400B2"/>
    <w:rsid w:val="0094110A"/>
    <w:rsid w:val="009416B7"/>
    <w:rsid w:val="00941CC4"/>
    <w:rsid w:val="009420CD"/>
    <w:rsid w:val="009522F0"/>
    <w:rsid w:val="00963478"/>
    <w:rsid w:val="00974BBC"/>
    <w:rsid w:val="00976EDD"/>
    <w:rsid w:val="00985E8F"/>
    <w:rsid w:val="00991E7C"/>
    <w:rsid w:val="00993A84"/>
    <w:rsid w:val="009A1DB6"/>
    <w:rsid w:val="009A5728"/>
    <w:rsid w:val="009B6F64"/>
    <w:rsid w:val="009C11AF"/>
    <w:rsid w:val="009C2F69"/>
    <w:rsid w:val="009C3C51"/>
    <w:rsid w:val="009D5773"/>
    <w:rsid w:val="00A05F89"/>
    <w:rsid w:val="00A1598F"/>
    <w:rsid w:val="00A32626"/>
    <w:rsid w:val="00A42190"/>
    <w:rsid w:val="00A431FB"/>
    <w:rsid w:val="00A64024"/>
    <w:rsid w:val="00A717D2"/>
    <w:rsid w:val="00A75E04"/>
    <w:rsid w:val="00A816E8"/>
    <w:rsid w:val="00A83209"/>
    <w:rsid w:val="00AA1802"/>
    <w:rsid w:val="00AB14D1"/>
    <w:rsid w:val="00AB4B28"/>
    <w:rsid w:val="00AB510B"/>
    <w:rsid w:val="00AB5CEA"/>
    <w:rsid w:val="00AB6520"/>
    <w:rsid w:val="00AC0E4B"/>
    <w:rsid w:val="00AC23F4"/>
    <w:rsid w:val="00B03470"/>
    <w:rsid w:val="00B04E1A"/>
    <w:rsid w:val="00B0595F"/>
    <w:rsid w:val="00B111AA"/>
    <w:rsid w:val="00B165C7"/>
    <w:rsid w:val="00B1787D"/>
    <w:rsid w:val="00B20836"/>
    <w:rsid w:val="00B271BB"/>
    <w:rsid w:val="00B27200"/>
    <w:rsid w:val="00B27841"/>
    <w:rsid w:val="00B34116"/>
    <w:rsid w:val="00B41B93"/>
    <w:rsid w:val="00B45557"/>
    <w:rsid w:val="00B46A58"/>
    <w:rsid w:val="00B6501C"/>
    <w:rsid w:val="00B66C97"/>
    <w:rsid w:val="00B67D43"/>
    <w:rsid w:val="00B70567"/>
    <w:rsid w:val="00B72C25"/>
    <w:rsid w:val="00B74281"/>
    <w:rsid w:val="00B96AFA"/>
    <w:rsid w:val="00B971EB"/>
    <w:rsid w:val="00BA3DDF"/>
    <w:rsid w:val="00BC16F1"/>
    <w:rsid w:val="00BD67F2"/>
    <w:rsid w:val="00BE22C6"/>
    <w:rsid w:val="00C06B0D"/>
    <w:rsid w:val="00C11BB5"/>
    <w:rsid w:val="00C3258C"/>
    <w:rsid w:val="00C343F7"/>
    <w:rsid w:val="00C547F0"/>
    <w:rsid w:val="00C6354F"/>
    <w:rsid w:val="00C6559E"/>
    <w:rsid w:val="00C729C5"/>
    <w:rsid w:val="00C86227"/>
    <w:rsid w:val="00CA4BBB"/>
    <w:rsid w:val="00CC5398"/>
    <w:rsid w:val="00CD29C2"/>
    <w:rsid w:val="00CE5E9C"/>
    <w:rsid w:val="00CF5173"/>
    <w:rsid w:val="00D015F2"/>
    <w:rsid w:val="00D06DEF"/>
    <w:rsid w:val="00D11899"/>
    <w:rsid w:val="00D30256"/>
    <w:rsid w:val="00D33B1A"/>
    <w:rsid w:val="00D40CAE"/>
    <w:rsid w:val="00D45E9F"/>
    <w:rsid w:val="00D47CA1"/>
    <w:rsid w:val="00D52911"/>
    <w:rsid w:val="00D56D37"/>
    <w:rsid w:val="00D71B33"/>
    <w:rsid w:val="00D74650"/>
    <w:rsid w:val="00D81790"/>
    <w:rsid w:val="00D82E68"/>
    <w:rsid w:val="00DA769A"/>
    <w:rsid w:val="00DB3231"/>
    <w:rsid w:val="00DB3B9A"/>
    <w:rsid w:val="00DC387F"/>
    <w:rsid w:val="00DD04EE"/>
    <w:rsid w:val="00DD0E5A"/>
    <w:rsid w:val="00DD5D19"/>
    <w:rsid w:val="00DD5DD0"/>
    <w:rsid w:val="00DE045A"/>
    <w:rsid w:val="00DE2E76"/>
    <w:rsid w:val="00DF1574"/>
    <w:rsid w:val="00E05305"/>
    <w:rsid w:val="00E05C9C"/>
    <w:rsid w:val="00E20B25"/>
    <w:rsid w:val="00E31477"/>
    <w:rsid w:val="00E374F0"/>
    <w:rsid w:val="00E376E9"/>
    <w:rsid w:val="00E466D7"/>
    <w:rsid w:val="00E57892"/>
    <w:rsid w:val="00E61D01"/>
    <w:rsid w:val="00E937D7"/>
    <w:rsid w:val="00EA78B6"/>
    <w:rsid w:val="00EB2A8D"/>
    <w:rsid w:val="00EB6DFC"/>
    <w:rsid w:val="00EB7600"/>
    <w:rsid w:val="00EC043A"/>
    <w:rsid w:val="00EC2C33"/>
    <w:rsid w:val="00EE24AC"/>
    <w:rsid w:val="00EE34A7"/>
    <w:rsid w:val="00EF54DB"/>
    <w:rsid w:val="00EF6978"/>
    <w:rsid w:val="00F04564"/>
    <w:rsid w:val="00F0668A"/>
    <w:rsid w:val="00F179B5"/>
    <w:rsid w:val="00F222C4"/>
    <w:rsid w:val="00F34510"/>
    <w:rsid w:val="00F4287C"/>
    <w:rsid w:val="00F514A1"/>
    <w:rsid w:val="00F63BCC"/>
    <w:rsid w:val="00F65BD8"/>
    <w:rsid w:val="00F77AB5"/>
    <w:rsid w:val="00FA7749"/>
    <w:rsid w:val="00FD1885"/>
    <w:rsid w:val="00FE30F2"/>
    <w:rsid w:val="00FF1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2A5D00"/>
    <w:rPr>
      <w:rFonts w:ascii="Tahoma" w:hAnsi="Tahoma" w:cs="Tahoma"/>
      <w:sz w:val="16"/>
      <w:szCs w:val="16"/>
    </w:rPr>
  </w:style>
  <w:style w:type="character" w:customStyle="1" w:styleId="BalloonTextChar">
    <w:name w:val="Balloon Text Char"/>
    <w:basedOn w:val="DefaultParagraphFont"/>
    <w:link w:val="BalloonText"/>
    <w:rsid w:val="002A5D0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 w:id="1549806317">
      <w:bodyDiv w:val="1"/>
      <w:marLeft w:val="188"/>
      <w:marRight w:val="188"/>
      <w:marTop w:val="0"/>
      <w:marBottom w:val="0"/>
      <w:divBdr>
        <w:top w:val="none" w:sz="0" w:space="0" w:color="auto"/>
        <w:left w:val="none" w:sz="0" w:space="0" w:color="auto"/>
        <w:bottom w:val="none" w:sz="0" w:space="0" w:color="auto"/>
        <w:right w:val="none" w:sz="0" w:space="0" w:color="auto"/>
      </w:divBdr>
      <w:divsChild>
        <w:div w:id="833305890">
          <w:marLeft w:val="0"/>
          <w:marRight w:val="0"/>
          <w:marTop w:val="0"/>
          <w:marBottom w:val="0"/>
          <w:divBdr>
            <w:top w:val="none" w:sz="0" w:space="0" w:color="auto"/>
            <w:left w:val="none" w:sz="0" w:space="0" w:color="auto"/>
            <w:bottom w:val="none" w:sz="0" w:space="0" w:color="auto"/>
            <w:right w:val="none" w:sz="0" w:space="0" w:color="auto"/>
          </w:divBdr>
        </w:div>
      </w:divsChild>
    </w:div>
    <w:div w:id="1848904551">
      <w:bodyDiv w:val="1"/>
      <w:marLeft w:val="188"/>
      <w:marRight w:val="188"/>
      <w:marTop w:val="0"/>
      <w:marBottom w:val="0"/>
      <w:divBdr>
        <w:top w:val="none" w:sz="0" w:space="0" w:color="auto"/>
        <w:left w:val="none" w:sz="0" w:space="0" w:color="auto"/>
        <w:bottom w:val="none" w:sz="0" w:space="0" w:color="auto"/>
        <w:right w:val="none" w:sz="0" w:space="0" w:color="auto"/>
      </w:divBdr>
      <w:divsChild>
        <w:div w:id="159705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Ilciuka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95578A-5AAA-4296-8878-6FB27111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1518</Words>
  <Characters>10855</Characters>
  <Application>Microsoft Office Word</Application>
  <DocSecurity>4</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Oskaras Plieskis</dc:creator>
  <cp:lastModifiedBy>TIlciukas</cp:lastModifiedBy>
  <cp:revision>2</cp:revision>
  <cp:lastPrinted>2013-10-16T07:08:00Z</cp:lastPrinted>
  <dcterms:created xsi:type="dcterms:W3CDTF">2013-10-16T07:38:00Z</dcterms:created>
  <dcterms:modified xsi:type="dcterms:W3CDTF">2013-10-16T07:38:00Z</dcterms:modified>
</cp:coreProperties>
</file>