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B2E83" w14:textId="77777777" w:rsidR="00F026CD" w:rsidRPr="00D60D24" w:rsidRDefault="00F026CD" w:rsidP="00D60D24">
      <w:pPr>
        <w:tabs>
          <w:tab w:val="left" w:pos="993"/>
        </w:tabs>
        <w:spacing w:after="0" w:line="276" w:lineRule="auto"/>
        <w:ind w:firstLine="425"/>
        <w:rPr>
          <w:rFonts w:ascii="Calibri" w:hAnsi="Calibri" w:cs="Calibri"/>
          <w:lang w:val="lt-LT"/>
        </w:rPr>
      </w:pPr>
    </w:p>
    <w:p w14:paraId="140A5F9E" w14:textId="55AEC3B3" w:rsidR="00D13847" w:rsidRPr="00751EB7" w:rsidRDefault="00D13847" w:rsidP="00B86822">
      <w:pPr>
        <w:tabs>
          <w:tab w:val="left" w:pos="993"/>
        </w:tabs>
        <w:spacing w:after="0" w:line="23" w:lineRule="atLeast"/>
        <w:ind w:firstLine="425"/>
        <w:rPr>
          <w:rFonts w:ascii="Calibri" w:eastAsia="Calibri" w:hAnsi="Calibri" w:cs="Calibri"/>
          <w:color w:val="000000" w:themeColor="text1"/>
          <w:lang w:val="lt-LT"/>
        </w:rPr>
      </w:pPr>
      <w:r w:rsidRPr="00B86822">
        <w:rPr>
          <w:rFonts w:ascii="Calibri" w:hAnsi="Calibri" w:cs="Calibri"/>
          <w:lang w:val="lt-LT"/>
        </w:rPr>
        <w:t xml:space="preserve">Viešųjų pirkimų tarnyba (toliau – Tarnyba), vadovaudamasi Lietuvos Respublikos viešųjų pirkimų įstatymo (toliau – Įstatymas) 95 straipsnio 1 dalies 2 punkte </w:t>
      </w:r>
      <w:r w:rsidRPr="00334A3D">
        <w:rPr>
          <w:rFonts w:ascii="Calibri" w:eastAsia="Calibri" w:hAnsi="Calibri" w:cs="Calibri"/>
          <w:color w:val="000000" w:themeColor="text1"/>
          <w:lang w:val="lt-LT"/>
        </w:rPr>
        <w:t>nustatyta pažeidimų prevencijos funkcija, atlik</w:t>
      </w:r>
      <w:r w:rsidR="00DC7214" w:rsidRPr="00334A3D">
        <w:rPr>
          <w:rFonts w:ascii="Calibri" w:eastAsia="Calibri" w:hAnsi="Calibri" w:cs="Calibri"/>
          <w:color w:val="000000" w:themeColor="text1"/>
          <w:lang w:val="lt-LT"/>
        </w:rPr>
        <w:t>o</w:t>
      </w:r>
      <w:r w:rsidRPr="00334A3D">
        <w:rPr>
          <w:rFonts w:ascii="Calibri" w:eastAsia="Calibri" w:hAnsi="Calibri" w:cs="Calibri"/>
          <w:color w:val="000000" w:themeColor="text1"/>
          <w:lang w:val="lt-LT"/>
        </w:rPr>
        <w:t xml:space="preserve"> </w:t>
      </w:r>
      <w:r w:rsidRPr="00B86822">
        <w:rPr>
          <w:rFonts w:ascii="Calibri" w:hAnsi="Calibri" w:cs="Calibri"/>
          <w:b/>
          <w:bCs/>
          <w:lang w:val="lt-LT"/>
        </w:rPr>
        <w:t>Gynybos resursų agentūros prie Krašto apsaugos ministerijos</w:t>
      </w:r>
      <w:r w:rsidRPr="00B86822">
        <w:rPr>
          <w:rFonts w:ascii="Calibri" w:hAnsi="Calibri" w:cs="Calibri"/>
          <w:lang w:val="lt-LT"/>
        </w:rPr>
        <w:t xml:space="preserve"> (toliau – Perkančioji organizacija)</w:t>
      </w:r>
      <w:r w:rsidRPr="00334A3D">
        <w:rPr>
          <w:rFonts w:ascii="Calibri" w:eastAsia="Calibri" w:hAnsi="Calibri" w:cs="Calibri"/>
          <w:color w:val="000000" w:themeColor="text1"/>
          <w:lang w:val="lt-LT"/>
        </w:rPr>
        <w:t xml:space="preserve">, </w:t>
      </w:r>
      <w:r w:rsidRPr="00B86822">
        <w:rPr>
          <w:rFonts w:ascii="Calibri" w:eastAsia="Calibri" w:hAnsi="Calibri" w:cs="Calibri"/>
          <w:color w:val="000000" w:themeColor="text1"/>
          <w:lang w:val="lt-LT"/>
        </w:rPr>
        <w:t>vykdomo viešojo pirkimo </w:t>
      </w:r>
      <w:r w:rsidRPr="00B86822">
        <w:rPr>
          <w:rFonts w:ascii="Calibri" w:eastAsia="Calibri" w:hAnsi="Calibri" w:cs="Calibri"/>
          <w:b/>
          <w:bCs/>
          <w:color w:val="000000" w:themeColor="text1"/>
          <w:lang w:val="lt-LT"/>
        </w:rPr>
        <w:t xml:space="preserve"> „Švarkų šiltų ir sportinių kostiumų pirkimas“ Nr. 9605694 (toliau – Pirkimas)</w:t>
      </w:r>
      <w:r w:rsidRPr="00B86822">
        <w:rPr>
          <w:rFonts w:ascii="Calibri" w:eastAsia="Calibri" w:hAnsi="Calibri" w:cs="Calibri"/>
          <w:color w:val="000000" w:themeColor="text1"/>
          <w:lang w:val="lt-LT"/>
        </w:rPr>
        <w:t>,</w:t>
      </w:r>
      <w:r w:rsidRPr="00B86822">
        <w:rPr>
          <w:rFonts w:ascii="Calibri" w:eastAsia="Calibri" w:hAnsi="Calibri" w:cs="Calibri"/>
          <w:b/>
          <w:bCs/>
          <w:color w:val="000000" w:themeColor="text1"/>
          <w:lang w:val="lt-LT"/>
        </w:rPr>
        <w:t xml:space="preserve"> </w:t>
      </w:r>
      <w:r w:rsidRPr="00B86822">
        <w:rPr>
          <w:rFonts w:ascii="Calibri" w:eastAsia="Calibri" w:hAnsi="Calibri" w:cs="Calibri"/>
          <w:color w:val="000000" w:themeColor="text1"/>
          <w:lang w:val="lt-LT"/>
        </w:rPr>
        <w:t>dokumentų atitikties Įstatymui ir su jo įgyvendinimu susijusiems teisės aktams peržiūrą. Peržiūra prevenciniais tikslais atliekama nevertinant Pirkimo techninėje specifikacijoje nustatytų Pirkimo objektui keliamų reikalavimų teisėtumo.</w:t>
      </w:r>
      <w:r w:rsidRPr="00751EB7">
        <w:rPr>
          <w:rFonts w:ascii="Calibri" w:eastAsia="Calibri" w:hAnsi="Calibri" w:cs="Calibri"/>
          <w:color w:val="000000" w:themeColor="text1"/>
          <w:lang w:val="lt-LT"/>
        </w:rPr>
        <w:t xml:space="preserve"> </w:t>
      </w:r>
    </w:p>
    <w:p w14:paraId="6D02E838" w14:textId="77777777" w:rsidR="00D13847" w:rsidRPr="001A4E5E" w:rsidRDefault="00D13847" w:rsidP="00B86822">
      <w:pPr>
        <w:tabs>
          <w:tab w:val="left" w:pos="993"/>
        </w:tabs>
        <w:spacing w:after="0" w:line="23" w:lineRule="atLeast"/>
        <w:ind w:firstLine="425"/>
        <w:rPr>
          <w:rFonts w:ascii="Calibri" w:eastAsia="Calibri" w:hAnsi="Calibri" w:cs="Calibri"/>
          <w:color w:val="000000" w:themeColor="text1"/>
          <w:lang w:val="lt-LT"/>
        </w:rPr>
      </w:pPr>
      <w:r w:rsidRPr="00751EB7">
        <w:rPr>
          <w:rFonts w:ascii="Calibri" w:eastAsia="Calibri" w:hAnsi="Calibri" w:cs="Calibri"/>
          <w:color w:val="000000" w:themeColor="text1"/>
          <w:lang w:val="lt-LT"/>
        </w:rPr>
        <w:t>Prevencine tvarka peržiūrėjusi Pirkimo dokumentus ir įvertinusi Perkančiosios</w:t>
      </w:r>
      <w:r w:rsidRPr="00334A3D">
        <w:rPr>
          <w:rFonts w:ascii="Calibri" w:eastAsia="Calibri" w:hAnsi="Calibri" w:cs="Calibri"/>
          <w:color w:val="000000" w:themeColor="text1"/>
          <w:lang w:val="lt-LT"/>
        </w:rPr>
        <w:t xml:space="preserve"> organizacijos pateiktus atsakymus</w:t>
      </w:r>
      <w:r w:rsidRPr="001A4E5E">
        <w:rPr>
          <w:rFonts w:ascii="Calibri" w:eastAsia="Calibri" w:hAnsi="Calibri" w:cs="Calibri"/>
          <w:color w:val="000000" w:themeColor="text1"/>
          <w:lang w:val="lt-LT"/>
        </w:rPr>
        <w:t>, atsižvelgdama į galiojantį teisinį reglamentavimą, Tarnyba teikia rekomendaciją dėl Pirkimo dokumentų sąlygų (toliau – Rekomendacija).</w:t>
      </w:r>
    </w:p>
    <w:p w14:paraId="584ED34F" w14:textId="77777777" w:rsidR="00D13847" w:rsidRPr="001A4E5E" w:rsidRDefault="00D13847" w:rsidP="00B86822">
      <w:pPr>
        <w:spacing w:after="0" w:line="23" w:lineRule="atLeast"/>
        <w:ind w:firstLine="425"/>
        <w:rPr>
          <w:rFonts w:ascii="Calibri" w:hAnsi="Calibri" w:cs="Calibri"/>
          <w:b/>
          <w:bCs/>
          <w:lang w:val="lt-LT"/>
        </w:rPr>
      </w:pPr>
    </w:p>
    <w:p w14:paraId="6521ECAF" w14:textId="743CB7CF" w:rsidR="00274610" w:rsidRPr="00374DFF" w:rsidRDefault="00D13847" w:rsidP="00374DFF">
      <w:pPr>
        <w:pStyle w:val="ListParagraph"/>
        <w:numPr>
          <w:ilvl w:val="0"/>
          <w:numId w:val="2"/>
        </w:numPr>
        <w:spacing w:after="0" w:line="23" w:lineRule="atLeast"/>
        <w:ind w:left="0" w:firstLine="425"/>
        <w:rPr>
          <w:rFonts w:ascii="Calibri" w:hAnsi="Calibri" w:cs="Calibri"/>
          <w:b/>
          <w:bCs/>
          <w:lang w:val="lt-LT"/>
        </w:rPr>
      </w:pPr>
      <w:r w:rsidRPr="00374DFF">
        <w:rPr>
          <w:rFonts w:ascii="Calibri" w:hAnsi="Calibri" w:cs="Calibri"/>
          <w:b/>
          <w:bCs/>
          <w:lang w:val="lt-LT"/>
        </w:rPr>
        <w:t>Dėl Sutarties sąlygų</w:t>
      </w:r>
      <w:r w:rsidR="00274610" w:rsidRPr="00374DFF">
        <w:rPr>
          <w:rFonts w:ascii="Calibri" w:hAnsi="Calibri" w:cs="Calibri"/>
          <w:b/>
          <w:bCs/>
          <w:lang w:val="lt-LT"/>
        </w:rPr>
        <w:t xml:space="preserve"> </w:t>
      </w:r>
    </w:p>
    <w:p w14:paraId="1C0248DB" w14:textId="77777777" w:rsidR="00663602" w:rsidRPr="00374DFF" w:rsidRDefault="00663602" w:rsidP="00374DFF">
      <w:pPr>
        <w:spacing w:after="0" w:line="23" w:lineRule="atLeast"/>
        <w:ind w:firstLine="425"/>
        <w:rPr>
          <w:rFonts w:ascii="Calibri" w:hAnsi="Calibri" w:cs="Calibri"/>
          <w:b/>
          <w:bCs/>
          <w:lang w:val="lt-LT"/>
        </w:rPr>
      </w:pPr>
    </w:p>
    <w:p w14:paraId="02FAF8AB" w14:textId="66B70CCA" w:rsidR="00AE6C6F" w:rsidRDefault="00255579" w:rsidP="00374DFF">
      <w:pPr>
        <w:spacing w:after="0" w:line="240" w:lineRule="auto"/>
        <w:ind w:firstLine="425"/>
        <w:rPr>
          <w:rFonts w:ascii="Calibri" w:eastAsia="Aptos" w:hAnsi="Calibri" w:cs="Calibri"/>
          <w:kern w:val="0"/>
          <w:lang w:val="lt-LT"/>
        </w:rPr>
      </w:pPr>
      <w:r w:rsidRPr="00374DFF">
        <w:rPr>
          <w:rFonts w:ascii="Calibri" w:eastAsia="Aptos" w:hAnsi="Calibri" w:cs="Calibri"/>
          <w:kern w:val="0"/>
          <w:lang w:val="lt-LT"/>
        </w:rPr>
        <w:t>1.1. Pirkimo dokument</w:t>
      </w:r>
      <w:r w:rsidR="000B0A3F" w:rsidRPr="00374DFF">
        <w:rPr>
          <w:rFonts w:ascii="Calibri" w:eastAsia="Aptos" w:hAnsi="Calibri" w:cs="Calibri"/>
          <w:kern w:val="0"/>
          <w:lang w:val="lt-LT"/>
        </w:rPr>
        <w:t>ų</w:t>
      </w:r>
      <w:r w:rsidRPr="00374DFF">
        <w:rPr>
          <w:rFonts w:ascii="Calibri" w:eastAsia="Aptos" w:hAnsi="Calibri" w:cs="Calibri"/>
          <w:kern w:val="0"/>
          <w:lang w:val="lt-LT"/>
        </w:rPr>
        <w:t xml:space="preserve"> 9 priedo „Prekių viešojo pirkimo-pardavimo sutarties (projektas)” (toliau – Sutartis) Specialiosios dalies (toliau – SSD)  4.2. papun</w:t>
      </w:r>
      <w:r w:rsidR="009F3729" w:rsidRPr="00374DFF">
        <w:rPr>
          <w:rFonts w:ascii="Calibri" w:eastAsia="Aptos" w:hAnsi="Calibri" w:cs="Calibri"/>
          <w:kern w:val="0"/>
          <w:lang w:val="lt-LT"/>
        </w:rPr>
        <w:t>k</w:t>
      </w:r>
      <w:r w:rsidR="007C4794" w:rsidRPr="00374DFF">
        <w:rPr>
          <w:rFonts w:ascii="Calibri" w:eastAsia="Aptos" w:hAnsi="Calibri" w:cs="Calibri"/>
          <w:kern w:val="0"/>
          <w:lang w:val="lt-LT"/>
        </w:rPr>
        <w:t>tyje</w:t>
      </w:r>
      <w:r w:rsidRPr="00374DFF">
        <w:rPr>
          <w:rFonts w:ascii="Calibri" w:eastAsia="Aptos" w:hAnsi="Calibri" w:cs="Calibri"/>
          <w:kern w:val="0"/>
          <w:lang w:val="lt-LT"/>
        </w:rPr>
        <w:t xml:space="preserve"> </w:t>
      </w:r>
      <w:r w:rsidR="00447E88" w:rsidRPr="00374DFF">
        <w:rPr>
          <w:rFonts w:ascii="Calibri" w:eastAsia="Aptos" w:hAnsi="Calibri" w:cs="Calibri"/>
          <w:kern w:val="0"/>
          <w:lang w:val="lt-LT"/>
        </w:rPr>
        <w:t>nurodyta</w:t>
      </w:r>
      <w:r w:rsidRPr="00374DFF">
        <w:rPr>
          <w:rFonts w:ascii="Calibri" w:eastAsia="Aptos" w:hAnsi="Calibri" w:cs="Calibri"/>
          <w:kern w:val="0"/>
          <w:lang w:val="lt-LT"/>
        </w:rPr>
        <w:t>, kad „Pirkėjui nusprendus gali būti mokamas avansas iki 30 (trisdešimt) procentų, skaičiuojant nuo bendros kiekvieno užsakymo kainos</w:t>
      </w:r>
      <w:r w:rsidR="00152696" w:rsidRPr="00374DFF">
        <w:rPr>
          <w:rFonts w:ascii="Calibri" w:eastAsia="Aptos" w:hAnsi="Calibri" w:cs="Calibri"/>
          <w:kern w:val="0"/>
          <w:lang w:val="lt-LT"/>
        </w:rPr>
        <w:t>“</w:t>
      </w:r>
      <w:r w:rsidRPr="00374DFF">
        <w:rPr>
          <w:rFonts w:ascii="Calibri" w:eastAsia="Aptos" w:hAnsi="Calibri" w:cs="Calibri"/>
          <w:kern w:val="0"/>
          <w:lang w:val="lt-LT"/>
        </w:rPr>
        <w:t xml:space="preserve">. </w:t>
      </w:r>
      <w:r w:rsidR="00AE6C6F" w:rsidRPr="00374DFF">
        <w:rPr>
          <w:rFonts w:ascii="Calibri" w:eastAsia="Aptos" w:hAnsi="Calibri" w:cs="Calibri"/>
          <w:kern w:val="0"/>
          <w:lang w:val="lt-LT"/>
        </w:rPr>
        <w:t xml:space="preserve">Tarnybos vertinimu, nurodyta sąlyga įtvirtina vienašališką Perkančiosios organizacijos </w:t>
      </w:r>
      <w:proofErr w:type="spellStart"/>
      <w:r w:rsidR="00AE6C6F" w:rsidRPr="00374DFF">
        <w:rPr>
          <w:rFonts w:ascii="Calibri" w:eastAsia="Aptos" w:hAnsi="Calibri" w:cs="Calibri"/>
          <w:kern w:val="0"/>
          <w:lang w:val="lt-LT"/>
        </w:rPr>
        <w:t>diskreciją</w:t>
      </w:r>
      <w:proofErr w:type="spellEnd"/>
      <w:r w:rsidR="00AE6C6F" w:rsidRPr="00374DFF">
        <w:rPr>
          <w:rFonts w:ascii="Calibri" w:eastAsia="Aptos" w:hAnsi="Calibri" w:cs="Calibri"/>
          <w:kern w:val="0"/>
          <w:lang w:val="lt-LT"/>
        </w:rPr>
        <w:t xml:space="preserve"> bei neapibrėžtumą Pirkimo sutarties vykdymo metu, nes palieka neaiškumą, ar avansas apskritai bus išmokėtas</w:t>
      </w:r>
      <w:r w:rsidR="00537785">
        <w:rPr>
          <w:rFonts w:ascii="Calibri" w:eastAsia="Aptos" w:hAnsi="Calibri" w:cs="Calibri"/>
          <w:kern w:val="0"/>
          <w:lang w:val="lt-LT"/>
        </w:rPr>
        <w:t xml:space="preserve">. </w:t>
      </w:r>
      <w:r w:rsidR="00AE6C6F" w:rsidRPr="00374DFF">
        <w:rPr>
          <w:rFonts w:ascii="Calibri" w:eastAsia="Aptos" w:hAnsi="Calibri" w:cs="Calibri"/>
          <w:kern w:val="0"/>
          <w:lang w:val="lt-LT"/>
        </w:rPr>
        <w:t>Neapibrėžtos avanso mokėjimo sąlygos neleidžia tiekėjams tiksliai įvertinti savo finansinių srautų, gamybos/tiekimo finansavimo rizikų, apskaičiuoti pasiūlymo kainą, todėl gali turėti įtakos ne tik pasiūlymo kainai, bet ir Tiekėjų apsisprendimui dalyvauti arba nedalyvauti pirkime, neužtikrina skaidrumo principo laikymosi sutarties vykdymo metu bei gali ateityje sudaryti prielaidas subjektyviam ir (ar) ginčytinam sutarties vykdymui. Atkreiptinas dėmesys, kad Pirkimo dokumentuose turi būti aiškiai nurodoma, ar bus mokamas avansas tiekėjui ir jeigu Perkančioji organizacija nusprendžia konkrečiame pirkime mokėti avansą, tuomet tai turi būti aiškiai nurodoma pirkimo dokumentuose</w:t>
      </w:r>
      <w:r w:rsidR="005C00C1">
        <w:rPr>
          <w:rFonts w:ascii="Calibri" w:eastAsia="Aptos" w:hAnsi="Calibri" w:cs="Calibri"/>
          <w:kern w:val="0"/>
          <w:lang w:val="lt-LT"/>
        </w:rPr>
        <w:t xml:space="preserve"> </w:t>
      </w:r>
      <w:r w:rsidR="00AE6C6F" w:rsidRPr="00374DFF">
        <w:rPr>
          <w:rFonts w:ascii="Calibri" w:eastAsia="Aptos" w:hAnsi="Calibri" w:cs="Calibri"/>
          <w:kern w:val="0"/>
          <w:lang w:val="lt-LT"/>
        </w:rPr>
        <w:t>ir jis turi būti mokamas, nebent pats tiekėjas jo atsisakytų (</w:t>
      </w:r>
      <w:hyperlink r:id="rId7" w:history="1">
        <w:r w:rsidR="00AE6C6F" w:rsidRPr="00374DFF">
          <w:rPr>
            <w:rStyle w:val="Hyperlink"/>
            <w:rFonts w:ascii="Calibri" w:eastAsia="Aptos" w:hAnsi="Calibri" w:cs="Calibri"/>
            <w:kern w:val="0"/>
            <w:lang w:val="lt-LT"/>
          </w:rPr>
          <w:t>DUK</w:t>
        </w:r>
      </w:hyperlink>
      <w:r w:rsidR="00AE6C6F" w:rsidRPr="00374DFF">
        <w:rPr>
          <w:rFonts w:ascii="Calibri" w:eastAsia="Aptos" w:hAnsi="Calibri" w:cs="Calibri"/>
          <w:kern w:val="0"/>
          <w:lang w:val="lt-LT"/>
        </w:rPr>
        <w:t xml:space="preserve">). Atsižvelgiant į tai, rekomenduojama patikslinti </w:t>
      </w:r>
      <w:r w:rsidR="005C00C1">
        <w:rPr>
          <w:rFonts w:ascii="Calibri" w:eastAsia="Aptos" w:hAnsi="Calibri" w:cs="Calibri"/>
          <w:kern w:val="0"/>
          <w:lang w:val="lt-LT"/>
        </w:rPr>
        <w:t>SSD</w:t>
      </w:r>
      <w:r w:rsidR="00AE6C6F" w:rsidRPr="00374DFF">
        <w:rPr>
          <w:rFonts w:ascii="Calibri" w:eastAsia="Aptos" w:hAnsi="Calibri" w:cs="Calibri"/>
          <w:kern w:val="0"/>
          <w:lang w:val="lt-LT"/>
        </w:rPr>
        <w:t xml:space="preserve"> 4.2 papunktį.</w:t>
      </w:r>
    </w:p>
    <w:p w14:paraId="398AA0AB" w14:textId="77777777" w:rsidR="00374DFF" w:rsidRPr="00374DFF" w:rsidRDefault="00374DFF" w:rsidP="00374DFF">
      <w:pPr>
        <w:spacing w:after="0" w:line="240" w:lineRule="auto"/>
        <w:ind w:firstLine="425"/>
        <w:rPr>
          <w:rFonts w:ascii="Calibri" w:eastAsia="Aptos" w:hAnsi="Calibri" w:cs="Calibri"/>
          <w:kern w:val="0"/>
          <w:lang w:val="lt-LT"/>
        </w:rPr>
      </w:pPr>
    </w:p>
    <w:p w14:paraId="297F1D35" w14:textId="1E533E15" w:rsidR="00D13847" w:rsidRPr="00100CAD" w:rsidRDefault="00D13847" w:rsidP="00100CAD">
      <w:pPr>
        <w:pStyle w:val="ListParagraph"/>
        <w:numPr>
          <w:ilvl w:val="0"/>
          <w:numId w:val="2"/>
        </w:numPr>
        <w:spacing w:after="0" w:line="23" w:lineRule="atLeast"/>
        <w:rPr>
          <w:rFonts w:ascii="Calibri" w:hAnsi="Calibri" w:cs="Calibri"/>
          <w:b/>
          <w:bCs/>
          <w:lang w:val="lt-LT"/>
        </w:rPr>
      </w:pPr>
      <w:r w:rsidRPr="00100CAD">
        <w:rPr>
          <w:rFonts w:ascii="Calibri" w:hAnsi="Calibri" w:cs="Calibri"/>
          <w:b/>
          <w:bCs/>
          <w:lang w:val="lt-LT"/>
        </w:rPr>
        <w:t xml:space="preserve">Dėl pasiūlyme deklaruotų techninių pranašumų </w:t>
      </w:r>
    </w:p>
    <w:p w14:paraId="124917B5" w14:textId="77777777" w:rsidR="00100CAD" w:rsidRPr="00100CAD" w:rsidRDefault="00100CAD" w:rsidP="00100CAD">
      <w:pPr>
        <w:pStyle w:val="ListParagraph"/>
        <w:spacing w:after="0" w:line="23" w:lineRule="atLeast"/>
        <w:rPr>
          <w:rFonts w:ascii="Calibri" w:hAnsi="Calibri" w:cs="Calibri"/>
          <w:lang w:val="lt-LT"/>
        </w:rPr>
      </w:pPr>
    </w:p>
    <w:p w14:paraId="0C904F73" w14:textId="693E5308" w:rsidR="00D13847" w:rsidRPr="001A4E5E" w:rsidRDefault="00005262" w:rsidP="00100CAD">
      <w:pPr>
        <w:spacing w:after="0" w:line="23" w:lineRule="atLeast"/>
        <w:ind w:firstLine="425"/>
        <w:rPr>
          <w:rFonts w:ascii="Calibri" w:hAnsi="Calibri" w:cs="Calibri"/>
          <w:lang w:val="lt-LT"/>
        </w:rPr>
      </w:pPr>
      <w:r w:rsidRPr="00005262">
        <w:rPr>
          <w:rFonts w:ascii="Calibri" w:hAnsi="Calibri" w:cs="Calibri"/>
          <w:lang w:val="lt-LT"/>
        </w:rPr>
        <w:t xml:space="preserve">Pirkimo specialiųjų sąlygų </w:t>
      </w:r>
      <w:r w:rsidR="00B32ECE">
        <w:rPr>
          <w:rFonts w:ascii="Calibri" w:hAnsi="Calibri" w:cs="Calibri"/>
          <w:lang w:val="lt-LT"/>
        </w:rPr>
        <w:t>9</w:t>
      </w:r>
      <w:r w:rsidR="00972836" w:rsidRPr="001A4E5E">
        <w:rPr>
          <w:rFonts w:ascii="Calibri" w:hAnsi="Calibri" w:cs="Calibri"/>
          <w:lang w:val="lt-LT"/>
        </w:rPr>
        <w:t>.1 p</w:t>
      </w:r>
      <w:r w:rsidR="007760F0" w:rsidRPr="001A4E5E">
        <w:rPr>
          <w:rFonts w:ascii="Calibri" w:hAnsi="Calibri" w:cs="Calibri"/>
          <w:lang w:val="lt-LT"/>
        </w:rPr>
        <w:t>apunktyje</w:t>
      </w:r>
      <w:r w:rsidR="00FF0D67" w:rsidRPr="001A4E5E">
        <w:rPr>
          <w:rFonts w:ascii="Calibri" w:hAnsi="Calibri" w:cs="Calibri"/>
          <w:lang w:val="lt-LT"/>
        </w:rPr>
        <w:t xml:space="preserve"> ir Pirkimo sąlygų 7 priede „Pasiūlymų vertinimo kriterijai ir sąlygos“ </w:t>
      </w:r>
      <w:r w:rsidR="00972836" w:rsidRPr="001A4E5E">
        <w:rPr>
          <w:rFonts w:ascii="Calibri" w:hAnsi="Calibri" w:cs="Calibri"/>
          <w:lang w:val="lt-LT"/>
        </w:rPr>
        <w:t>nurodyta, kad Perkančioji organizacija ekonomiškai naudingiausią pasiūlymą išrenka pagal kainos ir kokybės santykį</w:t>
      </w:r>
      <w:r w:rsidR="005F716B" w:rsidRPr="001A4E5E">
        <w:rPr>
          <w:rFonts w:ascii="Calibri" w:hAnsi="Calibri" w:cs="Calibri"/>
          <w:lang w:val="lt-LT"/>
        </w:rPr>
        <w:t xml:space="preserve">, </w:t>
      </w:r>
      <w:r w:rsidR="00D13847" w:rsidRPr="001A4E5E">
        <w:rPr>
          <w:rFonts w:ascii="Calibri" w:hAnsi="Calibri" w:cs="Calibri"/>
          <w:lang w:val="lt-LT"/>
        </w:rPr>
        <w:t>už papildomus techninius pranašumus (</w:t>
      </w:r>
      <w:r w:rsidR="001B3A33" w:rsidRPr="001A4E5E">
        <w:rPr>
          <w:rFonts w:ascii="Calibri" w:hAnsi="Calibri" w:cs="Calibri"/>
          <w:lang w:val="lt-LT"/>
        </w:rPr>
        <w:t xml:space="preserve">pagrindinio </w:t>
      </w:r>
      <w:r w:rsidR="00D13847" w:rsidRPr="001A4E5E">
        <w:rPr>
          <w:rFonts w:ascii="Calibri" w:hAnsi="Calibri" w:cs="Calibri"/>
          <w:lang w:val="lt-LT"/>
        </w:rPr>
        <w:t>audinio plyšimo jėga,</w:t>
      </w:r>
      <w:r w:rsidR="005F716B" w:rsidRPr="001A4E5E">
        <w:rPr>
          <w:rFonts w:ascii="Calibri" w:hAnsi="Calibri" w:cs="Calibri"/>
          <w:lang w:val="lt-LT"/>
        </w:rPr>
        <w:t xml:space="preserve"> </w:t>
      </w:r>
      <w:r w:rsidR="001B3A33" w:rsidRPr="001A4E5E">
        <w:rPr>
          <w:rFonts w:ascii="Calibri" w:hAnsi="Calibri" w:cs="Calibri"/>
          <w:lang w:val="lt-LT"/>
        </w:rPr>
        <w:t>pamušalo</w:t>
      </w:r>
      <w:r w:rsidR="00D13847" w:rsidRPr="001A4E5E">
        <w:rPr>
          <w:rFonts w:ascii="Calibri" w:hAnsi="Calibri" w:cs="Calibri"/>
          <w:lang w:val="lt-LT"/>
        </w:rPr>
        <w:t xml:space="preserve"> laidumas orui, šilumini</w:t>
      </w:r>
      <w:r w:rsidR="005F716B" w:rsidRPr="001A4E5E">
        <w:rPr>
          <w:rFonts w:ascii="Calibri" w:hAnsi="Calibri" w:cs="Calibri"/>
          <w:lang w:val="lt-LT"/>
        </w:rPr>
        <w:t>s</w:t>
      </w:r>
      <w:r w:rsidR="00D13847" w:rsidRPr="001A4E5E">
        <w:rPr>
          <w:rFonts w:ascii="Calibri" w:hAnsi="Calibri" w:cs="Calibri"/>
          <w:lang w:val="lt-LT"/>
        </w:rPr>
        <w:t xml:space="preserve"> atsparumas, duobimo jėga) skiriant papildomus balus. </w:t>
      </w:r>
      <w:r w:rsidR="00D13847" w:rsidRPr="00C31F1E">
        <w:rPr>
          <w:rFonts w:ascii="Calibri" w:hAnsi="Calibri" w:cs="Calibri"/>
          <w:lang w:val="lt-LT"/>
        </w:rPr>
        <w:t>Pirkimo sąlygų 2 priedo „Techninė specifikacija</w:t>
      </w:r>
      <w:r w:rsidR="001D45AB">
        <w:rPr>
          <w:rFonts w:ascii="Calibri" w:hAnsi="Calibri" w:cs="Calibri"/>
          <w:lang w:val="lt-LT"/>
        </w:rPr>
        <w:t xml:space="preserve">“ </w:t>
      </w:r>
      <w:r w:rsidR="00D13847" w:rsidRPr="00C31F1E">
        <w:rPr>
          <w:rFonts w:ascii="Calibri" w:hAnsi="Calibri" w:cs="Calibri"/>
          <w:lang w:val="lt-LT"/>
        </w:rPr>
        <w:t xml:space="preserve">nurodyta, kad </w:t>
      </w:r>
      <w:r w:rsidR="00DA40CA">
        <w:rPr>
          <w:rFonts w:ascii="Calibri" w:hAnsi="Calibri" w:cs="Calibri"/>
          <w:lang w:val="lt-LT"/>
        </w:rPr>
        <w:t xml:space="preserve">tiek </w:t>
      </w:r>
      <w:r w:rsidR="00D13847" w:rsidRPr="00C31F1E">
        <w:rPr>
          <w:rFonts w:ascii="Calibri" w:hAnsi="Calibri" w:cs="Calibri"/>
          <w:lang w:val="lt-LT"/>
        </w:rPr>
        <w:t>darbiniai pavyzdžiai</w:t>
      </w:r>
      <w:r w:rsidR="00DA40CA">
        <w:rPr>
          <w:rFonts w:ascii="Calibri" w:hAnsi="Calibri" w:cs="Calibri"/>
          <w:lang w:val="lt-LT"/>
        </w:rPr>
        <w:t xml:space="preserve">, tiek </w:t>
      </w:r>
      <w:r w:rsidR="00D13847" w:rsidRPr="00C31F1E">
        <w:rPr>
          <w:rFonts w:ascii="Calibri" w:hAnsi="Calibri" w:cs="Calibri"/>
          <w:lang w:val="lt-LT"/>
        </w:rPr>
        <w:t xml:space="preserve"> ir tiekiamos prekės </w:t>
      </w:r>
      <w:r w:rsidR="00DA40CA">
        <w:rPr>
          <w:rFonts w:ascii="Calibri" w:hAnsi="Calibri" w:cs="Calibri"/>
          <w:lang w:val="lt-LT"/>
        </w:rPr>
        <w:t>turi atitikti</w:t>
      </w:r>
      <w:r w:rsidR="00D13847" w:rsidRPr="00C31F1E">
        <w:rPr>
          <w:rFonts w:ascii="Calibri" w:hAnsi="Calibri" w:cs="Calibri"/>
          <w:b/>
          <w:bCs/>
          <w:lang w:val="lt-LT"/>
        </w:rPr>
        <w:t xml:space="preserve"> </w:t>
      </w:r>
      <w:r w:rsidR="001D45AB">
        <w:rPr>
          <w:rFonts w:ascii="Calibri" w:hAnsi="Calibri" w:cs="Calibri"/>
          <w:lang w:val="lt-LT"/>
        </w:rPr>
        <w:t>t</w:t>
      </w:r>
      <w:r w:rsidR="00D13847" w:rsidRPr="00100CAD">
        <w:rPr>
          <w:rFonts w:ascii="Calibri" w:hAnsi="Calibri" w:cs="Calibri"/>
          <w:lang w:val="lt-LT"/>
        </w:rPr>
        <w:t xml:space="preserve">echninėje specifikacijoje </w:t>
      </w:r>
      <w:r w:rsidR="00027B62" w:rsidRPr="00100CAD">
        <w:rPr>
          <w:rFonts w:ascii="Calibri" w:hAnsi="Calibri" w:cs="Calibri"/>
          <w:lang w:val="lt-LT"/>
        </w:rPr>
        <w:t xml:space="preserve">ir Sutartyje </w:t>
      </w:r>
      <w:r w:rsidR="00D13847" w:rsidRPr="00100CAD">
        <w:rPr>
          <w:rFonts w:ascii="Calibri" w:hAnsi="Calibri" w:cs="Calibri"/>
          <w:lang w:val="lt-LT"/>
        </w:rPr>
        <w:t>nustatyt</w:t>
      </w:r>
      <w:r w:rsidR="00027B62">
        <w:rPr>
          <w:rFonts w:ascii="Calibri" w:hAnsi="Calibri" w:cs="Calibri"/>
          <w:lang w:val="lt-LT"/>
        </w:rPr>
        <w:t>u</w:t>
      </w:r>
      <w:r w:rsidR="00D13847" w:rsidRPr="00100CAD">
        <w:rPr>
          <w:rFonts w:ascii="Calibri" w:hAnsi="Calibri" w:cs="Calibri"/>
          <w:lang w:val="lt-LT"/>
        </w:rPr>
        <w:t>s reikalavim</w:t>
      </w:r>
      <w:r w:rsidR="00027B62">
        <w:rPr>
          <w:rFonts w:ascii="Calibri" w:hAnsi="Calibri" w:cs="Calibri"/>
          <w:lang w:val="lt-LT"/>
        </w:rPr>
        <w:t>u</w:t>
      </w:r>
      <w:r w:rsidR="00D13847" w:rsidRPr="00100CAD">
        <w:rPr>
          <w:rFonts w:ascii="Calibri" w:hAnsi="Calibri" w:cs="Calibri"/>
          <w:lang w:val="lt-LT"/>
        </w:rPr>
        <w:t>s</w:t>
      </w:r>
      <w:r w:rsidR="00D13847" w:rsidRPr="00C31F1E">
        <w:rPr>
          <w:rFonts w:ascii="Calibri" w:hAnsi="Calibri" w:cs="Calibri"/>
          <w:lang w:val="lt-LT"/>
        </w:rPr>
        <w:t>.</w:t>
      </w:r>
      <w:r w:rsidR="00D13847" w:rsidRPr="001A4E5E">
        <w:rPr>
          <w:rFonts w:ascii="Calibri" w:hAnsi="Calibri" w:cs="Calibri"/>
          <w:lang w:val="lt-LT"/>
        </w:rPr>
        <w:t xml:space="preserve"> </w:t>
      </w:r>
      <w:r w:rsidR="00027B62">
        <w:rPr>
          <w:rFonts w:ascii="Calibri" w:hAnsi="Calibri" w:cs="Calibri"/>
          <w:lang w:val="lt-LT"/>
        </w:rPr>
        <w:t>SS</w:t>
      </w:r>
      <w:r w:rsidR="001D45AB">
        <w:rPr>
          <w:rFonts w:ascii="Calibri" w:hAnsi="Calibri" w:cs="Calibri"/>
          <w:lang w:val="lt-LT"/>
        </w:rPr>
        <w:t>D</w:t>
      </w:r>
      <w:r w:rsidR="00027B62">
        <w:rPr>
          <w:rFonts w:ascii="Calibri" w:hAnsi="Calibri" w:cs="Calibri"/>
          <w:lang w:val="lt-LT"/>
        </w:rPr>
        <w:t xml:space="preserve"> 1.1 pap</w:t>
      </w:r>
      <w:r w:rsidR="006372F5">
        <w:rPr>
          <w:rFonts w:ascii="Calibri" w:hAnsi="Calibri" w:cs="Calibri"/>
          <w:lang w:val="lt-LT"/>
        </w:rPr>
        <w:t xml:space="preserve">unktyje nurodyta, kad </w:t>
      </w:r>
      <w:r w:rsidR="0085316D">
        <w:rPr>
          <w:rFonts w:ascii="Calibri" w:hAnsi="Calibri" w:cs="Calibri"/>
          <w:lang w:val="lt-LT"/>
        </w:rPr>
        <w:t xml:space="preserve">prekės turi atitikti </w:t>
      </w:r>
      <w:r w:rsidR="0085316D" w:rsidRPr="0085316D">
        <w:rPr>
          <w:rFonts w:ascii="Calibri" w:hAnsi="Calibri" w:cs="Calibri"/>
          <w:lang w:val="lt-LT"/>
        </w:rPr>
        <w:t xml:space="preserve">Sutarties 1 priede „Techninė specifikacija“ nustatytus reikalavimus ir </w:t>
      </w:r>
      <w:r w:rsidR="0085316D">
        <w:rPr>
          <w:rFonts w:ascii="Calibri" w:hAnsi="Calibri" w:cs="Calibri"/>
          <w:lang w:val="lt-LT"/>
        </w:rPr>
        <w:t xml:space="preserve">turi būti </w:t>
      </w:r>
      <w:r w:rsidR="0085316D" w:rsidRPr="0085316D">
        <w:rPr>
          <w:rFonts w:ascii="Calibri" w:hAnsi="Calibri" w:cs="Calibri"/>
          <w:lang w:val="lt-LT"/>
        </w:rPr>
        <w:t xml:space="preserve">ne prastesnių savybių bei parametrų, už kuriuos </w:t>
      </w:r>
      <w:r w:rsidR="0085316D">
        <w:rPr>
          <w:rFonts w:ascii="Calibri" w:hAnsi="Calibri" w:cs="Calibri"/>
          <w:lang w:val="lt-LT"/>
        </w:rPr>
        <w:t>P</w:t>
      </w:r>
      <w:r w:rsidR="0085316D" w:rsidRPr="0085316D">
        <w:rPr>
          <w:rFonts w:ascii="Calibri" w:hAnsi="Calibri" w:cs="Calibri"/>
          <w:lang w:val="lt-LT"/>
        </w:rPr>
        <w:t xml:space="preserve">irkimo procedūrų metu buvo skirti papildomi balai, kurie nurodyti  Sutarties 2 priede „Pasiūlymas“ bei </w:t>
      </w:r>
      <w:r w:rsidR="0085316D">
        <w:rPr>
          <w:rFonts w:ascii="Calibri" w:hAnsi="Calibri" w:cs="Calibri"/>
          <w:lang w:val="lt-LT"/>
        </w:rPr>
        <w:t>turi būti paga</w:t>
      </w:r>
      <w:r w:rsidR="00C36434">
        <w:rPr>
          <w:rFonts w:ascii="Calibri" w:hAnsi="Calibri" w:cs="Calibri"/>
          <w:lang w:val="lt-LT"/>
        </w:rPr>
        <w:t xml:space="preserve">minti </w:t>
      </w:r>
      <w:r w:rsidR="0085316D" w:rsidRPr="0085316D">
        <w:rPr>
          <w:rFonts w:ascii="Calibri" w:hAnsi="Calibri" w:cs="Calibri"/>
          <w:lang w:val="lt-LT"/>
        </w:rPr>
        <w:t>pagal Pirkėjo patvirtintą darbinį pavyzdį</w:t>
      </w:r>
      <w:r w:rsidR="00C36434">
        <w:rPr>
          <w:rFonts w:ascii="Calibri" w:hAnsi="Calibri" w:cs="Calibri"/>
          <w:lang w:val="lt-LT"/>
        </w:rPr>
        <w:t xml:space="preserve">. </w:t>
      </w:r>
      <w:r w:rsidR="00C36434" w:rsidRPr="00C36434">
        <w:rPr>
          <w:rFonts w:ascii="Calibri" w:hAnsi="Calibri" w:cs="Calibri"/>
          <w:lang w:val="lt-LT"/>
        </w:rPr>
        <w:t xml:space="preserve">Tačiau </w:t>
      </w:r>
      <w:r w:rsidR="00D13847" w:rsidRPr="00C36434">
        <w:rPr>
          <w:rFonts w:ascii="Calibri" w:hAnsi="Calibri" w:cs="Calibri"/>
          <w:lang w:val="lt-LT"/>
        </w:rPr>
        <w:t xml:space="preserve"> </w:t>
      </w:r>
      <w:r w:rsidR="00C769A5" w:rsidRPr="00C36434">
        <w:rPr>
          <w:rFonts w:ascii="Calibri" w:hAnsi="Calibri" w:cs="Calibri"/>
          <w:lang w:val="lt-LT"/>
        </w:rPr>
        <w:t xml:space="preserve">SSD </w:t>
      </w:r>
      <w:r w:rsidR="00D13847" w:rsidRPr="00C36434">
        <w:rPr>
          <w:rFonts w:ascii="Calibri" w:hAnsi="Calibri" w:cs="Calibri"/>
          <w:lang w:val="lt-LT"/>
        </w:rPr>
        <w:t>6.4 p</w:t>
      </w:r>
      <w:r w:rsidR="006F636E">
        <w:rPr>
          <w:rFonts w:ascii="Calibri" w:hAnsi="Calibri" w:cs="Calibri"/>
          <w:lang w:val="lt-LT"/>
        </w:rPr>
        <w:t>apunktyje</w:t>
      </w:r>
      <w:r w:rsidR="00D13847" w:rsidRPr="00C36434">
        <w:rPr>
          <w:rFonts w:ascii="Calibri" w:hAnsi="Calibri" w:cs="Calibri"/>
          <w:lang w:val="lt-LT"/>
        </w:rPr>
        <w:t xml:space="preserve"> </w:t>
      </w:r>
      <w:r w:rsidR="003E7A2B">
        <w:rPr>
          <w:rFonts w:ascii="Calibri" w:hAnsi="Calibri" w:cs="Calibri"/>
          <w:lang w:val="lt-LT"/>
        </w:rPr>
        <w:t>nurodyta</w:t>
      </w:r>
      <w:r w:rsidR="00872139">
        <w:rPr>
          <w:rFonts w:ascii="Calibri" w:hAnsi="Calibri" w:cs="Calibri"/>
          <w:lang w:val="lt-LT"/>
        </w:rPr>
        <w:t>, kad</w:t>
      </w:r>
      <w:r w:rsidR="00872139" w:rsidRPr="00100CAD">
        <w:rPr>
          <w:lang w:val="lt-LT"/>
        </w:rPr>
        <w:t xml:space="preserve"> </w:t>
      </w:r>
      <w:r w:rsidR="00872139">
        <w:rPr>
          <w:rFonts w:ascii="Calibri" w:hAnsi="Calibri" w:cs="Calibri"/>
          <w:lang w:val="lt-LT"/>
        </w:rPr>
        <w:t>p</w:t>
      </w:r>
      <w:r w:rsidR="00872139" w:rsidRPr="00872139">
        <w:rPr>
          <w:rFonts w:ascii="Calibri" w:hAnsi="Calibri" w:cs="Calibri"/>
          <w:lang w:val="lt-LT"/>
        </w:rPr>
        <w:t xml:space="preserve">ristatant kitas </w:t>
      </w:r>
      <w:r w:rsidR="00872139">
        <w:rPr>
          <w:rFonts w:ascii="Calibri" w:hAnsi="Calibri" w:cs="Calibri"/>
          <w:lang w:val="lt-LT"/>
        </w:rPr>
        <w:t>p</w:t>
      </w:r>
      <w:r w:rsidR="00872139" w:rsidRPr="00872139">
        <w:rPr>
          <w:rFonts w:ascii="Calibri" w:hAnsi="Calibri" w:cs="Calibri"/>
          <w:lang w:val="lt-LT"/>
        </w:rPr>
        <w:t>rekių partijas</w:t>
      </w:r>
      <w:r w:rsidR="003E7A2B">
        <w:rPr>
          <w:rFonts w:ascii="Calibri" w:hAnsi="Calibri" w:cs="Calibri"/>
          <w:lang w:val="lt-LT"/>
        </w:rPr>
        <w:t>, tiekėjas turi</w:t>
      </w:r>
      <w:r w:rsidR="00872139">
        <w:rPr>
          <w:rFonts w:ascii="Calibri" w:hAnsi="Calibri" w:cs="Calibri"/>
          <w:lang w:val="lt-LT"/>
        </w:rPr>
        <w:t xml:space="preserve"> </w:t>
      </w:r>
      <w:r w:rsidR="00D13847" w:rsidRPr="001A4E5E">
        <w:rPr>
          <w:rFonts w:ascii="Calibri" w:hAnsi="Calibri" w:cs="Calibri"/>
          <w:lang w:val="lt-LT"/>
        </w:rPr>
        <w:t xml:space="preserve"> pateikti dokumentus, </w:t>
      </w:r>
      <w:r w:rsidR="00C36434">
        <w:rPr>
          <w:rFonts w:ascii="Calibri" w:hAnsi="Calibri" w:cs="Calibri"/>
          <w:lang w:val="lt-LT"/>
        </w:rPr>
        <w:t>patvirtinančius</w:t>
      </w:r>
      <w:r w:rsidR="00C36434" w:rsidRPr="001A4E5E">
        <w:rPr>
          <w:rFonts w:ascii="Calibri" w:hAnsi="Calibri" w:cs="Calibri"/>
          <w:lang w:val="lt-LT"/>
        </w:rPr>
        <w:t xml:space="preserve"> </w:t>
      </w:r>
      <w:r w:rsidR="00C36434">
        <w:rPr>
          <w:rFonts w:ascii="Calibri" w:hAnsi="Calibri" w:cs="Calibri"/>
          <w:lang w:val="lt-LT"/>
        </w:rPr>
        <w:t xml:space="preserve">prekių </w:t>
      </w:r>
      <w:r w:rsidR="00D13847" w:rsidRPr="001A4E5E">
        <w:rPr>
          <w:rFonts w:ascii="Calibri" w:hAnsi="Calibri" w:cs="Calibri"/>
          <w:lang w:val="lt-LT"/>
        </w:rPr>
        <w:t xml:space="preserve">atitiktį tik </w:t>
      </w:r>
      <w:r w:rsidR="00C36434">
        <w:rPr>
          <w:rFonts w:ascii="Calibri" w:hAnsi="Calibri" w:cs="Calibri"/>
          <w:lang w:val="lt-LT"/>
        </w:rPr>
        <w:t>S</w:t>
      </w:r>
      <w:r w:rsidR="0085316D" w:rsidRPr="0085316D">
        <w:rPr>
          <w:rFonts w:ascii="Calibri" w:hAnsi="Calibri" w:cs="Calibri"/>
          <w:lang w:val="lt-LT"/>
        </w:rPr>
        <w:t>utarties 1 priede nurodytiems reikalavimams.</w:t>
      </w:r>
    </w:p>
    <w:p w14:paraId="4216A67F" w14:textId="4B650BEA" w:rsidR="00D13847" w:rsidRPr="001A4E5E" w:rsidRDefault="00D13847" w:rsidP="00100CAD">
      <w:pPr>
        <w:spacing w:after="0" w:line="23" w:lineRule="atLeast"/>
        <w:ind w:firstLine="425"/>
        <w:rPr>
          <w:rFonts w:ascii="Calibri" w:hAnsi="Calibri" w:cs="Calibri"/>
          <w:lang w:val="lt-LT"/>
        </w:rPr>
      </w:pPr>
      <w:r w:rsidRPr="001A4E5E">
        <w:rPr>
          <w:rFonts w:ascii="Calibri" w:hAnsi="Calibri" w:cs="Calibri"/>
          <w:lang w:val="lt-LT"/>
        </w:rPr>
        <w:lastRenderedPageBreak/>
        <w:t xml:space="preserve">Atsižvelgiant į tai, rekomenduotina </w:t>
      </w:r>
      <w:r w:rsidR="006F636E">
        <w:rPr>
          <w:rFonts w:ascii="Calibri" w:hAnsi="Calibri" w:cs="Calibri"/>
          <w:lang w:val="lt-LT"/>
        </w:rPr>
        <w:t xml:space="preserve">tikslinti </w:t>
      </w:r>
      <w:r w:rsidR="006F636E" w:rsidRPr="006F636E">
        <w:rPr>
          <w:rFonts w:ascii="Calibri" w:hAnsi="Calibri" w:cs="Calibri"/>
          <w:lang w:val="lt-LT"/>
        </w:rPr>
        <w:t xml:space="preserve">SSD 6.4 </w:t>
      </w:r>
      <w:r w:rsidR="006F636E">
        <w:rPr>
          <w:rFonts w:ascii="Calibri" w:hAnsi="Calibri" w:cs="Calibri"/>
          <w:lang w:val="lt-LT"/>
        </w:rPr>
        <w:t xml:space="preserve">papunktį, </w:t>
      </w:r>
      <w:r w:rsidR="00ED1806">
        <w:rPr>
          <w:rFonts w:ascii="Calibri" w:hAnsi="Calibri" w:cs="Calibri"/>
          <w:lang w:val="lt-LT"/>
        </w:rPr>
        <w:t>nurodant</w:t>
      </w:r>
      <w:r w:rsidR="00B247D2">
        <w:rPr>
          <w:rFonts w:ascii="Calibri" w:hAnsi="Calibri" w:cs="Calibri"/>
          <w:lang w:val="lt-LT"/>
        </w:rPr>
        <w:t xml:space="preserve">, kad pateikti dokumentai turi patvirtinti ne tik atitiktį </w:t>
      </w:r>
      <w:r w:rsidR="00000EF8">
        <w:rPr>
          <w:rFonts w:ascii="Calibri" w:hAnsi="Calibri" w:cs="Calibri"/>
          <w:lang w:val="lt-LT"/>
        </w:rPr>
        <w:t>t</w:t>
      </w:r>
      <w:r w:rsidR="006A575B">
        <w:rPr>
          <w:rFonts w:ascii="Calibri" w:hAnsi="Calibri" w:cs="Calibri"/>
          <w:lang w:val="lt-LT"/>
        </w:rPr>
        <w:t xml:space="preserve">echninei specifikacijai, </w:t>
      </w:r>
      <w:r w:rsidRPr="001A4E5E">
        <w:rPr>
          <w:rFonts w:ascii="Calibri" w:hAnsi="Calibri" w:cs="Calibri"/>
          <w:lang w:val="lt-LT"/>
        </w:rPr>
        <w:t>bet ir Tiekėjo pasiūlyme deklaruotus techninius pranašumus, už kuriuos buvo skirti papildomi balai.</w:t>
      </w:r>
    </w:p>
    <w:p w14:paraId="37862705" w14:textId="77777777" w:rsidR="001C425E" w:rsidRDefault="001C425E">
      <w:pPr>
        <w:pStyle w:val="ListParagraph"/>
        <w:tabs>
          <w:tab w:val="left" w:pos="426"/>
          <w:tab w:val="left" w:pos="567"/>
          <w:tab w:val="left" w:pos="993"/>
        </w:tabs>
        <w:spacing w:after="0" w:line="23" w:lineRule="atLeast"/>
        <w:ind w:left="0" w:firstLine="425"/>
        <w:rPr>
          <w:rFonts w:ascii="Calibri" w:hAnsi="Calibri" w:cs="Calibri"/>
          <w:b/>
          <w:lang w:val="lt-LT"/>
        </w:rPr>
      </w:pPr>
    </w:p>
    <w:p w14:paraId="52DC0B49" w14:textId="30B487BE" w:rsidR="00D13847" w:rsidRPr="00432588" w:rsidRDefault="00D13847" w:rsidP="00432588">
      <w:pPr>
        <w:pStyle w:val="ListParagraph"/>
        <w:numPr>
          <w:ilvl w:val="0"/>
          <w:numId w:val="2"/>
        </w:numPr>
        <w:tabs>
          <w:tab w:val="left" w:pos="567"/>
        </w:tabs>
        <w:spacing w:after="0" w:line="23" w:lineRule="atLeast"/>
        <w:rPr>
          <w:rFonts w:ascii="Calibri" w:hAnsi="Calibri" w:cs="Calibri"/>
          <w:b/>
          <w:bCs/>
          <w:lang w:val="lt-LT"/>
        </w:rPr>
      </w:pPr>
      <w:r w:rsidRPr="00432588">
        <w:rPr>
          <w:rFonts w:ascii="Calibri" w:hAnsi="Calibri" w:cs="Calibri"/>
          <w:b/>
          <w:bCs/>
          <w:lang w:val="lt-LT"/>
        </w:rPr>
        <w:t>Kiti pastebėjimai</w:t>
      </w:r>
    </w:p>
    <w:p w14:paraId="7D01B682" w14:textId="77777777" w:rsidR="00432588" w:rsidRPr="00432588" w:rsidRDefault="00432588" w:rsidP="00E06F75">
      <w:pPr>
        <w:pStyle w:val="ListParagraph"/>
        <w:tabs>
          <w:tab w:val="left" w:pos="567"/>
        </w:tabs>
        <w:spacing w:after="0" w:line="23" w:lineRule="atLeast"/>
        <w:rPr>
          <w:rFonts w:ascii="Calibri" w:hAnsi="Calibri" w:cs="Calibri"/>
          <w:b/>
          <w:bCs/>
          <w:lang w:val="lt-LT"/>
        </w:rPr>
      </w:pPr>
    </w:p>
    <w:p w14:paraId="3405EFEE" w14:textId="0444430E" w:rsidR="00D13847" w:rsidRPr="001A4E5E" w:rsidRDefault="00432588" w:rsidP="00432588">
      <w:pPr>
        <w:spacing w:after="0" w:line="23" w:lineRule="atLeast"/>
        <w:ind w:firstLine="425"/>
        <w:rPr>
          <w:rFonts w:ascii="Calibri" w:hAnsi="Calibri" w:cs="Calibri"/>
          <w:lang w:val="lt-LT"/>
        </w:rPr>
      </w:pPr>
      <w:r>
        <w:rPr>
          <w:rFonts w:ascii="Calibri" w:hAnsi="Calibri" w:cs="Calibri"/>
          <w:lang w:val="lt-LT"/>
        </w:rPr>
        <w:t>3</w:t>
      </w:r>
      <w:r w:rsidR="00CB6B83">
        <w:rPr>
          <w:rFonts w:ascii="Calibri" w:hAnsi="Calibri" w:cs="Calibri"/>
          <w:lang w:val="lt-LT"/>
        </w:rPr>
        <w:t>.1.</w:t>
      </w:r>
      <w:r w:rsidR="00D13847" w:rsidRPr="001A4E5E">
        <w:rPr>
          <w:rFonts w:ascii="Calibri" w:hAnsi="Calibri" w:cs="Calibri"/>
          <w:lang w:val="lt-LT"/>
        </w:rPr>
        <w:t>Pirkimo sąlygų 3 priedo Pašalinimo pagrindų lentelės 7, 9, 10 punktuose stulpelyje „Pašalinimo pagrindų nebuvimą įrodantys dokumentai“ yra pateiktos neaktyvios nuorodos.</w:t>
      </w:r>
    </w:p>
    <w:p w14:paraId="2F33B974" w14:textId="20B00D43" w:rsidR="00CB6B83" w:rsidRDefault="00D13847">
      <w:pPr>
        <w:spacing w:after="0" w:line="23" w:lineRule="atLeast"/>
        <w:ind w:firstLine="425"/>
        <w:rPr>
          <w:rFonts w:ascii="Calibri" w:hAnsi="Calibri" w:cs="Calibri"/>
          <w:lang w:val="lt-LT"/>
        </w:rPr>
      </w:pPr>
      <w:r w:rsidRPr="001A4E5E">
        <w:rPr>
          <w:rFonts w:ascii="Calibri" w:hAnsi="Calibri" w:cs="Calibri"/>
          <w:lang w:val="lt-LT"/>
        </w:rPr>
        <w:t xml:space="preserve">Atsižvelgiant į tai, rekomenduojame tikslinti nuorodas atsižvelgiant į Tarnybos  parengtą </w:t>
      </w:r>
      <w:hyperlink r:id="rId8" w:history="1">
        <w:r w:rsidR="00537785" w:rsidRPr="001A4E5E">
          <w:rPr>
            <w:rStyle w:val="Hyperlink"/>
            <w:rFonts w:ascii="Calibri" w:hAnsi="Calibri" w:cs="Calibri"/>
            <w:lang w:val="lt-LT"/>
          </w:rPr>
          <w:t>pavyzdinę pašalinimo pagrindų lentelę</w:t>
        </w:r>
      </w:hyperlink>
      <w:r w:rsidR="00CB6B83">
        <w:rPr>
          <w:rFonts w:ascii="Calibri" w:hAnsi="Calibri" w:cs="Calibri"/>
          <w:lang w:val="lt-LT"/>
        </w:rPr>
        <w:t>.</w:t>
      </w:r>
    </w:p>
    <w:p w14:paraId="62D24670" w14:textId="49CD201D" w:rsidR="00D13847" w:rsidRPr="001A4E5E" w:rsidRDefault="00432588" w:rsidP="00432588">
      <w:pPr>
        <w:spacing w:after="0" w:line="23" w:lineRule="atLeast"/>
        <w:ind w:firstLine="425"/>
        <w:rPr>
          <w:rFonts w:ascii="Calibri" w:hAnsi="Calibri" w:cs="Calibri"/>
          <w:lang w:val="lt-LT"/>
        </w:rPr>
      </w:pPr>
      <w:r>
        <w:rPr>
          <w:rFonts w:ascii="Calibri" w:hAnsi="Calibri" w:cs="Calibri"/>
          <w:lang w:val="lt-LT"/>
        </w:rPr>
        <w:t>3</w:t>
      </w:r>
      <w:r w:rsidR="006349C9">
        <w:rPr>
          <w:rFonts w:ascii="Calibri" w:hAnsi="Calibri" w:cs="Calibri"/>
          <w:lang w:val="lt-LT"/>
        </w:rPr>
        <w:t>.</w:t>
      </w:r>
      <w:r w:rsidR="00483676">
        <w:rPr>
          <w:rFonts w:ascii="Calibri" w:hAnsi="Calibri" w:cs="Calibri"/>
          <w:lang w:val="lt-LT"/>
        </w:rPr>
        <w:t>2</w:t>
      </w:r>
      <w:r w:rsidR="006349C9">
        <w:rPr>
          <w:rFonts w:ascii="Calibri" w:hAnsi="Calibri" w:cs="Calibri"/>
          <w:lang w:val="lt-LT"/>
        </w:rPr>
        <w:t xml:space="preserve">. </w:t>
      </w:r>
      <w:r w:rsidR="00CB6B83" w:rsidRPr="00CB6B83">
        <w:rPr>
          <w:rFonts w:ascii="Calibri" w:hAnsi="Calibri" w:cs="Calibri"/>
          <w:lang w:val="lt-LT"/>
        </w:rPr>
        <w:t xml:space="preserve">Rekomendacijos ir pastabos dėl Sutarties sąlygų ir Tarnybos direktoriaus 2024 m. gruodžio 30 d. įsakymu Nr. 1S-209 patvirtintų Paslaugų viešojo pirkimo–pardavimo sutarties tipinių sąlygų (toliau – Sutarties tipinės sąlygos) netaikymo, jau buvo pateiktos Tarnybos rekomendacijose dėl Perkančiosios organizacijos vykdomų pirkimų (pavyzdžiui, Nr. 9375143 „Milinių individualaus siuvimo paslauga”, Nr. 7074062 „Sportiniai bateliai“, Nr. </w:t>
      </w:r>
      <w:r w:rsidR="00CB6B83" w:rsidRPr="00483676">
        <w:rPr>
          <w:rFonts w:ascii="Calibri" w:hAnsi="Calibri" w:cs="Calibri"/>
          <w:lang w:val="lt-LT"/>
        </w:rPr>
        <w:t>7592960 „Pirštinės”), todėl pakartotinai nėra teikiamos. Atsižvelgiant į tai, rekomenduojama ateityje vykdomuose pirkimuose naudoti Sutarties tipines sąlygas.</w:t>
      </w:r>
    </w:p>
    <w:p w14:paraId="297728A4" w14:textId="558AFCAD" w:rsidR="0086707F" w:rsidRDefault="0086707F">
      <w:pPr>
        <w:spacing w:after="0" w:line="23" w:lineRule="atLeast"/>
        <w:ind w:firstLine="425"/>
        <w:rPr>
          <w:rFonts w:ascii="Calibri" w:hAnsi="Calibri" w:cs="Calibri"/>
          <w:lang w:val="lt-LT"/>
        </w:rPr>
      </w:pPr>
    </w:p>
    <w:p w14:paraId="3156A5E7" w14:textId="173D65CD" w:rsidR="00D13847" w:rsidRPr="001A4E5E" w:rsidRDefault="00D13847" w:rsidP="00432588">
      <w:pPr>
        <w:spacing w:after="0" w:line="23" w:lineRule="atLeast"/>
        <w:ind w:firstLine="425"/>
        <w:rPr>
          <w:rFonts w:ascii="Calibri" w:hAnsi="Calibri" w:cs="Calibri"/>
          <w:lang w:val="lt-LT"/>
        </w:rPr>
      </w:pPr>
      <w:r w:rsidRPr="001A4E5E">
        <w:rPr>
          <w:rFonts w:ascii="Calibri" w:hAnsi="Calibri" w:cs="Calibri"/>
          <w:lang w:val="lt-LT"/>
        </w:rPr>
        <w:t xml:space="preserve">Atsižvelgdama į tai, kas nurodyta, Tarnyba rekomenduoja peržiūrėti ir patikslinti Pirkimų dokumentus pagal šioje Rekomendacijoje pateiktas pastabas. Primename, kad Perkančioji organizacija patikslinusi Pirkimo dokumentus, turi visus pakeitimus paskelbti viešai CVP IS ir spręsti klausimą dėl pasiūlymų pateikimo termino pratęsimo protingam laikotarpiui, per kurį potencialūs tiekėjai galėtų susipažinti su patikslintomis Pirkimo sąlygomis. </w:t>
      </w:r>
    </w:p>
    <w:p w14:paraId="64276E3A" w14:textId="77777777" w:rsidR="00D13847" w:rsidRDefault="00D13847" w:rsidP="00432588">
      <w:pPr>
        <w:spacing w:after="0" w:line="23" w:lineRule="atLeast"/>
        <w:ind w:firstLine="425"/>
        <w:rPr>
          <w:rFonts w:ascii="Calibri" w:hAnsi="Calibri" w:cs="Calibri"/>
          <w:lang w:val="lt-LT"/>
        </w:rPr>
      </w:pPr>
      <w:r w:rsidRPr="001A4E5E">
        <w:rPr>
          <w:rFonts w:ascii="Calibri" w:hAnsi="Calibri" w:cs="Calibri"/>
          <w:lang w:val="lt-LT"/>
        </w:rPr>
        <w:t>Pažymėtina, kad visais atvejais sprendimą dėl tolimesnio Pirkimo procedūrų vykdymo ar nutraukimo priima pati Perkančioji organizacija, vadovaudamasi Įstatymo 29 straipsnio 3</w:t>
      </w:r>
      <w:r w:rsidRPr="001A4E5E">
        <w:rPr>
          <w:rFonts w:ascii="Calibri" w:hAnsi="Calibri" w:cs="Calibri"/>
          <w:vertAlign w:val="superscript"/>
          <w:lang w:val="lt-LT"/>
        </w:rPr>
        <w:footnoteReference w:id="1"/>
      </w:r>
      <w:r w:rsidRPr="001A4E5E">
        <w:rPr>
          <w:rFonts w:ascii="Calibri" w:hAnsi="Calibri" w:cs="Calibri"/>
          <w:lang w:val="lt-LT"/>
        </w:rPr>
        <w:t xml:space="preserve"> ir 4</w:t>
      </w:r>
      <w:r w:rsidRPr="001A4E5E">
        <w:rPr>
          <w:rFonts w:ascii="Calibri" w:hAnsi="Calibri" w:cs="Calibri"/>
          <w:vertAlign w:val="superscript"/>
          <w:lang w:val="lt-LT"/>
        </w:rPr>
        <w:footnoteReference w:id="2"/>
      </w:r>
      <w:r w:rsidRPr="001A4E5E">
        <w:rPr>
          <w:rFonts w:ascii="Calibri" w:hAnsi="Calibri" w:cs="Calibri"/>
          <w:lang w:val="lt-LT"/>
        </w:rPr>
        <w:t xml:space="preserve"> dalių nuostatomis.</w:t>
      </w:r>
    </w:p>
    <w:p w14:paraId="5B4E9E88" w14:textId="77777777" w:rsidR="00432588" w:rsidRPr="001A4E5E" w:rsidRDefault="00432588" w:rsidP="00432588">
      <w:pPr>
        <w:spacing w:after="0" w:line="23" w:lineRule="atLeast"/>
        <w:ind w:firstLine="425"/>
        <w:rPr>
          <w:rFonts w:ascii="Calibri" w:hAnsi="Calibri" w:cs="Calibri"/>
          <w:lang w:val="lt-LT"/>
        </w:rPr>
      </w:pPr>
    </w:p>
    <w:p w14:paraId="04172A11" w14:textId="77777777" w:rsidR="005233B5" w:rsidRPr="00000EF8" w:rsidRDefault="005233B5">
      <w:pPr>
        <w:rPr>
          <w:lang w:val="lt-LT"/>
        </w:rPr>
      </w:pPr>
    </w:p>
    <w:sectPr w:rsidR="005233B5" w:rsidRPr="00000EF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9C8E6" w14:textId="77777777" w:rsidR="00234FE6" w:rsidRDefault="00234FE6" w:rsidP="00D13847">
      <w:pPr>
        <w:spacing w:after="0" w:line="240" w:lineRule="auto"/>
      </w:pPr>
      <w:r>
        <w:separator/>
      </w:r>
    </w:p>
  </w:endnote>
  <w:endnote w:type="continuationSeparator" w:id="0">
    <w:p w14:paraId="60BCCEEC" w14:textId="77777777" w:rsidR="00234FE6" w:rsidRDefault="00234FE6" w:rsidP="00D13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77247" w14:textId="77777777" w:rsidR="00234FE6" w:rsidRDefault="00234FE6" w:rsidP="00D13847">
      <w:pPr>
        <w:spacing w:after="0" w:line="240" w:lineRule="auto"/>
      </w:pPr>
      <w:r>
        <w:separator/>
      </w:r>
    </w:p>
  </w:footnote>
  <w:footnote w:type="continuationSeparator" w:id="0">
    <w:p w14:paraId="5738CA90" w14:textId="77777777" w:rsidR="00234FE6" w:rsidRDefault="00234FE6" w:rsidP="00D13847">
      <w:pPr>
        <w:spacing w:after="0" w:line="240" w:lineRule="auto"/>
      </w:pPr>
      <w:r>
        <w:continuationSeparator/>
      </w:r>
    </w:p>
  </w:footnote>
  <w:footnote w:id="1">
    <w:p w14:paraId="7572B630" w14:textId="77777777" w:rsidR="00D13847" w:rsidRDefault="00D13847" w:rsidP="00D13847">
      <w:pPr>
        <w:pStyle w:val="FootnoteText"/>
        <w:rPr>
          <w:rFonts w:ascii="Calibri" w:hAnsi="Calibri" w:cs="Calibri"/>
          <w:lang w:val="lt-LT"/>
        </w:rPr>
      </w:pPr>
      <w:r>
        <w:rPr>
          <w:rStyle w:val="FootnoteReference"/>
          <w:rFonts w:ascii="Calibri" w:hAnsi="Calibri" w:cs="Calibri"/>
        </w:rPr>
        <w:footnoteRef/>
      </w:r>
      <w:r>
        <w:rPr>
          <w:rFonts w:ascii="Calibri" w:hAnsi="Calibri" w:cs="Calibri"/>
          <w:lang w:val="lt-LT"/>
        </w:rPr>
        <w:t xml:space="preserve"> Perkančioji organizacija privalo nutraukti pradėtas pirkimo ar projekto konkurso procedūras, jeigu buvo pažeisti šio įstatymo 17 straipsnio 1 dalyje nustatyti principai ir atitinkamos padėties negalima ištaisyti.</w:t>
      </w:r>
    </w:p>
  </w:footnote>
  <w:footnote w:id="2">
    <w:p w14:paraId="4CC44D17" w14:textId="77777777" w:rsidR="00D13847" w:rsidRDefault="00D13847" w:rsidP="00D13847">
      <w:pPr>
        <w:pStyle w:val="FootnoteText"/>
        <w:rPr>
          <w:rFonts w:ascii="Calibri" w:hAnsi="Calibri" w:cs="Calibri"/>
          <w:lang w:val="lt-LT"/>
        </w:rPr>
      </w:pPr>
      <w:r>
        <w:rPr>
          <w:rStyle w:val="FootnoteReference"/>
          <w:rFonts w:ascii="Calibri" w:hAnsi="Calibri" w:cs="Calibri"/>
        </w:rPr>
        <w:footnoteRef/>
      </w:r>
      <w:r>
        <w:rPr>
          <w:rFonts w:ascii="Calibri" w:hAnsi="Calibri" w:cs="Calibri"/>
          <w:lang w:val="lt-LT"/>
        </w:rPr>
        <w:t xml:space="preserve"> </w:t>
      </w:r>
      <w:r>
        <w:rPr>
          <w:rFonts w:ascii="Calibri" w:hAnsi="Calibri" w:cs="Calibri"/>
          <w:lang w:val="lt-LT"/>
        </w:rPr>
        <w:t>Perkančioji organizacija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52"/>
    <w:multiLevelType w:val="hybridMultilevel"/>
    <w:tmpl w:val="B6B49940"/>
    <w:lvl w:ilvl="0" w:tplc="C3063D0C">
      <w:start w:val="1"/>
      <w:numFmt w:val="decimal"/>
      <w:lvlText w:val="%1."/>
      <w:lvlJc w:val="left"/>
      <w:pPr>
        <w:ind w:left="2180" w:hanging="360"/>
      </w:pPr>
    </w:lvl>
    <w:lvl w:ilvl="1" w:tplc="5A70FA4C">
      <w:start w:val="1"/>
      <w:numFmt w:val="decimal"/>
      <w:lvlText w:val="%2."/>
      <w:lvlJc w:val="left"/>
      <w:pPr>
        <w:ind w:left="2180" w:hanging="360"/>
      </w:pPr>
    </w:lvl>
    <w:lvl w:ilvl="2" w:tplc="D8FA85F4">
      <w:start w:val="1"/>
      <w:numFmt w:val="decimal"/>
      <w:lvlText w:val="%3."/>
      <w:lvlJc w:val="left"/>
      <w:pPr>
        <w:ind w:left="2180" w:hanging="360"/>
      </w:pPr>
    </w:lvl>
    <w:lvl w:ilvl="3" w:tplc="7A546DE8">
      <w:start w:val="1"/>
      <w:numFmt w:val="decimal"/>
      <w:lvlText w:val="%4."/>
      <w:lvlJc w:val="left"/>
      <w:pPr>
        <w:ind w:left="2180" w:hanging="360"/>
      </w:pPr>
    </w:lvl>
    <w:lvl w:ilvl="4" w:tplc="B94C2F40">
      <w:start w:val="1"/>
      <w:numFmt w:val="decimal"/>
      <w:lvlText w:val="%5."/>
      <w:lvlJc w:val="left"/>
      <w:pPr>
        <w:ind w:left="2180" w:hanging="360"/>
      </w:pPr>
    </w:lvl>
    <w:lvl w:ilvl="5" w:tplc="282682FA">
      <w:start w:val="1"/>
      <w:numFmt w:val="decimal"/>
      <w:lvlText w:val="%6."/>
      <w:lvlJc w:val="left"/>
      <w:pPr>
        <w:ind w:left="2180" w:hanging="360"/>
      </w:pPr>
    </w:lvl>
    <w:lvl w:ilvl="6" w:tplc="234A1544">
      <w:start w:val="1"/>
      <w:numFmt w:val="decimal"/>
      <w:lvlText w:val="%7."/>
      <w:lvlJc w:val="left"/>
      <w:pPr>
        <w:ind w:left="2180" w:hanging="360"/>
      </w:pPr>
    </w:lvl>
    <w:lvl w:ilvl="7" w:tplc="3E243D18">
      <w:start w:val="1"/>
      <w:numFmt w:val="decimal"/>
      <w:lvlText w:val="%8."/>
      <w:lvlJc w:val="left"/>
      <w:pPr>
        <w:ind w:left="2180" w:hanging="360"/>
      </w:pPr>
    </w:lvl>
    <w:lvl w:ilvl="8" w:tplc="2C8ECBCA">
      <w:start w:val="1"/>
      <w:numFmt w:val="decimal"/>
      <w:lvlText w:val="%9."/>
      <w:lvlJc w:val="left"/>
      <w:pPr>
        <w:ind w:left="2180" w:hanging="360"/>
      </w:pPr>
    </w:lvl>
  </w:abstractNum>
  <w:abstractNum w:abstractNumId="1" w15:restartNumberingAfterBreak="0">
    <w:nsid w:val="0B667474"/>
    <w:multiLevelType w:val="hybridMultilevel"/>
    <w:tmpl w:val="BF6C4748"/>
    <w:lvl w:ilvl="0" w:tplc="0AC0E988">
      <w:start w:val="1"/>
      <w:numFmt w:val="decimal"/>
      <w:lvlText w:val="%1."/>
      <w:lvlJc w:val="left"/>
      <w:pPr>
        <w:ind w:left="2180" w:hanging="360"/>
      </w:pPr>
    </w:lvl>
    <w:lvl w:ilvl="1" w:tplc="CC124AF6">
      <w:start w:val="1"/>
      <w:numFmt w:val="decimal"/>
      <w:lvlText w:val="%2."/>
      <w:lvlJc w:val="left"/>
      <w:pPr>
        <w:ind w:left="2180" w:hanging="360"/>
      </w:pPr>
    </w:lvl>
    <w:lvl w:ilvl="2" w:tplc="43687D14">
      <w:start w:val="1"/>
      <w:numFmt w:val="decimal"/>
      <w:lvlText w:val="%3."/>
      <w:lvlJc w:val="left"/>
      <w:pPr>
        <w:ind w:left="2180" w:hanging="360"/>
      </w:pPr>
    </w:lvl>
    <w:lvl w:ilvl="3" w:tplc="D27EDAA4">
      <w:start w:val="1"/>
      <w:numFmt w:val="decimal"/>
      <w:lvlText w:val="%4."/>
      <w:lvlJc w:val="left"/>
      <w:pPr>
        <w:ind w:left="2180" w:hanging="360"/>
      </w:pPr>
    </w:lvl>
    <w:lvl w:ilvl="4" w:tplc="69684D9E">
      <w:start w:val="1"/>
      <w:numFmt w:val="decimal"/>
      <w:lvlText w:val="%5."/>
      <w:lvlJc w:val="left"/>
      <w:pPr>
        <w:ind w:left="2180" w:hanging="360"/>
      </w:pPr>
    </w:lvl>
    <w:lvl w:ilvl="5" w:tplc="2CE808C4">
      <w:start w:val="1"/>
      <w:numFmt w:val="decimal"/>
      <w:lvlText w:val="%6."/>
      <w:lvlJc w:val="left"/>
      <w:pPr>
        <w:ind w:left="2180" w:hanging="360"/>
      </w:pPr>
    </w:lvl>
    <w:lvl w:ilvl="6" w:tplc="C0D8CD82">
      <w:start w:val="1"/>
      <w:numFmt w:val="decimal"/>
      <w:lvlText w:val="%7."/>
      <w:lvlJc w:val="left"/>
      <w:pPr>
        <w:ind w:left="2180" w:hanging="360"/>
      </w:pPr>
    </w:lvl>
    <w:lvl w:ilvl="7" w:tplc="79F06870">
      <w:start w:val="1"/>
      <w:numFmt w:val="decimal"/>
      <w:lvlText w:val="%8."/>
      <w:lvlJc w:val="left"/>
      <w:pPr>
        <w:ind w:left="2180" w:hanging="360"/>
      </w:pPr>
    </w:lvl>
    <w:lvl w:ilvl="8" w:tplc="2806EE32">
      <w:start w:val="1"/>
      <w:numFmt w:val="decimal"/>
      <w:lvlText w:val="%9."/>
      <w:lvlJc w:val="left"/>
      <w:pPr>
        <w:ind w:left="2180" w:hanging="360"/>
      </w:pPr>
    </w:lvl>
  </w:abstractNum>
  <w:abstractNum w:abstractNumId="2" w15:restartNumberingAfterBreak="0">
    <w:nsid w:val="12D17EF0"/>
    <w:multiLevelType w:val="hybridMultilevel"/>
    <w:tmpl w:val="3CC83044"/>
    <w:lvl w:ilvl="0" w:tplc="7B38AE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F333B8"/>
    <w:multiLevelType w:val="hybridMultilevel"/>
    <w:tmpl w:val="BF081646"/>
    <w:lvl w:ilvl="0" w:tplc="E9B43748">
      <w:start w:val="1"/>
      <w:numFmt w:val="decimal"/>
      <w:lvlText w:val="%1."/>
      <w:lvlJc w:val="left"/>
      <w:pPr>
        <w:ind w:left="2180" w:hanging="360"/>
      </w:pPr>
    </w:lvl>
    <w:lvl w:ilvl="1" w:tplc="16D09BB0">
      <w:start w:val="1"/>
      <w:numFmt w:val="decimal"/>
      <w:lvlText w:val="%2."/>
      <w:lvlJc w:val="left"/>
      <w:pPr>
        <w:ind w:left="2180" w:hanging="360"/>
      </w:pPr>
    </w:lvl>
    <w:lvl w:ilvl="2" w:tplc="3F564034">
      <w:start w:val="1"/>
      <w:numFmt w:val="decimal"/>
      <w:lvlText w:val="%3."/>
      <w:lvlJc w:val="left"/>
      <w:pPr>
        <w:ind w:left="2180" w:hanging="360"/>
      </w:pPr>
    </w:lvl>
    <w:lvl w:ilvl="3" w:tplc="56A8EE3C">
      <w:start w:val="1"/>
      <w:numFmt w:val="decimal"/>
      <w:lvlText w:val="%4."/>
      <w:lvlJc w:val="left"/>
      <w:pPr>
        <w:ind w:left="2180" w:hanging="360"/>
      </w:pPr>
    </w:lvl>
    <w:lvl w:ilvl="4" w:tplc="2BCED7D0">
      <w:start w:val="1"/>
      <w:numFmt w:val="decimal"/>
      <w:lvlText w:val="%5."/>
      <w:lvlJc w:val="left"/>
      <w:pPr>
        <w:ind w:left="2180" w:hanging="360"/>
      </w:pPr>
    </w:lvl>
    <w:lvl w:ilvl="5" w:tplc="FF88929A">
      <w:start w:val="1"/>
      <w:numFmt w:val="decimal"/>
      <w:lvlText w:val="%6."/>
      <w:lvlJc w:val="left"/>
      <w:pPr>
        <w:ind w:left="2180" w:hanging="360"/>
      </w:pPr>
    </w:lvl>
    <w:lvl w:ilvl="6" w:tplc="BC44FB54">
      <w:start w:val="1"/>
      <w:numFmt w:val="decimal"/>
      <w:lvlText w:val="%7."/>
      <w:lvlJc w:val="left"/>
      <w:pPr>
        <w:ind w:left="2180" w:hanging="360"/>
      </w:pPr>
    </w:lvl>
    <w:lvl w:ilvl="7" w:tplc="7E52AFFC">
      <w:start w:val="1"/>
      <w:numFmt w:val="decimal"/>
      <w:lvlText w:val="%8."/>
      <w:lvlJc w:val="left"/>
      <w:pPr>
        <w:ind w:left="2180" w:hanging="360"/>
      </w:pPr>
    </w:lvl>
    <w:lvl w:ilvl="8" w:tplc="0576E632">
      <w:start w:val="1"/>
      <w:numFmt w:val="decimal"/>
      <w:lvlText w:val="%9."/>
      <w:lvlJc w:val="left"/>
      <w:pPr>
        <w:ind w:left="2180" w:hanging="360"/>
      </w:pPr>
    </w:lvl>
  </w:abstractNum>
  <w:abstractNum w:abstractNumId="4" w15:restartNumberingAfterBreak="0">
    <w:nsid w:val="232E4F7F"/>
    <w:multiLevelType w:val="multilevel"/>
    <w:tmpl w:val="4C4A23D0"/>
    <w:lvl w:ilvl="0">
      <w:start w:val="1"/>
      <w:numFmt w:val="decimal"/>
      <w:lvlText w:val="%1."/>
      <w:lvlJc w:val="left"/>
      <w:pPr>
        <w:ind w:left="720" w:hanging="360"/>
      </w:pPr>
      <w:rPr>
        <w:rFonts w:hint="default"/>
      </w:rPr>
    </w:lvl>
    <w:lvl w:ilvl="1">
      <w:start w:val="1"/>
      <w:numFmt w:val="decimal"/>
      <w:isLgl/>
      <w:lvlText w:val="%1.%2."/>
      <w:lvlJc w:val="left"/>
      <w:pPr>
        <w:ind w:left="418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AD0656"/>
    <w:multiLevelType w:val="hybridMultilevel"/>
    <w:tmpl w:val="A224DAA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7DF90A"/>
    <w:multiLevelType w:val="hybridMultilevel"/>
    <w:tmpl w:val="FCAAC5B4"/>
    <w:lvl w:ilvl="0" w:tplc="16366D58">
      <w:start w:val="1"/>
      <w:numFmt w:val="decimal"/>
      <w:lvlText w:val="%1."/>
      <w:lvlJc w:val="left"/>
      <w:pPr>
        <w:ind w:left="927" w:hanging="360"/>
      </w:pPr>
    </w:lvl>
    <w:lvl w:ilvl="1" w:tplc="4AB2F300">
      <w:start w:val="1"/>
      <w:numFmt w:val="lowerLetter"/>
      <w:lvlText w:val="%2."/>
      <w:lvlJc w:val="left"/>
      <w:pPr>
        <w:ind w:left="1440" w:hanging="360"/>
      </w:pPr>
    </w:lvl>
    <w:lvl w:ilvl="2" w:tplc="EB6A02EC">
      <w:start w:val="1"/>
      <w:numFmt w:val="lowerRoman"/>
      <w:lvlText w:val="%3."/>
      <w:lvlJc w:val="right"/>
      <w:pPr>
        <w:ind w:left="2160" w:hanging="180"/>
      </w:pPr>
    </w:lvl>
    <w:lvl w:ilvl="3" w:tplc="81A40684">
      <w:start w:val="1"/>
      <w:numFmt w:val="decimal"/>
      <w:lvlText w:val="%4."/>
      <w:lvlJc w:val="left"/>
      <w:pPr>
        <w:ind w:left="2880" w:hanging="360"/>
      </w:pPr>
    </w:lvl>
    <w:lvl w:ilvl="4" w:tplc="5C8A82AA">
      <w:start w:val="1"/>
      <w:numFmt w:val="lowerLetter"/>
      <w:lvlText w:val="%5."/>
      <w:lvlJc w:val="left"/>
      <w:pPr>
        <w:ind w:left="3600" w:hanging="360"/>
      </w:pPr>
    </w:lvl>
    <w:lvl w:ilvl="5" w:tplc="29424A02">
      <w:start w:val="1"/>
      <w:numFmt w:val="lowerRoman"/>
      <w:lvlText w:val="%6."/>
      <w:lvlJc w:val="right"/>
      <w:pPr>
        <w:ind w:left="4320" w:hanging="180"/>
      </w:pPr>
    </w:lvl>
    <w:lvl w:ilvl="6" w:tplc="9C76EE30">
      <w:start w:val="1"/>
      <w:numFmt w:val="decimal"/>
      <w:lvlText w:val="%7."/>
      <w:lvlJc w:val="left"/>
      <w:pPr>
        <w:ind w:left="5040" w:hanging="360"/>
      </w:pPr>
    </w:lvl>
    <w:lvl w:ilvl="7" w:tplc="6032CBB0">
      <w:start w:val="1"/>
      <w:numFmt w:val="lowerLetter"/>
      <w:lvlText w:val="%8."/>
      <w:lvlJc w:val="left"/>
      <w:pPr>
        <w:ind w:left="5760" w:hanging="360"/>
      </w:pPr>
    </w:lvl>
    <w:lvl w:ilvl="8" w:tplc="CD8858BC">
      <w:start w:val="1"/>
      <w:numFmt w:val="lowerRoman"/>
      <w:lvlText w:val="%9."/>
      <w:lvlJc w:val="right"/>
      <w:pPr>
        <w:ind w:left="6480" w:hanging="180"/>
      </w:pPr>
    </w:lvl>
  </w:abstractNum>
  <w:abstractNum w:abstractNumId="7" w15:restartNumberingAfterBreak="0">
    <w:nsid w:val="62EE1AC5"/>
    <w:multiLevelType w:val="hybridMultilevel"/>
    <w:tmpl w:val="722C90EE"/>
    <w:lvl w:ilvl="0" w:tplc="6B0C1398">
      <w:start w:val="1"/>
      <w:numFmt w:val="decimal"/>
      <w:lvlText w:val="%1."/>
      <w:lvlJc w:val="left"/>
      <w:pPr>
        <w:ind w:left="2180" w:hanging="360"/>
      </w:pPr>
    </w:lvl>
    <w:lvl w:ilvl="1" w:tplc="F2706BD6">
      <w:start w:val="1"/>
      <w:numFmt w:val="decimal"/>
      <w:lvlText w:val="%2."/>
      <w:lvlJc w:val="left"/>
      <w:pPr>
        <w:ind w:left="2180" w:hanging="360"/>
      </w:pPr>
    </w:lvl>
    <w:lvl w:ilvl="2" w:tplc="76BA3486">
      <w:start w:val="1"/>
      <w:numFmt w:val="decimal"/>
      <w:lvlText w:val="%3."/>
      <w:lvlJc w:val="left"/>
      <w:pPr>
        <w:ind w:left="2180" w:hanging="360"/>
      </w:pPr>
    </w:lvl>
    <w:lvl w:ilvl="3" w:tplc="702013FA">
      <w:start w:val="1"/>
      <w:numFmt w:val="decimal"/>
      <w:lvlText w:val="%4."/>
      <w:lvlJc w:val="left"/>
      <w:pPr>
        <w:ind w:left="2180" w:hanging="360"/>
      </w:pPr>
    </w:lvl>
    <w:lvl w:ilvl="4" w:tplc="DB18BF38">
      <w:start w:val="1"/>
      <w:numFmt w:val="decimal"/>
      <w:lvlText w:val="%5."/>
      <w:lvlJc w:val="left"/>
      <w:pPr>
        <w:ind w:left="2180" w:hanging="360"/>
      </w:pPr>
    </w:lvl>
    <w:lvl w:ilvl="5" w:tplc="522CD932">
      <w:start w:val="1"/>
      <w:numFmt w:val="decimal"/>
      <w:lvlText w:val="%6."/>
      <w:lvlJc w:val="left"/>
      <w:pPr>
        <w:ind w:left="2180" w:hanging="360"/>
      </w:pPr>
    </w:lvl>
    <w:lvl w:ilvl="6" w:tplc="0DE6A4BC">
      <w:start w:val="1"/>
      <w:numFmt w:val="decimal"/>
      <w:lvlText w:val="%7."/>
      <w:lvlJc w:val="left"/>
      <w:pPr>
        <w:ind w:left="2180" w:hanging="360"/>
      </w:pPr>
    </w:lvl>
    <w:lvl w:ilvl="7" w:tplc="2F7C1D0C">
      <w:start w:val="1"/>
      <w:numFmt w:val="decimal"/>
      <w:lvlText w:val="%8."/>
      <w:lvlJc w:val="left"/>
      <w:pPr>
        <w:ind w:left="2180" w:hanging="360"/>
      </w:pPr>
    </w:lvl>
    <w:lvl w:ilvl="8" w:tplc="9CBA2080">
      <w:start w:val="1"/>
      <w:numFmt w:val="decimal"/>
      <w:lvlText w:val="%9."/>
      <w:lvlJc w:val="left"/>
      <w:pPr>
        <w:ind w:left="2180" w:hanging="360"/>
      </w:pPr>
    </w:lvl>
  </w:abstractNum>
  <w:abstractNum w:abstractNumId="8" w15:restartNumberingAfterBreak="0">
    <w:nsid w:val="6FB4298E"/>
    <w:multiLevelType w:val="multilevel"/>
    <w:tmpl w:val="4F062AA6"/>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2254933">
    <w:abstractNumId w:val="2"/>
  </w:num>
  <w:num w:numId="2" w16cid:durableId="239952939">
    <w:abstractNumId w:val="4"/>
  </w:num>
  <w:num w:numId="3" w16cid:durableId="1982618061">
    <w:abstractNumId w:val="6"/>
  </w:num>
  <w:num w:numId="4" w16cid:durableId="262156522">
    <w:abstractNumId w:val="5"/>
  </w:num>
  <w:num w:numId="5" w16cid:durableId="19597534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54278437">
    <w:abstractNumId w:val="1"/>
  </w:num>
  <w:num w:numId="7" w16cid:durableId="460080008">
    <w:abstractNumId w:val="7"/>
  </w:num>
  <w:num w:numId="8" w16cid:durableId="1271081701">
    <w:abstractNumId w:val="3"/>
  </w:num>
  <w:num w:numId="9" w16cid:durableId="1164735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807"/>
    <w:rsid w:val="00000EF8"/>
    <w:rsid w:val="00005262"/>
    <w:rsid w:val="000154B9"/>
    <w:rsid w:val="0001749B"/>
    <w:rsid w:val="00020D41"/>
    <w:rsid w:val="000257A4"/>
    <w:rsid w:val="00026C0C"/>
    <w:rsid w:val="00027B62"/>
    <w:rsid w:val="000310DB"/>
    <w:rsid w:val="00035881"/>
    <w:rsid w:val="00042C24"/>
    <w:rsid w:val="00045BEE"/>
    <w:rsid w:val="000563B3"/>
    <w:rsid w:val="00064BCE"/>
    <w:rsid w:val="00066296"/>
    <w:rsid w:val="000751BF"/>
    <w:rsid w:val="000A386E"/>
    <w:rsid w:val="000A7D73"/>
    <w:rsid w:val="000B0A3F"/>
    <w:rsid w:val="000B2516"/>
    <w:rsid w:val="000B2ACD"/>
    <w:rsid w:val="000B3E54"/>
    <w:rsid w:val="000C52AB"/>
    <w:rsid w:val="000D6411"/>
    <w:rsid w:val="000E4B3E"/>
    <w:rsid w:val="000E75C2"/>
    <w:rsid w:val="000F5A62"/>
    <w:rsid w:val="00100CAD"/>
    <w:rsid w:val="001210C8"/>
    <w:rsid w:val="00142994"/>
    <w:rsid w:val="00142DC1"/>
    <w:rsid w:val="00143786"/>
    <w:rsid w:val="00152696"/>
    <w:rsid w:val="001532DF"/>
    <w:rsid w:val="001604B3"/>
    <w:rsid w:val="00161CC1"/>
    <w:rsid w:val="00170F15"/>
    <w:rsid w:val="00172733"/>
    <w:rsid w:val="001951A8"/>
    <w:rsid w:val="001A2739"/>
    <w:rsid w:val="001A4E5E"/>
    <w:rsid w:val="001A583E"/>
    <w:rsid w:val="001B3A33"/>
    <w:rsid w:val="001B4DDF"/>
    <w:rsid w:val="001C286B"/>
    <w:rsid w:val="001C425E"/>
    <w:rsid w:val="001C7474"/>
    <w:rsid w:val="001D45AB"/>
    <w:rsid w:val="001E1072"/>
    <w:rsid w:val="001E7F79"/>
    <w:rsid w:val="001F5337"/>
    <w:rsid w:val="002054AD"/>
    <w:rsid w:val="0022091A"/>
    <w:rsid w:val="002256DE"/>
    <w:rsid w:val="00227F26"/>
    <w:rsid w:val="00233E6E"/>
    <w:rsid w:val="00234FE6"/>
    <w:rsid w:val="002352F4"/>
    <w:rsid w:val="00251169"/>
    <w:rsid w:val="00255579"/>
    <w:rsid w:val="0026787C"/>
    <w:rsid w:val="00274610"/>
    <w:rsid w:val="002822B1"/>
    <w:rsid w:val="00286569"/>
    <w:rsid w:val="002C7A00"/>
    <w:rsid w:val="002D246D"/>
    <w:rsid w:val="002E6764"/>
    <w:rsid w:val="002F7DA9"/>
    <w:rsid w:val="0031494A"/>
    <w:rsid w:val="00321635"/>
    <w:rsid w:val="0032445C"/>
    <w:rsid w:val="00325404"/>
    <w:rsid w:val="00325CC2"/>
    <w:rsid w:val="00326A67"/>
    <w:rsid w:val="00334A3D"/>
    <w:rsid w:val="003364AF"/>
    <w:rsid w:val="0033700F"/>
    <w:rsid w:val="00360B23"/>
    <w:rsid w:val="003663BC"/>
    <w:rsid w:val="0037423F"/>
    <w:rsid w:val="00374329"/>
    <w:rsid w:val="00374DFF"/>
    <w:rsid w:val="00387D85"/>
    <w:rsid w:val="00390493"/>
    <w:rsid w:val="00391557"/>
    <w:rsid w:val="003C1B69"/>
    <w:rsid w:val="003C45D4"/>
    <w:rsid w:val="003C59A7"/>
    <w:rsid w:val="003D6510"/>
    <w:rsid w:val="003E7A2B"/>
    <w:rsid w:val="003F2E65"/>
    <w:rsid w:val="003F50E4"/>
    <w:rsid w:val="004128F5"/>
    <w:rsid w:val="00412C9B"/>
    <w:rsid w:val="00417F70"/>
    <w:rsid w:val="00427CCC"/>
    <w:rsid w:val="00432588"/>
    <w:rsid w:val="00434056"/>
    <w:rsid w:val="004341E5"/>
    <w:rsid w:val="00444E21"/>
    <w:rsid w:val="00446B99"/>
    <w:rsid w:val="00447E88"/>
    <w:rsid w:val="00450E6C"/>
    <w:rsid w:val="00461C1C"/>
    <w:rsid w:val="004714B7"/>
    <w:rsid w:val="00483676"/>
    <w:rsid w:val="00485D30"/>
    <w:rsid w:val="004967B5"/>
    <w:rsid w:val="004A05E1"/>
    <w:rsid w:val="004A11FB"/>
    <w:rsid w:val="004B4495"/>
    <w:rsid w:val="004B63A3"/>
    <w:rsid w:val="004D3FDD"/>
    <w:rsid w:val="004E6E6D"/>
    <w:rsid w:val="004F2837"/>
    <w:rsid w:val="004F68B1"/>
    <w:rsid w:val="00505820"/>
    <w:rsid w:val="005140C5"/>
    <w:rsid w:val="00515FCC"/>
    <w:rsid w:val="00521F1B"/>
    <w:rsid w:val="005233B5"/>
    <w:rsid w:val="0053120F"/>
    <w:rsid w:val="00535474"/>
    <w:rsid w:val="00537785"/>
    <w:rsid w:val="0056080B"/>
    <w:rsid w:val="005638D8"/>
    <w:rsid w:val="00567BCC"/>
    <w:rsid w:val="0057584C"/>
    <w:rsid w:val="005943B7"/>
    <w:rsid w:val="00595DCA"/>
    <w:rsid w:val="005A0CA1"/>
    <w:rsid w:val="005B50E3"/>
    <w:rsid w:val="005C00C1"/>
    <w:rsid w:val="005E0DFC"/>
    <w:rsid w:val="005E10E8"/>
    <w:rsid w:val="005F716B"/>
    <w:rsid w:val="005F7F07"/>
    <w:rsid w:val="006349C9"/>
    <w:rsid w:val="00634C65"/>
    <w:rsid w:val="006372F5"/>
    <w:rsid w:val="0064096D"/>
    <w:rsid w:val="006510A2"/>
    <w:rsid w:val="006540FA"/>
    <w:rsid w:val="00663602"/>
    <w:rsid w:val="00663E0B"/>
    <w:rsid w:val="0067381C"/>
    <w:rsid w:val="00684F05"/>
    <w:rsid w:val="00686AD1"/>
    <w:rsid w:val="00692989"/>
    <w:rsid w:val="006A08B3"/>
    <w:rsid w:val="006A1211"/>
    <w:rsid w:val="006A1821"/>
    <w:rsid w:val="006A50DD"/>
    <w:rsid w:val="006A575B"/>
    <w:rsid w:val="006B0C99"/>
    <w:rsid w:val="006B4BE7"/>
    <w:rsid w:val="006C4779"/>
    <w:rsid w:val="006D6D39"/>
    <w:rsid w:val="006F0F9C"/>
    <w:rsid w:val="006F51C9"/>
    <w:rsid w:val="006F636E"/>
    <w:rsid w:val="00702080"/>
    <w:rsid w:val="00707C73"/>
    <w:rsid w:val="007155AD"/>
    <w:rsid w:val="0071606A"/>
    <w:rsid w:val="0073225C"/>
    <w:rsid w:val="00743645"/>
    <w:rsid w:val="007449FD"/>
    <w:rsid w:val="00751EB7"/>
    <w:rsid w:val="00752A36"/>
    <w:rsid w:val="00753043"/>
    <w:rsid w:val="007607A5"/>
    <w:rsid w:val="00760A20"/>
    <w:rsid w:val="00770596"/>
    <w:rsid w:val="00771FAB"/>
    <w:rsid w:val="007760F0"/>
    <w:rsid w:val="007A41C2"/>
    <w:rsid w:val="007B042A"/>
    <w:rsid w:val="007C4794"/>
    <w:rsid w:val="007D50BF"/>
    <w:rsid w:val="007E20F3"/>
    <w:rsid w:val="007F040D"/>
    <w:rsid w:val="007F6B20"/>
    <w:rsid w:val="0080623A"/>
    <w:rsid w:val="00820F5B"/>
    <w:rsid w:val="008308D6"/>
    <w:rsid w:val="008417FD"/>
    <w:rsid w:val="00847A2B"/>
    <w:rsid w:val="008517C4"/>
    <w:rsid w:val="0085316D"/>
    <w:rsid w:val="00855E00"/>
    <w:rsid w:val="008620B4"/>
    <w:rsid w:val="0086342A"/>
    <w:rsid w:val="0086707F"/>
    <w:rsid w:val="00872139"/>
    <w:rsid w:val="00881E52"/>
    <w:rsid w:val="00884341"/>
    <w:rsid w:val="0089698E"/>
    <w:rsid w:val="008A1405"/>
    <w:rsid w:val="008A4CAD"/>
    <w:rsid w:val="008A6947"/>
    <w:rsid w:val="008B2CFF"/>
    <w:rsid w:val="008B4FDD"/>
    <w:rsid w:val="008D03FE"/>
    <w:rsid w:val="008D3EAF"/>
    <w:rsid w:val="008D689E"/>
    <w:rsid w:val="008E639D"/>
    <w:rsid w:val="008E7793"/>
    <w:rsid w:val="008E7D87"/>
    <w:rsid w:val="008F4DB8"/>
    <w:rsid w:val="00902899"/>
    <w:rsid w:val="00904C2B"/>
    <w:rsid w:val="00906755"/>
    <w:rsid w:val="00911BED"/>
    <w:rsid w:val="00926E59"/>
    <w:rsid w:val="00952EC2"/>
    <w:rsid w:val="009637B4"/>
    <w:rsid w:val="00972836"/>
    <w:rsid w:val="009733C1"/>
    <w:rsid w:val="00975E84"/>
    <w:rsid w:val="00984F8E"/>
    <w:rsid w:val="009A41BC"/>
    <w:rsid w:val="009B2D3E"/>
    <w:rsid w:val="009B3C2C"/>
    <w:rsid w:val="009C10F8"/>
    <w:rsid w:val="009C5F77"/>
    <w:rsid w:val="009D5D9A"/>
    <w:rsid w:val="009E0A43"/>
    <w:rsid w:val="009E0A52"/>
    <w:rsid w:val="009E35CD"/>
    <w:rsid w:val="009F2F18"/>
    <w:rsid w:val="009F3729"/>
    <w:rsid w:val="00A00196"/>
    <w:rsid w:val="00A04084"/>
    <w:rsid w:val="00A12542"/>
    <w:rsid w:val="00A26E1A"/>
    <w:rsid w:val="00A528C6"/>
    <w:rsid w:val="00A55A9D"/>
    <w:rsid w:val="00A90B1F"/>
    <w:rsid w:val="00A91491"/>
    <w:rsid w:val="00AD5DC7"/>
    <w:rsid w:val="00AD7259"/>
    <w:rsid w:val="00AE0842"/>
    <w:rsid w:val="00AE6C6F"/>
    <w:rsid w:val="00AF64F9"/>
    <w:rsid w:val="00B04AFE"/>
    <w:rsid w:val="00B07448"/>
    <w:rsid w:val="00B242A2"/>
    <w:rsid w:val="00B247D2"/>
    <w:rsid w:val="00B2706F"/>
    <w:rsid w:val="00B32ECE"/>
    <w:rsid w:val="00B4129A"/>
    <w:rsid w:val="00B420F5"/>
    <w:rsid w:val="00B45FD2"/>
    <w:rsid w:val="00B541B0"/>
    <w:rsid w:val="00B55807"/>
    <w:rsid w:val="00B821C7"/>
    <w:rsid w:val="00B833AC"/>
    <w:rsid w:val="00B86822"/>
    <w:rsid w:val="00BA1EE3"/>
    <w:rsid w:val="00BB35CF"/>
    <w:rsid w:val="00BC0495"/>
    <w:rsid w:val="00BC3BE6"/>
    <w:rsid w:val="00BC4C47"/>
    <w:rsid w:val="00BE1650"/>
    <w:rsid w:val="00C03715"/>
    <w:rsid w:val="00C04138"/>
    <w:rsid w:val="00C0665E"/>
    <w:rsid w:val="00C1094D"/>
    <w:rsid w:val="00C2315A"/>
    <w:rsid w:val="00C31F1E"/>
    <w:rsid w:val="00C36434"/>
    <w:rsid w:val="00C42CA0"/>
    <w:rsid w:val="00C769A5"/>
    <w:rsid w:val="00C93049"/>
    <w:rsid w:val="00CB6B83"/>
    <w:rsid w:val="00CC61CC"/>
    <w:rsid w:val="00CD7085"/>
    <w:rsid w:val="00CF23E9"/>
    <w:rsid w:val="00CF49C7"/>
    <w:rsid w:val="00D00335"/>
    <w:rsid w:val="00D04EB0"/>
    <w:rsid w:val="00D06C0A"/>
    <w:rsid w:val="00D11DC8"/>
    <w:rsid w:val="00D13847"/>
    <w:rsid w:val="00D32193"/>
    <w:rsid w:val="00D34527"/>
    <w:rsid w:val="00D40706"/>
    <w:rsid w:val="00D536ED"/>
    <w:rsid w:val="00D54D82"/>
    <w:rsid w:val="00D60D24"/>
    <w:rsid w:val="00D63DDD"/>
    <w:rsid w:val="00D649BF"/>
    <w:rsid w:val="00D70250"/>
    <w:rsid w:val="00D735E1"/>
    <w:rsid w:val="00D9572A"/>
    <w:rsid w:val="00DA0167"/>
    <w:rsid w:val="00DA06CE"/>
    <w:rsid w:val="00DA40CA"/>
    <w:rsid w:val="00DA5B4B"/>
    <w:rsid w:val="00DB221C"/>
    <w:rsid w:val="00DC4503"/>
    <w:rsid w:val="00DC56EC"/>
    <w:rsid w:val="00DC6D7F"/>
    <w:rsid w:val="00DC7214"/>
    <w:rsid w:val="00DD5D62"/>
    <w:rsid w:val="00DF5FFB"/>
    <w:rsid w:val="00E02F4D"/>
    <w:rsid w:val="00E0485D"/>
    <w:rsid w:val="00E06F75"/>
    <w:rsid w:val="00E145CC"/>
    <w:rsid w:val="00E23782"/>
    <w:rsid w:val="00E41B0D"/>
    <w:rsid w:val="00E476B6"/>
    <w:rsid w:val="00E53CE3"/>
    <w:rsid w:val="00E6224C"/>
    <w:rsid w:val="00E64F99"/>
    <w:rsid w:val="00E8236E"/>
    <w:rsid w:val="00EA324E"/>
    <w:rsid w:val="00EB10AF"/>
    <w:rsid w:val="00EB5D7B"/>
    <w:rsid w:val="00ED1806"/>
    <w:rsid w:val="00EE1D81"/>
    <w:rsid w:val="00EE646F"/>
    <w:rsid w:val="00EF7BAA"/>
    <w:rsid w:val="00F01C2A"/>
    <w:rsid w:val="00F01EAB"/>
    <w:rsid w:val="00F026CD"/>
    <w:rsid w:val="00F62609"/>
    <w:rsid w:val="00F703B8"/>
    <w:rsid w:val="00F72500"/>
    <w:rsid w:val="00F8119D"/>
    <w:rsid w:val="00F81F47"/>
    <w:rsid w:val="00F90AAA"/>
    <w:rsid w:val="00FA357D"/>
    <w:rsid w:val="00FB2F65"/>
    <w:rsid w:val="00FC122D"/>
    <w:rsid w:val="00FC38FF"/>
    <w:rsid w:val="00FE754F"/>
    <w:rsid w:val="00FF0D67"/>
    <w:rsid w:val="00FF24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8C9AD"/>
  <w15:chartTrackingRefBased/>
  <w15:docId w15:val="{D415397E-3091-4213-8D5B-28F0F88E7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58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8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8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8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8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8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8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8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8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8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8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8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8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8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807"/>
    <w:rPr>
      <w:rFonts w:eastAsiaTheme="majorEastAsia" w:cstheme="majorBidi"/>
      <w:color w:val="272727" w:themeColor="text1" w:themeTint="D8"/>
    </w:rPr>
  </w:style>
  <w:style w:type="paragraph" w:styleId="Title">
    <w:name w:val="Title"/>
    <w:basedOn w:val="Normal"/>
    <w:next w:val="Normal"/>
    <w:link w:val="TitleChar"/>
    <w:uiPriority w:val="10"/>
    <w:qFormat/>
    <w:rsid w:val="00B558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8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8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807"/>
    <w:pPr>
      <w:spacing w:before="160"/>
      <w:jc w:val="center"/>
    </w:pPr>
    <w:rPr>
      <w:i/>
      <w:iCs/>
      <w:color w:val="404040" w:themeColor="text1" w:themeTint="BF"/>
    </w:rPr>
  </w:style>
  <w:style w:type="character" w:customStyle="1" w:styleId="QuoteChar">
    <w:name w:val="Quote Char"/>
    <w:basedOn w:val="DefaultParagraphFont"/>
    <w:link w:val="Quote"/>
    <w:uiPriority w:val="29"/>
    <w:rsid w:val="00B55807"/>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 1,Bull"/>
    <w:basedOn w:val="Normal"/>
    <w:link w:val="ListParagraphChar"/>
    <w:uiPriority w:val="34"/>
    <w:qFormat/>
    <w:rsid w:val="00B55807"/>
    <w:pPr>
      <w:ind w:left="720"/>
      <w:contextualSpacing/>
    </w:pPr>
  </w:style>
  <w:style w:type="character" w:styleId="IntenseEmphasis">
    <w:name w:val="Intense Emphasis"/>
    <w:basedOn w:val="DefaultParagraphFont"/>
    <w:uiPriority w:val="21"/>
    <w:qFormat/>
    <w:rsid w:val="00B55807"/>
    <w:rPr>
      <w:i/>
      <w:iCs/>
      <w:color w:val="0F4761" w:themeColor="accent1" w:themeShade="BF"/>
    </w:rPr>
  </w:style>
  <w:style w:type="paragraph" w:styleId="IntenseQuote">
    <w:name w:val="Intense Quote"/>
    <w:basedOn w:val="Normal"/>
    <w:next w:val="Normal"/>
    <w:link w:val="IntenseQuoteChar"/>
    <w:uiPriority w:val="30"/>
    <w:qFormat/>
    <w:rsid w:val="00B558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807"/>
    <w:rPr>
      <w:i/>
      <w:iCs/>
      <w:color w:val="0F4761" w:themeColor="accent1" w:themeShade="BF"/>
    </w:rPr>
  </w:style>
  <w:style w:type="character" w:styleId="IntenseReference">
    <w:name w:val="Intense Reference"/>
    <w:basedOn w:val="DefaultParagraphFont"/>
    <w:uiPriority w:val="32"/>
    <w:qFormat/>
    <w:rsid w:val="00B55807"/>
    <w:rPr>
      <w:b/>
      <w:bCs/>
      <w:smallCaps/>
      <w:color w:val="0F4761" w:themeColor="accent1" w:themeShade="BF"/>
      <w:spacing w:val="5"/>
    </w:rPr>
  </w:style>
  <w:style w:type="paragraph" w:styleId="FootnoteText">
    <w:name w:val="footnote text"/>
    <w:aliases w:val="Diagrama1,ColumnText,Išnaša,Footnote Text Char Char,Footnote Text Char2,Footnote Text Char1 Char Char,Footnote Text Char Char Char Char,Footnote Text Char1 Char Char Char Char,Footnote Text Char Char1,Footnote,fn,FT"/>
    <w:basedOn w:val="Normal"/>
    <w:link w:val="FootnoteTextChar"/>
    <w:uiPriority w:val="99"/>
    <w:semiHidden/>
    <w:unhideWhenUsed/>
    <w:qFormat/>
    <w:rsid w:val="00D13847"/>
    <w:pPr>
      <w:spacing w:after="0" w:line="240" w:lineRule="auto"/>
    </w:pPr>
    <w:rPr>
      <w:sz w:val="20"/>
      <w:szCs w:val="20"/>
    </w:rPr>
  </w:style>
  <w:style w:type="character" w:customStyle="1" w:styleId="FootnoteTextChar">
    <w:name w:val="Footnote Text Char"/>
    <w:aliases w:val="Diagrama1 Char,ColumnText Char,Išnaša Char,Footnote Text Char Char Char,Footnote Text Char2 Char,Footnote Text Char1 Char Char Char,Footnote Text Char Char Char Char Char,Footnote Text Char1 Char Char Char Char Char,Footnote Char"/>
    <w:basedOn w:val="DefaultParagraphFont"/>
    <w:link w:val="FootnoteText"/>
    <w:uiPriority w:val="99"/>
    <w:semiHidden/>
    <w:rsid w:val="00D13847"/>
    <w:rPr>
      <w:sz w:val="20"/>
      <w:szCs w:val="20"/>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semiHidden/>
    <w:unhideWhenUsed/>
    <w:qFormat/>
    <w:rsid w:val="00D13847"/>
    <w:rPr>
      <w:vertAlign w:val="superscript"/>
    </w:rPr>
  </w:style>
  <w:style w:type="character" w:styleId="Hyperlink">
    <w:name w:val="Hyperlink"/>
    <w:basedOn w:val="DefaultParagraphFont"/>
    <w:uiPriority w:val="99"/>
    <w:unhideWhenUsed/>
    <w:rsid w:val="00D13847"/>
    <w:rPr>
      <w:color w:val="467886" w:themeColor="hyperlink"/>
      <w:u w:val="single"/>
    </w:rPr>
  </w:style>
  <w:style w:type="character" w:styleId="UnresolvedMention">
    <w:name w:val="Unresolved Mention"/>
    <w:basedOn w:val="DefaultParagraphFont"/>
    <w:uiPriority w:val="99"/>
    <w:semiHidden/>
    <w:unhideWhenUsed/>
    <w:rsid w:val="00D13847"/>
    <w:rPr>
      <w:color w:val="605E5C"/>
      <w:shd w:val="clear" w:color="auto" w:fill="E1DFDD"/>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D13847"/>
  </w:style>
  <w:style w:type="character" w:styleId="CommentReference">
    <w:name w:val="annotation reference"/>
    <w:basedOn w:val="DefaultParagraphFont"/>
    <w:uiPriority w:val="99"/>
    <w:semiHidden/>
    <w:unhideWhenUsed/>
    <w:rsid w:val="00D13847"/>
    <w:rPr>
      <w:sz w:val="16"/>
      <w:szCs w:val="16"/>
    </w:rPr>
  </w:style>
  <w:style w:type="paragraph" w:styleId="CommentText">
    <w:name w:val="annotation text"/>
    <w:basedOn w:val="Normal"/>
    <w:link w:val="CommentTextChar"/>
    <w:unhideWhenUsed/>
    <w:rsid w:val="00D13847"/>
    <w:pPr>
      <w:spacing w:line="240" w:lineRule="auto"/>
    </w:pPr>
    <w:rPr>
      <w:sz w:val="20"/>
      <w:szCs w:val="20"/>
    </w:rPr>
  </w:style>
  <w:style w:type="character" w:customStyle="1" w:styleId="CommentTextChar">
    <w:name w:val="Comment Text Char"/>
    <w:basedOn w:val="DefaultParagraphFont"/>
    <w:link w:val="CommentText"/>
    <w:rsid w:val="00D13847"/>
    <w:rPr>
      <w:sz w:val="20"/>
      <w:szCs w:val="20"/>
    </w:rPr>
  </w:style>
  <w:style w:type="paragraph" w:styleId="CommentSubject">
    <w:name w:val="annotation subject"/>
    <w:basedOn w:val="CommentText"/>
    <w:next w:val="CommentText"/>
    <w:link w:val="CommentSubjectChar"/>
    <w:uiPriority w:val="99"/>
    <w:semiHidden/>
    <w:unhideWhenUsed/>
    <w:rsid w:val="00D13847"/>
    <w:rPr>
      <w:b/>
      <w:bCs/>
    </w:rPr>
  </w:style>
  <w:style w:type="character" w:customStyle="1" w:styleId="CommentSubjectChar">
    <w:name w:val="Comment Subject Char"/>
    <w:basedOn w:val="CommentTextChar"/>
    <w:link w:val="CommentSubject"/>
    <w:uiPriority w:val="99"/>
    <w:semiHidden/>
    <w:rsid w:val="00D13847"/>
    <w:rPr>
      <w:b/>
      <w:bCs/>
      <w:sz w:val="20"/>
      <w:szCs w:val="20"/>
    </w:rPr>
  </w:style>
  <w:style w:type="paragraph" w:customStyle="1" w:styleId="paragraph">
    <w:name w:val="paragraph"/>
    <w:basedOn w:val="Normal"/>
    <w:rsid w:val="003D6510"/>
    <w:pPr>
      <w:spacing w:before="100" w:beforeAutospacing="1" w:after="100" w:afterAutospacing="1" w:line="240" w:lineRule="auto"/>
    </w:pPr>
    <w:rPr>
      <w:rFonts w:ascii="Times New Roman" w:eastAsia="Times New Roman" w:hAnsi="Times New Roman" w:cs="Times New Roman"/>
      <w:kern w:val="0"/>
      <w:lang w:val="lt-LT"/>
      <w14:ligatures w14:val="none"/>
    </w:rPr>
  </w:style>
  <w:style w:type="character" w:customStyle="1" w:styleId="normaltextrun">
    <w:name w:val="normaltextrun"/>
    <w:basedOn w:val="DefaultParagraphFont"/>
    <w:rsid w:val="00DD5D62"/>
  </w:style>
  <w:style w:type="paragraph" w:styleId="NoSpacing">
    <w:name w:val="No Spacing"/>
    <w:link w:val="NoSpacingChar"/>
    <w:uiPriority w:val="1"/>
    <w:qFormat/>
    <w:rsid w:val="00E23782"/>
    <w:pPr>
      <w:spacing w:after="0" w:line="240" w:lineRule="auto"/>
    </w:pPr>
    <w:rPr>
      <w:rFonts w:eastAsiaTheme="minorEastAsia"/>
      <w:kern w:val="0"/>
      <w:sz w:val="21"/>
      <w:szCs w:val="21"/>
      <w:lang w:val="lt-LT" w:eastAsia="lt-LT"/>
      <w14:ligatures w14:val="none"/>
    </w:rPr>
  </w:style>
  <w:style w:type="character" w:customStyle="1" w:styleId="NoSpacingChar">
    <w:name w:val="No Spacing Char"/>
    <w:basedOn w:val="DefaultParagraphFont"/>
    <w:link w:val="NoSpacing"/>
    <w:uiPriority w:val="1"/>
    <w:rsid w:val="00E23782"/>
    <w:rPr>
      <w:rFonts w:eastAsiaTheme="minorEastAsia"/>
      <w:kern w:val="0"/>
      <w:sz w:val="21"/>
      <w:szCs w:val="21"/>
      <w:lang w:val="lt-LT" w:eastAsia="lt-LT"/>
      <w14:ligatures w14:val="none"/>
    </w:rPr>
  </w:style>
  <w:style w:type="paragraph" w:styleId="Revision">
    <w:name w:val="Revision"/>
    <w:hidden/>
    <w:uiPriority w:val="99"/>
    <w:semiHidden/>
    <w:rsid w:val="00434056"/>
    <w:pPr>
      <w:spacing w:after="0" w:line="240" w:lineRule="auto"/>
    </w:pPr>
  </w:style>
  <w:style w:type="character" w:styleId="FollowedHyperlink">
    <w:name w:val="FollowedHyperlink"/>
    <w:basedOn w:val="DefaultParagraphFont"/>
    <w:uiPriority w:val="99"/>
    <w:semiHidden/>
    <w:unhideWhenUsed/>
    <w:rsid w:val="0086707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lt/metodine-pagalba/pirkimu-vykdytojams_3/pavyzdiniai-dokumentai-3/pasalinimo-pagrindu-lentele/" TargetMode="External"/><Relationship Id="rId3" Type="http://schemas.openxmlformats.org/officeDocument/2006/relationships/settings" Target="settings.xml"/><Relationship Id="rId7" Type="http://schemas.openxmlformats.org/officeDocument/2006/relationships/hyperlink" Target="https://klausk.vpt.lt/hc/lt/articles/360017435719-Avanso-nurodymas-sutartyj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815</Words>
  <Characters>4648</Characters>
  <Application>Microsoft Office Word</Application>
  <DocSecurity>0</DocSecurity>
  <Lines>38</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Maceikienė</dc:creator>
  <cp:keywords/>
  <dc:description/>
  <cp:lastModifiedBy>Inga Noreikienė</cp:lastModifiedBy>
  <cp:revision>8</cp:revision>
  <dcterms:created xsi:type="dcterms:W3CDTF">2026-10-14T11:26:00Z</dcterms:created>
  <dcterms:modified xsi:type="dcterms:W3CDTF">2026-10-14T11:40:00Z</dcterms:modified>
</cp:coreProperties>
</file>